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ms-word.document.macroEnabled.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240" w:lineRule="auto"/>
        <w:ind w:firstLine="0" w:firstLineChars="0"/>
        <w:jc w:val="center"/>
        <w:rPr>
          <w:b/>
          <w:sz w:val="52"/>
          <w:szCs w:val="52"/>
          <w:highlight w:val="none"/>
        </w:rPr>
      </w:pPr>
      <w:bookmarkStart w:id="0" w:name="_Toc5231"/>
    </w:p>
    <w:p>
      <w:pPr>
        <w:spacing w:line="240" w:lineRule="auto"/>
        <w:ind w:firstLine="0" w:firstLineChars="0"/>
        <w:jc w:val="center"/>
        <w:rPr>
          <w:rFonts w:hint="eastAsia" w:ascii="宋体" w:hAnsi="宋体" w:eastAsia="宋体" w:cs="宋体"/>
          <w:b/>
          <w:sz w:val="52"/>
          <w:szCs w:val="52"/>
          <w:highlight w:val="none"/>
          <w:lang w:eastAsia="zh-CN"/>
        </w:rPr>
      </w:pPr>
      <w:r>
        <w:rPr>
          <w:rFonts w:hint="eastAsia" w:ascii="宋体" w:hAnsi="宋体" w:cs="宋体"/>
          <w:b/>
          <w:sz w:val="52"/>
          <w:szCs w:val="52"/>
          <w:highlight w:val="none"/>
          <w:lang w:eastAsia="zh-CN"/>
        </w:rPr>
        <w:t>砚山县阿猛镇倮基黑卡子凹塘石料厂年产30万吨建筑石料用灰岩建设项目</w:t>
      </w:r>
    </w:p>
    <w:p>
      <w:pPr>
        <w:spacing w:line="240" w:lineRule="auto"/>
        <w:ind w:firstLine="0" w:firstLineChars="0"/>
        <w:jc w:val="center"/>
        <w:rPr>
          <w:rFonts w:ascii="方正小标宋简体" w:eastAsia="方正小标宋简体"/>
          <w:b/>
          <w:sz w:val="84"/>
          <w:szCs w:val="84"/>
          <w:highlight w:val="none"/>
        </w:rPr>
      </w:pPr>
      <w:r>
        <w:rPr>
          <w:rFonts w:hint="eastAsia" w:ascii="方正小标宋简体" w:eastAsia="方正小标宋简体"/>
          <w:b/>
          <w:sz w:val="84"/>
          <w:szCs w:val="84"/>
          <w:highlight w:val="none"/>
        </w:rPr>
        <w:t>环境影响报告书</w:t>
      </w:r>
    </w:p>
    <w:p>
      <w:pPr>
        <w:widowControl/>
        <w:spacing w:line="240" w:lineRule="auto"/>
        <w:ind w:firstLine="0" w:firstLineChars="0"/>
        <w:jc w:val="center"/>
        <w:rPr>
          <w:b/>
          <w:sz w:val="32"/>
          <w:szCs w:val="32"/>
          <w:highlight w:val="none"/>
        </w:rPr>
      </w:pPr>
      <w:r>
        <w:rPr>
          <w:rFonts w:hint="eastAsia"/>
          <w:b/>
          <w:sz w:val="32"/>
          <w:szCs w:val="32"/>
          <w:highlight w:val="none"/>
        </w:rPr>
        <w:t>（</w:t>
      </w:r>
      <w:r>
        <w:rPr>
          <w:rFonts w:hint="eastAsia"/>
          <w:b/>
          <w:sz w:val="32"/>
          <w:szCs w:val="32"/>
          <w:highlight w:val="none"/>
          <w:lang w:eastAsia="zh-CN"/>
        </w:rPr>
        <w:t>送审稿</w:t>
      </w:r>
      <w:r>
        <w:rPr>
          <w:rFonts w:hint="eastAsia"/>
          <w:b/>
          <w:sz w:val="32"/>
          <w:szCs w:val="32"/>
          <w:highlight w:val="none"/>
        </w:rPr>
        <w:t>）</w:t>
      </w:r>
    </w:p>
    <w:p>
      <w:pPr>
        <w:widowControl/>
        <w:spacing w:line="240" w:lineRule="auto"/>
        <w:ind w:firstLine="0" w:firstLineChars="0"/>
        <w:jc w:val="center"/>
        <w:rPr>
          <w:b/>
          <w:sz w:val="52"/>
          <w:szCs w:val="52"/>
          <w:highlight w:val="none"/>
        </w:rPr>
      </w:pPr>
    </w:p>
    <w:p>
      <w:pPr>
        <w:widowControl/>
        <w:spacing w:line="240" w:lineRule="auto"/>
        <w:ind w:firstLine="0" w:firstLineChars="0"/>
        <w:jc w:val="center"/>
        <w:rPr>
          <w:b/>
          <w:sz w:val="52"/>
          <w:szCs w:val="52"/>
          <w:highlight w:val="none"/>
        </w:rPr>
      </w:pPr>
    </w:p>
    <w:p>
      <w:pPr>
        <w:widowControl/>
        <w:spacing w:line="240" w:lineRule="auto"/>
        <w:ind w:firstLine="0" w:firstLineChars="0"/>
        <w:jc w:val="center"/>
        <w:rPr>
          <w:b/>
          <w:sz w:val="52"/>
          <w:szCs w:val="52"/>
          <w:highlight w:val="none"/>
        </w:rPr>
      </w:pPr>
    </w:p>
    <w:p>
      <w:pPr>
        <w:widowControl/>
        <w:spacing w:line="240" w:lineRule="auto"/>
        <w:ind w:firstLine="0" w:firstLineChars="0"/>
        <w:jc w:val="center"/>
        <w:rPr>
          <w:b/>
          <w:sz w:val="52"/>
          <w:szCs w:val="52"/>
          <w:highlight w:val="none"/>
        </w:rPr>
      </w:pPr>
    </w:p>
    <w:p>
      <w:pPr>
        <w:widowControl/>
        <w:spacing w:line="240" w:lineRule="auto"/>
        <w:ind w:firstLine="0" w:firstLineChars="0"/>
        <w:jc w:val="center"/>
        <w:rPr>
          <w:b/>
          <w:sz w:val="52"/>
          <w:szCs w:val="52"/>
          <w:highlight w:val="none"/>
        </w:rPr>
      </w:pPr>
    </w:p>
    <w:p>
      <w:pPr>
        <w:widowControl/>
        <w:spacing w:line="240" w:lineRule="auto"/>
        <w:ind w:firstLine="0" w:firstLineChars="0"/>
        <w:jc w:val="center"/>
        <w:rPr>
          <w:b/>
          <w:sz w:val="52"/>
          <w:szCs w:val="52"/>
          <w:highlight w:val="none"/>
        </w:rPr>
      </w:pPr>
    </w:p>
    <w:p>
      <w:pPr>
        <w:widowControl/>
        <w:spacing w:line="240" w:lineRule="auto"/>
        <w:ind w:firstLine="0" w:firstLineChars="0"/>
        <w:jc w:val="center"/>
        <w:rPr>
          <w:b/>
          <w:sz w:val="52"/>
          <w:szCs w:val="52"/>
          <w:highlight w:val="none"/>
        </w:rPr>
      </w:pPr>
    </w:p>
    <w:p>
      <w:pPr>
        <w:widowControl/>
        <w:spacing w:line="240" w:lineRule="auto"/>
        <w:ind w:firstLine="0" w:firstLineChars="0"/>
        <w:jc w:val="center"/>
        <w:rPr>
          <w:b/>
          <w:sz w:val="52"/>
          <w:szCs w:val="52"/>
          <w:highlight w:val="none"/>
        </w:rPr>
      </w:pPr>
    </w:p>
    <w:p>
      <w:pPr>
        <w:widowControl/>
        <w:spacing w:line="240" w:lineRule="auto"/>
        <w:ind w:firstLine="0" w:firstLineChars="0"/>
        <w:jc w:val="center"/>
        <w:rPr>
          <w:b/>
          <w:sz w:val="52"/>
          <w:szCs w:val="52"/>
          <w:highlight w:val="none"/>
        </w:rPr>
      </w:pPr>
    </w:p>
    <w:p>
      <w:pPr>
        <w:widowControl/>
        <w:spacing w:line="240" w:lineRule="auto"/>
        <w:ind w:firstLine="0" w:firstLineChars="0"/>
        <w:jc w:val="center"/>
        <w:rPr>
          <w:b/>
          <w:sz w:val="52"/>
          <w:szCs w:val="52"/>
          <w:highlight w:val="none"/>
        </w:rPr>
      </w:pPr>
    </w:p>
    <w:p>
      <w:pPr>
        <w:widowControl/>
        <w:spacing w:line="240" w:lineRule="auto"/>
        <w:ind w:firstLine="0" w:firstLineChars="0"/>
        <w:jc w:val="center"/>
        <w:rPr>
          <w:b/>
          <w:sz w:val="52"/>
          <w:szCs w:val="52"/>
          <w:highlight w:val="none"/>
        </w:rPr>
      </w:pPr>
    </w:p>
    <w:tbl>
      <w:tblPr>
        <w:tblStyle w:val="29"/>
        <w:tblW w:w="8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6"/>
        <w:gridCol w:w="6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2156" w:type="dxa"/>
            <w:vAlign w:val="center"/>
          </w:tcPr>
          <w:p>
            <w:pPr>
              <w:ind w:firstLine="0" w:firstLineChars="0"/>
              <w:jc w:val="distribute"/>
              <w:rPr>
                <w:rFonts w:hint="eastAsia" w:ascii="Times New Roman" w:hAnsi="宋体" w:cs="Times New Roman"/>
                <w:b/>
                <w:bCs/>
                <w:sz w:val="32"/>
                <w:highlight w:val="none"/>
              </w:rPr>
            </w:pPr>
            <w:r>
              <w:rPr>
                <w:rFonts w:hint="eastAsia" w:ascii="Times New Roman" w:hAnsi="宋体" w:cs="Times New Roman"/>
                <w:b/>
                <w:bCs/>
                <w:sz w:val="32"/>
                <w:highlight w:val="none"/>
              </w:rPr>
              <w:t>建设单位：</w:t>
            </w:r>
          </w:p>
        </w:tc>
        <w:tc>
          <w:tcPr>
            <w:tcW w:w="6024" w:type="dxa"/>
            <w:vAlign w:val="center"/>
          </w:tcPr>
          <w:p>
            <w:pPr>
              <w:ind w:firstLine="0" w:firstLineChars="0"/>
              <w:jc w:val="distribute"/>
              <w:rPr>
                <w:rFonts w:hint="eastAsia" w:hAnsi="宋体" w:eastAsia="宋体"/>
                <w:b/>
                <w:bCs/>
                <w:sz w:val="32"/>
                <w:highlight w:val="none"/>
                <w:lang w:eastAsia="zh-CN"/>
              </w:rPr>
            </w:pPr>
            <w:r>
              <w:rPr>
                <w:rFonts w:hint="eastAsia" w:hAnsi="宋体"/>
                <w:b/>
                <w:bCs/>
                <w:sz w:val="32"/>
                <w:highlight w:val="none"/>
                <w:lang w:eastAsia="zh-CN"/>
              </w:rPr>
              <w:t>砚山县江那镇真元饲料添加剂沸石粉厂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2156" w:type="dxa"/>
            <w:vAlign w:val="center"/>
          </w:tcPr>
          <w:p>
            <w:pPr>
              <w:ind w:firstLine="0" w:firstLineChars="0"/>
              <w:jc w:val="distribute"/>
              <w:rPr>
                <w:rFonts w:hint="eastAsia" w:ascii="Times New Roman" w:hAnsi="宋体" w:cs="Times New Roman"/>
                <w:b/>
                <w:bCs/>
                <w:sz w:val="32"/>
                <w:highlight w:val="none"/>
              </w:rPr>
            </w:pPr>
            <w:r>
              <w:rPr>
                <w:rFonts w:hint="eastAsia" w:ascii="Times New Roman" w:hAnsi="宋体" w:cs="Times New Roman"/>
                <w:b/>
                <w:bCs/>
                <w:sz w:val="32"/>
                <w:highlight w:val="none"/>
              </w:rPr>
              <w:t>编制单位：</w:t>
            </w:r>
          </w:p>
        </w:tc>
        <w:tc>
          <w:tcPr>
            <w:tcW w:w="6024" w:type="dxa"/>
            <w:vAlign w:val="center"/>
          </w:tcPr>
          <w:p>
            <w:pPr>
              <w:ind w:firstLine="0" w:firstLineChars="0"/>
              <w:jc w:val="distribute"/>
              <w:rPr>
                <w:rFonts w:hint="eastAsia" w:ascii="宋体" w:hAnsi="宋体" w:eastAsia="宋体"/>
                <w:b/>
                <w:bCs/>
                <w:sz w:val="32"/>
                <w:highlight w:val="none"/>
                <w:lang w:eastAsia="zh-CN"/>
              </w:rPr>
            </w:pPr>
            <w:r>
              <w:rPr>
                <w:rFonts w:hint="eastAsia" w:hAnsi="宋体"/>
                <w:b/>
                <w:bCs/>
                <w:sz w:val="32"/>
                <w:highlight w:val="none"/>
                <w:lang w:eastAsia="zh-CN"/>
              </w:rPr>
              <w:t>丽江智德环境咨询有限公司</w:t>
            </w:r>
          </w:p>
        </w:tc>
      </w:tr>
    </w:tbl>
    <w:p>
      <w:pPr>
        <w:jc w:val="center"/>
        <w:rPr>
          <w:sz w:val="30"/>
          <w:highlight w:val="none"/>
        </w:rPr>
      </w:pPr>
      <w:r>
        <w:rPr>
          <w:rFonts w:hint="eastAsia" w:ascii="宋体" w:hAnsi="宋体"/>
          <w:b/>
          <w:bCs/>
          <w:sz w:val="32"/>
          <w:highlight w:val="none"/>
          <w:lang w:val="en-US" w:eastAsia="zh-CN"/>
        </w:rPr>
        <w:t>2020</w:t>
      </w:r>
      <w:r>
        <w:rPr>
          <w:rFonts w:hint="eastAsia" w:ascii="宋体" w:hAnsi="宋体"/>
          <w:b/>
          <w:bCs/>
          <w:sz w:val="32"/>
          <w:highlight w:val="none"/>
        </w:rPr>
        <w:t>年</w:t>
      </w:r>
      <w:r>
        <w:rPr>
          <w:rFonts w:hint="eastAsia" w:ascii="宋体" w:hAnsi="宋体"/>
          <w:b/>
          <w:bCs/>
          <w:sz w:val="32"/>
          <w:highlight w:val="none"/>
          <w:lang w:val="en-US" w:eastAsia="zh-CN"/>
        </w:rPr>
        <w:t>3</w:t>
      </w:r>
      <w:r>
        <w:rPr>
          <w:rFonts w:hint="eastAsia" w:ascii="宋体" w:hAnsi="宋体"/>
          <w:b/>
          <w:bCs/>
          <w:sz w:val="32"/>
          <w:highlight w:val="none"/>
        </w:rPr>
        <w:t>月</w:t>
      </w:r>
    </w:p>
    <w:p>
      <w:pPr>
        <w:ind w:firstLine="480"/>
        <w:rPr>
          <w:highlight w:val="none"/>
        </w:rPr>
        <w:sectPr>
          <w:headerReference r:id="rId4" w:type="first"/>
          <w:headerReference r:id="rId3" w:type="default"/>
          <w:pgSz w:w="11850" w:h="16783"/>
          <w:pgMar w:top="720" w:right="720" w:bottom="720" w:left="720" w:header="0" w:footer="567" w:gutter="0"/>
          <w:pgBorders>
            <w:top w:val="none" w:sz="0" w:space="0"/>
            <w:left w:val="none" w:sz="0" w:space="0"/>
            <w:bottom w:val="none" w:sz="0" w:space="0"/>
            <w:right w:val="none" w:sz="0" w:space="0"/>
          </w:pgBorders>
          <w:pgNumType w:start="1"/>
          <w:cols w:space="720" w:num="1"/>
          <w:titlePg/>
          <w:docGrid w:type="lines" w:linePitch="321" w:charSpace="0"/>
        </w:sectPr>
      </w:pPr>
    </w:p>
    <w:p>
      <w:pPr>
        <w:adjustRightInd w:val="0"/>
        <w:snapToGrid w:val="0"/>
        <w:spacing w:line="14" w:lineRule="auto"/>
        <w:ind w:firstLine="480"/>
        <w:rPr>
          <w:highlight w:val="none"/>
        </w:rPr>
      </w:pPr>
    </w:p>
    <w:p>
      <w:pPr>
        <w:adjustRightInd w:val="0"/>
        <w:snapToGrid w:val="0"/>
        <w:spacing w:line="14" w:lineRule="auto"/>
        <w:ind w:firstLine="480"/>
        <w:rPr>
          <w:highlight w:val="none"/>
        </w:rPr>
      </w:pPr>
    </w:p>
    <w:p>
      <w:pPr>
        <w:adjustRightInd w:val="0"/>
        <w:snapToGrid w:val="0"/>
        <w:spacing w:line="14" w:lineRule="auto"/>
        <w:ind w:firstLine="480"/>
        <w:rPr>
          <w:highlight w:val="none"/>
        </w:rPr>
      </w:pPr>
    </w:p>
    <w:p>
      <w:pPr>
        <w:pStyle w:val="3"/>
        <w:bidi w:val="0"/>
        <w:jc w:val="center"/>
        <w:rPr>
          <w:rFonts w:ascii="Times New Roman" w:hAnsi="Times New Roman" w:eastAsia="宋体" w:cs="Times New Roman"/>
          <w:b/>
          <w:kern w:val="44"/>
          <w:sz w:val="32"/>
          <w:szCs w:val="24"/>
          <w:highlight w:val="none"/>
          <w:lang w:val="en-US" w:eastAsia="zh-CN" w:bidi="ar-SA"/>
        </w:rPr>
      </w:pPr>
      <w:bookmarkStart w:id="1" w:name="_Toc5815"/>
      <w:r>
        <w:rPr>
          <w:rFonts w:hint="eastAsia"/>
          <w:b/>
          <w:bCs w:val="0"/>
          <w:sz w:val="36"/>
          <w:szCs w:val="36"/>
          <w:highlight w:val="none"/>
        </w:rPr>
        <w:t>目 录</w:t>
      </w:r>
      <w:bookmarkEnd w:id="1"/>
      <w:r>
        <w:rPr>
          <w:sz w:val="21"/>
          <w:highlight w:val="none"/>
        </w:rPr>
        <w:fldChar w:fldCharType="begin"/>
      </w:r>
      <w:r>
        <w:rPr>
          <w:sz w:val="21"/>
          <w:highlight w:val="none"/>
        </w:rPr>
        <w:instrText xml:space="preserve">TOC \o "1-3" \h \u </w:instrText>
      </w:r>
      <w:r>
        <w:rPr>
          <w:sz w:val="21"/>
          <w:highlight w:val="none"/>
        </w:rPr>
        <w:fldChar w:fldCharType="separate"/>
      </w:r>
    </w:p>
    <w:p>
      <w:pPr>
        <w:pStyle w:val="23"/>
        <w:tabs>
          <w:tab w:val="right" w:leader="dot" w:pos="9077"/>
        </w:tabs>
        <w:rPr>
          <w:highlight w:val="none"/>
        </w:rPr>
      </w:pPr>
      <w:r>
        <w:rPr>
          <w:highlight w:val="none"/>
        </w:rPr>
        <w:fldChar w:fldCharType="begin"/>
      </w:r>
      <w:r>
        <w:rPr>
          <w:highlight w:val="none"/>
        </w:rPr>
        <w:instrText xml:space="preserve"> HYPERLINK \l _Toc5815 </w:instrText>
      </w:r>
      <w:r>
        <w:rPr>
          <w:highlight w:val="none"/>
        </w:rPr>
        <w:fldChar w:fldCharType="separate"/>
      </w:r>
      <w:r>
        <w:rPr>
          <w:rFonts w:hint="eastAsia"/>
          <w:bCs w:val="0"/>
          <w:szCs w:val="36"/>
          <w:highlight w:val="none"/>
        </w:rPr>
        <w:t>目 录</w:t>
      </w:r>
      <w:r>
        <w:rPr>
          <w:highlight w:val="none"/>
        </w:rPr>
        <w:tab/>
      </w:r>
      <w:r>
        <w:rPr>
          <w:highlight w:val="none"/>
        </w:rPr>
        <w:fldChar w:fldCharType="begin"/>
      </w:r>
      <w:r>
        <w:rPr>
          <w:highlight w:val="none"/>
        </w:rPr>
        <w:instrText xml:space="preserve"> PAGEREF _Toc5815 </w:instrText>
      </w:r>
      <w:r>
        <w:rPr>
          <w:highlight w:val="none"/>
        </w:rPr>
        <w:fldChar w:fldCharType="separate"/>
      </w:r>
      <w:r>
        <w:rPr>
          <w:highlight w:val="none"/>
        </w:rPr>
        <w:t>1</w:t>
      </w:r>
      <w:r>
        <w:rPr>
          <w:highlight w:val="none"/>
        </w:rPr>
        <w:fldChar w:fldCharType="end"/>
      </w:r>
      <w:r>
        <w:rPr>
          <w:highlight w:val="none"/>
        </w:rPr>
        <w:fldChar w:fldCharType="end"/>
      </w:r>
    </w:p>
    <w:p>
      <w:pPr>
        <w:pStyle w:val="23"/>
        <w:tabs>
          <w:tab w:val="right" w:leader="dot" w:pos="9077"/>
        </w:tabs>
        <w:rPr>
          <w:highlight w:val="none"/>
        </w:rPr>
      </w:pPr>
      <w:r>
        <w:rPr>
          <w:highlight w:val="none"/>
        </w:rPr>
        <w:fldChar w:fldCharType="begin"/>
      </w:r>
      <w:r>
        <w:rPr>
          <w:highlight w:val="none"/>
        </w:rPr>
        <w:instrText xml:space="preserve"> HYPERLINK \l _Toc6230 </w:instrText>
      </w:r>
      <w:r>
        <w:rPr>
          <w:highlight w:val="none"/>
        </w:rPr>
        <w:fldChar w:fldCharType="separate"/>
      </w:r>
      <w:r>
        <w:rPr>
          <w:highlight w:val="none"/>
        </w:rPr>
        <w:t>概 述</w:t>
      </w:r>
      <w:r>
        <w:rPr>
          <w:highlight w:val="none"/>
        </w:rPr>
        <w:tab/>
      </w:r>
      <w:r>
        <w:rPr>
          <w:highlight w:val="none"/>
        </w:rPr>
        <w:fldChar w:fldCharType="begin"/>
      </w:r>
      <w:r>
        <w:rPr>
          <w:highlight w:val="none"/>
        </w:rPr>
        <w:instrText xml:space="preserve"> PAGEREF _Toc6230 </w:instrText>
      </w:r>
      <w:r>
        <w:rPr>
          <w:highlight w:val="none"/>
        </w:rPr>
        <w:fldChar w:fldCharType="separate"/>
      </w:r>
      <w:r>
        <w:rPr>
          <w:highlight w:val="none"/>
        </w:rPr>
        <w:t>7</w:t>
      </w:r>
      <w:r>
        <w:rPr>
          <w:highlight w:val="none"/>
        </w:rPr>
        <w:fldChar w:fldCharType="end"/>
      </w:r>
      <w:r>
        <w:rPr>
          <w:highlight w:val="none"/>
        </w:rPr>
        <w:fldChar w:fldCharType="end"/>
      </w:r>
    </w:p>
    <w:p>
      <w:pPr>
        <w:pStyle w:val="23"/>
        <w:tabs>
          <w:tab w:val="right" w:leader="dot" w:pos="9077"/>
        </w:tabs>
        <w:rPr>
          <w:highlight w:val="none"/>
        </w:rPr>
      </w:pPr>
      <w:r>
        <w:rPr>
          <w:highlight w:val="none"/>
        </w:rPr>
        <w:fldChar w:fldCharType="begin"/>
      </w:r>
      <w:r>
        <w:rPr>
          <w:highlight w:val="none"/>
        </w:rPr>
        <w:instrText xml:space="preserve"> HYPERLINK \l _Toc29057 </w:instrText>
      </w:r>
      <w:r>
        <w:rPr>
          <w:highlight w:val="none"/>
        </w:rPr>
        <w:fldChar w:fldCharType="separate"/>
      </w:r>
      <w:r>
        <w:rPr>
          <w:rFonts w:cs="Times New Roman"/>
          <w:bCs w:val="0"/>
          <w:szCs w:val="32"/>
          <w:highlight w:val="none"/>
        </w:rPr>
        <w:t>1总则</w:t>
      </w:r>
      <w:r>
        <w:rPr>
          <w:highlight w:val="none"/>
        </w:rPr>
        <w:tab/>
      </w:r>
      <w:r>
        <w:rPr>
          <w:highlight w:val="none"/>
        </w:rPr>
        <w:fldChar w:fldCharType="begin"/>
      </w:r>
      <w:r>
        <w:rPr>
          <w:highlight w:val="none"/>
        </w:rPr>
        <w:instrText xml:space="preserve"> PAGEREF _Toc29057 </w:instrText>
      </w:r>
      <w:r>
        <w:rPr>
          <w:highlight w:val="none"/>
        </w:rPr>
        <w:fldChar w:fldCharType="separate"/>
      </w:r>
      <w:r>
        <w:rPr>
          <w:highlight w:val="none"/>
        </w:rPr>
        <w:t>12</w:t>
      </w:r>
      <w:r>
        <w:rPr>
          <w:highlight w:val="none"/>
        </w:rPr>
        <w:fldChar w:fldCharType="end"/>
      </w:r>
      <w:r>
        <w:rPr>
          <w:highlight w:val="none"/>
        </w:rPr>
        <w:fldChar w:fldCharType="end"/>
      </w:r>
    </w:p>
    <w:p>
      <w:pPr>
        <w:pStyle w:val="25"/>
        <w:tabs>
          <w:tab w:val="right" w:leader="dot" w:pos="9077"/>
        </w:tabs>
        <w:rPr>
          <w:highlight w:val="none"/>
        </w:rPr>
      </w:pPr>
      <w:r>
        <w:rPr>
          <w:highlight w:val="none"/>
        </w:rPr>
        <w:fldChar w:fldCharType="begin"/>
      </w:r>
      <w:r>
        <w:rPr>
          <w:highlight w:val="none"/>
        </w:rPr>
        <w:instrText xml:space="preserve"> HYPERLINK \l _Toc12892 </w:instrText>
      </w:r>
      <w:r>
        <w:rPr>
          <w:highlight w:val="none"/>
        </w:rPr>
        <w:fldChar w:fldCharType="separate"/>
      </w:r>
      <w:r>
        <w:rPr>
          <w:rFonts w:hint="default"/>
          <w:highlight w:val="none"/>
        </w:rPr>
        <w:t xml:space="preserve">1.1 </w:t>
      </w:r>
      <w:r>
        <w:rPr>
          <w:highlight w:val="none"/>
        </w:rPr>
        <w:t>编制依据</w:t>
      </w:r>
      <w:r>
        <w:rPr>
          <w:highlight w:val="none"/>
        </w:rPr>
        <w:tab/>
      </w:r>
      <w:r>
        <w:rPr>
          <w:highlight w:val="none"/>
        </w:rPr>
        <w:fldChar w:fldCharType="begin"/>
      </w:r>
      <w:r>
        <w:rPr>
          <w:highlight w:val="none"/>
        </w:rPr>
        <w:instrText xml:space="preserve"> PAGEREF _Toc12892 </w:instrText>
      </w:r>
      <w:r>
        <w:rPr>
          <w:highlight w:val="none"/>
        </w:rPr>
        <w:fldChar w:fldCharType="separate"/>
      </w:r>
      <w:r>
        <w:rPr>
          <w:highlight w:val="none"/>
        </w:rPr>
        <w:t>12</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_Toc5992 </w:instrText>
      </w:r>
      <w:r>
        <w:rPr>
          <w:highlight w:val="none"/>
        </w:rPr>
        <w:fldChar w:fldCharType="separate"/>
      </w:r>
      <w:r>
        <w:rPr>
          <w:rFonts w:hint="default"/>
          <w:highlight w:val="none"/>
        </w:rPr>
        <w:t>1.1.1 相关法律法规</w:t>
      </w:r>
      <w:r>
        <w:rPr>
          <w:highlight w:val="none"/>
        </w:rPr>
        <w:tab/>
      </w:r>
      <w:r>
        <w:rPr>
          <w:highlight w:val="none"/>
        </w:rPr>
        <w:fldChar w:fldCharType="begin"/>
      </w:r>
      <w:r>
        <w:rPr>
          <w:highlight w:val="none"/>
        </w:rPr>
        <w:instrText xml:space="preserve"> PAGEREF _Toc5992 </w:instrText>
      </w:r>
      <w:r>
        <w:rPr>
          <w:highlight w:val="none"/>
        </w:rPr>
        <w:fldChar w:fldCharType="separate"/>
      </w:r>
      <w:r>
        <w:rPr>
          <w:highlight w:val="none"/>
        </w:rPr>
        <w:t>12</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_Toc2908 </w:instrText>
      </w:r>
      <w:r>
        <w:rPr>
          <w:highlight w:val="none"/>
        </w:rPr>
        <w:fldChar w:fldCharType="separate"/>
      </w:r>
      <w:r>
        <w:rPr>
          <w:rFonts w:hint="default"/>
          <w:highlight w:val="none"/>
        </w:rPr>
        <w:t>1.1.</w:t>
      </w:r>
      <w:r>
        <w:rPr>
          <w:highlight w:val="none"/>
        </w:rPr>
        <w:t>2</w:t>
      </w:r>
      <w:r>
        <w:rPr>
          <w:rFonts w:hint="default"/>
          <w:highlight w:val="none"/>
        </w:rPr>
        <w:t xml:space="preserve"> 技术规范和标准</w:t>
      </w:r>
      <w:r>
        <w:rPr>
          <w:highlight w:val="none"/>
        </w:rPr>
        <w:tab/>
      </w:r>
      <w:r>
        <w:rPr>
          <w:highlight w:val="none"/>
        </w:rPr>
        <w:fldChar w:fldCharType="begin"/>
      </w:r>
      <w:r>
        <w:rPr>
          <w:highlight w:val="none"/>
        </w:rPr>
        <w:instrText xml:space="preserve"> PAGEREF _Toc2908 </w:instrText>
      </w:r>
      <w:r>
        <w:rPr>
          <w:highlight w:val="none"/>
        </w:rPr>
        <w:fldChar w:fldCharType="separate"/>
      </w:r>
      <w:r>
        <w:rPr>
          <w:highlight w:val="none"/>
        </w:rPr>
        <w:t>13</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_Toc14442 </w:instrText>
      </w:r>
      <w:r>
        <w:rPr>
          <w:highlight w:val="none"/>
        </w:rPr>
        <w:fldChar w:fldCharType="separate"/>
      </w:r>
      <w:r>
        <w:rPr>
          <w:rFonts w:hint="default"/>
          <w:highlight w:val="none"/>
        </w:rPr>
        <w:t>1.1.</w:t>
      </w:r>
      <w:r>
        <w:rPr>
          <w:highlight w:val="none"/>
        </w:rPr>
        <w:t>3</w:t>
      </w:r>
      <w:r>
        <w:rPr>
          <w:rFonts w:hint="default"/>
          <w:highlight w:val="none"/>
        </w:rPr>
        <w:t xml:space="preserve"> 技术资料及文件</w:t>
      </w:r>
      <w:r>
        <w:rPr>
          <w:highlight w:val="none"/>
        </w:rPr>
        <w:tab/>
      </w:r>
      <w:r>
        <w:rPr>
          <w:highlight w:val="none"/>
        </w:rPr>
        <w:fldChar w:fldCharType="begin"/>
      </w:r>
      <w:r>
        <w:rPr>
          <w:highlight w:val="none"/>
        </w:rPr>
        <w:instrText xml:space="preserve"> PAGEREF _Toc14442 </w:instrText>
      </w:r>
      <w:r>
        <w:rPr>
          <w:highlight w:val="none"/>
        </w:rPr>
        <w:fldChar w:fldCharType="separate"/>
      </w:r>
      <w:r>
        <w:rPr>
          <w:highlight w:val="none"/>
        </w:rPr>
        <w:t>14</w:t>
      </w:r>
      <w:r>
        <w:rPr>
          <w:highlight w:val="none"/>
        </w:rPr>
        <w:fldChar w:fldCharType="end"/>
      </w:r>
      <w:r>
        <w:rPr>
          <w:highlight w:val="none"/>
        </w:rPr>
        <w:fldChar w:fldCharType="end"/>
      </w:r>
    </w:p>
    <w:p>
      <w:pPr>
        <w:pStyle w:val="25"/>
        <w:tabs>
          <w:tab w:val="right" w:leader="dot" w:pos="9077"/>
        </w:tabs>
        <w:rPr>
          <w:highlight w:val="none"/>
        </w:rPr>
      </w:pPr>
      <w:r>
        <w:rPr>
          <w:highlight w:val="none"/>
        </w:rPr>
        <w:fldChar w:fldCharType="begin"/>
      </w:r>
      <w:r>
        <w:rPr>
          <w:highlight w:val="none"/>
        </w:rPr>
        <w:instrText xml:space="preserve"> HYPERLINK \l _Toc32750 </w:instrText>
      </w:r>
      <w:r>
        <w:rPr>
          <w:highlight w:val="none"/>
        </w:rPr>
        <w:fldChar w:fldCharType="separate"/>
      </w:r>
      <w:r>
        <w:rPr>
          <w:highlight w:val="none"/>
          <w:lang w:val="zh-CN"/>
        </w:rPr>
        <w:t>1.2 评价目的及原则</w:t>
      </w:r>
      <w:r>
        <w:rPr>
          <w:highlight w:val="none"/>
        </w:rPr>
        <w:tab/>
      </w:r>
      <w:r>
        <w:rPr>
          <w:highlight w:val="none"/>
        </w:rPr>
        <w:fldChar w:fldCharType="begin"/>
      </w:r>
      <w:r>
        <w:rPr>
          <w:highlight w:val="none"/>
        </w:rPr>
        <w:instrText xml:space="preserve"> PAGEREF _Toc32750 </w:instrText>
      </w:r>
      <w:r>
        <w:rPr>
          <w:highlight w:val="none"/>
        </w:rPr>
        <w:fldChar w:fldCharType="separate"/>
      </w:r>
      <w:r>
        <w:rPr>
          <w:highlight w:val="none"/>
        </w:rPr>
        <w:t>15</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_Toc16649 </w:instrText>
      </w:r>
      <w:r>
        <w:rPr>
          <w:highlight w:val="none"/>
        </w:rPr>
        <w:fldChar w:fldCharType="separate"/>
      </w:r>
      <w:r>
        <w:rPr>
          <w:rFonts w:hint="default"/>
          <w:highlight w:val="none"/>
        </w:rPr>
        <w:t>1.2.1评价目的</w:t>
      </w:r>
      <w:r>
        <w:rPr>
          <w:highlight w:val="none"/>
        </w:rPr>
        <w:tab/>
      </w:r>
      <w:r>
        <w:rPr>
          <w:highlight w:val="none"/>
        </w:rPr>
        <w:fldChar w:fldCharType="begin"/>
      </w:r>
      <w:r>
        <w:rPr>
          <w:highlight w:val="none"/>
        </w:rPr>
        <w:instrText xml:space="preserve"> PAGEREF _Toc16649 </w:instrText>
      </w:r>
      <w:r>
        <w:rPr>
          <w:highlight w:val="none"/>
        </w:rPr>
        <w:fldChar w:fldCharType="separate"/>
      </w:r>
      <w:r>
        <w:rPr>
          <w:highlight w:val="none"/>
        </w:rPr>
        <w:t>15</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_Toc27567 </w:instrText>
      </w:r>
      <w:r>
        <w:rPr>
          <w:highlight w:val="none"/>
        </w:rPr>
        <w:fldChar w:fldCharType="separate"/>
      </w:r>
      <w:r>
        <w:rPr>
          <w:rFonts w:hint="default"/>
          <w:highlight w:val="none"/>
        </w:rPr>
        <w:t>1.2.2评价原则</w:t>
      </w:r>
      <w:r>
        <w:rPr>
          <w:highlight w:val="none"/>
        </w:rPr>
        <w:tab/>
      </w:r>
      <w:r>
        <w:rPr>
          <w:highlight w:val="none"/>
        </w:rPr>
        <w:fldChar w:fldCharType="begin"/>
      </w:r>
      <w:r>
        <w:rPr>
          <w:highlight w:val="none"/>
        </w:rPr>
        <w:instrText xml:space="preserve"> PAGEREF _Toc27567 </w:instrText>
      </w:r>
      <w:r>
        <w:rPr>
          <w:highlight w:val="none"/>
        </w:rPr>
        <w:fldChar w:fldCharType="separate"/>
      </w:r>
      <w:r>
        <w:rPr>
          <w:highlight w:val="none"/>
        </w:rPr>
        <w:t>15</w:t>
      </w:r>
      <w:r>
        <w:rPr>
          <w:highlight w:val="none"/>
        </w:rPr>
        <w:fldChar w:fldCharType="end"/>
      </w:r>
      <w:r>
        <w:rPr>
          <w:highlight w:val="none"/>
        </w:rPr>
        <w:fldChar w:fldCharType="end"/>
      </w:r>
    </w:p>
    <w:p>
      <w:pPr>
        <w:pStyle w:val="25"/>
        <w:tabs>
          <w:tab w:val="right" w:leader="dot" w:pos="9077"/>
        </w:tabs>
        <w:rPr>
          <w:highlight w:val="none"/>
        </w:rPr>
      </w:pPr>
      <w:r>
        <w:rPr>
          <w:highlight w:val="none"/>
        </w:rPr>
        <w:fldChar w:fldCharType="begin"/>
      </w:r>
      <w:r>
        <w:rPr>
          <w:highlight w:val="none"/>
        </w:rPr>
        <w:instrText xml:space="preserve"> HYPERLINK \l _Toc17163 </w:instrText>
      </w:r>
      <w:r>
        <w:rPr>
          <w:highlight w:val="none"/>
        </w:rPr>
        <w:fldChar w:fldCharType="separate"/>
      </w:r>
      <w:r>
        <w:rPr>
          <w:highlight w:val="none"/>
          <w:lang w:val="zh-CN"/>
        </w:rPr>
        <w:t>1.3评价时段和评价重点</w:t>
      </w:r>
      <w:r>
        <w:rPr>
          <w:highlight w:val="none"/>
        </w:rPr>
        <w:tab/>
      </w:r>
      <w:r>
        <w:rPr>
          <w:highlight w:val="none"/>
        </w:rPr>
        <w:fldChar w:fldCharType="begin"/>
      </w:r>
      <w:r>
        <w:rPr>
          <w:highlight w:val="none"/>
        </w:rPr>
        <w:instrText xml:space="preserve"> PAGEREF _Toc17163 </w:instrText>
      </w:r>
      <w:r>
        <w:rPr>
          <w:highlight w:val="none"/>
        </w:rPr>
        <w:fldChar w:fldCharType="separate"/>
      </w:r>
      <w:r>
        <w:rPr>
          <w:highlight w:val="none"/>
        </w:rPr>
        <w:t>16</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_Toc4993 </w:instrText>
      </w:r>
      <w:r>
        <w:rPr>
          <w:highlight w:val="none"/>
        </w:rPr>
        <w:fldChar w:fldCharType="separate"/>
      </w:r>
      <w:r>
        <w:rPr>
          <w:highlight w:val="none"/>
        </w:rPr>
        <w:t>1.3.1</w:t>
      </w:r>
      <w:r>
        <w:rPr>
          <w:rFonts w:hint="default"/>
          <w:highlight w:val="none"/>
        </w:rPr>
        <w:t>评价时段</w:t>
      </w:r>
      <w:r>
        <w:rPr>
          <w:highlight w:val="none"/>
        </w:rPr>
        <w:tab/>
      </w:r>
      <w:r>
        <w:rPr>
          <w:highlight w:val="none"/>
        </w:rPr>
        <w:fldChar w:fldCharType="begin"/>
      </w:r>
      <w:r>
        <w:rPr>
          <w:highlight w:val="none"/>
        </w:rPr>
        <w:instrText xml:space="preserve"> PAGEREF _Toc4993 </w:instrText>
      </w:r>
      <w:r>
        <w:rPr>
          <w:highlight w:val="none"/>
        </w:rPr>
        <w:fldChar w:fldCharType="separate"/>
      </w:r>
      <w:r>
        <w:rPr>
          <w:highlight w:val="none"/>
        </w:rPr>
        <w:t>16</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_Toc18735 </w:instrText>
      </w:r>
      <w:r>
        <w:rPr>
          <w:highlight w:val="none"/>
        </w:rPr>
        <w:fldChar w:fldCharType="separate"/>
      </w:r>
      <w:r>
        <w:rPr>
          <w:highlight w:val="none"/>
        </w:rPr>
        <w:t>1.3.2</w:t>
      </w:r>
      <w:r>
        <w:rPr>
          <w:rFonts w:hint="default"/>
          <w:highlight w:val="none"/>
        </w:rPr>
        <w:t>评价重点</w:t>
      </w:r>
      <w:r>
        <w:rPr>
          <w:highlight w:val="none"/>
        </w:rPr>
        <w:tab/>
      </w:r>
      <w:r>
        <w:rPr>
          <w:highlight w:val="none"/>
        </w:rPr>
        <w:fldChar w:fldCharType="begin"/>
      </w:r>
      <w:r>
        <w:rPr>
          <w:highlight w:val="none"/>
        </w:rPr>
        <w:instrText xml:space="preserve"> PAGEREF _Toc18735 </w:instrText>
      </w:r>
      <w:r>
        <w:rPr>
          <w:highlight w:val="none"/>
        </w:rPr>
        <w:fldChar w:fldCharType="separate"/>
      </w:r>
      <w:r>
        <w:rPr>
          <w:highlight w:val="none"/>
        </w:rPr>
        <w:t>16</w:t>
      </w:r>
      <w:r>
        <w:rPr>
          <w:highlight w:val="none"/>
        </w:rPr>
        <w:fldChar w:fldCharType="end"/>
      </w:r>
      <w:r>
        <w:rPr>
          <w:highlight w:val="none"/>
        </w:rPr>
        <w:fldChar w:fldCharType="end"/>
      </w:r>
    </w:p>
    <w:p>
      <w:pPr>
        <w:pStyle w:val="25"/>
        <w:tabs>
          <w:tab w:val="right" w:leader="dot" w:pos="9077"/>
        </w:tabs>
        <w:rPr>
          <w:highlight w:val="none"/>
        </w:rPr>
      </w:pPr>
      <w:r>
        <w:rPr>
          <w:highlight w:val="none"/>
        </w:rPr>
        <w:fldChar w:fldCharType="begin"/>
      </w:r>
      <w:r>
        <w:rPr>
          <w:highlight w:val="none"/>
        </w:rPr>
        <w:instrText xml:space="preserve"> HYPERLINK \l _Toc29414 </w:instrText>
      </w:r>
      <w:r>
        <w:rPr>
          <w:highlight w:val="none"/>
        </w:rPr>
        <w:fldChar w:fldCharType="separate"/>
      </w:r>
      <w:r>
        <w:rPr>
          <w:highlight w:val="none"/>
          <w:lang w:val="zh-CN"/>
        </w:rPr>
        <w:t>1.4环境影响要素识别和评价因子筛选</w:t>
      </w:r>
      <w:r>
        <w:rPr>
          <w:highlight w:val="none"/>
        </w:rPr>
        <w:tab/>
      </w:r>
      <w:r>
        <w:rPr>
          <w:highlight w:val="none"/>
        </w:rPr>
        <w:fldChar w:fldCharType="begin"/>
      </w:r>
      <w:r>
        <w:rPr>
          <w:highlight w:val="none"/>
        </w:rPr>
        <w:instrText xml:space="preserve"> PAGEREF _Toc29414 </w:instrText>
      </w:r>
      <w:r>
        <w:rPr>
          <w:highlight w:val="none"/>
        </w:rPr>
        <w:fldChar w:fldCharType="separate"/>
      </w:r>
      <w:r>
        <w:rPr>
          <w:highlight w:val="none"/>
        </w:rPr>
        <w:t>16</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_Toc5546 </w:instrText>
      </w:r>
      <w:r>
        <w:rPr>
          <w:highlight w:val="none"/>
        </w:rPr>
        <w:fldChar w:fldCharType="separate"/>
      </w:r>
      <w:r>
        <w:rPr>
          <w:rFonts w:hint="default"/>
          <w:highlight w:val="none"/>
        </w:rPr>
        <w:t>1.4.1 环境影响要素识别</w:t>
      </w:r>
      <w:r>
        <w:rPr>
          <w:highlight w:val="none"/>
        </w:rPr>
        <w:tab/>
      </w:r>
      <w:r>
        <w:rPr>
          <w:highlight w:val="none"/>
        </w:rPr>
        <w:fldChar w:fldCharType="begin"/>
      </w:r>
      <w:r>
        <w:rPr>
          <w:highlight w:val="none"/>
        </w:rPr>
        <w:instrText xml:space="preserve"> PAGEREF _Toc5546 </w:instrText>
      </w:r>
      <w:r>
        <w:rPr>
          <w:highlight w:val="none"/>
        </w:rPr>
        <w:fldChar w:fldCharType="separate"/>
      </w:r>
      <w:r>
        <w:rPr>
          <w:highlight w:val="none"/>
        </w:rPr>
        <w:t>16</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_Toc3349 </w:instrText>
      </w:r>
      <w:r>
        <w:rPr>
          <w:highlight w:val="none"/>
        </w:rPr>
        <w:fldChar w:fldCharType="separate"/>
      </w:r>
      <w:r>
        <w:rPr>
          <w:highlight w:val="none"/>
        </w:rPr>
        <w:t>1.4.2 评价因子筛选</w:t>
      </w:r>
      <w:r>
        <w:rPr>
          <w:highlight w:val="none"/>
        </w:rPr>
        <w:tab/>
      </w:r>
      <w:r>
        <w:rPr>
          <w:highlight w:val="none"/>
        </w:rPr>
        <w:fldChar w:fldCharType="begin"/>
      </w:r>
      <w:r>
        <w:rPr>
          <w:highlight w:val="none"/>
        </w:rPr>
        <w:instrText xml:space="preserve"> PAGEREF _Toc3349 </w:instrText>
      </w:r>
      <w:r>
        <w:rPr>
          <w:highlight w:val="none"/>
        </w:rPr>
        <w:fldChar w:fldCharType="separate"/>
      </w:r>
      <w:r>
        <w:rPr>
          <w:highlight w:val="none"/>
        </w:rPr>
        <w:t>16</w:t>
      </w:r>
      <w:r>
        <w:rPr>
          <w:highlight w:val="none"/>
        </w:rPr>
        <w:fldChar w:fldCharType="end"/>
      </w:r>
      <w:r>
        <w:rPr>
          <w:highlight w:val="none"/>
        </w:rPr>
        <w:fldChar w:fldCharType="end"/>
      </w:r>
    </w:p>
    <w:p>
      <w:pPr>
        <w:pStyle w:val="25"/>
        <w:tabs>
          <w:tab w:val="right" w:leader="dot" w:pos="9077"/>
        </w:tabs>
        <w:rPr>
          <w:highlight w:val="none"/>
        </w:rPr>
      </w:pPr>
      <w:r>
        <w:rPr>
          <w:highlight w:val="none"/>
        </w:rPr>
        <w:fldChar w:fldCharType="begin"/>
      </w:r>
      <w:r>
        <w:rPr>
          <w:highlight w:val="none"/>
        </w:rPr>
        <w:instrText xml:space="preserve"> HYPERLINK \l _Toc2405 </w:instrText>
      </w:r>
      <w:r>
        <w:rPr>
          <w:highlight w:val="none"/>
        </w:rPr>
        <w:fldChar w:fldCharType="separate"/>
      </w:r>
      <w:r>
        <w:rPr>
          <w:highlight w:val="none"/>
        </w:rPr>
        <w:t>1.</w:t>
      </w:r>
      <w:r>
        <w:rPr>
          <w:rFonts w:hint="eastAsia"/>
          <w:highlight w:val="none"/>
        </w:rPr>
        <w:t>5</w:t>
      </w:r>
      <w:r>
        <w:rPr>
          <w:highlight w:val="none"/>
        </w:rPr>
        <w:t xml:space="preserve"> 评价执行标准</w:t>
      </w:r>
      <w:r>
        <w:rPr>
          <w:highlight w:val="none"/>
        </w:rPr>
        <w:tab/>
      </w:r>
      <w:r>
        <w:rPr>
          <w:highlight w:val="none"/>
        </w:rPr>
        <w:fldChar w:fldCharType="begin"/>
      </w:r>
      <w:r>
        <w:rPr>
          <w:highlight w:val="none"/>
        </w:rPr>
        <w:instrText xml:space="preserve"> PAGEREF _Toc2405 </w:instrText>
      </w:r>
      <w:r>
        <w:rPr>
          <w:highlight w:val="none"/>
        </w:rPr>
        <w:fldChar w:fldCharType="separate"/>
      </w:r>
      <w:r>
        <w:rPr>
          <w:highlight w:val="none"/>
        </w:rPr>
        <w:t>18</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_Toc10158 </w:instrText>
      </w:r>
      <w:r>
        <w:rPr>
          <w:highlight w:val="none"/>
        </w:rPr>
        <w:fldChar w:fldCharType="separate"/>
      </w:r>
      <w:r>
        <w:rPr>
          <w:rFonts w:hint="default"/>
          <w:highlight w:val="none"/>
        </w:rPr>
        <w:t>1.</w:t>
      </w:r>
      <w:r>
        <w:rPr>
          <w:highlight w:val="none"/>
        </w:rPr>
        <w:t>5</w:t>
      </w:r>
      <w:r>
        <w:rPr>
          <w:rFonts w:hint="default"/>
          <w:highlight w:val="none"/>
        </w:rPr>
        <w:t>.1环境质量标准</w:t>
      </w:r>
      <w:r>
        <w:rPr>
          <w:highlight w:val="none"/>
        </w:rPr>
        <w:tab/>
      </w:r>
      <w:r>
        <w:rPr>
          <w:highlight w:val="none"/>
        </w:rPr>
        <w:fldChar w:fldCharType="begin"/>
      </w:r>
      <w:r>
        <w:rPr>
          <w:highlight w:val="none"/>
        </w:rPr>
        <w:instrText xml:space="preserve"> PAGEREF _Toc10158 </w:instrText>
      </w:r>
      <w:r>
        <w:rPr>
          <w:highlight w:val="none"/>
        </w:rPr>
        <w:fldChar w:fldCharType="separate"/>
      </w:r>
      <w:r>
        <w:rPr>
          <w:highlight w:val="none"/>
        </w:rPr>
        <w:t>18</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_Toc8790 </w:instrText>
      </w:r>
      <w:r>
        <w:rPr>
          <w:highlight w:val="none"/>
        </w:rPr>
        <w:fldChar w:fldCharType="separate"/>
      </w:r>
      <w:r>
        <w:rPr>
          <w:rFonts w:hint="default"/>
          <w:highlight w:val="none"/>
        </w:rPr>
        <w:t>1.</w:t>
      </w:r>
      <w:r>
        <w:rPr>
          <w:highlight w:val="none"/>
        </w:rPr>
        <w:t>5</w:t>
      </w:r>
      <w:r>
        <w:rPr>
          <w:rFonts w:hint="default"/>
          <w:highlight w:val="none"/>
        </w:rPr>
        <w:t>.2排放标准</w:t>
      </w:r>
      <w:r>
        <w:rPr>
          <w:highlight w:val="none"/>
        </w:rPr>
        <w:tab/>
      </w:r>
      <w:r>
        <w:rPr>
          <w:highlight w:val="none"/>
        </w:rPr>
        <w:fldChar w:fldCharType="begin"/>
      </w:r>
      <w:r>
        <w:rPr>
          <w:highlight w:val="none"/>
        </w:rPr>
        <w:instrText xml:space="preserve"> PAGEREF _Toc8790 </w:instrText>
      </w:r>
      <w:r>
        <w:rPr>
          <w:highlight w:val="none"/>
        </w:rPr>
        <w:fldChar w:fldCharType="separate"/>
      </w:r>
      <w:r>
        <w:rPr>
          <w:highlight w:val="none"/>
        </w:rPr>
        <w:t>19</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_Toc17479 </w:instrText>
      </w:r>
      <w:r>
        <w:rPr>
          <w:highlight w:val="none"/>
        </w:rPr>
        <w:fldChar w:fldCharType="separate"/>
      </w:r>
      <w:r>
        <w:rPr>
          <w:highlight w:val="none"/>
        </w:rPr>
        <w:t>1.5.3水土流失评价标准</w:t>
      </w:r>
      <w:r>
        <w:rPr>
          <w:highlight w:val="none"/>
        </w:rPr>
        <w:tab/>
      </w:r>
      <w:r>
        <w:rPr>
          <w:highlight w:val="none"/>
        </w:rPr>
        <w:fldChar w:fldCharType="begin"/>
      </w:r>
      <w:r>
        <w:rPr>
          <w:highlight w:val="none"/>
        </w:rPr>
        <w:instrText xml:space="preserve"> PAGEREF _Toc17479 </w:instrText>
      </w:r>
      <w:r>
        <w:rPr>
          <w:highlight w:val="none"/>
        </w:rPr>
        <w:fldChar w:fldCharType="separate"/>
      </w:r>
      <w:r>
        <w:rPr>
          <w:highlight w:val="none"/>
        </w:rPr>
        <w:t>20</w:t>
      </w:r>
      <w:r>
        <w:rPr>
          <w:highlight w:val="none"/>
        </w:rPr>
        <w:fldChar w:fldCharType="end"/>
      </w:r>
      <w:r>
        <w:rPr>
          <w:highlight w:val="none"/>
        </w:rPr>
        <w:fldChar w:fldCharType="end"/>
      </w:r>
    </w:p>
    <w:p>
      <w:pPr>
        <w:pStyle w:val="25"/>
        <w:tabs>
          <w:tab w:val="right" w:leader="dot" w:pos="9077"/>
        </w:tabs>
        <w:rPr>
          <w:highlight w:val="none"/>
        </w:rPr>
      </w:pPr>
      <w:r>
        <w:rPr>
          <w:highlight w:val="none"/>
        </w:rPr>
        <w:fldChar w:fldCharType="begin"/>
      </w:r>
      <w:r>
        <w:rPr>
          <w:highlight w:val="none"/>
        </w:rPr>
        <w:instrText xml:space="preserve"> HYPERLINK \l _Toc12647 </w:instrText>
      </w:r>
      <w:r>
        <w:rPr>
          <w:highlight w:val="none"/>
        </w:rPr>
        <w:fldChar w:fldCharType="separate"/>
      </w:r>
      <w:r>
        <w:rPr>
          <w:highlight w:val="none"/>
        </w:rPr>
        <w:t>1.</w:t>
      </w:r>
      <w:r>
        <w:rPr>
          <w:rFonts w:hint="eastAsia"/>
          <w:highlight w:val="none"/>
        </w:rPr>
        <w:t>6</w:t>
      </w:r>
      <w:r>
        <w:rPr>
          <w:highlight w:val="none"/>
        </w:rPr>
        <w:t xml:space="preserve"> 评价工作等级和评价范围</w:t>
      </w:r>
      <w:r>
        <w:rPr>
          <w:highlight w:val="none"/>
        </w:rPr>
        <w:tab/>
      </w:r>
      <w:r>
        <w:rPr>
          <w:highlight w:val="none"/>
        </w:rPr>
        <w:fldChar w:fldCharType="begin"/>
      </w:r>
      <w:r>
        <w:rPr>
          <w:highlight w:val="none"/>
        </w:rPr>
        <w:instrText xml:space="preserve"> PAGEREF _Toc12647 </w:instrText>
      </w:r>
      <w:r>
        <w:rPr>
          <w:highlight w:val="none"/>
        </w:rPr>
        <w:fldChar w:fldCharType="separate"/>
      </w:r>
      <w:r>
        <w:rPr>
          <w:highlight w:val="none"/>
        </w:rPr>
        <w:t>21</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_Toc5924 </w:instrText>
      </w:r>
      <w:r>
        <w:rPr>
          <w:highlight w:val="none"/>
        </w:rPr>
        <w:fldChar w:fldCharType="separate"/>
      </w:r>
      <w:r>
        <w:rPr>
          <w:rFonts w:hint="default"/>
          <w:highlight w:val="none"/>
        </w:rPr>
        <w:t>1.</w:t>
      </w:r>
      <w:r>
        <w:rPr>
          <w:highlight w:val="none"/>
        </w:rPr>
        <w:t>6</w:t>
      </w:r>
      <w:r>
        <w:rPr>
          <w:rFonts w:hint="default"/>
          <w:highlight w:val="none"/>
        </w:rPr>
        <w:t>.1 环境空气</w:t>
      </w:r>
      <w:r>
        <w:rPr>
          <w:highlight w:val="none"/>
        </w:rPr>
        <w:tab/>
      </w:r>
      <w:r>
        <w:rPr>
          <w:highlight w:val="none"/>
        </w:rPr>
        <w:fldChar w:fldCharType="begin"/>
      </w:r>
      <w:r>
        <w:rPr>
          <w:highlight w:val="none"/>
        </w:rPr>
        <w:instrText xml:space="preserve"> PAGEREF _Toc5924 </w:instrText>
      </w:r>
      <w:r>
        <w:rPr>
          <w:highlight w:val="none"/>
        </w:rPr>
        <w:fldChar w:fldCharType="separate"/>
      </w:r>
      <w:r>
        <w:rPr>
          <w:highlight w:val="none"/>
        </w:rPr>
        <w:t>21</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_Toc11459 </w:instrText>
      </w:r>
      <w:r>
        <w:rPr>
          <w:highlight w:val="none"/>
        </w:rPr>
        <w:fldChar w:fldCharType="separate"/>
      </w:r>
      <w:r>
        <w:rPr>
          <w:rFonts w:hint="default"/>
          <w:highlight w:val="none"/>
        </w:rPr>
        <w:t>1.</w:t>
      </w:r>
      <w:r>
        <w:rPr>
          <w:highlight w:val="none"/>
        </w:rPr>
        <w:t>6</w:t>
      </w:r>
      <w:r>
        <w:rPr>
          <w:rFonts w:hint="default"/>
          <w:highlight w:val="none"/>
        </w:rPr>
        <w:t>.2 地表水</w:t>
      </w:r>
      <w:r>
        <w:rPr>
          <w:highlight w:val="none"/>
        </w:rPr>
        <w:tab/>
      </w:r>
      <w:r>
        <w:rPr>
          <w:highlight w:val="none"/>
        </w:rPr>
        <w:fldChar w:fldCharType="begin"/>
      </w:r>
      <w:r>
        <w:rPr>
          <w:highlight w:val="none"/>
        </w:rPr>
        <w:instrText xml:space="preserve"> PAGEREF _Toc11459 </w:instrText>
      </w:r>
      <w:r>
        <w:rPr>
          <w:highlight w:val="none"/>
        </w:rPr>
        <w:fldChar w:fldCharType="separate"/>
      </w:r>
      <w:r>
        <w:rPr>
          <w:highlight w:val="none"/>
        </w:rPr>
        <w:t>23</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_Toc27858 </w:instrText>
      </w:r>
      <w:r>
        <w:rPr>
          <w:highlight w:val="none"/>
        </w:rPr>
        <w:fldChar w:fldCharType="separate"/>
      </w:r>
      <w:r>
        <w:rPr>
          <w:rFonts w:hint="default"/>
          <w:highlight w:val="none"/>
        </w:rPr>
        <w:t>1.</w:t>
      </w:r>
      <w:r>
        <w:rPr>
          <w:highlight w:val="none"/>
        </w:rPr>
        <w:t>6</w:t>
      </w:r>
      <w:r>
        <w:rPr>
          <w:rFonts w:hint="default"/>
          <w:highlight w:val="none"/>
        </w:rPr>
        <w:t>.3 地下水</w:t>
      </w:r>
      <w:r>
        <w:rPr>
          <w:highlight w:val="none"/>
        </w:rPr>
        <w:tab/>
      </w:r>
      <w:r>
        <w:rPr>
          <w:highlight w:val="none"/>
        </w:rPr>
        <w:fldChar w:fldCharType="begin"/>
      </w:r>
      <w:r>
        <w:rPr>
          <w:highlight w:val="none"/>
        </w:rPr>
        <w:instrText xml:space="preserve"> PAGEREF _Toc27858 </w:instrText>
      </w:r>
      <w:r>
        <w:rPr>
          <w:highlight w:val="none"/>
        </w:rPr>
        <w:fldChar w:fldCharType="separate"/>
      </w:r>
      <w:r>
        <w:rPr>
          <w:highlight w:val="none"/>
        </w:rPr>
        <w:t>24</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_Toc27025 </w:instrText>
      </w:r>
      <w:r>
        <w:rPr>
          <w:highlight w:val="none"/>
        </w:rPr>
        <w:fldChar w:fldCharType="separate"/>
      </w:r>
      <w:r>
        <w:rPr>
          <w:rFonts w:hint="default"/>
          <w:highlight w:val="none"/>
        </w:rPr>
        <w:t>1.</w:t>
      </w:r>
      <w:r>
        <w:rPr>
          <w:highlight w:val="none"/>
        </w:rPr>
        <w:t>6</w:t>
      </w:r>
      <w:r>
        <w:rPr>
          <w:rFonts w:hint="default"/>
          <w:highlight w:val="none"/>
        </w:rPr>
        <w:t>.4 声环境</w:t>
      </w:r>
      <w:r>
        <w:rPr>
          <w:highlight w:val="none"/>
        </w:rPr>
        <w:tab/>
      </w:r>
      <w:r>
        <w:rPr>
          <w:highlight w:val="none"/>
        </w:rPr>
        <w:fldChar w:fldCharType="begin"/>
      </w:r>
      <w:r>
        <w:rPr>
          <w:highlight w:val="none"/>
        </w:rPr>
        <w:instrText xml:space="preserve"> PAGEREF _Toc27025 </w:instrText>
      </w:r>
      <w:r>
        <w:rPr>
          <w:highlight w:val="none"/>
        </w:rPr>
        <w:fldChar w:fldCharType="separate"/>
      </w:r>
      <w:r>
        <w:rPr>
          <w:highlight w:val="none"/>
        </w:rPr>
        <w:t>24</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_Toc15746 </w:instrText>
      </w:r>
      <w:r>
        <w:rPr>
          <w:highlight w:val="none"/>
        </w:rPr>
        <w:fldChar w:fldCharType="separate"/>
      </w:r>
      <w:r>
        <w:rPr>
          <w:rFonts w:hint="default"/>
          <w:highlight w:val="none"/>
        </w:rPr>
        <w:t>1.</w:t>
      </w:r>
      <w:r>
        <w:rPr>
          <w:highlight w:val="none"/>
        </w:rPr>
        <w:t>6</w:t>
      </w:r>
      <w:r>
        <w:rPr>
          <w:rFonts w:hint="default"/>
          <w:highlight w:val="none"/>
        </w:rPr>
        <w:t>.5 环境风险</w:t>
      </w:r>
      <w:r>
        <w:rPr>
          <w:highlight w:val="none"/>
        </w:rPr>
        <w:tab/>
      </w:r>
      <w:r>
        <w:rPr>
          <w:highlight w:val="none"/>
        </w:rPr>
        <w:fldChar w:fldCharType="begin"/>
      </w:r>
      <w:r>
        <w:rPr>
          <w:highlight w:val="none"/>
        </w:rPr>
        <w:instrText xml:space="preserve"> PAGEREF _Toc15746 </w:instrText>
      </w:r>
      <w:r>
        <w:rPr>
          <w:highlight w:val="none"/>
        </w:rPr>
        <w:fldChar w:fldCharType="separate"/>
      </w:r>
      <w:r>
        <w:rPr>
          <w:highlight w:val="none"/>
        </w:rPr>
        <w:t>24</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_Toc8277 </w:instrText>
      </w:r>
      <w:r>
        <w:rPr>
          <w:highlight w:val="none"/>
        </w:rPr>
        <w:fldChar w:fldCharType="separate"/>
      </w:r>
      <w:r>
        <w:rPr>
          <w:rFonts w:hint="default"/>
          <w:highlight w:val="none"/>
        </w:rPr>
        <w:t>1.</w:t>
      </w:r>
      <w:r>
        <w:rPr>
          <w:highlight w:val="none"/>
        </w:rPr>
        <w:t>6</w:t>
      </w:r>
      <w:r>
        <w:rPr>
          <w:rFonts w:hint="default"/>
          <w:highlight w:val="none"/>
        </w:rPr>
        <w:t>.6 生态环境</w:t>
      </w:r>
      <w:r>
        <w:rPr>
          <w:highlight w:val="none"/>
        </w:rPr>
        <w:tab/>
      </w:r>
      <w:r>
        <w:rPr>
          <w:highlight w:val="none"/>
        </w:rPr>
        <w:fldChar w:fldCharType="begin"/>
      </w:r>
      <w:r>
        <w:rPr>
          <w:highlight w:val="none"/>
        </w:rPr>
        <w:instrText xml:space="preserve"> PAGEREF _Toc8277 </w:instrText>
      </w:r>
      <w:r>
        <w:rPr>
          <w:highlight w:val="none"/>
        </w:rPr>
        <w:fldChar w:fldCharType="separate"/>
      </w:r>
      <w:r>
        <w:rPr>
          <w:highlight w:val="none"/>
        </w:rPr>
        <w:t>25</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_Toc25686 </w:instrText>
      </w:r>
      <w:r>
        <w:rPr>
          <w:highlight w:val="none"/>
        </w:rPr>
        <w:fldChar w:fldCharType="separate"/>
      </w:r>
      <w:r>
        <w:rPr>
          <w:rFonts w:hint="eastAsia" w:ascii="Times New Roman" w:hAnsi="Times New Roman" w:cs="Times New Roman"/>
          <w:highlight w:val="none"/>
          <w:lang w:val="en-US" w:eastAsia="zh-CN"/>
        </w:rPr>
        <w:t>1.6.7土壤</w:t>
      </w:r>
      <w:r>
        <w:rPr>
          <w:highlight w:val="none"/>
        </w:rPr>
        <w:tab/>
      </w:r>
      <w:r>
        <w:rPr>
          <w:highlight w:val="none"/>
        </w:rPr>
        <w:fldChar w:fldCharType="begin"/>
      </w:r>
      <w:r>
        <w:rPr>
          <w:highlight w:val="none"/>
        </w:rPr>
        <w:instrText xml:space="preserve"> PAGEREF _Toc25686 </w:instrText>
      </w:r>
      <w:r>
        <w:rPr>
          <w:highlight w:val="none"/>
        </w:rPr>
        <w:fldChar w:fldCharType="separate"/>
      </w:r>
      <w:r>
        <w:rPr>
          <w:highlight w:val="none"/>
        </w:rPr>
        <w:t>26</w:t>
      </w:r>
      <w:r>
        <w:rPr>
          <w:highlight w:val="none"/>
        </w:rPr>
        <w:fldChar w:fldCharType="end"/>
      </w:r>
      <w:r>
        <w:rPr>
          <w:highlight w:val="none"/>
        </w:rPr>
        <w:fldChar w:fldCharType="end"/>
      </w:r>
    </w:p>
    <w:p>
      <w:pPr>
        <w:pStyle w:val="25"/>
        <w:tabs>
          <w:tab w:val="right" w:leader="dot" w:pos="9077"/>
        </w:tabs>
        <w:rPr>
          <w:highlight w:val="none"/>
        </w:rPr>
      </w:pPr>
      <w:r>
        <w:rPr>
          <w:highlight w:val="none"/>
        </w:rPr>
        <w:fldChar w:fldCharType="begin"/>
      </w:r>
      <w:r>
        <w:rPr>
          <w:highlight w:val="none"/>
        </w:rPr>
        <w:instrText xml:space="preserve"> HYPERLINK \l _Toc31126 </w:instrText>
      </w:r>
      <w:r>
        <w:rPr>
          <w:highlight w:val="none"/>
        </w:rPr>
        <w:fldChar w:fldCharType="separate"/>
      </w:r>
      <w:r>
        <w:rPr>
          <w:highlight w:val="none"/>
        </w:rPr>
        <w:t>1.</w:t>
      </w:r>
      <w:r>
        <w:rPr>
          <w:rFonts w:hint="eastAsia"/>
          <w:highlight w:val="none"/>
        </w:rPr>
        <w:t>7</w:t>
      </w:r>
      <w:r>
        <w:rPr>
          <w:highlight w:val="none"/>
        </w:rPr>
        <w:t xml:space="preserve"> 环境保护目标</w:t>
      </w:r>
      <w:r>
        <w:rPr>
          <w:highlight w:val="none"/>
        </w:rPr>
        <w:tab/>
      </w:r>
      <w:r>
        <w:rPr>
          <w:highlight w:val="none"/>
        </w:rPr>
        <w:fldChar w:fldCharType="begin"/>
      </w:r>
      <w:r>
        <w:rPr>
          <w:highlight w:val="none"/>
        </w:rPr>
        <w:instrText xml:space="preserve"> PAGEREF _Toc31126 </w:instrText>
      </w:r>
      <w:r>
        <w:rPr>
          <w:highlight w:val="none"/>
        </w:rPr>
        <w:fldChar w:fldCharType="separate"/>
      </w:r>
      <w:r>
        <w:rPr>
          <w:highlight w:val="none"/>
        </w:rPr>
        <w:t>26</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_Toc25086 </w:instrText>
      </w:r>
      <w:r>
        <w:rPr>
          <w:highlight w:val="none"/>
        </w:rPr>
        <w:fldChar w:fldCharType="separate"/>
      </w:r>
      <w:r>
        <w:rPr>
          <w:rFonts w:hint="default"/>
          <w:highlight w:val="none"/>
        </w:rPr>
        <w:t>1.</w:t>
      </w:r>
      <w:r>
        <w:rPr>
          <w:highlight w:val="none"/>
        </w:rPr>
        <w:t>7</w:t>
      </w:r>
      <w:r>
        <w:rPr>
          <w:rFonts w:hint="default"/>
          <w:highlight w:val="none"/>
        </w:rPr>
        <w:t>.1 环境空气保护目标</w:t>
      </w:r>
      <w:r>
        <w:rPr>
          <w:highlight w:val="none"/>
        </w:rPr>
        <w:tab/>
      </w:r>
      <w:r>
        <w:rPr>
          <w:highlight w:val="none"/>
        </w:rPr>
        <w:fldChar w:fldCharType="begin"/>
      </w:r>
      <w:r>
        <w:rPr>
          <w:highlight w:val="none"/>
        </w:rPr>
        <w:instrText xml:space="preserve"> PAGEREF _Toc25086 </w:instrText>
      </w:r>
      <w:r>
        <w:rPr>
          <w:highlight w:val="none"/>
        </w:rPr>
        <w:fldChar w:fldCharType="separate"/>
      </w:r>
      <w:r>
        <w:rPr>
          <w:highlight w:val="none"/>
        </w:rPr>
        <w:t>26</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_Toc3195 </w:instrText>
      </w:r>
      <w:r>
        <w:rPr>
          <w:highlight w:val="none"/>
        </w:rPr>
        <w:fldChar w:fldCharType="separate"/>
      </w:r>
      <w:r>
        <w:rPr>
          <w:rFonts w:hint="default"/>
          <w:highlight w:val="none"/>
        </w:rPr>
        <w:t>1.</w:t>
      </w:r>
      <w:r>
        <w:rPr>
          <w:highlight w:val="none"/>
        </w:rPr>
        <w:t>7</w:t>
      </w:r>
      <w:r>
        <w:rPr>
          <w:rFonts w:hint="default"/>
          <w:highlight w:val="none"/>
        </w:rPr>
        <w:t>.2 地表水环境保护目标</w:t>
      </w:r>
      <w:r>
        <w:rPr>
          <w:highlight w:val="none"/>
        </w:rPr>
        <w:tab/>
      </w:r>
      <w:r>
        <w:rPr>
          <w:highlight w:val="none"/>
        </w:rPr>
        <w:fldChar w:fldCharType="begin"/>
      </w:r>
      <w:r>
        <w:rPr>
          <w:highlight w:val="none"/>
        </w:rPr>
        <w:instrText xml:space="preserve"> PAGEREF _Toc3195 </w:instrText>
      </w:r>
      <w:r>
        <w:rPr>
          <w:highlight w:val="none"/>
        </w:rPr>
        <w:fldChar w:fldCharType="separate"/>
      </w:r>
      <w:r>
        <w:rPr>
          <w:highlight w:val="none"/>
        </w:rPr>
        <w:t>27</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_Toc3416 </w:instrText>
      </w:r>
      <w:r>
        <w:rPr>
          <w:highlight w:val="none"/>
        </w:rPr>
        <w:fldChar w:fldCharType="separate"/>
      </w:r>
      <w:r>
        <w:rPr>
          <w:rFonts w:hint="default"/>
          <w:highlight w:val="none"/>
        </w:rPr>
        <w:t>1.</w:t>
      </w:r>
      <w:r>
        <w:rPr>
          <w:highlight w:val="none"/>
        </w:rPr>
        <w:t>7</w:t>
      </w:r>
      <w:r>
        <w:rPr>
          <w:rFonts w:hint="default"/>
          <w:highlight w:val="none"/>
        </w:rPr>
        <w:t>.3 地下水环境保护目标</w:t>
      </w:r>
      <w:r>
        <w:rPr>
          <w:highlight w:val="none"/>
        </w:rPr>
        <w:tab/>
      </w:r>
      <w:r>
        <w:rPr>
          <w:highlight w:val="none"/>
        </w:rPr>
        <w:fldChar w:fldCharType="begin"/>
      </w:r>
      <w:r>
        <w:rPr>
          <w:highlight w:val="none"/>
        </w:rPr>
        <w:instrText xml:space="preserve"> PAGEREF _Toc3416 </w:instrText>
      </w:r>
      <w:r>
        <w:rPr>
          <w:highlight w:val="none"/>
        </w:rPr>
        <w:fldChar w:fldCharType="separate"/>
      </w:r>
      <w:r>
        <w:rPr>
          <w:highlight w:val="none"/>
        </w:rPr>
        <w:t>27</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_Toc18293 </w:instrText>
      </w:r>
      <w:r>
        <w:rPr>
          <w:highlight w:val="none"/>
        </w:rPr>
        <w:fldChar w:fldCharType="separate"/>
      </w:r>
      <w:r>
        <w:rPr>
          <w:rFonts w:hint="default"/>
          <w:highlight w:val="none"/>
        </w:rPr>
        <w:t>1.</w:t>
      </w:r>
      <w:r>
        <w:rPr>
          <w:highlight w:val="none"/>
        </w:rPr>
        <w:t>7</w:t>
      </w:r>
      <w:r>
        <w:rPr>
          <w:rFonts w:hint="default"/>
          <w:highlight w:val="none"/>
        </w:rPr>
        <w:t>.4 声环境保护目标</w:t>
      </w:r>
      <w:r>
        <w:rPr>
          <w:highlight w:val="none"/>
        </w:rPr>
        <w:tab/>
      </w:r>
      <w:r>
        <w:rPr>
          <w:highlight w:val="none"/>
        </w:rPr>
        <w:fldChar w:fldCharType="begin"/>
      </w:r>
      <w:r>
        <w:rPr>
          <w:highlight w:val="none"/>
        </w:rPr>
        <w:instrText xml:space="preserve"> PAGEREF _Toc18293 </w:instrText>
      </w:r>
      <w:r>
        <w:rPr>
          <w:highlight w:val="none"/>
        </w:rPr>
        <w:fldChar w:fldCharType="separate"/>
      </w:r>
      <w:r>
        <w:rPr>
          <w:highlight w:val="none"/>
        </w:rPr>
        <w:t>27</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_Toc27119 </w:instrText>
      </w:r>
      <w:r>
        <w:rPr>
          <w:highlight w:val="none"/>
        </w:rPr>
        <w:fldChar w:fldCharType="separate"/>
      </w:r>
      <w:r>
        <w:rPr>
          <w:rFonts w:hint="default"/>
          <w:highlight w:val="none"/>
        </w:rPr>
        <w:t>1.</w:t>
      </w:r>
      <w:r>
        <w:rPr>
          <w:highlight w:val="none"/>
        </w:rPr>
        <w:t>7</w:t>
      </w:r>
      <w:r>
        <w:rPr>
          <w:rFonts w:hint="default"/>
          <w:highlight w:val="none"/>
        </w:rPr>
        <w:t>.5 生态环境保护目标</w:t>
      </w:r>
      <w:r>
        <w:rPr>
          <w:highlight w:val="none"/>
        </w:rPr>
        <w:tab/>
      </w:r>
      <w:r>
        <w:rPr>
          <w:highlight w:val="none"/>
        </w:rPr>
        <w:fldChar w:fldCharType="begin"/>
      </w:r>
      <w:r>
        <w:rPr>
          <w:highlight w:val="none"/>
        </w:rPr>
        <w:instrText xml:space="preserve"> PAGEREF _Toc27119 </w:instrText>
      </w:r>
      <w:r>
        <w:rPr>
          <w:highlight w:val="none"/>
        </w:rPr>
        <w:fldChar w:fldCharType="separate"/>
      </w:r>
      <w:r>
        <w:rPr>
          <w:highlight w:val="none"/>
        </w:rPr>
        <w:t>28</w:t>
      </w:r>
      <w:r>
        <w:rPr>
          <w:highlight w:val="none"/>
        </w:rPr>
        <w:fldChar w:fldCharType="end"/>
      </w:r>
      <w:r>
        <w:rPr>
          <w:highlight w:val="none"/>
        </w:rPr>
        <w:fldChar w:fldCharType="end"/>
      </w:r>
    </w:p>
    <w:p>
      <w:pPr>
        <w:pStyle w:val="25"/>
        <w:tabs>
          <w:tab w:val="right" w:leader="dot" w:pos="9077"/>
        </w:tabs>
        <w:rPr>
          <w:highlight w:val="none"/>
        </w:rPr>
      </w:pPr>
      <w:r>
        <w:rPr>
          <w:highlight w:val="none"/>
        </w:rPr>
        <w:fldChar w:fldCharType="begin"/>
      </w:r>
      <w:r>
        <w:rPr>
          <w:highlight w:val="none"/>
        </w:rPr>
        <w:instrText xml:space="preserve"> HYPERLINK \l _Toc15166 </w:instrText>
      </w:r>
      <w:r>
        <w:rPr>
          <w:highlight w:val="none"/>
        </w:rPr>
        <w:fldChar w:fldCharType="separate"/>
      </w:r>
      <w:r>
        <w:rPr>
          <w:highlight w:val="none"/>
        </w:rPr>
        <w:t>1.</w:t>
      </w:r>
      <w:r>
        <w:rPr>
          <w:rFonts w:hint="eastAsia"/>
          <w:highlight w:val="none"/>
        </w:rPr>
        <w:t>8</w:t>
      </w:r>
      <w:r>
        <w:rPr>
          <w:highlight w:val="none"/>
        </w:rPr>
        <w:t xml:space="preserve"> </w:t>
      </w:r>
      <w:r>
        <w:rPr>
          <w:rFonts w:hint="eastAsia"/>
          <w:highlight w:val="none"/>
        </w:rPr>
        <w:t>环境影响评价工作程序</w:t>
      </w:r>
      <w:r>
        <w:rPr>
          <w:highlight w:val="none"/>
        </w:rPr>
        <w:tab/>
      </w:r>
      <w:r>
        <w:rPr>
          <w:highlight w:val="none"/>
        </w:rPr>
        <w:fldChar w:fldCharType="begin"/>
      </w:r>
      <w:r>
        <w:rPr>
          <w:highlight w:val="none"/>
        </w:rPr>
        <w:instrText xml:space="preserve"> PAGEREF _Toc15166 </w:instrText>
      </w:r>
      <w:r>
        <w:rPr>
          <w:highlight w:val="none"/>
        </w:rPr>
        <w:fldChar w:fldCharType="separate"/>
      </w:r>
      <w:r>
        <w:rPr>
          <w:highlight w:val="none"/>
        </w:rPr>
        <w:t>31</w:t>
      </w:r>
      <w:r>
        <w:rPr>
          <w:highlight w:val="none"/>
        </w:rPr>
        <w:fldChar w:fldCharType="end"/>
      </w:r>
      <w:r>
        <w:rPr>
          <w:highlight w:val="none"/>
        </w:rPr>
        <w:fldChar w:fldCharType="end"/>
      </w:r>
    </w:p>
    <w:p>
      <w:pPr>
        <w:pStyle w:val="23"/>
        <w:tabs>
          <w:tab w:val="right" w:leader="dot" w:pos="9077"/>
        </w:tabs>
        <w:rPr>
          <w:highlight w:val="none"/>
        </w:rPr>
      </w:pPr>
      <w:r>
        <w:rPr>
          <w:highlight w:val="none"/>
        </w:rPr>
        <w:fldChar w:fldCharType="begin"/>
      </w:r>
      <w:r>
        <w:rPr>
          <w:highlight w:val="none"/>
        </w:rPr>
        <w:instrText xml:space="preserve"> HYPERLINK \l _Toc23434 </w:instrText>
      </w:r>
      <w:r>
        <w:rPr>
          <w:highlight w:val="none"/>
        </w:rPr>
        <w:fldChar w:fldCharType="separate"/>
      </w:r>
      <w:r>
        <w:rPr>
          <w:rFonts w:hint="eastAsia"/>
          <w:highlight w:val="none"/>
          <w:lang w:val="en-US" w:eastAsia="zh-CN"/>
        </w:rPr>
        <w:t>2</w:t>
      </w:r>
      <w:r>
        <w:rPr>
          <w:rFonts w:hint="eastAsia"/>
          <w:highlight w:val="none"/>
        </w:rPr>
        <w:t>项目概况</w:t>
      </w:r>
      <w:r>
        <w:rPr>
          <w:highlight w:val="none"/>
        </w:rPr>
        <w:tab/>
      </w:r>
      <w:r>
        <w:rPr>
          <w:highlight w:val="none"/>
        </w:rPr>
        <w:fldChar w:fldCharType="begin"/>
      </w:r>
      <w:r>
        <w:rPr>
          <w:highlight w:val="none"/>
        </w:rPr>
        <w:instrText xml:space="preserve"> PAGEREF _Toc23434 </w:instrText>
      </w:r>
      <w:r>
        <w:rPr>
          <w:highlight w:val="none"/>
        </w:rPr>
        <w:fldChar w:fldCharType="separate"/>
      </w:r>
      <w:r>
        <w:rPr>
          <w:highlight w:val="none"/>
        </w:rPr>
        <w:t>32</w:t>
      </w:r>
      <w:r>
        <w:rPr>
          <w:highlight w:val="none"/>
        </w:rPr>
        <w:fldChar w:fldCharType="end"/>
      </w:r>
      <w:r>
        <w:rPr>
          <w:highlight w:val="none"/>
        </w:rPr>
        <w:fldChar w:fldCharType="end"/>
      </w:r>
    </w:p>
    <w:p>
      <w:pPr>
        <w:pStyle w:val="25"/>
        <w:tabs>
          <w:tab w:val="right" w:leader="dot" w:pos="9077"/>
        </w:tabs>
        <w:rPr>
          <w:highlight w:val="none"/>
        </w:rPr>
      </w:pPr>
      <w:r>
        <w:rPr>
          <w:highlight w:val="none"/>
        </w:rPr>
        <w:fldChar w:fldCharType="begin"/>
      </w:r>
      <w:r>
        <w:rPr>
          <w:highlight w:val="none"/>
        </w:rPr>
        <w:instrText xml:space="preserve"> HYPERLINK \l _Toc17065 </w:instrText>
      </w:r>
      <w:r>
        <w:rPr>
          <w:highlight w:val="none"/>
        </w:rPr>
        <w:fldChar w:fldCharType="separate"/>
      </w:r>
      <w:r>
        <w:rPr>
          <w:rFonts w:hint="eastAsia"/>
          <w:highlight w:val="none"/>
          <w:lang w:val="en-US" w:eastAsia="zh-CN"/>
        </w:rPr>
        <w:t>2</w:t>
      </w:r>
      <w:r>
        <w:rPr>
          <w:rFonts w:hint="eastAsia"/>
          <w:highlight w:val="none"/>
        </w:rPr>
        <w:t>.1项目基本情况</w:t>
      </w:r>
      <w:r>
        <w:rPr>
          <w:highlight w:val="none"/>
        </w:rPr>
        <w:tab/>
      </w:r>
      <w:r>
        <w:rPr>
          <w:highlight w:val="none"/>
        </w:rPr>
        <w:fldChar w:fldCharType="begin"/>
      </w:r>
      <w:r>
        <w:rPr>
          <w:highlight w:val="none"/>
        </w:rPr>
        <w:instrText xml:space="preserve"> PAGEREF _Toc17065 </w:instrText>
      </w:r>
      <w:r>
        <w:rPr>
          <w:highlight w:val="none"/>
        </w:rPr>
        <w:fldChar w:fldCharType="separate"/>
      </w:r>
      <w:r>
        <w:rPr>
          <w:highlight w:val="none"/>
        </w:rPr>
        <w:t>32</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_Toc26418 </w:instrText>
      </w:r>
      <w:r>
        <w:rPr>
          <w:highlight w:val="none"/>
        </w:rPr>
        <w:fldChar w:fldCharType="separate"/>
      </w:r>
      <w:r>
        <w:rPr>
          <w:rFonts w:hint="eastAsia"/>
          <w:highlight w:val="none"/>
          <w:lang w:val="en-US" w:eastAsia="zh-CN"/>
        </w:rPr>
        <w:t>2</w:t>
      </w:r>
      <w:r>
        <w:rPr>
          <w:highlight w:val="none"/>
        </w:rPr>
        <w:t>.1.1名称、性质、地点、规模、方案及投资情况</w:t>
      </w:r>
      <w:r>
        <w:rPr>
          <w:highlight w:val="none"/>
        </w:rPr>
        <w:tab/>
      </w:r>
      <w:r>
        <w:rPr>
          <w:highlight w:val="none"/>
        </w:rPr>
        <w:fldChar w:fldCharType="begin"/>
      </w:r>
      <w:r>
        <w:rPr>
          <w:highlight w:val="none"/>
        </w:rPr>
        <w:instrText xml:space="preserve"> PAGEREF _Toc26418 </w:instrText>
      </w:r>
      <w:r>
        <w:rPr>
          <w:highlight w:val="none"/>
        </w:rPr>
        <w:fldChar w:fldCharType="separate"/>
      </w:r>
      <w:r>
        <w:rPr>
          <w:highlight w:val="none"/>
        </w:rPr>
        <w:t>32</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_Toc5658 </w:instrText>
      </w:r>
      <w:r>
        <w:rPr>
          <w:highlight w:val="none"/>
        </w:rPr>
        <w:fldChar w:fldCharType="separate"/>
      </w:r>
      <w:r>
        <w:rPr>
          <w:rFonts w:hint="eastAsia"/>
          <w:highlight w:val="none"/>
          <w:lang w:val="en-US" w:eastAsia="zh-CN"/>
        </w:rPr>
        <w:t>2</w:t>
      </w:r>
      <w:r>
        <w:rPr>
          <w:highlight w:val="none"/>
        </w:rPr>
        <w:t>.1.2建设内容</w:t>
      </w:r>
      <w:r>
        <w:rPr>
          <w:highlight w:val="none"/>
        </w:rPr>
        <w:tab/>
      </w:r>
      <w:r>
        <w:rPr>
          <w:highlight w:val="none"/>
        </w:rPr>
        <w:fldChar w:fldCharType="begin"/>
      </w:r>
      <w:r>
        <w:rPr>
          <w:highlight w:val="none"/>
        </w:rPr>
        <w:instrText xml:space="preserve"> PAGEREF _Toc5658 </w:instrText>
      </w:r>
      <w:r>
        <w:rPr>
          <w:highlight w:val="none"/>
        </w:rPr>
        <w:fldChar w:fldCharType="separate"/>
      </w:r>
      <w:r>
        <w:rPr>
          <w:highlight w:val="none"/>
        </w:rPr>
        <w:t>32</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_Toc30029 </w:instrText>
      </w:r>
      <w:r>
        <w:rPr>
          <w:highlight w:val="none"/>
        </w:rPr>
        <w:fldChar w:fldCharType="separate"/>
      </w:r>
      <w:r>
        <w:rPr>
          <w:rFonts w:hint="eastAsia"/>
          <w:highlight w:val="none"/>
          <w:lang w:val="en-US" w:eastAsia="zh-CN"/>
        </w:rPr>
        <w:t>2</w:t>
      </w:r>
      <w:r>
        <w:rPr>
          <w:highlight w:val="none"/>
        </w:rPr>
        <w:t>.1.3主要生产设备情况</w:t>
      </w:r>
      <w:r>
        <w:rPr>
          <w:highlight w:val="none"/>
        </w:rPr>
        <w:tab/>
      </w:r>
      <w:r>
        <w:rPr>
          <w:highlight w:val="none"/>
        </w:rPr>
        <w:fldChar w:fldCharType="begin"/>
      </w:r>
      <w:r>
        <w:rPr>
          <w:highlight w:val="none"/>
        </w:rPr>
        <w:instrText xml:space="preserve"> PAGEREF _Toc30029 </w:instrText>
      </w:r>
      <w:r>
        <w:rPr>
          <w:highlight w:val="none"/>
        </w:rPr>
        <w:fldChar w:fldCharType="separate"/>
      </w:r>
      <w:r>
        <w:rPr>
          <w:highlight w:val="none"/>
        </w:rPr>
        <w:t>35</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_Toc4000 </w:instrText>
      </w:r>
      <w:r>
        <w:rPr>
          <w:highlight w:val="none"/>
        </w:rPr>
        <w:fldChar w:fldCharType="separate"/>
      </w:r>
      <w:r>
        <w:rPr>
          <w:rFonts w:hint="eastAsia"/>
          <w:highlight w:val="none"/>
          <w:lang w:val="en-US" w:eastAsia="zh-CN"/>
        </w:rPr>
        <w:t>2</w:t>
      </w:r>
      <w:r>
        <w:rPr>
          <w:highlight w:val="none"/>
        </w:rPr>
        <w:t>.1.5主要原辅料消耗情况</w:t>
      </w:r>
      <w:r>
        <w:rPr>
          <w:highlight w:val="none"/>
        </w:rPr>
        <w:tab/>
      </w:r>
      <w:r>
        <w:rPr>
          <w:highlight w:val="none"/>
        </w:rPr>
        <w:fldChar w:fldCharType="begin"/>
      </w:r>
      <w:r>
        <w:rPr>
          <w:highlight w:val="none"/>
        </w:rPr>
        <w:instrText xml:space="preserve"> PAGEREF _Toc4000 </w:instrText>
      </w:r>
      <w:r>
        <w:rPr>
          <w:highlight w:val="none"/>
        </w:rPr>
        <w:fldChar w:fldCharType="separate"/>
      </w:r>
      <w:r>
        <w:rPr>
          <w:highlight w:val="none"/>
        </w:rPr>
        <w:t>35</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_Toc26060 </w:instrText>
      </w:r>
      <w:r>
        <w:rPr>
          <w:highlight w:val="none"/>
        </w:rPr>
        <w:fldChar w:fldCharType="separate"/>
      </w:r>
      <w:r>
        <w:rPr>
          <w:rFonts w:hint="eastAsia"/>
          <w:highlight w:val="none"/>
          <w:lang w:val="en-US" w:eastAsia="zh-CN"/>
        </w:rPr>
        <w:t>2</w:t>
      </w:r>
      <w:r>
        <w:rPr>
          <w:highlight w:val="none"/>
        </w:rPr>
        <w:t>.1.6主要经济技术指标</w:t>
      </w:r>
      <w:r>
        <w:rPr>
          <w:highlight w:val="none"/>
        </w:rPr>
        <w:tab/>
      </w:r>
      <w:r>
        <w:rPr>
          <w:highlight w:val="none"/>
        </w:rPr>
        <w:fldChar w:fldCharType="begin"/>
      </w:r>
      <w:r>
        <w:rPr>
          <w:highlight w:val="none"/>
        </w:rPr>
        <w:instrText xml:space="preserve"> PAGEREF _Toc26060 </w:instrText>
      </w:r>
      <w:r>
        <w:rPr>
          <w:highlight w:val="none"/>
        </w:rPr>
        <w:fldChar w:fldCharType="separate"/>
      </w:r>
      <w:r>
        <w:rPr>
          <w:highlight w:val="none"/>
        </w:rPr>
        <w:t>36</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_Toc19724 </w:instrText>
      </w:r>
      <w:r>
        <w:rPr>
          <w:highlight w:val="none"/>
        </w:rPr>
        <w:fldChar w:fldCharType="separate"/>
      </w:r>
      <w:r>
        <w:rPr>
          <w:rFonts w:hint="eastAsia"/>
          <w:highlight w:val="none"/>
          <w:lang w:val="en-US" w:eastAsia="zh-CN"/>
        </w:rPr>
        <w:t>2</w:t>
      </w:r>
      <w:r>
        <w:rPr>
          <w:highlight w:val="none"/>
        </w:rPr>
        <w:t>.1.6总平面布置</w:t>
      </w:r>
      <w:r>
        <w:rPr>
          <w:highlight w:val="none"/>
        </w:rPr>
        <w:tab/>
      </w:r>
      <w:r>
        <w:rPr>
          <w:highlight w:val="none"/>
        </w:rPr>
        <w:fldChar w:fldCharType="begin"/>
      </w:r>
      <w:r>
        <w:rPr>
          <w:highlight w:val="none"/>
        </w:rPr>
        <w:instrText xml:space="preserve"> PAGEREF _Toc19724 </w:instrText>
      </w:r>
      <w:r>
        <w:rPr>
          <w:highlight w:val="none"/>
        </w:rPr>
        <w:fldChar w:fldCharType="separate"/>
      </w:r>
      <w:r>
        <w:rPr>
          <w:highlight w:val="none"/>
        </w:rPr>
        <w:t>37</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_Toc3701 </w:instrText>
      </w:r>
      <w:r>
        <w:rPr>
          <w:highlight w:val="none"/>
        </w:rPr>
        <w:fldChar w:fldCharType="separate"/>
      </w:r>
      <w:r>
        <w:rPr>
          <w:rFonts w:hint="eastAsia"/>
          <w:highlight w:val="none"/>
          <w:lang w:val="en-US" w:eastAsia="zh-CN"/>
        </w:rPr>
        <w:t>2</w:t>
      </w:r>
      <w:r>
        <w:rPr>
          <w:highlight w:val="none"/>
        </w:rPr>
        <w:t>.1.7劳动定员及工作制度</w:t>
      </w:r>
      <w:r>
        <w:rPr>
          <w:highlight w:val="none"/>
        </w:rPr>
        <w:tab/>
      </w:r>
      <w:r>
        <w:rPr>
          <w:highlight w:val="none"/>
        </w:rPr>
        <w:fldChar w:fldCharType="begin"/>
      </w:r>
      <w:r>
        <w:rPr>
          <w:highlight w:val="none"/>
        </w:rPr>
        <w:instrText xml:space="preserve"> PAGEREF _Toc3701 </w:instrText>
      </w:r>
      <w:r>
        <w:rPr>
          <w:highlight w:val="none"/>
        </w:rPr>
        <w:fldChar w:fldCharType="separate"/>
      </w:r>
      <w:r>
        <w:rPr>
          <w:highlight w:val="none"/>
        </w:rPr>
        <w:t>37</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_Toc1903 </w:instrText>
      </w:r>
      <w:r>
        <w:rPr>
          <w:highlight w:val="none"/>
        </w:rPr>
        <w:fldChar w:fldCharType="separate"/>
      </w:r>
      <w:r>
        <w:rPr>
          <w:rFonts w:hint="eastAsia"/>
          <w:highlight w:val="none"/>
          <w:lang w:val="en-US" w:eastAsia="zh-CN"/>
        </w:rPr>
        <w:t>2</w:t>
      </w:r>
      <w:r>
        <w:rPr>
          <w:highlight w:val="none"/>
        </w:rPr>
        <w:t>.1.8矿区概况</w:t>
      </w:r>
      <w:r>
        <w:rPr>
          <w:highlight w:val="none"/>
        </w:rPr>
        <w:tab/>
      </w:r>
      <w:r>
        <w:rPr>
          <w:highlight w:val="none"/>
        </w:rPr>
        <w:fldChar w:fldCharType="begin"/>
      </w:r>
      <w:r>
        <w:rPr>
          <w:highlight w:val="none"/>
        </w:rPr>
        <w:instrText xml:space="preserve"> PAGEREF _Toc1903 </w:instrText>
      </w:r>
      <w:r>
        <w:rPr>
          <w:highlight w:val="none"/>
        </w:rPr>
        <w:fldChar w:fldCharType="separate"/>
      </w:r>
      <w:r>
        <w:rPr>
          <w:highlight w:val="none"/>
        </w:rPr>
        <w:t>38</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_Toc15568 </w:instrText>
      </w:r>
      <w:r>
        <w:rPr>
          <w:highlight w:val="none"/>
        </w:rPr>
        <w:fldChar w:fldCharType="separate"/>
      </w:r>
      <w:r>
        <w:rPr>
          <w:rFonts w:hint="eastAsia"/>
          <w:highlight w:val="none"/>
          <w:lang w:val="en-US" w:eastAsia="zh-CN"/>
        </w:rPr>
        <w:t>2</w:t>
      </w:r>
      <w:r>
        <w:rPr>
          <w:highlight w:val="none"/>
        </w:rPr>
        <w:t>.1.8实施进度</w:t>
      </w:r>
      <w:r>
        <w:rPr>
          <w:highlight w:val="none"/>
        </w:rPr>
        <w:tab/>
      </w:r>
      <w:r>
        <w:rPr>
          <w:highlight w:val="none"/>
        </w:rPr>
        <w:fldChar w:fldCharType="begin"/>
      </w:r>
      <w:r>
        <w:rPr>
          <w:highlight w:val="none"/>
        </w:rPr>
        <w:instrText xml:space="preserve"> PAGEREF _Toc15568 </w:instrText>
      </w:r>
      <w:r>
        <w:rPr>
          <w:highlight w:val="none"/>
        </w:rPr>
        <w:fldChar w:fldCharType="separate"/>
      </w:r>
      <w:r>
        <w:rPr>
          <w:highlight w:val="none"/>
        </w:rPr>
        <w:t>42</w:t>
      </w:r>
      <w:r>
        <w:rPr>
          <w:highlight w:val="none"/>
        </w:rPr>
        <w:fldChar w:fldCharType="end"/>
      </w:r>
      <w:r>
        <w:rPr>
          <w:highlight w:val="none"/>
        </w:rPr>
        <w:fldChar w:fldCharType="end"/>
      </w:r>
    </w:p>
    <w:p>
      <w:pPr>
        <w:pStyle w:val="23"/>
        <w:tabs>
          <w:tab w:val="right" w:leader="dot" w:pos="9077"/>
        </w:tabs>
        <w:rPr>
          <w:highlight w:val="none"/>
        </w:rPr>
      </w:pPr>
      <w:r>
        <w:rPr>
          <w:highlight w:val="none"/>
        </w:rPr>
        <w:fldChar w:fldCharType="begin"/>
      </w:r>
      <w:r>
        <w:rPr>
          <w:highlight w:val="none"/>
        </w:rPr>
        <w:instrText xml:space="preserve"> HYPERLINK \l _Toc29676 </w:instrText>
      </w:r>
      <w:r>
        <w:rPr>
          <w:highlight w:val="none"/>
        </w:rPr>
        <w:fldChar w:fldCharType="separate"/>
      </w:r>
      <w:r>
        <w:rPr>
          <w:rFonts w:hint="eastAsia"/>
          <w:highlight w:val="none"/>
          <w:lang w:val="en-US" w:eastAsia="zh-CN"/>
        </w:rPr>
        <w:t>3</w:t>
      </w:r>
      <w:r>
        <w:rPr>
          <w:highlight w:val="none"/>
        </w:rPr>
        <w:t>工程分析</w:t>
      </w:r>
      <w:r>
        <w:rPr>
          <w:highlight w:val="none"/>
        </w:rPr>
        <w:tab/>
      </w:r>
      <w:r>
        <w:rPr>
          <w:highlight w:val="none"/>
        </w:rPr>
        <w:fldChar w:fldCharType="begin"/>
      </w:r>
      <w:r>
        <w:rPr>
          <w:highlight w:val="none"/>
        </w:rPr>
        <w:instrText xml:space="preserve"> PAGEREF _Toc29676 </w:instrText>
      </w:r>
      <w:r>
        <w:rPr>
          <w:highlight w:val="none"/>
        </w:rPr>
        <w:fldChar w:fldCharType="separate"/>
      </w:r>
      <w:r>
        <w:rPr>
          <w:highlight w:val="none"/>
        </w:rPr>
        <w:t>43</w:t>
      </w:r>
      <w:r>
        <w:rPr>
          <w:highlight w:val="none"/>
        </w:rPr>
        <w:fldChar w:fldCharType="end"/>
      </w:r>
      <w:r>
        <w:rPr>
          <w:highlight w:val="none"/>
        </w:rPr>
        <w:fldChar w:fldCharType="end"/>
      </w:r>
    </w:p>
    <w:p>
      <w:pPr>
        <w:pStyle w:val="25"/>
        <w:tabs>
          <w:tab w:val="right" w:leader="dot" w:pos="9077"/>
        </w:tabs>
        <w:rPr>
          <w:highlight w:val="none"/>
        </w:rPr>
      </w:pPr>
      <w:r>
        <w:rPr>
          <w:highlight w:val="none"/>
        </w:rPr>
        <w:fldChar w:fldCharType="begin"/>
      </w:r>
      <w:r>
        <w:rPr>
          <w:highlight w:val="none"/>
        </w:rPr>
        <w:instrText xml:space="preserve"> HYPERLINK \l _Toc24652 </w:instrText>
      </w:r>
      <w:r>
        <w:rPr>
          <w:highlight w:val="none"/>
        </w:rPr>
        <w:fldChar w:fldCharType="separate"/>
      </w:r>
      <w:r>
        <w:rPr>
          <w:rFonts w:hint="eastAsia"/>
          <w:highlight w:val="none"/>
          <w:lang w:val="en-US" w:eastAsia="zh-CN"/>
        </w:rPr>
        <w:t>3</w:t>
      </w:r>
      <w:r>
        <w:rPr>
          <w:highlight w:val="none"/>
        </w:rPr>
        <w:t xml:space="preserve">.1 </w:t>
      </w:r>
      <w:r>
        <w:rPr>
          <w:rFonts w:hint="eastAsia"/>
          <w:highlight w:val="none"/>
        </w:rPr>
        <w:t>开采方案</w:t>
      </w:r>
      <w:r>
        <w:rPr>
          <w:highlight w:val="none"/>
        </w:rPr>
        <w:tab/>
      </w:r>
      <w:r>
        <w:rPr>
          <w:highlight w:val="none"/>
        </w:rPr>
        <w:fldChar w:fldCharType="begin"/>
      </w:r>
      <w:r>
        <w:rPr>
          <w:highlight w:val="none"/>
        </w:rPr>
        <w:instrText xml:space="preserve"> PAGEREF _Toc24652 </w:instrText>
      </w:r>
      <w:r>
        <w:rPr>
          <w:highlight w:val="none"/>
        </w:rPr>
        <w:fldChar w:fldCharType="separate"/>
      </w:r>
      <w:r>
        <w:rPr>
          <w:highlight w:val="none"/>
        </w:rPr>
        <w:t>43</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_Toc24516 </w:instrText>
      </w:r>
      <w:r>
        <w:rPr>
          <w:highlight w:val="none"/>
        </w:rPr>
        <w:fldChar w:fldCharType="separate"/>
      </w:r>
      <w:r>
        <w:rPr>
          <w:rFonts w:hint="eastAsia"/>
          <w:highlight w:val="none"/>
          <w:lang w:val="en-US" w:eastAsia="zh-CN"/>
        </w:rPr>
        <w:t>3</w:t>
      </w:r>
      <w:r>
        <w:rPr>
          <w:highlight w:val="none"/>
        </w:rPr>
        <w:t>.1.1开采境界设计及圈定矿量</w:t>
      </w:r>
      <w:r>
        <w:rPr>
          <w:highlight w:val="none"/>
        </w:rPr>
        <w:tab/>
      </w:r>
      <w:r>
        <w:rPr>
          <w:highlight w:val="none"/>
        </w:rPr>
        <w:fldChar w:fldCharType="begin"/>
      </w:r>
      <w:r>
        <w:rPr>
          <w:highlight w:val="none"/>
        </w:rPr>
        <w:instrText xml:space="preserve"> PAGEREF _Toc24516 </w:instrText>
      </w:r>
      <w:r>
        <w:rPr>
          <w:highlight w:val="none"/>
        </w:rPr>
        <w:fldChar w:fldCharType="separate"/>
      </w:r>
      <w:r>
        <w:rPr>
          <w:highlight w:val="none"/>
        </w:rPr>
        <w:t>43</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_Toc26244 </w:instrText>
      </w:r>
      <w:r>
        <w:rPr>
          <w:highlight w:val="none"/>
        </w:rPr>
        <w:fldChar w:fldCharType="separate"/>
      </w:r>
      <w:r>
        <w:rPr>
          <w:rFonts w:hint="eastAsia"/>
          <w:highlight w:val="none"/>
          <w:lang w:val="en-US" w:eastAsia="zh-CN"/>
        </w:rPr>
        <w:t>3</w:t>
      </w:r>
      <w:r>
        <w:rPr>
          <w:highlight w:val="none"/>
        </w:rPr>
        <w:t>.1.2</w:t>
      </w:r>
      <w:r>
        <w:rPr>
          <w:rFonts w:hint="eastAsia"/>
          <w:highlight w:val="none"/>
          <w:lang w:eastAsia="zh-CN"/>
        </w:rPr>
        <w:t>开拓运输方案</w:t>
      </w:r>
      <w:r>
        <w:rPr>
          <w:highlight w:val="none"/>
        </w:rPr>
        <w:tab/>
      </w:r>
      <w:r>
        <w:rPr>
          <w:highlight w:val="none"/>
        </w:rPr>
        <w:fldChar w:fldCharType="begin"/>
      </w:r>
      <w:r>
        <w:rPr>
          <w:highlight w:val="none"/>
        </w:rPr>
        <w:instrText xml:space="preserve"> PAGEREF _Toc26244 </w:instrText>
      </w:r>
      <w:r>
        <w:rPr>
          <w:highlight w:val="none"/>
        </w:rPr>
        <w:fldChar w:fldCharType="separate"/>
      </w:r>
      <w:r>
        <w:rPr>
          <w:highlight w:val="none"/>
        </w:rPr>
        <w:t>44</w:t>
      </w:r>
      <w:r>
        <w:rPr>
          <w:highlight w:val="none"/>
        </w:rPr>
        <w:fldChar w:fldCharType="end"/>
      </w:r>
      <w:r>
        <w:rPr>
          <w:highlight w:val="none"/>
        </w:rPr>
        <w:fldChar w:fldCharType="end"/>
      </w:r>
    </w:p>
    <w:p>
      <w:pPr>
        <w:pStyle w:val="25"/>
        <w:tabs>
          <w:tab w:val="right" w:leader="dot" w:pos="9077"/>
        </w:tabs>
        <w:rPr>
          <w:highlight w:val="none"/>
        </w:rPr>
      </w:pPr>
      <w:r>
        <w:rPr>
          <w:highlight w:val="none"/>
        </w:rPr>
        <w:fldChar w:fldCharType="begin"/>
      </w:r>
      <w:r>
        <w:rPr>
          <w:highlight w:val="none"/>
        </w:rPr>
        <w:instrText xml:space="preserve"> HYPERLINK \l _Toc2557 </w:instrText>
      </w:r>
      <w:r>
        <w:rPr>
          <w:highlight w:val="none"/>
        </w:rPr>
        <w:fldChar w:fldCharType="separate"/>
      </w:r>
      <w:r>
        <w:rPr>
          <w:rFonts w:hint="eastAsia"/>
          <w:highlight w:val="none"/>
          <w:lang w:val="en-US" w:eastAsia="zh-CN"/>
        </w:rPr>
        <w:t>3</w:t>
      </w:r>
      <w:r>
        <w:rPr>
          <w:rFonts w:hint="eastAsia"/>
          <w:highlight w:val="none"/>
        </w:rPr>
        <w:t xml:space="preserve">.2 </w:t>
      </w:r>
      <w:r>
        <w:rPr>
          <w:rFonts w:hint="eastAsia"/>
          <w:highlight w:val="none"/>
          <w:lang w:eastAsia="zh-CN"/>
        </w:rPr>
        <w:t>工艺流程</w:t>
      </w:r>
      <w:r>
        <w:rPr>
          <w:highlight w:val="none"/>
        </w:rPr>
        <w:tab/>
      </w:r>
      <w:r>
        <w:rPr>
          <w:highlight w:val="none"/>
        </w:rPr>
        <w:fldChar w:fldCharType="begin"/>
      </w:r>
      <w:r>
        <w:rPr>
          <w:highlight w:val="none"/>
        </w:rPr>
        <w:instrText xml:space="preserve"> PAGEREF _Toc2557 </w:instrText>
      </w:r>
      <w:r>
        <w:rPr>
          <w:highlight w:val="none"/>
        </w:rPr>
        <w:fldChar w:fldCharType="separate"/>
      </w:r>
      <w:r>
        <w:rPr>
          <w:highlight w:val="none"/>
        </w:rPr>
        <w:t>44</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_Toc25305 </w:instrText>
      </w:r>
      <w:r>
        <w:rPr>
          <w:highlight w:val="none"/>
        </w:rPr>
        <w:fldChar w:fldCharType="separate"/>
      </w:r>
      <w:r>
        <w:rPr>
          <w:rFonts w:hint="eastAsia"/>
          <w:highlight w:val="none"/>
          <w:lang w:val="en-US" w:eastAsia="zh-CN"/>
        </w:rPr>
        <w:t>3</w:t>
      </w:r>
      <w:r>
        <w:rPr>
          <w:highlight w:val="none"/>
        </w:rPr>
        <w:t>.</w:t>
      </w:r>
      <w:r>
        <w:rPr>
          <w:rFonts w:hint="eastAsia"/>
          <w:highlight w:val="none"/>
          <w:lang w:val="en-US" w:eastAsia="zh-CN"/>
        </w:rPr>
        <w:t>2</w:t>
      </w:r>
      <w:r>
        <w:rPr>
          <w:highlight w:val="none"/>
        </w:rPr>
        <w:t>.</w:t>
      </w:r>
      <w:r>
        <w:rPr>
          <w:rFonts w:hint="eastAsia"/>
          <w:highlight w:val="none"/>
          <w:lang w:val="en-US" w:eastAsia="zh-CN"/>
        </w:rPr>
        <w:t>1</w:t>
      </w:r>
      <w:r>
        <w:rPr>
          <w:rFonts w:hint="eastAsia"/>
          <w:highlight w:val="none"/>
          <w:lang w:eastAsia="zh-CN"/>
        </w:rPr>
        <w:t>施工期工艺流程</w:t>
      </w:r>
      <w:r>
        <w:rPr>
          <w:highlight w:val="none"/>
        </w:rPr>
        <w:tab/>
      </w:r>
      <w:r>
        <w:rPr>
          <w:highlight w:val="none"/>
        </w:rPr>
        <w:fldChar w:fldCharType="begin"/>
      </w:r>
      <w:r>
        <w:rPr>
          <w:highlight w:val="none"/>
        </w:rPr>
        <w:instrText xml:space="preserve"> PAGEREF _Toc25305 </w:instrText>
      </w:r>
      <w:r>
        <w:rPr>
          <w:highlight w:val="none"/>
        </w:rPr>
        <w:fldChar w:fldCharType="separate"/>
      </w:r>
      <w:r>
        <w:rPr>
          <w:highlight w:val="none"/>
        </w:rPr>
        <w:t>44</w:t>
      </w:r>
      <w:r>
        <w:rPr>
          <w:highlight w:val="none"/>
        </w:rPr>
        <w:fldChar w:fldCharType="end"/>
      </w:r>
      <w:r>
        <w:rPr>
          <w:highlight w:val="none"/>
        </w:rPr>
        <w:fldChar w:fldCharType="end"/>
      </w:r>
    </w:p>
    <w:p>
      <w:pPr>
        <w:pStyle w:val="25"/>
        <w:tabs>
          <w:tab w:val="right" w:leader="dot" w:pos="9077"/>
        </w:tabs>
        <w:rPr>
          <w:highlight w:val="none"/>
        </w:rPr>
      </w:pPr>
      <w:r>
        <w:rPr>
          <w:highlight w:val="none"/>
        </w:rPr>
        <w:fldChar w:fldCharType="begin"/>
      </w:r>
      <w:r>
        <w:rPr>
          <w:highlight w:val="none"/>
        </w:rPr>
        <w:instrText xml:space="preserve"> HYPERLINK \l _Toc3868 </w:instrText>
      </w:r>
      <w:r>
        <w:rPr>
          <w:highlight w:val="none"/>
        </w:rPr>
        <w:fldChar w:fldCharType="separate"/>
      </w:r>
      <w:r>
        <w:rPr>
          <w:rFonts w:hint="eastAsia"/>
          <w:highlight w:val="none"/>
          <w:lang w:val="en-US" w:eastAsia="zh-CN"/>
        </w:rPr>
        <w:t>3</w:t>
      </w:r>
      <w:r>
        <w:rPr>
          <w:rFonts w:hint="eastAsia"/>
          <w:highlight w:val="none"/>
        </w:rPr>
        <w:t>.3 主要污染工序及源强</w:t>
      </w:r>
      <w:r>
        <w:rPr>
          <w:highlight w:val="none"/>
        </w:rPr>
        <w:tab/>
      </w:r>
      <w:r>
        <w:rPr>
          <w:highlight w:val="none"/>
        </w:rPr>
        <w:fldChar w:fldCharType="begin"/>
      </w:r>
      <w:r>
        <w:rPr>
          <w:highlight w:val="none"/>
        </w:rPr>
        <w:instrText xml:space="preserve"> PAGEREF _Toc3868 </w:instrText>
      </w:r>
      <w:r>
        <w:rPr>
          <w:highlight w:val="none"/>
        </w:rPr>
        <w:fldChar w:fldCharType="separate"/>
      </w:r>
      <w:r>
        <w:rPr>
          <w:highlight w:val="none"/>
        </w:rPr>
        <w:t>47</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_Toc9151 </w:instrText>
      </w:r>
      <w:r>
        <w:rPr>
          <w:highlight w:val="none"/>
        </w:rPr>
        <w:fldChar w:fldCharType="separate"/>
      </w:r>
      <w:r>
        <w:rPr>
          <w:rFonts w:hint="eastAsia"/>
          <w:highlight w:val="none"/>
          <w:lang w:val="en-US" w:eastAsia="zh-CN"/>
        </w:rPr>
        <w:t>3</w:t>
      </w:r>
      <w:r>
        <w:rPr>
          <w:highlight w:val="none"/>
        </w:rPr>
        <w:t>.3.1 施工期</w:t>
      </w:r>
      <w:r>
        <w:rPr>
          <w:highlight w:val="none"/>
        </w:rPr>
        <w:tab/>
      </w:r>
      <w:r>
        <w:rPr>
          <w:highlight w:val="none"/>
        </w:rPr>
        <w:fldChar w:fldCharType="begin"/>
      </w:r>
      <w:r>
        <w:rPr>
          <w:highlight w:val="none"/>
        </w:rPr>
        <w:instrText xml:space="preserve"> PAGEREF _Toc9151 </w:instrText>
      </w:r>
      <w:r>
        <w:rPr>
          <w:highlight w:val="none"/>
        </w:rPr>
        <w:fldChar w:fldCharType="separate"/>
      </w:r>
      <w:r>
        <w:rPr>
          <w:highlight w:val="none"/>
        </w:rPr>
        <w:t>47</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_Toc8131 </w:instrText>
      </w:r>
      <w:r>
        <w:rPr>
          <w:highlight w:val="none"/>
        </w:rPr>
        <w:fldChar w:fldCharType="separate"/>
      </w:r>
      <w:r>
        <w:rPr>
          <w:rFonts w:hint="eastAsia"/>
          <w:highlight w:val="none"/>
          <w:lang w:val="en-US" w:eastAsia="zh-CN"/>
        </w:rPr>
        <w:t>3</w:t>
      </w:r>
      <w:r>
        <w:rPr>
          <w:highlight w:val="none"/>
        </w:rPr>
        <w:t>.3.2 运营期</w:t>
      </w:r>
      <w:r>
        <w:rPr>
          <w:highlight w:val="none"/>
        </w:rPr>
        <w:tab/>
      </w:r>
      <w:r>
        <w:rPr>
          <w:highlight w:val="none"/>
        </w:rPr>
        <w:fldChar w:fldCharType="begin"/>
      </w:r>
      <w:r>
        <w:rPr>
          <w:highlight w:val="none"/>
        </w:rPr>
        <w:instrText xml:space="preserve"> PAGEREF _Toc8131 </w:instrText>
      </w:r>
      <w:r>
        <w:rPr>
          <w:highlight w:val="none"/>
        </w:rPr>
        <w:fldChar w:fldCharType="separate"/>
      </w:r>
      <w:r>
        <w:rPr>
          <w:highlight w:val="none"/>
        </w:rPr>
        <w:t>50</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_Toc16694 </w:instrText>
      </w:r>
      <w:r>
        <w:rPr>
          <w:highlight w:val="none"/>
        </w:rPr>
        <w:fldChar w:fldCharType="separate"/>
      </w:r>
      <w:r>
        <w:rPr>
          <w:rFonts w:hint="eastAsia"/>
          <w:highlight w:val="none"/>
          <w:lang w:val="en-US" w:eastAsia="zh-CN"/>
        </w:rPr>
        <w:t>3</w:t>
      </w:r>
      <w:r>
        <w:rPr>
          <w:highlight w:val="none"/>
        </w:rPr>
        <w:t>.3.3生态影响</w:t>
      </w:r>
      <w:r>
        <w:rPr>
          <w:highlight w:val="none"/>
        </w:rPr>
        <w:tab/>
      </w:r>
      <w:r>
        <w:rPr>
          <w:highlight w:val="none"/>
        </w:rPr>
        <w:fldChar w:fldCharType="begin"/>
      </w:r>
      <w:r>
        <w:rPr>
          <w:highlight w:val="none"/>
        </w:rPr>
        <w:instrText xml:space="preserve"> PAGEREF _Toc16694 </w:instrText>
      </w:r>
      <w:r>
        <w:rPr>
          <w:highlight w:val="none"/>
        </w:rPr>
        <w:fldChar w:fldCharType="separate"/>
      </w:r>
      <w:r>
        <w:rPr>
          <w:highlight w:val="none"/>
        </w:rPr>
        <w:t>61</w:t>
      </w:r>
      <w:r>
        <w:rPr>
          <w:highlight w:val="none"/>
        </w:rPr>
        <w:fldChar w:fldCharType="end"/>
      </w:r>
      <w:r>
        <w:rPr>
          <w:highlight w:val="none"/>
        </w:rPr>
        <w:fldChar w:fldCharType="end"/>
      </w:r>
    </w:p>
    <w:p>
      <w:pPr>
        <w:pStyle w:val="23"/>
        <w:tabs>
          <w:tab w:val="right" w:leader="dot" w:pos="9077"/>
        </w:tabs>
        <w:rPr>
          <w:highlight w:val="none"/>
        </w:rPr>
      </w:pPr>
      <w:r>
        <w:rPr>
          <w:highlight w:val="none"/>
        </w:rPr>
        <w:fldChar w:fldCharType="begin"/>
      </w:r>
      <w:r>
        <w:rPr>
          <w:highlight w:val="none"/>
        </w:rPr>
        <w:instrText xml:space="preserve"> HYPERLINK \l _Toc28309 </w:instrText>
      </w:r>
      <w:r>
        <w:rPr>
          <w:highlight w:val="none"/>
        </w:rPr>
        <w:fldChar w:fldCharType="separate"/>
      </w:r>
      <w:r>
        <w:rPr>
          <w:rFonts w:hint="eastAsia"/>
          <w:highlight w:val="none"/>
          <w:lang w:val="en-US" w:eastAsia="zh-CN"/>
        </w:rPr>
        <w:t>4</w:t>
      </w:r>
      <w:r>
        <w:rPr>
          <w:rFonts w:hint="eastAsia"/>
          <w:highlight w:val="none"/>
        </w:rPr>
        <w:t>建设项目周围环境概况</w:t>
      </w:r>
      <w:r>
        <w:rPr>
          <w:highlight w:val="none"/>
        </w:rPr>
        <w:tab/>
      </w:r>
      <w:r>
        <w:rPr>
          <w:highlight w:val="none"/>
        </w:rPr>
        <w:fldChar w:fldCharType="begin"/>
      </w:r>
      <w:r>
        <w:rPr>
          <w:highlight w:val="none"/>
        </w:rPr>
        <w:instrText xml:space="preserve"> PAGEREF _Toc28309 </w:instrText>
      </w:r>
      <w:r>
        <w:rPr>
          <w:highlight w:val="none"/>
        </w:rPr>
        <w:fldChar w:fldCharType="separate"/>
      </w:r>
      <w:r>
        <w:rPr>
          <w:highlight w:val="none"/>
        </w:rPr>
        <w:t>63</w:t>
      </w:r>
      <w:r>
        <w:rPr>
          <w:highlight w:val="none"/>
        </w:rPr>
        <w:fldChar w:fldCharType="end"/>
      </w:r>
      <w:r>
        <w:rPr>
          <w:highlight w:val="none"/>
        </w:rPr>
        <w:fldChar w:fldCharType="end"/>
      </w:r>
    </w:p>
    <w:p>
      <w:pPr>
        <w:pStyle w:val="25"/>
        <w:tabs>
          <w:tab w:val="right" w:leader="dot" w:pos="9077"/>
        </w:tabs>
        <w:rPr>
          <w:highlight w:val="none"/>
        </w:rPr>
      </w:pPr>
      <w:r>
        <w:rPr>
          <w:highlight w:val="none"/>
        </w:rPr>
        <w:fldChar w:fldCharType="begin"/>
      </w:r>
      <w:r>
        <w:rPr>
          <w:highlight w:val="none"/>
        </w:rPr>
        <w:instrText xml:space="preserve"> HYPERLINK \l _Toc3860 </w:instrText>
      </w:r>
      <w:r>
        <w:rPr>
          <w:highlight w:val="none"/>
        </w:rPr>
        <w:fldChar w:fldCharType="separate"/>
      </w:r>
      <w:r>
        <w:rPr>
          <w:rFonts w:hint="eastAsia"/>
          <w:highlight w:val="none"/>
          <w:lang w:val="en-US" w:eastAsia="zh-CN"/>
        </w:rPr>
        <w:t>4</w:t>
      </w:r>
      <w:r>
        <w:rPr>
          <w:rFonts w:hint="eastAsia"/>
          <w:highlight w:val="none"/>
        </w:rPr>
        <w:t>.1自然环境</w:t>
      </w:r>
      <w:r>
        <w:rPr>
          <w:highlight w:val="none"/>
        </w:rPr>
        <w:tab/>
      </w:r>
      <w:r>
        <w:rPr>
          <w:highlight w:val="none"/>
        </w:rPr>
        <w:fldChar w:fldCharType="begin"/>
      </w:r>
      <w:r>
        <w:rPr>
          <w:highlight w:val="none"/>
        </w:rPr>
        <w:instrText xml:space="preserve"> PAGEREF _Toc3860 </w:instrText>
      </w:r>
      <w:r>
        <w:rPr>
          <w:highlight w:val="none"/>
        </w:rPr>
        <w:fldChar w:fldCharType="separate"/>
      </w:r>
      <w:r>
        <w:rPr>
          <w:highlight w:val="none"/>
        </w:rPr>
        <w:t>63</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_Toc5167 </w:instrText>
      </w:r>
      <w:r>
        <w:rPr>
          <w:highlight w:val="none"/>
        </w:rPr>
        <w:fldChar w:fldCharType="separate"/>
      </w:r>
      <w:r>
        <w:rPr>
          <w:rFonts w:hint="eastAsia"/>
          <w:highlight w:val="none"/>
          <w:lang w:val="en-US" w:eastAsia="zh-CN"/>
        </w:rPr>
        <w:t>4</w:t>
      </w:r>
      <w:r>
        <w:rPr>
          <w:highlight w:val="none"/>
        </w:rPr>
        <w:t>.1.1地理位置</w:t>
      </w:r>
      <w:r>
        <w:rPr>
          <w:highlight w:val="none"/>
        </w:rPr>
        <w:tab/>
      </w:r>
      <w:r>
        <w:rPr>
          <w:highlight w:val="none"/>
        </w:rPr>
        <w:fldChar w:fldCharType="begin"/>
      </w:r>
      <w:r>
        <w:rPr>
          <w:highlight w:val="none"/>
        </w:rPr>
        <w:instrText xml:space="preserve"> PAGEREF _Toc5167 </w:instrText>
      </w:r>
      <w:r>
        <w:rPr>
          <w:highlight w:val="none"/>
        </w:rPr>
        <w:fldChar w:fldCharType="separate"/>
      </w:r>
      <w:r>
        <w:rPr>
          <w:highlight w:val="none"/>
        </w:rPr>
        <w:t>63</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_Toc28615 </w:instrText>
      </w:r>
      <w:r>
        <w:rPr>
          <w:highlight w:val="none"/>
        </w:rPr>
        <w:fldChar w:fldCharType="separate"/>
      </w:r>
      <w:r>
        <w:rPr>
          <w:rFonts w:hint="eastAsia"/>
          <w:highlight w:val="none"/>
          <w:lang w:val="en-US" w:eastAsia="zh-CN"/>
        </w:rPr>
        <w:t>4</w:t>
      </w:r>
      <w:r>
        <w:rPr>
          <w:highlight w:val="none"/>
        </w:rPr>
        <w:t>.1.2地形地貌地质特征</w:t>
      </w:r>
      <w:r>
        <w:rPr>
          <w:highlight w:val="none"/>
        </w:rPr>
        <w:tab/>
      </w:r>
      <w:r>
        <w:rPr>
          <w:highlight w:val="none"/>
        </w:rPr>
        <w:fldChar w:fldCharType="begin"/>
      </w:r>
      <w:r>
        <w:rPr>
          <w:highlight w:val="none"/>
        </w:rPr>
        <w:instrText xml:space="preserve"> PAGEREF _Toc28615 </w:instrText>
      </w:r>
      <w:r>
        <w:rPr>
          <w:highlight w:val="none"/>
        </w:rPr>
        <w:fldChar w:fldCharType="separate"/>
      </w:r>
      <w:r>
        <w:rPr>
          <w:highlight w:val="none"/>
        </w:rPr>
        <w:t>63</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_Toc54 </w:instrText>
      </w:r>
      <w:r>
        <w:rPr>
          <w:highlight w:val="none"/>
        </w:rPr>
        <w:fldChar w:fldCharType="separate"/>
      </w:r>
      <w:r>
        <w:rPr>
          <w:rFonts w:hint="eastAsia"/>
          <w:highlight w:val="none"/>
          <w:lang w:val="en-US" w:eastAsia="zh-CN"/>
        </w:rPr>
        <w:t>4</w:t>
      </w:r>
      <w:r>
        <w:rPr>
          <w:highlight w:val="none"/>
        </w:rPr>
        <w:t>.1.3地表水系水文特征</w:t>
      </w:r>
      <w:r>
        <w:rPr>
          <w:highlight w:val="none"/>
        </w:rPr>
        <w:tab/>
      </w:r>
      <w:r>
        <w:rPr>
          <w:highlight w:val="none"/>
        </w:rPr>
        <w:fldChar w:fldCharType="begin"/>
      </w:r>
      <w:r>
        <w:rPr>
          <w:highlight w:val="none"/>
        </w:rPr>
        <w:instrText xml:space="preserve"> PAGEREF _Toc54 </w:instrText>
      </w:r>
      <w:r>
        <w:rPr>
          <w:highlight w:val="none"/>
        </w:rPr>
        <w:fldChar w:fldCharType="separate"/>
      </w:r>
      <w:r>
        <w:rPr>
          <w:highlight w:val="none"/>
        </w:rPr>
        <w:t>64</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_Toc31090 </w:instrText>
      </w:r>
      <w:r>
        <w:rPr>
          <w:highlight w:val="none"/>
        </w:rPr>
        <w:fldChar w:fldCharType="separate"/>
      </w:r>
      <w:r>
        <w:rPr>
          <w:rFonts w:hint="eastAsia"/>
          <w:highlight w:val="none"/>
          <w:lang w:val="en-US" w:eastAsia="zh-CN"/>
        </w:rPr>
        <w:t>4</w:t>
      </w:r>
      <w:r>
        <w:rPr>
          <w:highlight w:val="none"/>
        </w:rPr>
        <w:t>.1.4气候及气象特征</w:t>
      </w:r>
      <w:r>
        <w:rPr>
          <w:highlight w:val="none"/>
        </w:rPr>
        <w:tab/>
      </w:r>
      <w:r>
        <w:rPr>
          <w:highlight w:val="none"/>
        </w:rPr>
        <w:fldChar w:fldCharType="begin"/>
      </w:r>
      <w:r>
        <w:rPr>
          <w:highlight w:val="none"/>
        </w:rPr>
        <w:instrText xml:space="preserve"> PAGEREF _Toc31090 </w:instrText>
      </w:r>
      <w:r>
        <w:rPr>
          <w:highlight w:val="none"/>
        </w:rPr>
        <w:fldChar w:fldCharType="separate"/>
      </w:r>
      <w:r>
        <w:rPr>
          <w:highlight w:val="none"/>
        </w:rPr>
        <w:t>64</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_Toc4497 </w:instrText>
      </w:r>
      <w:r>
        <w:rPr>
          <w:highlight w:val="none"/>
        </w:rPr>
        <w:fldChar w:fldCharType="separate"/>
      </w:r>
      <w:r>
        <w:rPr>
          <w:rFonts w:hint="eastAsia"/>
          <w:highlight w:val="none"/>
          <w:lang w:val="en-US" w:eastAsia="zh-CN"/>
        </w:rPr>
        <w:t>4</w:t>
      </w:r>
      <w:r>
        <w:rPr>
          <w:highlight w:val="none"/>
        </w:rPr>
        <w:t>.1.5土壤、植被</w:t>
      </w:r>
      <w:r>
        <w:rPr>
          <w:highlight w:val="none"/>
        </w:rPr>
        <w:tab/>
      </w:r>
      <w:r>
        <w:rPr>
          <w:highlight w:val="none"/>
        </w:rPr>
        <w:fldChar w:fldCharType="begin"/>
      </w:r>
      <w:r>
        <w:rPr>
          <w:highlight w:val="none"/>
        </w:rPr>
        <w:instrText xml:space="preserve"> PAGEREF _Toc4497 </w:instrText>
      </w:r>
      <w:r>
        <w:rPr>
          <w:highlight w:val="none"/>
        </w:rPr>
        <w:fldChar w:fldCharType="separate"/>
      </w:r>
      <w:r>
        <w:rPr>
          <w:highlight w:val="none"/>
        </w:rPr>
        <w:t>65</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_Toc29551 </w:instrText>
      </w:r>
      <w:r>
        <w:rPr>
          <w:highlight w:val="none"/>
        </w:rPr>
        <w:fldChar w:fldCharType="separate"/>
      </w:r>
      <w:r>
        <w:rPr>
          <w:rFonts w:hint="eastAsia"/>
          <w:highlight w:val="none"/>
          <w:lang w:val="en-US" w:eastAsia="zh-CN"/>
        </w:rPr>
        <w:t>4</w:t>
      </w:r>
      <w:r>
        <w:rPr>
          <w:highlight w:val="none"/>
        </w:rPr>
        <w:t>.1.6 矿产资源储量</w:t>
      </w:r>
      <w:r>
        <w:rPr>
          <w:highlight w:val="none"/>
        </w:rPr>
        <w:tab/>
      </w:r>
      <w:r>
        <w:rPr>
          <w:highlight w:val="none"/>
        </w:rPr>
        <w:fldChar w:fldCharType="begin"/>
      </w:r>
      <w:r>
        <w:rPr>
          <w:highlight w:val="none"/>
        </w:rPr>
        <w:instrText xml:space="preserve"> PAGEREF _Toc29551 </w:instrText>
      </w:r>
      <w:r>
        <w:rPr>
          <w:highlight w:val="none"/>
        </w:rPr>
        <w:fldChar w:fldCharType="separate"/>
      </w:r>
      <w:r>
        <w:rPr>
          <w:highlight w:val="none"/>
        </w:rPr>
        <w:t>65</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_Toc28180 </w:instrText>
      </w:r>
      <w:r>
        <w:rPr>
          <w:highlight w:val="none"/>
        </w:rPr>
        <w:fldChar w:fldCharType="separate"/>
      </w:r>
      <w:r>
        <w:rPr>
          <w:rFonts w:hint="eastAsia"/>
          <w:highlight w:val="none"/>
          <w:lang w:val="en-US" w:eastAsia="zh-CN"/>
        </w:rPr>
        <w:t>4</w:t>
      </w:r>
      <w:r>
        <w:rPr>
          <w:highlight w:val="none"/>
        </w:rPr>
        <w:t>.1.7 矿区周边环境现状</w:t>
      </w:r>
      <w:r>
        <w:rPr>
          <w:highlight w:val="none"/>
        </w:rPr>
        <w:tab/>
      </w:r>
      <w:r>
        <w:rPr>
          <w:highlight w:val="none"/>
        </w:rPr>
        <w:fldChar w:fldCharType="begin"/>
      </w:r>
      <w:r>
        <w:rPr>
          <w:highlight w:val="none"/>
        </w:rPr>
        <w:instrText xml:space="preserve"> PAGEREF _Toc28180 </w:instrText>
      </w:r>
      <w:r>
        <w:rPr>
          <w:highlight w:val="none"/>
        </w:rPr>
        <w:fldChar w:fldCharType="separate"/>
      </w:r>
      <w:r>
        <w:rPr>
          <w:highlight w:val="none"/>
        </w:rPr>
        <w:t>65</w:t>
      </w:r>
      <w:r>
        <w:rPr>
          <w:highlight w:val="none"/>
        </w:rPr>
        <w:fldChar w:fldCharType="end"/>
      </w:r>
      <w:r>
        <w:rPr>
          <w:highlight w:val="none"/>
        </w:rPr>
        <w:fldChar w:fldCharType="end"/>
      </w:r>
    </w:p>
    <w:p>
      <w:pPr>
        <w:pStyle w:val="23"/>
        <w:tabs>
          <w:tab w:val="right" w:leader="dot" w:pos="9077"/>
        </w:tabs>
        <w:rPr>
          <w:highlight w:val="none"/>
        </w:rPr>
      </w:pPr>
      <w:r>
        <w:rPr>
          <w:highlight w:val="none"/>
        </w:rPr>
        <w:fldChar w:fldCharType="begin"/>
      </w:r>
      <w:r>
        <w:rPr>
          <w:highlight w:val="none"/>
        </w:rPr>
        <w:instrText xml:space="preserve"> HYPERLINK \l _Toc152 </w:instrText>
      </w:r>
      <w:r>
        <w:rPr>
          <w:highlight w:val="none"/>
        </w:rPr>
        <w:fldChar w:fldCharType="separate"/>
      </w:r>
      <w:r>
        <w:rPr>
          <w:rFonts w:hint="eastAsia"/>
          <w:highlight w:val="none"/>
          <w:lang w:val="en-US" w:eastAsia="zh-CN"/>
        </w:rPr>
        <w:t>5</w:t>
      </w:r>
      <w:r>
        <w:rPr>
          <w:rFonts w:hint="eastAsia"/>
          <w:highlight w:val="none"/>
        </w:rPr>
        <w:t>环境质量现状</w:t>
      </w:r>
      <w:r>
        <w:rPr>
          <w:highlight w:val="none"/>
        </w:rPr>
        <w:tab/>
      </w:r>
      <w:r>
        <w:rPr>
          <w:highlight w:val="none"/>
        </w:rPr>
        <w:fldChar w:fldCharType="begin"/>
      </w:r>
      <w:r>
        <w:rPr>
          <w:highlight w:val="none"/>
        </w:rPr>
        <w:instrText xml:space="preserve"> PAGEREF _Toc152 </w:instrText>
      </w:r>
      <w:r>
        <w:rPr>
          <w:highlight w:val="none"/>
        </w:rPr>
        <w:fldChar w:fldCharType="separate"/>
      </w:r>
      <w:r>
        <w:rPr>
          <w:highlight w:val="none"/>
        </w:rPr>
        <w:t>66</w:t>
      </w:r>
      <w:r>
        <w:rPr>
          <w:highlight w:val="none"/>
        </w:rPr>
        <w:fldChar w:fldCharType="end"/>
      </w:r>
      <w:r>
        <w:rPr>
          <w:highlight w:val="none"/>
        </w:rPr>
        <w:fldChar w:fldCharType="end"/>
      </w:r>
    </w:p>
    <w:p>
      <w:pPr>
        <w:pStyle w:val="25"/>
        <w:tabs>
          <w:tab w:val="right" w:leader="dot" w:pos="9077"/>
        </w:tabs>
        <w:rPr>
          <w:highlight w:val="none"/>
        </w:rPr>
      </w:pPr>
      <w:r>
        <w:rPr>
          <w:highlight w:val="none"/>
        </w:rPr>
        <w:fldChar w:fldCharType="begin"/>
      </w:r>
      <w:r>
        <w:rPr>
          <w:highlight w:val="none"/>
        </w:rPr>
        <w:instrText xml:space="preserve"> HYPERLINK \l _Toc22563 </w:instrText>
      </w:r>
      <w:r>
        <w:rPr>
          <w:highlight w:val="none"/>
        </w:rPr>
        <w:fldChar w:fldCharType="separate"/>
      </w:r>
      <w:r>
        <w:rPr>
          <w:rFonts w:hint="eastAsia"/>
          <w:highlight w:val="none"/>
          <w:lang w:val="en-US" w:eastAsia="zh-CN"/>
        </w:rPr>
        <w:t>5</w:t>
      </w:r>
      <w:r>
        <w:rPr>
          <w:rFonts w:hint="eastAsia"/>
          <w:highlight w:val="none"/>
        </w:rPr>
        <w:t>.1环境空气质量现状</w:t>
      </w:r>
      <w:r>
        <w:rPr>
          <w:highlight w:val="none"/>
        </w:rPr>
        <w:tab/>
      </w:r>
      <w:r>
        <w:rPr>
          <w:highlight w:val="none"/>
        </w:rPr>
        <w:fldChar w:fldCharType="begin"/>
      </w:r>
      <w:r>
        <w:rPr>
          <w:highlight w:val="none"/>
        </w:rPr>
        <w:instrText xml:space="preserve"> PAGEREF _Toc22563 </w:instrText>
      </w:r>
      <w:r>
        <w:rPr>
          <w:highlight w:val="none"/>
        </w:rPr>
        <w:fldChar w:fldCharType="separate"/>
      </w:r>
      <w:r>
        <w:rPr>
          <w:highlight w:val="none"/>
        </w:rPr>
        <w:t>66</w:t>
      </w:r>
      <w:r>
        <w:rPr>
          <w:highlight w:val="none"/>
        </w:rPr>
        <w:fldChar w:fldCharType="end"/>
      </w:r>
      <w:r>
        <w:rPr>
          <w:highlight w:val="none"/>
        </w:rPr>
        <w:fldChar w:fldCharType="end"/>
      </w:r>
    </w:p>
    <w:p>
      <w:pPr>
        <w:pStyle w:val="25"/>
        <w:tabs>
          <w:tab w:val="right" w:leader="dot" w:pos="9077"/>
        </w:tabs>
        <w:rPr>
          <w:highlight w:val="none"/>
        </w:rPr>
      </w:pPr>
      <w:r>
        <w:rPr>
          <w:highlight w:val="none"/>
        </w:rPr>
        <w:fldChar w:fldCharType="begin"/>
      </w:r>
      <w:r>
        <w:rPr>
          <w:highlight w:val="none"/>
        </w:rPr>
        <w:instrText xml:space="preserve"> HYPERLINK \l _Toc8428 </w:instrText>
      </w:r>
      <w:r>
        <w:rPr>
          <w:highlight w:val="none"/>
        </w:rPr>
        <w:fldChar w:fldCharType="separate"/>
      </w:r>
      <w:r>
        <w:rPr>
          <w:rFonts w:hint="eastAsia"/>
          <w:highlight w:val="none"/>
          <w:lang w:val="en-US" w:eastAsia="zh-CN"/>
        </w:rPr>
        <w:t>5</w:t>
      </w:r>
      <w:r>
        <w:rPr>
          <w:rFonts w:hint="eastAsia"/>
          <w:highlight w:val="none"/>
        </w:rPr>
        <w:t>.2地表水环境质量现状</w:t>
      </w:r>
      <w:r>
        <w:rPr>
          <w:highlight w:val="none"/>
        </w:rPr>
        <w:tab/>
      </w:r>
      <w:r>
        <w:rPr>
          <w:highlight w:val="none"/>
        </w:rPr>
        <w:fldChar w:fldCharType="begin"/>
      </w:r>
      <w:r>
        <w:rPr>
          <w:highlight w:val="none"/>
        </w:rPr>
        <w:instrText xml:space="preserve"> PAGEREF _Toc8428 </w:instrText>
      </w:r>
      <w:r>
        <w:rPr>
          <w:highlight w:val="none"/>
        </w:rPr>
        <w:fldChar w:fldCharType="separate"/>
      </w:r>
      <w:r>
        <w:rPr>
          <w:highlight w:val="none"/>
        </w:rPr>
        <w:t>67</w:t>
      </w:r>
      <w:r>
        <w:rPr>
          <w:highlight w:val="none"/>
        </w:rPr>
        <w:fldChar w:fldCharType="end"/>
      </w:r>
      <w:r>
        <w:rPr>
          <w:highlight w:val="none"/>
        </w:rPr>
        <w:fldChar w:fldCharType="end"/>
      </w:r>
    </w:p>
    <w:p>
      <w:pPr>
        <w:pStyle w:val="25"/>
        <w:tabs>
          <w:tab w:val="right" w:leader="dot" w:pos="9077"/>
        </w:tabs>
        <w:rPr>
          <w:highlight w:val="none"/>
        </w:rPr>
      </w:pPr>
      <w:r>
        <w:rPr>
          <w:highlight w:val="none"/>
        </w:rPr>
        <w:fldChar w:fldCharType="begin"/>
      </w:r>
      <w:r>
        <w:rPr>
          <w:highlight w:val="none"/>
        </w:rPr>
        <w:instrText xml:space="preserve"> HYPERLINK \l _Toc8772 </w:instrText>
      </w:r>
      <w:r>
        <w:rPr>
          <w:highlight w:val="none"/>
        </w:rPr>
        <w:fldChar w:fldCharType="separate"/>
      </w:r>
      <w:r>
        <w:rPr>
          <w:rFonts w:hint="eastAsia"/>
          <w:highlight w:val="none"/>
          <w:lang w:val="en-US" w:eastAsia="zh-CN"/>
        </w:rPr>
        <w:t>5</w:t>
      </w:r>
      <w:r>
        <w:rPr>
          <w:rFonts w:hint="eastAsia"/>
          <w:highlight w:val="none"/>
        </w:rPr>
        <w:t>.3声环境质量现状</w:t>
      </w:r>
      <w:r>
        <w:rPr>
          <w:highlight w:val="none"/>
        </w:rPr>
        <w:tab/>
      </w:r>
      <w:r>
        <w:rPr>
          <w:highlight w:val="none"/>
        </w:rPr>
        <w:fldChar w:fldCharType="begin"/>
      </w:r>
      <w:r>
        <w:rPr>
          <w:highlight w:val="none"/>
        </w:rPr>
        <w:instrText xml:space="preserve"> PAGEREF _Toc8772 </w:instrText>
      </w:r>
      <w:r>
        <w:rPr>
          <w:highlight w:val="none"/>
        </w:rPr>
        <w:fldChar w:fldCharType="separate"/>
      </w:r>
      <w:r>
        <w:rPr>
          <w:highlight w:val="none"/>
        </w:rPr>
        <w:t>71</w:t>
      </w:r>
      <w:r>
        <w:rPr>
          <w:highlight w:val="none"/>
        </w:rPr>
        <w:fldChar w:fldCharType="end"/>
      </w:r>
      <w:r>
        <w:rPr>
          <w:highlight w:val="none"/>
        </w:rPr>
        <w:fldChar w:fldCharType="end"/>
      </w:r>
    </w:p>
    <w:p>
      <w:pPr>
        <w:pStyle w:val="25"/>
        <w:tabs>
          <w:tab w:val="right" w:leader="dot" w:pos="9077"/>
        </w:tabs>
        <w:rPr>
          <w:highlight w:val="none"/>
        </w:rPr>
      </w:pPr>
      <w:r>
        <w:rPr>
          <w:highlight w:val="none"/>
        </w:rPr>
        <w:fldChar w:fldCharType="begin"/>
      </w:r>
      <w:r>
        <w:rPr>
          <w:highlight w:val="none"/>
        </w:rPr>
        <w:instrText xml:space="preserve"> HYPERLINK \l _Toc27987 </w:instrText>
      </w:r>
      <w:r>
        <w:rPr>
          <w:highlight w:val="none"/>
        </w:rPr>
        <w:fldChar w:fldCharType="separate"/>
      </w:r>
      <w:r>
        <w:rPr>
          <w:rFonts w:hint="eastAsia"/>
          <w:highlight w:val="none"/>
          <w:lang w:val="en-US" w:eastAsia="zh-CN"/>
        </w:rPr>
        <w:t>5</w:t>
      </w:r>
      <w:r>
        <w:rPr>
          <w:rFonts w:hint="eastAsia"/>
          <w:highlight w:val="none"/>
        </w:rPr>
        <w:t>.4生态环境质量现状</w:t>
      </w:r>
      <w:r>
        <w:rPr>
          <w:highlight w:val="none"/>
        </w:rPr>
        <w:tab/>
      </w:r>
      <w:r>
        <w:rPr>
          <w:highlight w:val="none"/>
        </w:rPr>
        <w:fldChar w:fldCharType="begin"/>
      </w:r>
      <w:r>
        <w:rPr>
          <w:highlight w:val="none"/>
        </w:rPr>
        <w:instrText xml:space="preserve"> PAGEREF _Toc27987 </w:instrText>
      </w:r>
      <w:r>
        <w:rPr>
          <w:highlight w:val="none"/>
        </w:rPr>
        <w:fldChar w:fldCharType="separate"/>
      </w:r>
      <w:r>
        <w:rPr>
          <w:highlight w:val="none"/>
        </w:rPr>
        <w:t>71</w:t>
      </w:r>
      <w:r>
        <w:rPr>
          <w:highlight w:val="none"/>
        </w:rPr>
        <w:fldChar w:fldCharType="end"/>
      </w:r>
      <w:r>
        <w:rPr>
          <w:highlight w:val="none"/>
        </w:rPr>
        <w:fldChar w:fldCharType="end"/>
      </w:r>
    </w:p>
    <w:p>
      <w:pPr>
        <w:pStyle w:val="25"/>
        <w:tabs>
          <w:tab w:val="right" w:leader="dot" w:pos="9077"/>
        </w:tabs>
        <w:rPr>
          <w:highlight w:val="none"/>
        </w:rPr>
      </w:pPr>
      <w:r>
        <w:rPr>
          <w:highlight w:val="none"/>
        </w:rPr>
        <w:fldChar w:fldCharType="begin"/>
      </w:r>
      <w:r>
        <w:rPr>
          <w:highlight w:val="none"/>
        </w:rPr>
        <w:instrText xml:space="preserve"> HYPERLINK \l _Toc14416 </w:instrText>
      </w:r>
      <w:r>
        <w:rPr>
          <w:highlight w:val="none"/>
        </w:rPr>
        <w:fldChar w:fldCharType="separate"/>
      </w:r>
      <w:r>
        <w:rPr>
          <w:rFonts w:hint="eastAsia"/>
          <w:highlight w:val="none"/>
          <w:lang w:val="en-US" w:eastAsia="zh-CN"/>
        </w:rPr>
        <w:t>5.5水土流失现状</w:t>
      </w:r>
      <w:r>
        <w:rPr>
          <w:highlight w:val="none"/>
        </w:rPr>
        <w:tab/>
      </w:r>
      <w:r>
        <w:rPr>
          <w:highlight w:val="none"/>
        </w:rPr>
        <w:fldChar w:fldCharType="begin"/>
      </w:r>
      <w:r>
        <w:rPr>
          <w:highlight w:val="none"/>
        </w:rPr>
        <w:instrText xml:space="preserve"> PAGEREF _Toc14416 </w:instrText>
      </w:r>
      <w:r>
        <w:rPr>
          <w:highlight w:val="none"/>
        </w:rPr>
        <w:fldChar w:fldCharType="separate"/>
      </w:r>
      <w:r>
        <w:rPr>
          <w:highlight w:val="none"/>
        </w:rPr>
        <w:t>73</w:t>
      </w:r>
      <w:r>
        <w:rPr>
          <w:highlight w:val="none"/>
        </w:rPr>
        <w:fldChar w:fldCharType="end"/>
      </w:r>
      <w:r>
        <w:rPr>
          <w:highlight w:val="none"/>
        </w:rPr>
        <w:fldChar w:fldCharType="end"/>
      </w:r>
    </w:p>
    <w:p>
      <w:pPr>
        <w:pStyle w:val="25"/>
        <w:tabs>
          <w:tab w:val="right" w:leader="dot" w:pos="9077"/>
        </w:tabs>
        <w:rPr>
          <w:highlight w:val="none"/>
        </w:rPr>
      </w:pPr>
      <w:r>
        <w:rPr>
          <w:highlight w:val="none"/>
        </w:rPr>
        <w:fldChar w:fldCharType="begin"/>
      </w:r>
      <w:r>
        <w:rPr>
          <w:highlight w:val="none"/>
        </w:rPr>
        <w:instrText xml:space="preserve"> HYPERLINK \l _Toc18062 </w:instrText>
      </w:r>
      <w:r>
        <w:rPr>
          <w:highlight w:val="none"/>
        </w:rPr>
        <w:fldChar w:fldCharType="separate"/>
      </w:r>
      <w:r>
        <w:rPr>
          <w:rFonts w:hint="eastAsia"/>
          <w:highlight w:val="none"/>
          <w:lang w:val="en-US" w:eastAsia="zh-CN"/>
        </w:rPr>
        <w:t>5.6土壤环境质量现状</w:t>
      </w:r>
      <w:r>
        <w:rPr>
          <w:highlight w:val="none"/>
        </w:rPr>
        <w:tab/>
      </w:r>
      <w:r>
        <w:rPr>
          <w:highlight w:val="none"/>
        </w:rPr>
        <w:fldChar w:fldCharType="begin"/>
      </w:r>
      <w:r>
        <w:rPr>
          <w:highlight w:val="none"/>
        </w:rPr>
        <w:instrText xml:space="preserve"> PAGEREF _Toc18062 </w:instrText>
      </w:r>
      <w:r>
        <w:rPr>
          <w:highlight w:val="none"/>
        </w:rPr>
        <w:fldChar w:fldCharType="separate"/>
      </w:r>
      <w:r>
        <w:rPr>
          <w:highlight w:val="none"/>
        </w:rPr>
        <w:t>73</w:t>
      </w:r>
      <w:r>
        <w:rPr>
          <w:highlight w:val="none"/>
        </w:rPr>
        <w:fldChar w:fldCharType="end"/>
      </w:r>
      <w:r>
        <w:rPr>
          <w:highlight w:val="none"/>
        </w:rPr>
        <w:fldChar w:fldCharType="end"/>
      </w:r>
    </w:p>
    <w:p>
      <w:pPr>
        <w:pStyle w:val="23"/>
        <w:tabs>
          <w:tab w:val="right" w:leader="dot" w:pos="9077"/>
        </w:tabs>
        <w:rPr>
          <w:highlight w:val="none"/>
        </w:rPr>
      </w:pPr>
      <w:r>
        <w:rPr>
          <w:highlight w:val="none"/>
        </w:rPr>
        <w:fldChar w:fldCharType="begin"/>
      </w:r>
      <w:r>
        <w:rPr>
          <w:highlight w:val="none"/>
        </w:rPr>
        <w:instrText xml:space="preserve"> HYPERLINK \l _Toc13095 </w:instrText>
      </w:r>
      <w:r>
        <w:rPr>
          <w:highlight w:val="none"/>
        </w:rPr>
        <w:fldChar w:fldCharType="separate"/>
      </w:r>
      <w:r>
        <w:rPr>
          <w:rFonts w:hint="eastAsia"/>
          <w:highlight w:val="none"/>
          <w:lang w:val="en-US" w:eastAsia="zh-CN"/>
        </w:rPr>
        <w:t>6</w:t>
      </w:r>
      <w:r>
        <w:rPr>
          <w:highlight w:val="none"/>
        </w:rPr>
        <w:t>环境影响分析</w:t>
      </w:r>
      <w:r>
        <w:rPr>
          <w:highlight w:val="none"/>
        </w:rPr>
        <w:tab/>
      </w:r>
      <w:r>
        <w:rPr>
          <w:highlight w:val="none"/>
        </w:rPr>
        <w:fldChar w:fldCharType="begin"/>
      </w:r>
      <w:r>
        <w:rPr>
          <w:highlight w:val="none"/>
        </w:rPr>
        <w:instrText xml:space="preserve"> PAGEREF _Toc13095 </w:instrText>
      </w:r>
      <w:r>
        <w:rPr>
          <w:highlight w:val="none"/>
        </w:rPr>
        <w:fldChar w:fldCharType="separate"/>
      </w:r>
      <w:r>
        <w:rPr>
          <w:highlight w:val="none"/>
        </w:rPr>
        <w:t>77</w:t>
      </w:r>
      <w:r>
        <w:rPr>
          <w:highlight w:val="none"/>
        </w:rPr>
        <w:fldChar w:fldCharType="end"/>
      </w:r>
      <w:r>
        <w:rPr>
          <w:highlight w:val="none"/>
        </w:rPr>
        <w:fldChar w:fldCharType="end"/>
      </w:r>
    </w:p>
    <w:p>
      <w:pPr>
        <w:pStyle w:val="25"/>
        <w:tabs>
          <w:tab w:val="right" w:leader="dot" w:pos="9077"/>
        </w:tabs>
        <w:rPr>
          <w:highlight w:val="none"/>
        </w:rPr>
      </w:pPr>
      <w:r>
        <w:rPr>
          <w:highlight w:val="none"/>
        </w:rPr>
        <w:fldChar w:fldCharType="begin"/>
      </w:r>
      <w:r>
        <w:rPr>
          <w:highlight w:val="none"/>
        </w:rPr>
        <w:instrText xml:space="preserve"> HYPERLINK \l _Toc14483 </w:instrText>
      </w:r>
      <w:r>
        <w:rPr>
          <w:highlight w:val="none"/>
        </w:rPr>
        <w:fldChar w:fldCharType="separate"/>
      </w:r>
      <w:r>
        <w:rPr>
          <w:rFonts w:hint="eastAsia"/>
          <w:highlight w:val="none"/>
          <w:lang w:val="en-US" w:eastAsia="zh-CN"/>
        </w:rPr>
        <w:t>6</w:t>
      </w:r>
      <w:r>
        <w:rPr>
          <w:rFonts w:hint="eastAsia"/>
          <w:highlight w:val="none"/>
        </w:rPr>
        <w:t>.1施工期环境影响分析</w:t>
      </w:r>
      <w:r>
        <w:rPr>
          <w:highlight w:val="none"/>
        </w:rPr>
        <w:tab/>
      </w:r>
      <w:r>
        <w:rPr>
          <w:highlight w:val="none"/>
        </w:rPr>
        <w:fldChar w:fldCharType="begin"/>
      </w:r>
      <w:r>
        <w:rPr>
          <w:highlight w:val="none"/>
        </w:rPr>
        <w:instrText xml:space="preserve"> PAGEREF _Toc14483 </w:instrText>
      </w:r>
      <w:r>
        <w:rPr>
          <w:highlight w:val="none"/>
        </w:rPr>
        <w:fldChar w:fldCharType="separate"/>
      </w:r>
      <w:r>
        <w:rPr>
          <w:highlight w:val="none"/>
        </w:rPr>
        <w:t>77</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_Toc21269 </w:instrText>
      </w:r>
      <w:r>
        <w:rPr>
          <w:highlight w:val="none"/>
        </w:rPr>
        <w:fldChar w:fldCharType="separate"/>
      </w:r>
      <w:r>
        <w:rPr>
          <w:rFonts w:hint="eastAsia"/>
          <w:highlight w:val="none"/>
          <w:lang w:val="en-US" w:eastAsia="zh-CN"/>
        </w:rPr>
        <w:t>6</w:t>
      </w:r>
      <w:r>
        <w:rPr>
          <w:highlight w:val="none"/>
        </w:rPr>
        <w:t>.1.1施工期大气环境影响分析</w:t>
      </w:r>
      <w:r>
        <w:rPr>
          <w:highlight w:val="none"/>
        </w:rPr>
        <w:tab/>
      </w:r>
      <w:r>
        <w:rPr>
          <w:highlight w:val="none"/>
        </w:rPr>
        <w:fldChar w:fldCharType="begin"/>
      </w:r>
      <w:r>
        <w:rPr>
          <w:highlight w:val="none"/>
        </w:rPr>
        <w:instrText xml:space="preserve"> PAGEREF _Toc21269 </w:instrText>
      </w:r>
      <w:r>
        <w:rPr>
          <w:highlight w:val="none"/>
        </w:rPr>
        <w:fldChar w:fldCharType="separate"/>
      </w:r>
      <w:r>
        <w:rPr>
          <w:highlight w:val="none"/>
        </w:rPr>
        <w:t>77</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_Toc7658 </w:instrText>
      </w:r>
      <w:r>
        <w:rPr>
          <w:highlight w:val="none"/>
        </w:rPr>
        <w:fldChar w:fldCharType="separate"/>
      </w:r>
      <w:r>
        <w:rPr>
          <w:rFonts w:hint="eastAsia"/>
          <w:highlight w:val="none"/>
          <w:lang w:val="en-US" w:eastAsia="zh-CN"/>
        </w:rPr>
        <w:t>6.1.2施工期水环境影响分析</w:t>
      </w:r>
      <w:r>
        <w:rPr>
          <w:highlight w:val="none"/>
        </w:rPr>
        <w:tab/>
      </w:r>
      <w:r>
        <w:rPr>
          <w:highlight w:val="none"/>
        </w:rPr>
        <w:fldChar w:fldCharType="begin"/>
      </w:r>
      <w:r>
        <w:rPr>
          <w:highlight w:val="none"/>
        </w:rPr>
        <w:instrText xml:space="preserve"> PAGEREF _Toc7658 </w:instrText>
      </w:r>
      <w:r>
        <w:rPr>
          <w:highlight w:val="none"/>
        </w:rPr>
        <w:fldChar w:fldCharType="separate"/>
      </w:r>
      <w:r>
        <w:rPr>
          <w:highlight w:val="none"/>
        </w:rPr>
        <w:t>79</w:t>
      </w:r>
      <w:r>
        <w:rPr>
          <w:highlight w:val="none"/>
        </w:rPr>
        <w:fldChar w:fldCharType="end"/>
      </w:r>
      <w:r>
        <w:rPr>
          <w:highlight w:val="none"/>
        </w:rPr>
        <w:fldChar w:fldCharType="end"/>
      </w:r>
    </w:p>
    <w:p>
      <w:pPr>
        <w:pStyle w:val="25"/>
        <w:tabs>
          <w:tab w:val="right" w:leader="dot" w:pos="9077"/>
        </w:tabs>
        <w:rPr>
          <w:highlight w:val="none"/>
        </w:rPr>
      </w:pPr>
      <w:r>
        <w:rPr>
          <w:highlight w:val="none"/>
        </w:rPr>
        <w:fldChar w:fldCharType="begin"/>
      </w:r>
      <w:r>
        <w:rPr>
          <w:highlight w:val="none"/>
        </w:rPr>
        <w:instrText xml:space="preserve"> HYPERLINK \l _Toc24137 </w:instrText>
      </w:r>
      <w:r>
        <w:rPr>
          <w:highlight w:val="none"/>
        </w:rPr>
        <w:fldChar w:fldCharType="separate"/>
      </w:r>
      <w:r>
        <w:rPr>
          <w:rFonts w:hint="eastAsia"/>
          <w:highlight w:val="none"/>
          <w:lang w:val="en-US" w:eastAsia="zh-CN"/>
        </w:rPr>
        <w:t>6</w:t>
      </w:r>
      <w:r>
        <w:rPr>
          <w:highlight w:val="none"/>
        </w:rPr>
        <w:t>.2运营期环境影响分析</w:t>
      </w:r>
      <w:r>
        <w:rPr>
          <w:highlight w:val="none"/>
        </w:rPr>
        <w:tab/>
      </w:r>
      <w:r>
        <w:rPr>
          <w:highlight w:val="none"/>
        </w:rPr>
        <w:fldChar w:fldCharType="begin"/>
      </w:r>
      <w:r>
        <w:rPr>
          <w:highlight w:val="none"/>
        </w:rPr>
        <w:instrText xml:space="preserve"> PAGEREF _Toc24137 </w:instrText>
      </w:r>
      <w:r>
        <w:rPr>
          <w:highlight w:val="none"/>
        </w:rPr>
        <w:fldChar w:fldCharType="separate"/>
      </w:r>
      <w:r>
        <w:rPr>
          <w:highlight w:val="none"/>
        </w:rPr>
        <w:t>82</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_Toc10946 </w:instrText>
      </w:r>
      <w:r>
        <w:rPr>
          <w:highlight w:val="none"/>
        </w:rPr>
        <w:fldChar w:fldCharType="separate"/>
      </w:r>
      <w:r>
        <w:rPr>
          <w:rFonts w:hint="eastAsia"/>
          <w:highlight w:val="none"/>
          <w:lang w:val="en-US" w:eastAsia="zh-CN"/>
        </w:rPr>
        <w:t>6</w:t>
      </w:r>
      <w:r>
        <w:rPr>
          <w:rFonts w:hint="default"/>
          <w:highlight w:val="none"/>
        </w:rPr>
        <w:t>.2.1运营期</w:t>
      </w:r>
      <w:r>
        <w:rPr>
          <w:highlight w:val="none"/>
        </w:rPr>
        <w:t>大气</w:t>
      </w:r>
      <w:r>
        <w:rPr>
          <w:rFonts w:hint="default"/>
          <w:highlight w:val="none"/>
        </w:rPr>
        <w:t>环境影响分析</w:t>
      </w:r>
      <w:r>
        <w:rPr>
          <w:highlight w:val="none"/>
        </w:rPr>
        <w:tab/>
      </w:r>
      <w:r>
        <w:rPr>
          <w:highlight w:val="none"/>
        </w:rPr>
        <w:fldChar w:fldCharType="begin"/>
      </w:r>
      <w:r>
        <w:rPr>
          <w:highlight w:val="none"/>
        </w:rPr>
        <w:instrText xml:space="preserve"> PAGEREF _Toc10946 </w:instrText>
      </w:r>
      <w:r>
        <w:rPr>
          <w:highlight w:val="none"/>
        </w:rPr>
        <w:fldChar w:fldCharType="separate"/>
      </w:r>
      <w:r>
        <w:rPr>
          <w:highlight w:val="none"/>
        </w:rPr>
        <w:t>82</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_Toc3080 </w:instrText>
      </w:r>
      <w:r>
        <w:rPr>
          <w:highlight w:val="none"/>
        </w:rPr>
        <w:fldChar w:fldCharType="separate"/>
      </w:r>
      <w:r>
        <w:rPr>
          <w:rFonts w:hint="eastAsia"/>
          <w:highlight w:val="none"/>
          <w:lang w:val="en-US" w:eastAsia="zh-CN"/>
        </w:rPr>
        <w:t>6.2.3运营期地下水环境影响分析</w:t>
      </w:r>
      <w:r>
        <w:rPr>
          <w:highlight w:val="none"/>
        </w:rPr>
        <w:tab/>
      </w:r>
      <w:r>
        <w:rPr>
          <w:highlight w:val="none"/>
        </w:rPr>
        <w:fldChar w:fldCharType="begin"/>
      </w:r>
      <w:r>
        <w:rPr>
          <w:highlight w:val="none"/>
        </w:rPr>
        <w:instrText xml:space="preserve"> PAGEREF _Toc3080 </w:instrText>
      </w:r>
      <w:r>
        <w:rPr>
          <w:highlight w:val="none"/>
        </w:rPr>
        <w:fldChar w:fldCharType="separate"/>
      </w:r>
      <w:r>
        <w:rPr>
          <w:highlight w:val="none"/>
        </w:rPr>
        <w:t>90</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_Toc1491 </w:instrText>
      </w:r>
      <w:r>
        <w:rPr>
          <w:highlight w:val="none"/>
        </w:rPr>
        <w:fldChar w:fldCharType="separate"/>
      </w:r>
      <w:r>
        <w:rPr>
          <w:rFonts w:hint="eastAsia"/>
          <w:highlight w:val="none"/>
          <w:lang w:val="en-US" w:eastAsia="zh-CN"/>
        </w:rPr>
        <w:t>6</w:t>
      </w:r>
      <w:r>
        <w:rPr>
          <w:highlight w:val="none"/>
        </w:rPr>
        <w:t>.2.</w:t>
      </w:r>
      <w:r>
        <w:rPr>
          <w:rFonts w:hint="eastAsia"/>
          <w:highlight w:val="none"/>
          <w:lang w:val="en-US" w:eastAsia="zh-CN"/>
        </w:rPr>
        <w:t>4</w:t>
      </w:r>
      <w:r>
        <w:rPr>
          <w:rFonts w:hint="default"/>
          <w:highlight w:val="none"/>
        </w:rPr>
        <w:t>运营期声环境影响评价</w:t>
      </w:r>
      <w:r>
        <w:rPr>
          <w:highlight w:val="none"/>
        </w:rPr>
        <w:tab/>
      </w:r>
      <w:r>
        <w:rPr>
          <w:highlight w:val="none"/>
        </w:rPr>
        <w:fldChar w:fldCharType="begin"/>
      </w:r>
      <w:r>
        <w:rPr>
          <w:highlight w:val="none"/>
        </w:rPr>
        <w:instrText xml:space="preserve"> PAGEREF _Toc1491 </w:instrText>
      </w:r>
      <w:r>
        <w:rPr>
          <w:highlight w:val="none"/>
        </w:rPr>
        <w:fldChar w:fldCharType="separate"/>
      </w:r>
      <w:r>
        <w:rPr>
          <w:highlight w:val="none"/>
        </w:rPr>
        <w:t>93</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_Toc10889 </w:instrText>
      </w:r>
      <w:r>
        <w:rPr>
          <w:highlight w:val="none"/>
        </w:rPr>
        <w:fldChar w:fldCharType="separate"/>
      </w:r>
      <w:r>
        <w:rPr>
          <w:rFonts w:hint="eastAsia"/>
          <w:highlight w:val="none"/>
          <w:lang w:val="en-US" w:eastAsia="zh-CN"/>
        </w:rPr>
        <w:t>6</w:t>
      </w:r>
      <w:r>
        <w:rPr>
          <w:highlight w:val="none"/>
        </w:rPr>
        <w:t>.2.</w:t>
      </w:r>
      <w:r>
        <w:rPr>
          <w:rFonts w:hint="eastAsia"/>
          <w:highlight w:val="none"/>
          <w:lang w:val="en-US" w:eastAsia="zh-CN"/>
        </w:rPr>
        <w:t>5</w:t>
      </w:r>
      <w:r>
        <w:rPr>
          <w:highlight w:val="none"/>
        </w:rPr>
        <w:t>运营期固废环境影响分析</w:t>
      </w:r>
      <w:r>
        <w:rPr>
          <w:highlight w:val="none"/>
        </w:rPr>
        <w:tab/>
      </w:r>
      <w:r>
        <w:rPr>
          <w:highlight w:val="none"/>
        </w:rPr>
        <w:fldChar w:fldCharType="begin"/>
      </w:r>
      <w:r>
        <w:rPr>
          <w:highlight w:val="none"/>
        </w:rPr>
        <w:instrText xml:space="preserve"> PAGEREF _Toc10889 </w:instrText>
      </w:r>
      <w:r>
        <w:rPr>
          <w:highlight w:val="none"/>
        </w:rPr>
        <w:fldChar w:fldCharType="separate"/>
      </w:r>
      <w:r>
        <w:rPr>
          <w:highlight w:val="none"/>
        </w:rPr>
        <w:t>100</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_Toc1364 </w:instrText>
      </w:r>
      <w:r>
        <w:rPr>
          <w:highlight w:val="none"/>
        </w:rPr>
        <w:fldChar w:fldCharType="separate"/>
      </w:r>
      <w:r>
        <w:rPr>
          <w:rFonts w:hint="eastAsia" w:cs="Times New Roman"/>
          <w:bCs w:val="0"/>
          <w:kern w:val="0"/>
          <w:szCs w:val="27"/>
          <w:highlight w:val="none"/>
          <w:lang w:val="en-US" w:eastAsia="zh-CN"/>
        </w:rPr>
        <w:t>6.2.6土壤环境影响分析</w:t>
      </w:r>
      <w:r>
        <w:rPr>
          <w:highlight w:val="none"/>
        </w:rPr>
        <w:tab/>
      </w:r>
      <w:r>
        <w:rPr>
          <w:highlight w:val="none"/>
        </w:rPr>
        <w:fldChar w:fldCharType="begin"/>
      </w:r>
      <w:r>
        <w:rPr>
          <w:highlight w:val="none"/>
        </w:rPr>
        <w:instrText xml:space="preserve"> PAGEREF _Toc1364 </w:instrText>
      </w:r>
      <w:r>
        <w:rPr>
          <w:highlight w:val="none"/>
        </w:rPr>
        <w:fldChar w:fldCharType="separate"/>
      </w:r>
      <w:r>
        <w:rPr>
          <w:highlight w:val="none"/>
        </w:rPr>
        <w:t>101</w:t>
      </w:r>
      <w:r>
        <w:rPr>
          <w:highlight w:val="none"/>
        </w:rPr>
        <w:fldChar w:fldCharType="end"/>
      </w:r>
      <w:r>
        <w:rPr>
          <w:highlight w:val="none"/>
        </w:rPr>
        <w:fldChar w:fldCharType="end"/>
      </w:r>
    </w:p>
    <w:p>
      <w:pPr>
        <w:pStyle w:val="25"/>
        <w:tabs>
          <w:tab w:val="right" w:leader="dot" w:pos="9077"/>
        </w:tabs>
        <w:rPr>
          <w:highlight w:val="none"/>
        </w:rPr>
      </w:pPr>
      <w:r>
        <w:rPr>
          <w:highlight w:val="none"/>
        </w:rPr>
        <w:fldChar w:fldCharType="begin"/>
      </w:r>
      <w:r>
        <w:rPr>
          <w:highlight w:val="none"/>
        </w:rPr>
        <w:instrText xml:space="preserve"> HYPERLINK \l _Toc23706 </w:instrText>
      </w:r>
      <w:r>
        <w:rPr>
          <w:highlight w:val="none"/>
        </w:rPr>
        <w:fldChar w:fldCharType="separate"/>
      </w:r>
      <w:r>
        <w:rPr>
          <w:rFonts w:hint="eastAsia" w:cs="Times New Roman"/>
          <w:bCs w:val="0"/>
          <w:kern w:val="0"/>
          <w:szCs w:val="27"/>
          <w:highlight w:val="none"/>
          <w:lang w:val="en-US" w:eastAsia="zh-CN" w:bidi="ar-SA"/>
        </w:rPr>
        <w:t>6.2.7</w:t>
      </w:r>
      <w:r>
        <w:rPr>
          <w:rFonts w:hint="eastAsia" w:ascii="Times New Roman" w:hAnsi="Times New Roman" w:eastAsia="宋体" w:cs="Times New Roman"/>
          <w:bCs w:val="0"/>
          <w:kern w:val="0"/>
          <w:szCs w:val="27"/>
          <w:highlight w:val="none"/>
          <w:lang w:val="en-US" w:eastAsia="zh-CN" w:bidi="ar-SA"/>
        </w:rPr>
        <w:t xml:space="preserve"> 生态影响分析</w:t>
      </w:r>
      <w:r>
        <w:rPr>
          <w:highlight w:val="none"/>
        </w:rPr>
        <w:tab/>
      </w:r>
      <w:r>
        <w:rPr>
          <w:highlight w:val="none"/>
        </w:rPr>
        <w:fldChar w:fldCharType="begin"/>
      </w:r>
      <w:r>
        <w:rPr>
          <w:highlight w:val="none"/>
        </w:rPr>
        <w:instrText xml:space="preserve"> PAGEREF _Toc23706 </w:instrText>
      </w:r>
      <w:r>
        <w:rPr>
          <w:highlight w:val="none"/>
        </w:rPr>
        <w:fldChar w:fldCharType="separate"/>
      </w:r>
      <w:r>
        <w:rPr>
          <w:highlight w:val="none"/>
        </w:rPr>
        <w:t>103</w:t>
      </w:r>
      <w:r>
        <w:rPr>
          <w:highlight w:val="none"/>
        </w:rPr>
        <w:fldChar w:fldCharType="end"/>
      </w:r>
      <w:r>
        <w:rPr>
          <w:highlight w:val="none"/>
        </w:rPr>
        <w:fldChar w:fldCharType="end"/>
      </w:r>
    </w:p>
    <w:p>
      <w:pPr>
        <w:pStyle w:val="25"/>
        <w:tabs>
          <w:tab w:val="right" w:leader="dot" w:pos="9077"/>
        </w:tabs>
        <w:rPr>
          <w:highlight w:val="none"/>
        </w:rPr>
      </w:pPr>
      <w:r>
        <w:rPr>
          <w:highlight w:val="none"/>
        </w:rPr>
        <w:fldChar w:fldCharType="begin"/>
      </w:r>
      <w:r>
        <w:rPr>
          <w:highlight w:val="none"/>
        </w:rPr>
        <w:instrText xml:space="preserve"> HYPERLINK \l _Toc6278 </w:instrText>
      </w:r>
      <w:r>
        <w:rPr>
          <w:highlight w:val="none"/>
        </w:rPr>
        <w:fldChar w:fldCharType="separate"/>
      </w:r>
      <w:r>
        <w:rPr>
          <w:rFonts w:hint="eastAsia"/>
          <w:highlight w:val="none"/>
          <w:lang w:val="en-US" w:eastAsia="zh-CN"/>
        </w:rPr>
        <w:t>6.3</w:t>
      </w:r>
      <w:r>
        <w:rPr>
          <w:rFonts w:hint="eastAsia"/>
          <w:highlight w:val="none"/>
        </w:rPr>
        <w:t>闭矿期环境影响分析</w:t>
      </w:r>
      <w:r>
        <w:rPr>
          <w:highlight w:val="none"/>
        </w:rPr>
        <w:tab/>
      </w:r>
      <w:r>
        <w:rPr>
          <w:highlight w:val="none"/>
        </w:rPr>
        <w:fldChar w:fldCharType="begin"/>
      </w:r>
      <w:r>
        <w:rPr>
          <w:highlight w:val="none"/>
        </w:rPr>
        <w:instrText xml:space="preserve"> PAGEREF _Toc6278 </w:instrText>
      </w:r>
      <w:r>
        <w:rPr>
          <w:highlight w:val="none"/>
        </w:rPr>
        <w:fldChar w:fldCharType="separate"/>
      </w:r>
      <w:r>
        <w:rPr>
          <w:highlight w:val="none"/>
        </w:rPr>
        <w:t>105</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_Toc30075 </w:instrText>
      </w:r>
      <w:r>
        <w:rPr>
          <w:highlight w:val="none"/>
        </w:rPr>
        <w:fldChar w:fldCharType="separate"/>
      </w:r>
      <w:r>
        <w:rPr>
          <w:rFonts w:hint="eastAsia" w:cs="宋体"/>
          <w:highlight w:val="none"/>
          <w:lang w:val="en-US" w:eastAsia="zh-CN"/>
        </w:rPr>
        <w:t>6.3</w:t>
      </w:r>
      <w:r>
        <w:rPr>
          <w:rFonts w:cs="宋体"/>
          <w:highlight w:val="none"/>
        </w:rPr>
        <w:t>.1闭矿对环境的影响分析</w:t>
      </w:r>
      <w:r>
        <w:rPr>
          <w:highlight w:val="none"/>
        </w:rPr>
        <w:tab/>
      </w:r>
      <w:r>
        <w:rPr>
          <w:highlight w:val="none"/>
        </w:rPr>
        <w:fldChar w:fldCharType="begin"/>
      </w:r>
      <w:r>
        <w:rPr>
          <w:highlight w:val="none"/>
        </w:rPr>
        <w:instrText xml:space="preserve"> PAGEREF _Toc30075 </w:instrText>
      </w:r>
      <w:r>
        <w:rPr>
          <w:highlight w:val="none"/>
        </w:rPr>
        <w:fldChar w:fldCharType="separate"/>
      </w:r>
      <w:r>
        <w:rPr>
          <w:highlight w:val="none"/>
        </w:rPr>
        <w:t>105</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_Toc27296 </w:instrText>
      </w:r>
      <w:r>
        <w:rPr>
          <w:highlight w:val="none"/>
        </w:rPr>
        <w:fldChar w:fldCharType="separate"/>
      </w:r>
      <w:r>
        <w:rPr>
          <w:rFonts w:hint="eastAsia" w:cs="宋体"/>
          <w:highlight w:val="none"/>
          <w:lang w:val="en-US" w:eastAsia="zh-CN"/>
        </w:rPr>
        <w:t>6.3.2</w:t>
      </w:r>
      <w:r>
        <w:rPr>
          <w:rFonts w:cs="宋体"/>
          <w:highlight w:val="none"/>
        </w:rPr>
        <w:t>闭矿后的环境保护</w:t>
      </w:r>
      <w:r>
        <w:rPr>
          <w:rFonts w:hint="eastAsia" w:cs="宋体"/>
          <w:highlight w:val="none"/>
          <w:lang w:eastAsia="zh-CN"/>
        </w:rPr>
        <w:t>措施</w:t>
      </w:r>
      <w:r>
        <w:rPr>
          <w:highlight w:val="none"/>
        </w:rPr>
        <w:tab/>
      </w:r>
      <w:r>
        <w:rPr>
          <w:highlight w:val="none"/>
        </w:rPr>
        <w:fldChar w:fldCharType="begin"/>
      </w:r>
      <w:r>
        <w:rPr>
          <w:highlight w:val="none"/>
        </w:rPr>
        <w:instrText xml:space="preserve"> PAGEREF _Toc27296 </w:instrText>
      </w:r>
      <w:r>
        <w:rPr>
          <w:highlight w:val="none"/>
        </w:rPr>
        <w:fldChar w:fldCharType="separate"/>
      </w:r>
      <w:r>
        <w:rPr>
          <w:highlight w:val="none"/>
        </w:rPr>
        <w:t>105</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_Toc27801 </w:instrText>
      </w:r>
      <w:r>
        <w:rPr>
          <w:highlight w:val="none"/>
        </w:rPr>
        <w:fldChar w:fldCharType="separate"/>
      </w:r>
      <w:r>
        <w:rPr>
          <w:rFonts w:hint="eastAsia" w:cs="宋体"/>
          <w:highlight w:val="none"/>
          <w:lang w:val="en-US" w:eastAsia="zh-CN"/>
        </w:rPr>
        <w:t>6.3.3</w:t>
      </w:r>
      <w:r>
        <w:rPr>
          <w:rFonts w:hint="eastAsia" w:ascii="Times New Roman" w:hAnsi="Times New Roman" w:cs="宋体"/>
          <w:highlight w:val="none"/>
          <w:lang w:eastAsia="zh-CN"/>
        </w:rPr>
        <w:t>闭矿后环境保护要求</w:t>
      </w:r>
      <w:r>
        <w:rPr>
          <w:highlight w:val="none"/>
        </w:rPr>
        <w:tab/>
      </w:r>
      <w:r>
        <w:rPr>
          <w:highlight w:val="none"/>
        </w:rPr>
        <w:fldChar w:fldCharType="begin"/>
      </w:r>
      <w:r>
        <w:rPr>
          <w:highlight w:val="none"/>
        </w:rPr>
        <w:instrText xml:space="preserve"> PAGEREF _Toc27801 </w:instrText>
      </w:r>
      <w:r>
        <w:rPr>
          <w:highlight w:val="none"/>
        </w:rPr>
        <w:fldChar w:fldCharType="separate"/>
      </w:r>
      <w:r>
        <w:rPr>
          <w:highlight w:val="none"/>
        </w:rPr>
        <w:t>106</w:t>
      </w:r>
      <w:r>
        <w:rPr>
          <w:highlight w:val="none"/>
        </w:rPr>
        <w:fldChar w:fldCharType="end"/>
      </w:r>
      <w:r>
        <w:rPr>
          <w:highlight w:val="none"/>
        </w:rPr>
        <w:fldChar w:fldCharType="end"/>
      </w:r>
    </w:p>
    <w:p>
      <w:pPr>
        <w:pStyle w:val="25"/>
        <w:tabs>
          <w:tab w:val="right" w:leader="dot" w:pos="9077"/>
        </w:tabs>
        <w:rPr>
          <w:highlight w:val="none"/>
        </w:rPr>
      </w:pPr>
      <w:r>
        <w:rPr>
          <w:highlight w:val="none"/>
        </w:rPr>
        <w:fldChar w:fldCharType="begin"/>
      </w:r>
      <w:r>
        <w:rPr>
          <w:highlight w:val="none"/>
        </w:rPr>
        <w:instrText xml:space="preserve"> HYPERLINK \l _Toc29221 </w:instrText>
      </w:r>
      <w:r>
        <w:rPr>
          <w:highlight w:val="none"/>
        </w:rPr>
        <w:fldChar w:fldCharType="separate"/>
      </w:r>
      <w:r>
        <w:rPr>
          <w:rFonts w:hint="eastAsia"/>
          <w:highlight w:val="none"/>
          <w:lang w:val="en-US" w:eastAsia="zh-CN"/>
        </w:rPr>
        <w:t>6.4水土流失影响分析</w:t>
      </w:r>
      <w:r>
        <w:rPr>
          <w:highlight w:val="none"/>
        </w:rPr>
        <w:tab/>
      </w:r>
      <w:r>
        <w:rPr>
          <w:highlight w:val="none"/>
        </w:rPr>
        <w:fldChar w:fldCharType="begin"/>
      </w:r>
      <w:r>
        <w:rPr>
          <w:highlight w:val="none"/>
        </w:rPr>
        <w:instrText xml:space="preserve"> PAGEREF _Toc29221 </w:instrText>
      </w:r>
      <w:r>
        <w:rPr>
          <w:highlight w:val="none"/>
        </w:rPr>
        <w:fldChar w:fldCharType="separate"/>
      </w:r>
      <w:r>
        <w:rPr>
          <w:highlight w:val="none"/>
        </w:rPr>
        <w:t>107</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_Toc28682 </w:instrText>
      </w:r>
      <w:r>
        <w:rPr>
          <w:highlight w:val="none"/>
        </w:rPr>
        <w:fldChar w:fldCharType="separate"/>
      </w:r>
      <w:r>
        <w:rPr>
          <w:rFonts w:hint="eastAsia"/>
          <w:highlight w:val="none"/>
          <w:lang w:val="en-US" w:eastAsia="zh-CN"/>
        </w:rPr>
        <w:t>6.4.1 水土流失防治分区与责任范围</w:t>
      </w:r>
      <w:r>
        <w:rPr>
          <w:highlight w:val="none"/>
        </w:rPr>
        <w:tab/>
      </w:r>
      <w:r>
        <w:rPr>
          <w:highlight w:val="none"/>
        </w:rPr>
        <w:fldChar w:fldCharType="begin"/>
      </w:r>
      <w:r>
        <w:rPr>
          <w:highlight w:val="none"/>
        </w:rPr>
        <w:instrText xml:space="preserve"> PAGEREF _Toc28682 </w:instrText>
      </w:r>
      <w:r>
        <w:rPr>
          <w:highlight w:val="none"/>
        </w:rPr>
        <w:fldChar w:fldCharType="separate"/>
      </w:r>
      <w:r>
        <w:rPr>
          <w:highlight w:val="none"/>
        </w:rPr>
        <w:t>107</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_Toc30702 </w:instrText>
      </w:r>
      <w:r>
        <w:rPr>
          <w:highlight w:val="none"/>
        </w:rPr>
        <w:fldChar w:fldCharType="separate"/>
      </w:r>
      <w:r>
        <w:rPr>
          <w:rFonts w:hint="eastAsia"/>
          <w:highlight w:val="none"/>
          <w:lang w:val="en-US" w:eastAsia="zh-CN"/>
        </w:rPr>
        <w:t>6.4.2水土流失预测</w:t>
      </w:r>
      <w:r>
        <w:rPr>
          <w:highlight w:val="none"/>
        </w:rPr>
        <w:tab/>
      </w:r>
      <w:r>
        <w:rPr>
          <w:highlight w:val="none"/>
        </w:rPr>
        <w:fldChar w:fldCharType="begin"/>
      </w:r>
      <w:r>
        <w:rPr>
          <w:highlight w:val="none"/>
        </w:rPr>
        <w:instrText xml:space="preserve"> PAGEREF _Toc30702 </w:instrText>
      </w:r>
      <w:r>
        <w:rPr>
          <w:highlight w:val="none"/>
        </w:rPr>
        <w:fldChar w:fldCharType="separate"/>
      </w:r>
      <w:r>
        <w:rPr>
          <w:highlight w:val="none"/>
        </w:rPr>
        <w:t>108</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_Toc5113 </w:instrText>
      </w:r>
      <w:r>
        <w:rPr>
          <w:highlight w:val="none"/>
        </w:rPr>
        <w:fldChar w:fldCharType="separate"/>
      </w:r>
      <w:r>
        <w:rPr>
          <w:rFonts w:hint="eastAsia"/>
          <w:highlight w:val="none"/>
          <w:lang w:val="en-US" w:eastAsia="zh-CN"/>
        </w:rPr>
        <w:t>6.4.3水土流失危害</w:t>
      </w:r>
      <w:r>
        <w:rPr>
          <w:highlight w:val="none"/>
        </w:rPr>
        <w:tab/>
      </w:r>
      <w:r>
        <w:rPr>
          <w:highlight w:val="none"/>
        </w:rPr>
        <w:fldChar w:fldCharType="begin"/>
      </w:r>
      <w:r>
        <w:rPr>
          <w:highlight w:val="none"/>
        </w:rPr>
        <w:instrText xml:space="preserve"> PAGEREF _Toc5113 </w:instrText>
      </w:r>
      <w:r>
        <w:rPr>
          <w:highlight w:val="none"/>
        </w:rPr>
        <w:fldChar w:fldCharType="separate"/>
      </w:r>
      <w:r>
        <w:rPr>
          <w:highlight w:val="none"/>
        </w:rPr>
        <w:t>109</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_Toc15207 </w:instrText>
      </w:r>
      <w:r>
        <w:rPr>
          <w:highlight w:val="none"/>
        </w:rPr>
        <w:fldChar w:fldCharType="separate"/>
      </w:r>
      <w:r>
        <w:rPr>
          <w:rFonts w:hint="eastAsia"/>
          <w:highlight w:val="none"/>
          <w:lang w:val="en-US" w:eastAsia="zh-CN"/>
        </w:rPr>
        <w:t>6.4.4水土流失防治目标</w:t>
      </w:r>
      <w:r>
        <w:rPr>
          <w:highlight w:val="none"/>
        </w:rPr>
        <w:tab/>
      </w:r>
      <w:r>
        <w:rPr>
          <w:highlight w:val="none"/>
        </w:rPr>
        <w:fldChar w:fldCharType="begin"/>
      </w:r>
      <w:r>
        <w:rPr>
          <w:highlight w:val="none"/>
        </w:rPr>
        <w:instrText xml:space="preserve"> PAGEREF _Toc15207 </w:instrText>
      </w:r>
      <w:r>
        <w:rPr>
          <w:highlight w:val="none"/>
        </w:rPr>
        <w:fldChar w:fldCharType="separate"/>
      </w:r>
      <w:r>
        <w:rPr>
          <w:highlight w:val="none"/>
        </w:rPr>
        <w:t>110</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_Toc20066 </w:instrText>
      </w:r>
      <w:r>
        <w:rPr>
          <w:highlight w:val="none"/>
        </w:rPr>
        <w:fldChar w:fldCharType="separate"/>
      </w:r>
      <w:r>
        <w:rPr>
          <w:rFonts w:hint="eastAsia" w:cs="Times New Roman"/>
          <w:highlight w:val="none"/>
          <w:lang w:val="en-US" w:eastAsia="zh-CN"/>
        </w:rPr>
        <w:t>6.4</w:t>
      </w:r>
      <w:r>
        <w:rPr>
          <w:rFonts w:hint="eastAsia" w:ascii="Times New Roman" w:hAnsi="Times New Roman" w:cs="Times New Roman"/>
          <w:highlight w:val="none"/>
          <w:lang w:val="en-US" w:eastAsia="zh-CN"/>
        </w:rPr>
        <w:t>.5水土流失防治措施</w:t>
      </w:r>
      <w:r>
        <w:rPr>
          <w:highlight w:val="none"/>
        </w:rPr>
        <w:tab/>
      </w:r>
      <w:r>
        <w:rPr>
          <w:highlight w:val="none"/>
        </w:rPr>
        <w:fldChar w:fldCharType="begin"/>
      </w:r>
      <w:r>
        <w:rPr>
          <w:highlight w:val="none"/>
        </w:rPr>
        <w:instrText xml:space="preserve"> PAGEREF _Toc20066 </w:instrText>
      </w:r>
      <w:r>
        <w:rPr>
          <w:highlight w:val="none"/>
        </w:rPr>
        <w:fldChar w:fldCharType="separate"/>
      </w:r>
      <w:r>
        <w:rPr>
          <w:highlight w:val="none"/>
        </w:rPr>
        <w:t>110</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_Toc17873 </w:instrText>
      </w:r>
      <w:r>
        <w:rPr>
          <w:highlight w:val="none"/>
        </w:rPr>
        <w:fldChar w:fldCharType="separate"/>
      </w:r>
      <w:r>
        <w:rPr>
          <w:rFonts w:hint="eastAsia" w:cs="Times New Roman"/>
          <w:highlight w:val="none"/>
          <w:lang w:val="en-US" w:eastAsia="zh-CN"/>
        </w:rPr>
        <w:t>6.4</w:t>
      </w:r>
      <w:r>
        <w:rPr>
          <w:rFonts w:hint="eastAsia" w:ascii="Times New Roman" w:hAnsi="Times New Roman" w:cs="Times New Roman"/>
          <w:highlight w:val="none"/>
          <w:lang w:val="en-US" w:eastAsia="zh-CN"/>
        </w:rPr>
        <w:t>.6小结</w:t>
      </w:r>
      <w:r>
        <w:rPr>
          <w:highlight w:val="none"/>
        </w:rPr>
        <w:tab/>
      </w:r>
      <w:r>
        <w:rPr>
          <w:highlight w:val="none"/>
        </w:rPr>
        <w:fldChar w:fldCharType="begin"/>
      </w:r>
      <w:r>
        <w:rPr>
          <w:highlight w:val="none"/>
        </w:rPr>
        <w:instrText xml:space="preserve"> PAGEREF _Toc17873 </w:instrText>
      </w:r>
      <w:r>
        <w:rPr>
          <w:highlight w:val="none"/>
        </w:rPr>
        <w:fldChar w:fldCharType="separate"/>
      </w:r>
      <w:r>
        <w:rPr>
          <w:highlight w:val="none"/>
        </w:rPr>
        <w:t>112</w:t>
      </w:r>
      <w:r>
        <w:rPr>
          <w:highlight w:val="none"/>
        </w:rPr>
        <w:fldChar w:fldCharType="end"/>
      </w:r>
      <w:r>
        <w:rPr>
          <w:highlight w:val="none"/>
        </w:rPr>
        <w:fldChar w:fldCharType="end"/>
      </w:r>
    </w:p>
    <w:p>
      <w:pPr>
        <w:pStyle w:val="25"/>
        <w:tabs>
          <w:tab w:val="right" w:leader="dot" w:pos="9077"/>
        </w:tabs>
        <w:rPr>
          <w:highlight w:val="none"/>
        </w:rPr>
      </w:pPr>
      <w:r>
        <w:rPr>
          <w:highlight w:val="none"/>
        </w:rPr>
        <w:fldChar w:fldCharType="begin"/>
      </w:r>
      <w:r>
        <w:rPr>
          <w:highlight w:val="none"/>
        </w:rPr>
        <w:instrText xml:space="preserve"> HYPERLINK \l _Toc10707 </w:instrText>
      </w:r>
      <w:r>
        <w:rPr>
          <w:highlight w:val="none"/>
        </w:rPr>
        <w:fldChar w:fldCharType="separate"/>
      </w:r>
      <w:r>
        <w:rPr>
          <w:rFonts w:hint="eastAsia"/>
          <w:highlight w:val="none"/>
          <w:lang w:val="en-US" w:eastAsia="zh-CN"/>
        </w:rPr>
        <w:t>6.5相关符合性分析</w:t>
      </w:r>
      <w:r>
        <w:rPr>
          <w:highlight w:val="none"/>
        </w:rPr>
        <w:tab/>
      </w:r>
      <w:r>
        <w:rPr>
          <w:highlight w:val="none"/>
        </w:rPr>
        <w:fldChar w:fldCharType="begin"/>
      </w:r>
      <w:r>
        <w:rPr>
          <w:highlight w:val="none"/>
        </w:rPr>
        <w:instrText xml:space="preserve"> PAGEREF _Toc10707 </w:instrText>
      </w:r>
      <w:r>
        <w:rPr>
          <w:highlight w:val="none"/>
        </w:rPr>
        <w:fldChar w:fldCharType="separate"/>
      </w:r>
      <w:r>
        <w:rPr>
          <w:highlight w:val="none"/>
        </w:rPr>
        <w:t>113</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_Toc19597 </w:instrText>
      </w:r>
      <w:r>
        <w:rPr>
          <w:highlight w:val="none"/>
        </w:rPr>
        <w:fldChar w:fldCharType="separate"/>
      </w:r>
      <w:r>
        <w:rPr>
          <w:rFonts w:hint="eastAsia"/>
          <w:highlight w:val="none"/>
          <w:lang w:val="en-US" w:eastAsia="zh-CN"/>
        </w:rPr>
        <w:t>6.5.1与国家产业政策符合性分析</w:t>
      </w:r>
      <w:r>
        <w:rPr>
          <w:highlight w:val="none"/>
        </w:rPr>
        <w:tab/>
      </w:r>
      <w:r>
        <w:rPr>
          <w:highlight w:val="none"/>
        </w:rPr>
        <w:fldChar w:fldCharType="begin"/>
      </w:r>
      <w:r>
        <w:rPr>
          <w:highlight w:val="none"/>
        </w:rPr>
        <w:instrText xml:space="preserve"> PAGEREF _Toc19597 </w:instrText>
      </w:r>
      <w:r>
        <w:rPr>
          <w:highlight w:val="none"/>
        </w:rPr>
        <w:fldChar w:fldCharType="separate"/>
      </w:r>
      <w:r>
        <w:rPr>
          <w:highlight w:val="none"/>
        </w:rPr>
        <w:t>113</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_Toc12045 </w:instrText>
      </w:r>
      <w:r>
        <w:rPr>
          <w:highlight w:val="none"/>
        </w:rPr>
        <w:fldChar w:fldCharType="separate"/>
      </w:r>
      <w:r>
        <w:rPr>
          <w:rFonts w:hint="eastAsia"/>
          <w:highlight w:val="none"/>
          <w:lang w:val="en-US" w:eastAsia="zh-CN"/>
        </w:rPr>
        <w:t>6.5.2规划符合性分析</w:t>
      </w:r>
      <w:r>
        <w:rPr>
          <w:highlight w:val="none"/>
        </w:rPr>
        <w:tab/>
      </w:r>
      <w:r>
        <w:rPr>
          <w:highlight w:val="none"/>
        </w:rPr>
        <w:fldChar w:fldCharType="begin"/>
      </w:r>
      <w:r>
        <w:rPr>
          <w:highlight w:val="none"/>
        </w:rPr>
        <w:instrText xml:space="preserve"> PAGEREF _Toc12045 </w:instrText>
      </w:r>
      <w:r>
        <w:rPr>
          <w:highlight w:val="none"/>
        </w:rPr>
        <w:fldChar w:fldCharType="separate"/>
      </w:r>
      <w:r>
        <w:rPr>
          <w:highlight w:val="none"/>
        </w:rPr>
        <w:t>113</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_Toc17079 </w:instrText>
      </w:r>
      <w:r>
        <w:rPr>
          <w:highlight w:val="none"/>
        </w:rPr>
        <w:fldChar w:fldCharType="separate"/>
      </w:r>
      <w:r>
        <w:rPr>
          <w:rFonts w:hint="eastAsia"/>
          <w:highlight w:val="none"/>
          <w:lang w:val="en-US" w:eastAsia="zh-CN"/>
        </w:rPr>
        <w:t>6.5.3项目选址合理性分析</w:t>
      </w:r>
      <w:r>
        <w:rPr>
          <w:highlight w:val="none"/>
        </w:rPr>
        <w:tab/>
      </w:r>
      <w:r>
        <w:rPr>
          <w:highlight w:val="none"/>
        </w:rPr>
        <w:fldChar w:fldCharType="begin"/>
      </w:r>
      <w:r>
        <w:rPr>
          <w:highlight w:val="none"/>
        </w:rPr>
        <w:instrText xml:space="preserve"> PAGEREF _Toc17079 </w:instrText>
      </w:r>
      <w:r>
        <w:rPr>
          <w:highlight w:val="none"/>
        </w:rPr>
        <w:fldChar w:fldCharType="separate"/>
      </w:r>
      <w:r>
        <w:rPr>
          <w:highlight w:val="none"/>
        </w:rPr>
        <w:t>117</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_Toc17582 </w:instrText>
      </w:r>
      <w:r>
        <w:rPr>
          <w:highlight w:val="none"/>
        </w:rPr>
        <w:fldChar w:fldCharType="separate"/>
      </w:r>
      <w:r>
        <w:rPr>
          <w:rFonts w:hint="eastAsia"/>
          <w:highlight w:val="none"/>
          <w:lang w:val="en-US" w:eastAsia="zh-CN"/>
        </w:rPr>
        <w:t>6.5.4小结</w:t>
      </w:r>
      <w:r>
        <w:rPr>
          <w:highlight w:val="none"/>
        </w:rPr>
        <w:tab/>
      </w:r>
      <w:r>
        <w:rPr>
          <w:highlight w:val="none"/>
        </w:rPr>
        <w:fldChar w:fldCharType="begin"/>
      </w:r>
      <w:r>
        <w:rPr>
          <w:highlight w:val="none"/>
        </w:rPr>
        <w:instrText xml:space="preserve"> PAGEREF _Toc17582 </w:instrText>
      </w:r>
      <w:r>
        <w:rPr>
          <w:highlight w:val="none"/>
        </w:rPr>
        <w:fldChar w:fldCharType="separate"/>
      </w:r>
      <w:r>
        <w:rPr>
          <w:highlight w:val="none"/>
        </w:rPr>
        <w:t>118</w:t>
      </w:r>
      <w:r>
        <w:rPr>
          <w:highlight w:val="none"/>
        </w:rPr>
        <w:fldChar w:fldCharType="end"/>
      </w:r>
      <w:r>
        <w:rPr>
          <w:highlight w:val="none"/>
        </w:rPr>
        <w:fldChar w:fldCharType="end"/>
      </w:r>
    </w:p>
    <w:p>
      <w:pPr>
        <w:pStyle w:val="23"/>
        <w:tabs>
          <w:tab w:val="right" w:leader="dot" w:pos="9077"/>
        </w:tabs>
        <w:rPr>
          <w:highlight w:val="none"/>
        </w:rPr>
      </w:pPr>
      <w:r>
        <w:rPr>
          <w:highlight w:val="none"/>
        </w:rPr>
        <w:fldChar w:fldCharType="begin"/>
      </w:r>
      <w:r>
        <w:rPr>
          <w:highlight w:val="none"/>
        </w:rPr>
        <w:instrText xml:space="preserve"> HYPERLINK \l _Toc31896 </w:instrText>
      </w:r>
      <w:r>
        <w:rPr>
          <w:highlight w:val="none"/>
        </w:rPr>
        <w:fldChar w:fldCharType="separate"/>
      </w:r>
      <w:r>
        <w:rPr>
          <w:rFonts w:hint="eastAsia"/>
          <w:highlight w:val="none"/>
          <w:lang w:val="en-US" w:eastAsia="zh-CN"/>
        </w:rPr>
        <w:t>7</w:t>
      </w:r>
      <w:r>
        <w:rPr>
          <w:rFonts w:hint="eastAsia"/>
          <w:highlight w:val="none"/>
          <w:lang w:val="zh-CN"/>
        </w:rPr>
        <w:t>环境风险</w:t>
      </w:r>
      <w:r>
        <w:rPr>
          <w:highlight w:val="none"/>
        </w:rPr>
        <w:tab/>
      </w:r>
      <w:r>
        <w:rPr>
          <w:highlight w:val="none"/>
        </w:rPr>
        <w:fldChar w:fldCharType="begin"/>
      </w:r>
      <w:r>
        <w:rPr>
          <w:highlight w:val="none"/>
        </w:rPr>
        <w:instrText xml:space="preserve"> PAGEREF _Toc31896 </w:instrText>
      </w:r>
      <w:r>
        <w:rPr>
          <w:highlight w:val="none"/>
        </w:rPr>
        <w:fldChar w:fldCharType="separate"/>
      </w:r>
      <w:r>
        <w:rPr>
          <w:highlight w:val="none"/>
        </w:rPr>
        <w:t>119</w:t>
      </w:r>
      <w:r>
        <w:rPr>
          <w:highlight w:val="none"/>
        </w:rPr>
        <w:fldChar w:fldCharType="end"/>
      </w:r>
      <w:r>
        <w:rPr>
          <w:highlight w:val="none"/>
        </w:rPr>
        <w:fldChar w:fldCharType="end"/>
      </w:r>
    </w:p>
    <w:p>
      <w:pPr>
        <w:pStyle w:val="25"/>
        <w:tabs>
          <w:tab w:val="right" w:leader="dot" w:pos="9077"/>
        </w:tabs>
        <w:rPr>
          <w:highlight w:val="none"/>
        </w:rPr>
      </w:pPr>
      <w:r>
        <w:rPr>
          <w:highlight w:val="none"/>
        </w:rPr>
        <w:fldChar w:fldCharType="begin"/>
      </w:r>
      <w:r>
        <w:rPr>
          <w:highlight w:val="none"/>
        </w:rPr>
        <w:instrText xml:space="preserve"> HYPERLINK \l _Toc32091 </w:instrText>
      </w:r>
      <w:r>
        <w:rPr>
          <w:highlight w:val="none"/>
        </w:rPr>
        <w:fldChar w:fldCharType="separate"/>
      </w:r>
      <w:r>
        <w:rPr>
          <w:rFonts w:hint="eastAsia"/>
          <w:highlight w:val="none"/>
          <w:lang w:val="en-US" w:eastAsia="zh-CN"/>
        </w:rPr>
        <w:t>7.1评价原则</w:t>
      </w:r>
      <w:r>
        <w:rPr>
          <w:highlight w:val="none"/>
        </w:rPr>
        <w:tab/>
      </w:r>
      <w:r>
        <w:rPr>
          <w:highlight w:val="none"/>
        </w:rPr>
        <w:fldChar w:fldCharType="begin"/>
      </w:r>
      <w:r>
        <w:rPr>
          <w:highlight w:val="none"/>
        </w:rPr>
        <w:instrText xml:space="preserve"> PAGEREF _Toc32091 </w:instrText>
      </w:r>
      <w:r>
        <w:rPr>
          <w:highlight w:val="none"/>
        </w:rPr>
        <w:fldChar w:fldCharType="separate"/>
      </w:r>
      <w:r>
        <w:rPr>
          <w:highlight w:val="none"/>
        </w:rPr>
        <w:t>119</w:t>
      </w:r>
      <w:r>
        <w:rPr>
          <w:highlight w:val="none"/>
        </w:rPr>
        <w:fldChar w:fldCharType="end"/>
      </w:r>
      <w:r>
        <w:rPr>
          <w:highlight w:val="none"/>
        </w:rPr>
        <w:fldChar w:fldCharType="end"/>
      </w:r>
    </w:p>
    <w:p>
      <w:pPr>
        <w:pStyle w:val="25"/>
        <w:tabs>
          <w:tab w:val="right" w:leader="dot" w:pos="9077"/>
        </w:tabs>
        <w:rPr>
          <w:highlight w:val="none"/>
        </w:rPr>
      </w:pPr>
      <w:r>
        <w:rPr>
          <w:highlight w:val="none"/>
        </w:rPr>
        <w:fldChar w:fldCharType="begin"/>
      </w:r>
      <w:r>
        <w:rPr>
          <w:highlight w:val="none"/>
        </w:rPr>
        <w:instrText xml:space="preserve"> HYPERLINK \l _Toc7102 </w:instrText>
      </w:r>
      <w:r>
        <w:rPr>
          <w:highlight w:val="none"/>
        </w:rPr>
        <w:fldChar w:fldCharType="separate"/>
      </w:r>
      <w:r>
        <w:rPr>
          <w:rFonts w:hint="eastAsia"/>
          <w:highlight w:val="none"/>
          <w:lang w:val="en-US" w:eastAsia="zh-CN"/>
        </w:rPr>
        <w:t>7.2评价工作等级</w:t>
      </w:r>
      <w:r>
        <w:rPr>
          <w:highlight w:val="none"/>
        </w:rPr>
        <w:tab/>
      </w:r>
      <w:r>
        <w:rPr>
          <w:highlight w:val="none"/>
        </w:rPr>
        <w:fldChar w:fldCharType="begin"/>
      </w:r>
      <w:r>
        <w:rPr>
          <w:highlight w:val="none"/>
        </w:rPr>
        <w:instrText xml:space="preserve"> PAGEREF _Toc7102 </w:instrText>
      </w:r>
      <w:r>
        <w:rPr>
          <w:highlight w:val="none"/>
        </w:rPr>
        <w:fldChar w:fldCharType="separate"/>
      </w:r>
      <w:r>
        <w:rPr>
          <w:highlight w:val="none"/>
        </w:rPr>
        <w:t>119</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_Toc20478 </w:instrText>
      </w:r>
      <w:r>
        <w:rPr>
          <w:highlight w:val="none"/>
        </w:rPr>
        <w:fldChar w:fldCharType="separate"/>
      </w:r>
      <w:r>
        <w:rPr>
          <w:rFonts w:hint="eastAsia" w:cs="宋体"/>
          <w:highlight w:val="none"/>
          <w:lang w:val="en-US" w:eastAsia="zh-CN"/>
        </w:rPr>
        <w:t>7</w:t>
      </w:r>
      <w:r>
        <w:rPr>
          <w:rFonts w:hint="eastAsia" w:ascii="Times New Roman" w:hAnsi="Times New Roman" w:cs="宋体"/>
          <w:highlight w:val="none"/>
          <w:lang w:val="en-US" w:eastAsia="zh-CN"/>
        </w:rPr>
        <w:t>.2.1评价等级</w:t>
      </w:r>
      <w:r>
        <w:rPr>
          <w:highlight w:val="none"/>
        </w:rPr>
        <w:tab/>
      </w:r>
      <w:r>
        <w:rPr>
          <w:highlight w:val="none"/>
        </w:rPr>
        <w:fldChar w:fldCharType="begin"/>
      </w:r>
      <w:r>
        <w:rPr>
          <w:highlight w:val="none"/>
        </w:rPr>
        <w:instrText xml:space="preserve"> PAGEREF _Toc20478 </w:instrText>
      </w:r>
      <w:r>
        <w:rPr>
          <w:highlight w:val="none"/>
        </w:rPr>
        <w:fldChar w:fldCharType="separate"/>
      </w:r>
      <w:r>
        <w:rPr>
          <w:highlight w:val="none"/>
        </w:rPr>
        <w:t>119</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_Toc28857 </w:instrText>
      </w:r>
      <w:r>
        <w:rPr>
          <w:highlight w:val="none"/>
        </w:rPr>
        <w:fldChar w:fldCharType="separate"/>
      </w:r>
      <w:r>
        <w:rPr>
          <w:rFonts w:hint="eastAsia" w:cs="宋体"/>
          <w:highlight w:val="none"/>
          <w:lang w:val="en-US" w:eastAsia="zh-CN"/>
        </w:rPr>
        <w:t>7</w:t>
      </w:r>
      <w:r>
        <w:rPr>
          <w:rFonts w:hint="eastAsia" w:ascii="Times New Roman" w:hAnsi="Times New Roman" w:cs="宋体"/>
          <w:highlight w:val="none"/>
          <w:lang w:val="en-US" w:eastAsia="zh-CN"/>
        </w:rPr>
        <w:t>.2.2评价范围</w:t>
      </w:r>
      <w:r>
        <w:rPr>
          <w:highlight w:val="none"/>
        </w:rPr>
        <w:tab/>
      </w:r>
      <w:r>
        <w:rPr>
          <w:highlight w:val="none"/>
        </w:rPr>
        <w:fldChar w:fldCharType="begin"/>
      </w:r>
      <w:r>
        <w:rPr>
          <w:highlight w:val="none"/>
        </w:rPr>
        <w:instrText xml:space="preserve"> PAGEREF _Toc28857 </w:instrText>
      </w:r>
      <w:r>
        <w:rPr>
          <w:highlight w:val="none"/>
        </w:rPr>
        <w:fldChar w:fldCharType="separate"/>
      </w:r>
      <w:r>
        <w:rPr>
          <w:highlight w:val="none"/>
        </w:rPr>
        <w:t>119</w:t>
      </w:r>
      <w:r>
        <w:rPr>
          <w:highlight w:val="none"/>
        </w:rPr>
        <w:fldChar w:fldCharType="end"/>
      </w:r>
      <w:r>
        <w:rPr>
          <w:highlight w:val="none"/>
        </w:rPr>
        <w:fldChar w:fldCharType="end"/>
      </w:r>
    </w:p>
    <w:p>
      <w:pPr>
        <w:pStyle w:val="25"/>
        <w:tabs>
          <w:tab w:val="right" w:leader="dot" w:pos="9077"/>
        </w:tabs>
        <w:rPr>
          <w:highlight w:val="none"/>
        </w:rPr>
      </w:pPr>
      <w:r>
        <w:rPr>
          <w:highlight w:val="none"/>
        </w:rPr>
        <w:fldChar w:fldCharType="begin"/>
      </w:r>
      <w:r>
        <w:rPr>
          <w:highlight w:val="none"/>
        </w:rPr>
        <w:instrText xml:space="preserve"> HYPERLINK \l _Toc21256 </w:instrText>
      </w:r>
      <w:r>
        <w:rPr>
          <w:highlight w:val="none"/>
        </w:rPr>
        <w:fldChar w:fldCharType="separate"/>
      </w:r>
      <w:r>
        <w:rPr>
          <w:rFonts w:hint="eastAsia"/>
          <w:highlight w:val="none"/>
          <w:lang w:val="en-US" w:eastAsia="zh-CN"/>
        </w:rPr>
        <w:t>7</w:t>
      </w:r>
      <w:r>
        <w:rPr>
          <w:rFonts w:hint="eastAsia"/>
          <w:highlight w:val="none"/>
        </w:rPr>
        <w:t>.</w:t>
      </w:r>
      <w:r>
        <w:rPr>
          <w:rFonts w:hint="eastAsia"/>
          <w:highlight w:val="none"/>
          <w:lang w:val="en-US" w:eastAsia="zh-CN"/>
        </w:rPr>
        <w:t>3</w:t>
      </w:r>
      <w:r>
        <w:rPr>
          <w:rFonts w:hint="eastAsia"/>
          <w:highlight w:val="none"/>
        </w:rPr>
        <w:t>评价依据</w:t>
      </w:r>
      <w:r>
        <w:rPr>
          <w:highlight w:val="none"/>
        </w:rPr>
        <w:tab/>
      </w:r>
      <w:r>
        <w:rPr>
          <w:highlight w:val="none"/>
        </w:rPr>
        <w:fldChar w:fldCharType="begin"/>
      </w:r>
      <w:r>
        <w:rPr>
          <w:highlight w:val="none"/>
        </w:rPr>
        <w:instrText xml:space="preserve"> PAGEREF _Toc21256 </w:instrText>
      </w:r>
      <w:r>
        <w:rPr>
          <w:highlight w:val="none"/>
        </w:rPr>
        <w:fldChar w:fldCharType="separate"/>
      </w:r>
      <w:r>
        <w:rPr>
          <w:highlight w:val="none"/>
        </w:rPr>
        <w:t>120</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_Toc10185 </w:instrText>
      </w:r>
      <w:r>
        <w:rPr>
          <w:highlight w:val="none"/>
        </w:rPr>
        <w:fldChar w:fldCharType="separate"/>
      </w:r>
      <w:r>
        <w:rPr>
          <w:rFonts w:hint="eastAsia" w:cs="宋体"/>
          <w:highlight w:val="none"/>
          <w:lang w:val="en-US" w:eastAsia="zh-CN"/>
        </w:rPr>
        <w:t>7</w:t>
      </w:r>
      <w:r>
        <w:rPr>
          <w:rFonts w:cs="宋体"/>
          <w:highlight w:val="none"/>
          <w:lang w:val="zh-CN"/>
        </w:rPr>
        <w:t>.</w:t>
      </w:r>
      <w:r>
        <w:rPr>
          <w:rFonts w:hint="eastAsia" w:cs="宋体"/>
          <w:highlight w:val="none"/>
          <w:lang w:val="en-US" w:eastAsia="zh-CN"/>
        </w:rPr>
        <w:t>3</w:t>
      </w:r>
      <w:r>
        <w:rPr>
          <w:rFonts w:cs="宋体"/>
          <w:highlight w:val="none"/>
        </w:rPr>
        <w:t>.1</w:t>
      </w:r>
      <w:r>
        <w:rPr>
          <w:rFonts w:cs="宋体"/>
          <w:highlight w:val="none"/>
          <w:lang w:val="zh-CN"/>
        </w:rPr>
        <w:t>风险</w:t>
      </w:r>
      <w:r>
        <w:rPr>
          <w:rFonts w:hint="eastAsia" w:cs="宋体"/>
          <w:highlight w:val="none"/>
          <w:lang w:val="zh-CN"/>
        </w:rPr>
        <w:t>源</w:t>
      </w:r>
      <w:r>
        <w:rPr>
          <w:rFonts w:cs="宋体"/>
          <w:highlight w:val="none"/>
          <w:lang w:val="zh-CN"/>
        </w:rPr>
        <w:t>调查</w:t>
      </w:r>
      <w:r>
        <w:rPr>
          <w:highlight w:val="none"/>
        </w:rPr>
        <w:tab/>
      </w:r>
      <w:r>
        <w:rPr>
          <w:highlight w:val="none"/>
        </w:rPr>
        <w:fldChar w:fldCharType="begin"/>
      </w:r>
      <w:r>
        <w:rPr>
          <w:highlight w:val="none"/>
        </w:rPr>
        <w:instrText xml:space="preserve"> PAGEREF _Toc10185 </w:instrText>
      </w:r>
      <w:r>
        <w:rPr>
          <w:highlight w:val="none"/>
        </w:rPr>
        <w:fldChar w:fldCharType="separate"/>
      </w:r>
      <w:r>
        <w:rPr>
          <w:highlight w:val="none"/>
        </w:rPr>
        <w:t>120</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_Toc6890 </w:instrText>
      </w:r>
      <w:r>
        <w:rPr>
          <w:highlight w:val="none"/>
        </w:rPr>
        <w:fldChar w:fldCharType="separate"/>
      </w:r>
      <w:r>
        <w:rPr>
          <w:rFonts w:hint="eastAsia" w:cs="宋体"/>
          <w:highlight w:val="none"/>
          <w:lang w:val="en-US" w:eastAsia="zh-CN"/>
        </w:rPr>
        <w:t>7</w:t>
      </w:r>
      <w:r>
        <w:rPr>
          <w:rFonts w:cs="宋体"/>
          <w:highlight w:val="none"/>
        </w:rPr>
        <w:t>.</w:t>
      </w:r>
      <w:r>
        <w:rPr>
          <w:rFonts w:hint="eastAsia" w:cs="宋体"/>
          <w:highlight w:val="none"/>
          <w:lang w:val="en-US" w:eastAsia="zh-CN"/>
        </w:rPr>
        <w:t>3</w:t>
      </w:r>
      <w:r>
        <w:rPr>
          <w:rFonts w:cs="宋体"/>
          <w:highlight w:val="none"/>
        </w:rPr>
        <w:t>.2环境风险潜势初判</w:t>
      </w:r>
      <w:r>
        <w:rPr>
          <w:highlight w:val="none"/>
        </w:rPr>
        <w:tab/>
      </w:r>
      <w:r>
        <w:rPr>
          <w:highlight w:val="none"/>
        </w:rPr>
        <w:fldChar w:fldCharType="begin"/>
      </w:r>
      <w:r>
        <w:rPr>
          <w:highlight w:val="none"/>
        </w:rPr>
        <w:instrText xml:space="preserve"> PAGEREF _Toc6890 </w:instrText>
      </w:r>
      <w:r>
        <w:rPr>
          <w:highlight w:val="none"/>
        </w:rPr>
        <w:fldChar w:fldCharType="separate"/>
      </w:r>
      <w:r>
        <w:rPr>
          <w:highlight w:val="none"/>
        </w:rPr>
        <w:t>126</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_Toc9 </w:instrText>
      </w:r>
      <w:r>
        <w:rPr>
          <w:highlight w:val="none"/>
        </w:rPr>
        <w:fldChar w:fldCharType="separate"/>
      </w:r>
      <w:r>
        <w:rPr>
          <w:rFonts w:hint="eastAsia" w:cs="宋体"/>
          <w:highlight w:val="none"/>
          <w:lang w:val="en-US" w:eastAsia="zh-CN"/>
        </w:rPr>
        <w:t>7</w:t>
      </w:r>
      <w:r>
        <w:rPr>
          <w:rFonts w:cs="宋体"/>
          <w:highlight w:val="none"/>
        </w:rPr>
        <w:t>.2.3评价等级</w:t>
      </w:r>
      <w:r>
        <w:rPr>
          <w:highlight w:val="none"/>
        </w:rPr>
        <w:tab/>
      </w:r>
      <w:r>
        <w:rPr>
          <w:highlight w:val="none"/>
        </w:rPr>
        <w:fldChar w:fldCharType="begin"/>
      </w:r>
      <w:r>
        <w:rPr>
          <w:highlight w:val="none"/>
        </w:rPr>
        <w:instrText xml:space="preserve"> PAGEREF _Toc9 </w:instrText>
      </w:r>
      <w:r>
        <w:rPr>
          <w:highlight w:val="none"/>
        </w:rPr>
        <w:fldChar w:fldCharType="separate"/>
      </w:r>
      <w:r>
        <w:rPr>
          <w:highlight w:val="none"/>
        </w:rPr>
        <w:t>127</w:t>
      </w:r>
      <w:r>
        <w:rPr>
          <w:highlight w:val="none"/>
        </w:rPr>
        <w:fldChar w:fldCharType="end"/>
      </w:r>
      <w:r>
        <w:rPr>
          <w:highlight w:val="none"/>
        </w:rPr>
        <w:fldChar w:fldCharType="end"/>
      </w:r>
    </w:p>
    <w:p>
      <w:pPr>
        <w:pStyle w:val="25"/>
        <w:tabs>
          <w:tab w:val="right" w:leader="dot" w:pos="9077"/>
        </w:tabs>
        <w:rPr>
          <w:highlight w:val="none"/>
        </w:rPr>
      </w:pPr>
      <w:r>
        <w:rPr>
          <w:highlight w:val="none"/>
        </w:rPr>
        <w:fldChar w:fldCharType="begin"/>
      </w:r>
      <w:r>
        <w:rPr>
          <w:highlight w:val="none"/>
        </w:rPr>
        <w:instrText xml:space="preserve"> HYPERLINK \l _Toc7449 </w:instrText>
      </w:r>
      <w:r>
        <w:rPr>
          <w:highlight w:val="none"/>
        </w:rPr>
        <w:fldChar w:fldCharType="separate"/>
      </w:r>
      <w:r>
        <w:rPr>
          <w:rFonts w:hint="eastAsia"/>
          <w:highlight w:val="none"/>
          <w:lang w:val="en-US" w:eastAsia="zh-CN"/>
        </w:rPr>
        <w:t>7</w:t>
      </w:r>
      <w:r>
        <w:rPr>
          <w:rFonts w:hint="eastAsia"/>
          <w:highlight w:val="none"/>
        </w:rPr>
        <w:t>.</w:t>
      </w:r>
      <w:r>
        <w:rPr>
          <w:rFonts w:hint="eastAsia"/>
          <w:highlight w:val="none"/>
          <w:lang w:val="en-US" w:eastAsia="zh-CN"/>
        </w:rPr>
        <w:t>4</w:t>
      </w:r>
      <w:r>
        <w:rPr>
          <w:rFonts w:hint="eastAsia"/>
          <w:highlight w:val="none"/>
        </w:rPr>
        <w:t>环境敏感目标概况</w:t>
      </w:r>
      <w:r>
        <w:rPr>
          <w:highlight w:val="none"/>
        </w:rPr>
        <w:tab/>
      </w:r>
      <w:r>
        <w:rPr>
          <w:highlight w:val="none"/>
        </w:rPr>
        <w:fldChar w:fldCharType="begin"/>
      </w:r>
      <w:r>
        <w:rPr>
          <w:highlight w:val="none"/>
        </w:rPr>
        <w:instrText xml:space="preserve"> PAGEREF _Toc7449 </w:instrText>
      </w:r>
      <w:r>
        <w:rPr>
          <w:highlight w:val="none"/>
        </w:rPr>
        <w:fldChar w:fldCharType="separate"/>
      </w:r>
      <w:r>
        <w:rPr>
          <w:highlight w:val="none"/>
        </w:rPr>
        <w:t>128</w:t>
      </w:r>
      <w:r>
        <w:rPr>
          <w:highlight w:val="none"/>
        </w:rPr>
        <w:fldChar w:fldCharType="end"/>
      </w:r>
      <w:r>
        <w:rPr>
          <w:highlight w:val="none"/>
        </w:rPr>
        <w:fldChar w:fldCharType="end"/>
      </w:r>
    </w:p>
    <w:p>
      <w:pPr>
        <w:pStyle w:val="25"/>
        <w:tabs>
          <w:tab w:val="right" w:leader="dot" w:pos="9077"/>
        </w:tabs>
        <w:rPr>
          <w:highlight w:val="none"/>
        </w:rPr>
      </w:pPr>
      <w:r>
        <w:rPr>
          <w:highlight w:val="none"/>
        </w:rPr>
        <w:fldChar w:fldCharType="begin"/>
      </w:r>
      <w:r>
        <w:rPr>
          <w:highlight w:val="none"/>
        </w:rPr>
        <w:instrText xml:space="preserve"> HYPERLINK \l _Toc2260 </w:instrText>
      </w:r>
      <w:r>
        <w:rPr>
          <w:highlight w:val="none"/>
        </w:rPr>
        <w:fldChar w:fldCharType="separate"/>
      </w:r>
      <w:r>
        <w:rPr>
          <w:rFonts w:hint="eastAsia"/>
          <w:highlight w:val="none"/>
          <w:lang w:val="en-US" w:eastAsia="zh-CN"/>
        </w:rPr>
        <w:t>7</w:t>
      </w:r>
      <w:r>
        <w:rPr>
          <w:rFonts w:hint="eastAsia"/>
          <w:highlight w:val="none"/>
        </w:rPr>
        <w:t>.</w:t>
      </w:r>
      <w:r>
        <w:rPr>
          <w:rFonts w:hint="eastAsia"/>
          <w:highlight w:val="none"/>
          <w:lang w:val="en-US" w:eastAsia="zh-CN"/>
        </w:rPr>
        <w:t>5</w:t>
      </w:r>
      <w:r>
        <w:rPr>
          <w:rFonts w:hint="eastAsia"/>
          <w:highlight w:val="none"/>
        </w:rPr>
        <w:t>环境风险识别</w:t>
      </w:r>
      <w:r>
        <w:rPr>
          <w:highlight w:val="none"/>
        </w:rPr>
        <w:tab/>
      </w:r>
      <w:r>
        <w:rPr>
          <w:highlight w:val="none"/>
        </w:rPr>
        <w:fldChar w:fldCharType="begin"/>
      </w:r>
      <w:r>
        <w:rPr>
          <w:highlight w:val="none"/>
        </w:rPr>
        <w:instrText xml:space="preserve"> PAGEREF _Toc2260 </w:instrText>
      </w:r>
      <w:r>
        <w:rPr>
          <w:highlight w:val="none"/>
        </w:rPr>
        <w:fldChar w:fldCharType="separate"/>
      </w:r>
      <w:r>
        <w:rPr>
          <w:highlight w:val="none"/>
        </w:rPr>
        <w:t>128</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_Toc17490 </w:instrText>
      </w:r>
      <w:r>
        <w:rPr>
          <w:highlight w:val="none"/>
        </w:rPr>
        <w:fldChar w:fldCharType="separate"/>
      </w:r>
      <w:r>
        <w:rPr>
          <w:rFonts w:hint="eastAsia" w:cs="宋体"/>
          <w:highlight w:val="none"/>
          <w:lang w:val="en-US" w:eastAsia="zh-CN"/>
        </w:rPr>
        <w:t>7</w:t>
      </w:r>
      <w:r>
        <w:rPr>
          <w:rFonts w:cs="宋体"/>
          <w:highlight w:val="none"/>
        </w:rPr>
        <w:t>.</w:t>
      </w:r>
      <w:r>
        <w:rPr>
          <w:rFonts w:hint="eastAsia" w:cs="宋体"/>
          <w:highlight w:val="none"/>
          <w:lang w:val="en-US" w:eastAsia="zh-CN"/>
        </w:rPr>
        <w:t>5</w:t>
      </w:r>
      <w:r>
        <w:rPr>
          <w:rFonts w:cs="宋体"/>
          <w:highlight w:val="none"/>
        </w:rPr>
        <w:t>.1主要危险物质及分布情况</w:t>
      </w:r>
      <w:r>
        <w:rPr>
          <w:highlight w:val="none"/>
        </w:rPr>
        <w:tab/>
      </w:r>
      <w:r>
        <w:rPr>
          <w:highlight w:val="none"/>
        </w:rPr>
        <w:fldChar w:fldCharType="begin"/>
      </w:r>
      <w:r>
        <w:rPr>
          <w:highlight w:val="none"/>
        </w:rPr>
        <w:instrText xml:space="preserve"> PAGEREF _Toc17490 </w:instrText>
      </w:r>
      <w:r>
        <w:rPr>
          <w:highlight w:val="none"/>
        </w:rPr>
        <w:fldChar w:fldCharType="separate"/>
      </w:r>
      <w:r>
        <w:rPr>
          <w:highlight w:val="none"/>
        </w:rPr>
        <w:t>128</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_Toc32634 </w:instrText>
      </w:r>
      <w:r>
        <w:rPr>
          <w:highlight w:val="none"/>
        </w:rPr>
        <w:fldChar w:fldCharType="separate"/>
      </w:r>
      <w:r>
        <w:rPr>
          <w:rFonts w:hint="eastAsia" w:cs="宋体"/>
          <w:highlight w:val="none"/>
          <w:lang w:val="en-US" w:eastAsia="zh-CN"/>
        </w:rPr>
        <w:t>7</w:t>
      </w:r>
      <w:r>
        <w:rPr>
          <w:rFonts w:cs="宋体"/>
          <w:highlight w:val="none"/>
        </w:rPr>
        <w:t>.</w:t>
      </w:r>
      <w:r>
        <w:rPr>
          <w:rFonts w:hint="eastAsia" w:cs="宋体"/>
          <w:highlight w:val="none"/>
          <w:lang w:val="en-US" w:eastAsia="zh-CN"/>
        </w:rPr>
        <w:t>5</w:t>
      </w:r>
      <w:r>
        <w:rPr>
          <w:rFonts w:cs="宋体"/>
          <w:highlight w:val="none"/>
        </w:rPr>
        <w:t>.2.可能影响环境的途径</w:t>
      </w:r>
      <w:r>
        <w:rPr>
          <w:highlight w:val="none"/>
        </w:rPr>
        <w:tab/>
      </w:r>
      <w:r>
        <w:rPr>
          <w:highlight w:val="none"/>
        </w:rPr>
        <w:fldChar w:fldCharType="begin"/>
      </w:r>
      <w:r>
        <w:rPr>
          <w:highlight w:val="none"/>
        </w:rPr>
        <w:instrText xml:space="preserve"> PAGEREF _Toc32634 </w:instrText>
      </w:r>
      <w:r>
        <w:rPr>
          <w:highlight w:val="none"/>
        </w:rPr>
        <w:fldChar w:fldCharType="separate"/>
      </w:r>
      <w:r>
        <w:rPr>
          <w:highlight w:val="none"/>
        </w:rPr>
        <w:t>128</w:t>
      </w:r>
      <w:r>
        <w:rPr>
          <w:highlight w:val="none"/>
        </w:rPr>
        <w:fldChar w:fldCharType="end"/>
      </w:r>
      <w:r>
        <w:rPr>
          <w:highlight w:val="none"/>
        </w:rPr>
        <w:fldChar w:fldCharType="end"/>
      </w:r>
    </w:p>
    <w:p>
      <w:pPr>
        <w:pStyle w:val="25"/>
        <w:tabs>
          <w:tab w:val="right" w:leader="dot" w:pos="9077"/>
        </w:tabs>
        <w:rPr>
          <w:highlight w:val="none"/>
        </w:rPr>
      </w:pPr>
      <w:r>
        <w:rPr>
          <w:highlight w:val="none"/>
        </w:rPr>
        <w:fldChar w:fldCharType="begin"/>
      </w:r>
      <w:r>
        <w:rPr>
          <w:highlight w:val="none"/>
        </w:rPr>
        <w:instrText xml:space="preserve"> HYPERLINK \l _Toc2055 </w:instrText>
      </w:r>
      <w:r>
        <w:rPr>
          <w:highlight w:val="none"/>
        </w:rPr>
        <w:fldChar w:fldCharType="separate"/>
      </w:r>
      <w:r>
        <w:rPr>
          <w:rFonts w:hint="eastAsia"/>
          <w:highlight w:val="none"/>
          <w:lang w:val="en-US" w:eastAsia="zh-CN"/>
        </w:rPr>
        <w:t>7</w:t>
      </w:r>
      <w:r>
        <w:rPr>
          <w:rFonts w:hint="eastAsia"/>
          <w:highlight w:val="none"/>
        </w:rPr>
        <w:t>.</w:t>
      </w:r>
      <w:r>
        <w:rPr>
          <w:rFonts w:hint="eastAsia"/>
          <w:highlight w:val="none"/>
          <w:lang w:val="en-US" w:eastAsia="zh-CN"/>
        </w:rPr>
        <w:t>6</w:t>
      </w:r>
      <w:r>
        <w:rPr>
          <w:rFonts w:hint="eastAsia"/>
          <w:highlight w:val="none"/>
        </w:rPr>
        <w:t>环境风险分析</w:t>
      </w:r>
      <w:r>
        <w:rPr>
          <w:highlight w:val="none"/>
        </w:rPr>
        <w:tab/>
      </w:r>
      <w:r>
        <w:rPr>
          <w:highlight w:val="none"/>
        </w:rPr>
        <w:fldChar w:fldCharType="begin"/>
      </w:r>
      <w:r>
        <w:rPr>
          <w:highlight w:val="none"/>
        </w:rPr>
        <w:instrText xml:space="preserve"> PAGEREF _Toc2055 </w:instrText>
      </w:r>
      <w:r>
        <w:rPr>
          <w:highlight w:val="none"/>
        </w:rPr>
        <w:fldChar w:fldCharType="separate"/>
      </w:r>
      <w:r>
        <w:rPr>
          <w:highlight w:val="none"/>
        </w:rPr>
        <w:t>129</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_Toc30596 </w:instrText>
      </w:r>
      <w:r>
        <w:rPr>
          <w:highlight w:val="none"/>
        </w:rPr>
        <w:fldChar w:fldCharType="separate"/>
      </w:r>
      <w:r>
        <w:rPr>
          <w:rFonts w:hint="eastAsia" w:cs="宋体"/>
          <w:highlight w:val="none"/>
          <w:lang w:val="en-US" w:eastAsia="zh-CN"/>
        </w:rPr>
        <w:t>7</w:t>
      </w:r>
      <w:r>
        <w:rPr>
          <w:rFonts w:cs="宋体"/>
          <w:highlight w:val="none"/>
        </w:rPr>
        <w:t>.</w:t>
      </w:r>
      <w:r>
        <w:rPr>
          <w:rFonts w:hint="eastAsia" w:cs="宋体"/>
          <w:highlight w:val="none"/>
          <w:lang w:val="en-US" w:eastAsia="zh-CN"/>
        </w:rPr>
        <w:t>6</w:t>
      </w:r>
      <w:r>
        <w:rPr>
          <w:rFonts w:cs="宋体"/>
          <w:highlight w:val="none"/>
        </w:rPr>
        <w:t>.1炸药库爆炸事故危害后果</w:t>
      </w:r>
      <w:r>
        <w:rPr>
          <w:highlight w:val="none"/>
        </w:rPr>
        <w:tab/>
      </w:r>
      <w:r>
        <w:rPr>
          <w:highlight w:val="none"/>
        </w:rPr>
        <w:fldChar w:fldCharType="begin"/>
      </w:r>
      <w:r>
        <w:rPr>
          <w:highlight w:val="none"/>
        </w:rPr>
        <w:instrText xml:space="preserve"> PAGEREF _Toc30596 </w:instrText>
      </w:r>
      <w:r>
        <w:rPr>
          <w:highlight w:val="none"/>
        </w:rPr>
        <w:fldChar w:fldCharType="separate"/>
      </w:r>
      <w:r>
        <w:rPr>
          <w:highlight w:val="none"/>
        </w:rPr>
        <w:t>129</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_Toc10257 </w:instrText>
      </w:r>
      <w:r>
        <w:rPr>
          <w:highlight w:val="none"/>
        </w:rPr>
        <w:fldChar w:fldCharType="separate"/>
      </w:r>
      <w:r>
        <w:rPr>
          <w:rFonts w:hint="eastAsia" w:cs="宋体"/>
          <w:highlight w:val="none"/>
          <w:lang w:val="en-US" w:eastAsia="zh-CN"/>
        </w:rPr>
        <w:t>7</w:t>
      </w:r>
      <w:r>
        <w:rPr>
          <w:rFonts w:cs="宋体"/>
          <w:highlight w:val="none"/>
        </w:rPr>
        <w:t>.</w:t>
      </w:r>
      <w:r>
        <w:rPr>
          <w:rFonts w:hint="eastAsia" w:cs="宋体"/>
          <w:highlight w:val="none"/>
          <w:lang w:val="en-US" w:eastAsia="zh-CN"/>
        </w:rPr>
        <w:t>6</w:t>
      </w:r>
      <w:r>
        <w:rPr>
          <w:rFonts w:cs="宋体"/>
          <w:highlight w:val="none"/>
        </w:rPr>
        <w:t>.2</w:t>
      </w:r>
      <w:r>
        <w:rPr>
          <w:rFonts w:hint="eastAsia" w:cs="宋体"/>
          <w:highlight w:val="none"/>
          <w:lang w:eastAsia="zh-CN"/>
        </w:rPr>
        <w:t>矿物油</w:t>
      </w:r>
      <w:r>
        <w:rPr>
          <w:rFonts w:cs="宋体"/>
          <w:highlight w:val="none"/>
        </w:rPr>
        <w:t>泄漏、火灾爆炸事故危害后果</w:t>
      </w:r>
      <w:r>
        <w:rPr>
          <w:highlight w:val="none"/>
        </w:rPr>
        <w:tab/>
      </w:r>
      <w:r>
        <w:rPr>
          <w:highlight w:val="none"/>
        </w:rPr>
        <w:fldChar w:fldCharType="begin"/>
      </w:r>
      <w:r>
        <w:rPr>
          <w:highlight w:val="none"/>
        </w:rPr>
        <w:instrText xml:space="preserve"> PAGEREF _Toc10257 </w:instrText>
      </w:r>
      <w:r>
        <w:rPr>
          <w:highlight w:val="none"/>
        </w:rPr>
        <w:fldChar w:fldCharType="separate"/>
      </w:r>
      <w:r>
        <w:rPr>
          <w:highlight w:val="none"/>
        </w:rPr>
        <w:t>130</w:t>
      </w:r>
      <w:r>
        <w:rPr>
          <w:highlight w:val="none"/>
        </w:rPr>
        <w:fldChar w:fldCharType="end"/>
      </w:r>
      <w:r>
        <w:rPr>
          <w:highlight w:val="none"/>
        </w:rPr>
        <w:fldChar w:fldCharType="end"/>
      </w:r>
    </w:p>
    <w:p>
      <w:pPr>
        <w:pStyle w:val="25"/>
        <w:tabs>
          <w:tab w:val="right" w:leader="dot" w:pos="9077"/>
        </w:tabs>
        <w:rPr>
          <w:highlight w:val="none"/>
        </w:rPr>
      </w:pPr>
      <w:r>
        <w:rPr>
          <w:highlight w:val="none"/>
        </w:rPr>
        <w:fldChar w:fldCharType="begin"/>
      </w:r>
      <w:r>
        <w:rPr>
          <w:highlight w:val="none"/>
        </w:rPr>
        <w:instrText xml:space="preserve"> HYPERLINK \l _Toc2573 </w:instrText>
      </w:r>
      <w:r>
        <w:rPr>
          <w:highlight w:val="none"/>
        </w:rPr>
        <w:fldChar w:fldCharType="separate"/>
      </w:r>
      <w:r>
        <w:rPr>
          <w:rFonts w:hint="eastAsia"/>
          <w:highlight w:val="none"/>
          <w:lang w:val="en-US" w:eastAsia="zh-CN"/>
        </w:rPr>
        <w:t>7</w:t>
      </w:r>
      <w:r>
        <w:rPr>
          <w:rFonts w:hint="eastAsia"/>
          <w:highlight w:val="none"/>
        </w:rPr>
        <w:t>.</w:t>
      </w:r>
      <w:r>
        <w:rPr>
          <w:rFonts w:hint="eastAsia"/>
          <w:highlight w:val="none"/>
          <w:lang w:val="en-US" w:eastAsia="zh-CN"/>
        </w:rPr>
        <w:t>7</w:t>
      </w:r>
      <w:r>
        <w:rPr>
          <w:rFonts w:hint="eastAsia"/>
          <w:highlight w:val="none"/>
        </w:rPr>
        <w:t>环境风险防范措施及应急要求</w:t>
      </w:r>
      <w:r>
        <w:rPr>
          <w:highlight w:val="none"/>
        </w:rPr>
        <w:tab/>
      </w:r>
      <w:r>
        <w:rPr>
          <w:highlight w:val="none"/>
        </w:rPr>
        <w:fldChar w:fldCharType="begin"/>
      </w:r>
      <w:r>
        <w:rPr>
          <w:highlight w:val="none"/>
        </w:rPr>
        <w:instrText xml:space="preserve"> PAGEREF _Toc2573 </w:instrText>
      </w:r>
      <w:r>
        <w:rPr>
          <w:highlight w:val="none"/>
        </w:rPr>
        <w:fldChar w:fldCharType="separate"/>
      </w:r>
      <w:r>
        <w:rPr>
          <w:highlight w:val="none"/>
        </w:rPr>
        <w:t>131</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_Toc30495 </w:instrText>
      </w:r>
      <w:r>
        <w:rPr>
          <w:highlight w:val="none"/>
        </w:rPr>
        <w:fldChar w:fldCharType="separate"/>
      </w:r>
      <w:r>
        <w:rPr>
          <w:rFonts w:hint="eastAsia" w:cs="宋体"/>
          <w:highlight w:val="none"/>
          <w:lang w:val="en-US" w:eastAsia="zh-CN"/>
        </w:rPr>
        <w:t>7</w:t>
      </w:r>
      <w:r>
        <w:rPr>
          <w:rFonts w:cs="宋体"/>
          <w:highlight w:val="none"/>
        </w:rPr>
        <w:t>.</w:t>
      </w:r>
      <w:r>
        <w:rPr>
          <w:rFonts w:hint="eastAsia" w:cs="宋体"/>
          <w:highlight w:val="none"/>
          <w:lang w:val="en-US" w:eastAsia="zh-CN"/>
        </w:rPr>
        <w:t>7</w:t>
      </w:r>
      <w:r>
        <w:rPr>
          <w:rFonts w:cs="宋体"/>
          <w:highlight w:val="none"/>
        </w:rPr>
        <w:t>.1</w:t>
      </w:r>
      <w:r>
        <w:rPr>
          <w:rFonts w:hint="eastAsia" w:cs="宋体"/>
          <w:highlight w:val="none"/>
          <w:lang w:eastAsia="zh-CN"/>
        </w:rPr>
        <w:t>矿物油</w:t>
      </w:r>
      <w:r>
        <w:rPr>
          <w:highlight w:val="none"/>
        </w:rPr>
        <w:tab/>
      </w:r>
      <w:r>
        <w:rPr>
          <w:highlight w:val="none"/>
        </w:rPr>
        <w:fldChar w:fldCharType="begin"/>
      </w:r>
      <w:r>
        <w:rPr>
          <w:highlight w:val="none"/>
        </w:rPr>
        <w:instrText xml:space="preserve"> PAGEREF _Toc30495 </w:instrText>
      </w:r>
      <w:r>
        <w:rPr>
          <w:highlight w:val="none"/>
        </w:rPr>
        <w:fldChar w:fldCharType="separate"/>
      </w:r>
      <w:r>
        <w:rPr>
          <w:highlight w:val="none"/>
        </w:rPr>
        <w:t>131</w:t>
      </w:r>
      <w:r>
        <w:rPr>
          <w:highlight w:val="none"/>
        </w:rPr>
        <w:fldChar w:fldCharType="end"/>
      </w:r>
      <w:r>
        <w:rPr>
          <w:highlight w:val="none"/>
        </w:rPr>
        <w:fldChar w:fldCharType="end"/>
      </w:r>
    </w:p>
    <w:p>
      <w:pPr>
        <w:pStyle w:val="25"/>
        <w:tabs>
          <w:tab w:val="right" w:leader="dot" w:pos="9077"/>
        </w:tabs>
        <w:rPr>
          <w:highlight w:val="none"/>
        </w:rPr>
      </w:pPr>
      <w:r>
        <w:rPr>
          <w:highlight w:val="none"/>
        </w:rPr>
        <w:fldChar w:fldCharType="begin"/>
      </w:r>
      <w:r>
        <w:rPr>
          <w:highlight w:val="none"/>
        </w:rPr>
        <w:instrText xml:space="preserve"> HYPERLINK \l _Toc27906 </w:instrText>
      </w:r>
      <w:r>
        <w:rPr>
          <w:highlight w:val="none"/>
        </w:rPr>
        <w:fldChar w:fldCharType="separate"/>
      </w:r>
      <w:r>
        <w:rPr>
          <w:rFonts w:hint="eastAsia"/>
          <w:highlight w:val="none"/>
          <w:lang w:val="en-US" w:eastAsia="zh-CN"/>
        </w:rPr>
        <w:t>7</w:t>
      </w:r>
      <w:r>
        <w:rPr>
          <w:rFonts w:hint="eastAsia"/>
          <w:highlight w:val="none"/>
        </w:rPr>
        <w:t>.</w:t>
      </w:r>
      <w:r>
        <w:rPr>
          <w:rFonts w:hint="eastAsia"/>
          <w:highlight w:val="none"/>
          <w:lang w:val="en-US" w:eastAsia="zh-CN"/>
        </w:rPr>
        <w:t>8</w:t>
      </w:r>
      <w:r>
        <w:rPr>
          <w:rFonts w:hint="eastAsia"/>
          <w:highlight w:val="none"/>
        </w:rPr>
        <w:t>分析结论</w:t>
      </w:r>
      <w:r>
        <w:rPr>
          <w:highlight w:val="none"/>
        </w:rPr>
        <w:tab/>
      </w:r>
      <w:r>
        <w:rPr>
          <w:highlight w:val="none"/>
        </w:rPr>
        <w:fldChar w:fldCharType="begin"/>
      </w:r>
      <w:r>
        <w:rPr>
          <w:highlight w:val="none"/>
        </w:rPr>
        <w:instrText xml:space="preserve"> PAGEREF _Toc27906 </w:instrText>
      </w:r>
      <w:r>
        <w:rPr>
          <w:highlight w:val="none"/>
        </w:rPr>
        <w:fldChar w:fldCharType="separate"/>
      </w:r>
      <w:r>
        <w:rPr>
          <w:highlight w:val="none"/>
        </w:rPr>
        <w:t>132</w:t>
      </w:r>
      <w:r>
        <w:rPr>
          <w:highlight w:val="none"/>
        </w:rPr>
        <w:fldChar w:fldCharType="end"/>
      </w:r>
      <w:r>
        <w:rPr>
          <w:highlight w:val="none"/>
        </w:rPr>
        <w:fldChar w:fldCharType="end"/>
      </w:r>
    </w:p>
    <w:p>
      <w:pPr>
        <w:pStyle w:val="23"/>
        <w:tabs>
          <w:tab w:val="right" w:leader="dot" w:pos="9077"/>
        </w:tabs>
        <w:rPr>
          <w:highlight w:val="none"/>
        </w:rPr>
      </w:pPr>
      <w:r>
        <w:rPr>
          <w:highlight w:val="none"/>
        </w:rPr>
        <w:fldChar w:fldCharType="begin"/>
      </w:r>
      <w:r>
        <w:rPr>
          <w:highlight w:val="none"/>
        </w:rPr>
        <w:instrText xml:space="preserve"> HYPERLINK \l _Toc12671 </w:instrText>
      </w:r>
      <w:r>
        <w:rPr>
          <w:highlight w:val="none"/>
        </w:rPr>
        <w:fldChar w:fldCharType="separate"/>
      </w:r>
      <w:r>
        <w:rPr>
          <w:rFonts w:hint="eastAsia"/>
          <w:highlight w:val="none"/>
          <w:lang w:val="en-US" w:eastAsia="zh-CN"/>
        </w:rPr>
        <w:t>8</w:t>
      </w:r>
      <w:r>
        <w:rPr>
          <w:rFonts w:hint="eastAsia"/>
          <w:szCs w:val="32"/>
          <w:highlight w:val="none"/>
          <w:lang w:val="zh-CN"/>
        </w:rPr>
        <w:t>环境保护措施及其可行性论证</w:t>
      </w:r>
      <w:r>
        <w:rPr>
          <w:highlight w:val="none"/>
        </w:rPr>
        <w:tab/>
      </w:r>
      <w:r>
        <w:rPr>
          <w:highlight w:val="none"/>
        </w:rPr>
        <w:fldChar w:fldCharType="begin"/>
      </w:r>
      <w:r>
        <w:rPr>
          <w:highlight w:val="none"/>
        </w:rPr>
        <w:instrText xml:space="preserve"> PAGEREF _Toc12671 </w:instrText>
      </w:r>
      <w:r>
        <w:rPr>
          <w:highlight w:val="none"/>
        </w:rPr>
        <w:fldChar w:fldCharType="separate"/>
      </w:r>
      <w:r>
        <w:rPr>
          <w:highlight w:val="none"/>
        </w:rPr>
        <w:t>133</w:t>
      </w:r>
      <w:r>
        <w:rPr>
          <w:highlight w:val="none"/>
        </w:rPr>
        <w:fldChar w:fldCharType="end"/>
      </w:r>
      <w:r>
        <w:rPr>
          <w:highlight w:val="none"/>
        </w:rPr>
        <w:fldChar w:fldCharType="end"/>
      </w:r>
    </w:p>
    <w:p>
      <w:pPr>
        <w:pStyle w:val="25"/>
        <w:tabs>
          <w:tab w:val="right" w:leader="dot" w:pos="9077"/>
        </w:tabs>
        <w:rPr>
          <w:highlight w:val="none"/>
        </w:rPr>
      </w:pPr>
      <w:r>
        <w:rPr>
          <w:highlight w:val="none"/>
        </w:rPr>
        <w:fldChar w:fldCharType="begin"/>
      </w:r>
      <w:r>
        <w:rPr>
          <w:highlight w:val="none"/>
        </w:rPr>
        <w:instrText xml:space="preserve"> HYPERLINK \l _Toc6470 </w:instrText>
      </w:r>
      <w:r>
        <w:rPr>
          <w:highlight w:val="none"/>
        </w:rPr>
        <w:fldChar w:fldCharType="separate"/>
      </w:r>
      <w:r>
        <w:rPr>
          <w:rFonts w:hint="eastAsia"/>
          <w:szCs w:val="28"/>
          <w:highlight w:val="none"/>
          <w:lang w:val="en-US" w:eastAsia="zh-CN"/>
        </w:rPr>
        <w:t>8</w:t>
      </w:r>
      <w:r>
        <w:rPr>
          <w:rFonts w:hint="eastAsia"/>
          <w:szCs w:val="28"/>
          <w:highlight w:val="none"/>
        </w:rPr>
        <w:t>.1</w:t>
      </w:r>
      <w:r>
        <w:rPr>
          <w:szCs w:val="28"/>
          <w:highlight w:val="none"/>
        </w:rPr>
        <w:t xml:space="preserve"> </w:t>
      </w:r>
      <w:r>
        <w:rPr>
          <w:rFonts w:hint="eastAsia"/>
          <w:szCs w:val="28"/>
          <w:highlight w:val="none"/>
          <w:lang w:val="zh-CN"/>
        </w:rPr>
        <w:t>施工期污染防治</w:t>
      </w:r>
      <w:r>
        <w:rPr>
          <w:szCs w:val="28"/>
          <w:highlight w:val="none"/>
          <w:lang w:val="zh-CN"/>
        </w:rPr>
        <w:t>措施及其可行性分析</w:t>
      </w:r>
      <w:r>
        <w:rPr>
          <w:highlight w:val="none"/>
        </w:rPr>
        <w:tab/>
      </w:r>
      <w:r>
        <w:rPr>
          <w:highlight w:val="none"/>
        </w:rPr>
        <w:fldChar w:fldCharType="begin"/>
      </w:r>
      <w:r>
        <w:rPr>
          <w:highlight w:val="none"/>
        </w:rPr>
        <w:instrText xml:space="preserve"> PAGEREF _Toc6470 </w:instrText>
      </w:r>
      <w:r>
        <w:rPr>
          <w:highlight w:val="none"/>
        </w:rPr>
        <w:fldChar w:fldCharType="separate"/>
      </w:r>
      <w:r>
        <w:rPr>
          <w:highlight w:val="none"/>
        </w:rPr>
        <w:t>133</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_Toc2857 </w:instrText>
      </w:r>
      <w:r>
        <w:rPr>
          <w:highlight w:val="none"/>
        </w:rPr>
        <w:fldChar w:fldCharType="separate"/>
      </w:r>
      <w:r>
        <w:rPr>
          <w:rFonts w:hint="eastAsia"/>
          <w:highlight w:val="none"/>
          <w:lang w:val="en-US" w:eastAsia="zh-CN"/>
        </w:rPr>
        <w:t>8</w:t>
      </w:r>
      <w:r>
        <w:rPr>
          <w:highlight w:val="none"/>
        </w:rPr>
        <w:t>.1.1 施工期废气防治措施</w:t>
      </w:r>
      <w:r>
        <w:rPr>
          <w:highlight w:val="none"/>
        </w:rPr>
        <w:tab/>
      </w:r>
      <w:r>
        <w:rPr>
          <w:highlight w:val="none"/>
        </w:rPr>
        <w:fldChar w:fldCharType="begin"/>
      </w:r>
      <w:r>
        <w:rPr>
          <w:highlight w:val="none"/>
        </w:rPr>
        <w:instrText xml:space="preserve"> PAGEREF _Toc2857 </w:instrText>
      </w:r>
      <w:r>
        <w:rPr>
          <w:highlight w:val="none"/>
        </w:rPr>
        <w:fldChar w:fldCharType="separate"/>
      </w:r>
      <w:r>
        <w:rPr>
          <w:highlight w:val="none"/>
        </w:rPr>
        <w:t>133</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_Toc7946 </w:instrText>
      </w:r>
      <w:r>
        <w:rPr>
          <w:highlight w:val="none"/>
        </w:rPr>
        <w:fldChar w:fldCharType="separate"/>
      </w:r>
      <w:r>
        <w:rPr>
          <w:rFonts w:hint="eastAsia"/>
          <w:highlight w:val="none"/>
          <w:lang w:val="en-US" w:eastAsia="zh-CN"/>
        </w:rPr>
        <w:t>8</w:t>
      </w:r>
      <w:r>
        <w:rPr>
          <w:highlight w:val="none"/>
        </w:rPr>
        <w:t>.1.2 施工期废水防治措施</w:t>
      </w:r>
      <w:r>
        <w:rPr>
          <w:highlight w:val="none"/>
        </w:rPr>
        <w:tab/>
      </w:r>
      <w:r>
        <w:rPr>
          <w:highlight w:val="none"/>
        </w:rPr>
        <w:fldChar w:fldCharType="begin"/>
      </w:r>
      <w:r>
        <w:rPr>
          <w:highlight w:val="none"/>
        </w:rPr>
        <w:instrText xml:space="preserve"> PAGEREF _Toc7946 </w:instrText>
      </w:r>
      <w:r>
        <w:rPr>
          <w:highlight w:val="none"/>
        </w:rPr>
        <w:fldChar w:fldCharType="separate"/>
      </w:r>
      <w:r>
        <w:rPr>
          <w:highlight w:val="none"/>
        </w:rPr>
        <w:t>134</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_Toc14138 </w:instrText>
      </w:r>
      <w:r>
        <w:rPr>
          <w:highlight w:val="none"/>
        </w:rPr>
        <w:fldChar w:fldCharType="separate"/>
      </w:r>
      <w:r>
        <w:rPr>
          <w:rFonts w:hint="eastAsia"/>
          <w:highlight w:val="none"/>
          <w:lang w:val="en-US" w:eastAsia="zh-CN"/>
        </w:rPr>
        <w:t>8</w:t>
      </w:r>
      <w:r>
        <w:rPr>
          <w:highlight w:val="none"/>
        </w:rPr>
        <w:t>.1.3 施工期噪声防治措施</w:t>
      </w:r>
      <w:r>
        <w:rPr>
          <w:highlight w:val="none"/>
        </w:rPr>
        <w:tab/>
      </w:r>
      <w:r>
        <w:rPr>
          <w:highlight w:val="none"/>
        </w:rPr>
        <w:fldChar w:fldCharType="begin"/>
      </w:r>
      <w:r>
        <w:rPr>
          <w:highlight w:val="none"/>
        </w:rPr>
        <w:instrText xml:space="preserve"> PAGEREF _Toc14138 </w:instrText>
      </w:r>
      <w:r>
        <w:rPr>
          <w:highlight w:val="none"/>
        </w:rPr>
        <w:fldChar w:fldCharType="separate"/>
      </w:r>
      <w:r>
        <w:rPr>
          <w:highlight w:val="none"/>
        </w:rPr>
        <w:t>134</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_Toc478 </w:instrText>
      </w:r>
      <w:r>
        <w:rPr>
          <w:highlight w:val="none"/>
        </w:rPr>
        <w:fldChar w:fldCharType="separate"/>
      </w:r>
      <w:r>
        <w:rPr>
          <w:rFonts w:hint="eastAsia"/>
          <w:highlight w:val="none"/>
          <w:lang w:val="en-US" w:eastAsia="zh-CN"/>
        </w:rPr>
        <w:t>8</w:t>
      </w:r>
      <w:r>
        <w:rPr>
          <w:highlight w:val="none"/>
        </w:rPr>
        <w:t>.1.4 施工期固废防治措施</w:t>
      </w:r>
      <w:r>
        <w:rPr>
          <w:highlight w:val="none"/>
        </w:rPr>
        <w:tab/>
      </w:r>
      <w:r>
        <w:rPr>
          <w:highlight w:val="none"/>
        </w:rPr>
        <w:fldChar w:fldCharType="begin"/>
      </w:r>
      <w:r>
        <w:rPr>
          <w:highlight w:val="none"/>
        </w:rPr>
        <w:instrText xml:space="preserve"> PAGEREF _Toc478 </w:instrText>
      </w:r>
      <w:r>
        <w:rPr>
          <w:highlight w:val="none"/>
        </w:rPr>
        <w:fldChar w:fldCharType="separate"/>
      </w:r>
      <w:r>
        <w:rPr>
          <w:highlight w:val="none"/>
        </w:rPr>
        <w:t>135</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_Toc31816 </w:instrText>
      </w:r>
      <w:r>
        <w:rPr>
          <w:highlight w:val="none"/>
        </w:rPr>
        <w:fldChar w:fldCharType="separate"/>
      </w:r>
      <w:r>
        <w:rPr>
          <w:rFonts w:hint="eastAsia"/>
          <w:highlight w:val="none"/>
          <w:lang w:val="en-US" w:eastAsia="zh-CN"/>
        </w:rPr>
        <w:t>8</w:t>
      </w:r>
      <w:r>
        <w:rPr>
          <w:highlight w:val="none"/>
        </w:rPr>
        <w:t>.1.5 施工期生态环境保护措施</w:t>
      </w:r>
      <w:r>
        <w:rPr>
          <w:highlight w:val="none"/>
        </w:rPr>
        <w:tab/>
      </w:r>
      <w:r>
        <w:rPr>
          <w:highlight w:val="none"/>
        </w:rPr>
        <w:fldChar w:fldCharType="begin"/>
      </w:r>
      <w:r>
        <w:rPr>
          <w:highlight w:val="none"/>
        </w:rPr>
        <w:instrText xml:space="preserve"> PAGEREF _Toc31816 </w:instrText>
      </w:r>
      <w:r>
        <w:rPr>
          <w:highlight w:val="none"/>
        </w:rPr>
        <w:fldChar w:fldCharType="separate"/>
      </w:r>
      <w:r>
        <w:rPr>
          <w:highlight w:val="none"/>
        </w:rPr>
        <w:t>135</w:t>
      </w:r>
      <w:r>
        <w:rPr>
          <w:highlight w:val="none"/>
        </w:rPr>
        <w:fldChar w:fldCharType="end"/>
      </w:r>
      <w:r>
        <w:rPr>
          <w:highlight w:val="none"/>
        </w:rPr>
        <w:fldChar w:fldCharType="end"/>
      </w:r>
    </w:p>
    <w:p>
      <w:pPr>
        <w:pStyle w:val="25"/>
        <w:tabs>
          <w:tab w:val="right" w:leader="dot" w:pos="9077"/>
        </w:tabs>
        <w:rPr>
          <w:highlight w:val="none"/>
        </w:rPr>
      </w:pPr>
      <w:r>
        <w:rPr>
          <w:highlight w:val="none"/>
        </w:rPr>
        <w:fldChar w:fldCharType="begin"/>
      </w:r>
      <w:r>
        <w:rPr>
          <w:highlight w:val="none"/>
        </w:rPr>
        <w:instrText xml:space="preserve"> HYPERLINK \l _Toc575 </w:instrText>
      </w:r>
      <w:r>
        <w:rPr>
          <w:highlight w:val="none"/>
        </w:rPr>
        <w:fldChar w:fldCharType="separate"/>
      </w:r>
      <w:r>
        <w:rPr>
          <w:rFonts w:hint="eastAsia"/>
          <w:szCs w:val="28"/>
          <w:highlight w:val="none"/>
          <w:lang w:val="en-US" w:eastAsia="zh-CN"/>
        </w:rPr>
        <w:t>8</w:t>
      </w:r>
      <w:r>
        <w:rPr>
          <w:rFonts w:hint="eastAsia"/>
          <w:szCs w:val="28"/>
          <w:highlight w:val="none"/>
          <w:lang w:val="zh-CN"/>
        </w:rPr>
        <w:t>.</w:t>
      </w:r>
      <w:r>
        <w:rPr>
          <w:szCs w:val="28"/>
          <w:highlight w:val="none"/>
          <w:lang w:val="zh-CN"/>
        </w:rPr>
        <w:t xml:space="preserve">2 </w:t>
      </w:r>
      <w:r>
        <w:rPr>
          <w:rFonts w:hint="eastAsia"/>
          <w:szCs w:val="28"/>
          <w:highlight w:val="none"/>
          <w:lang w:val="zh-CN"/>
        </w:rPr>
        <w:t>运营期污染防治</w:t>
      </w:r>
      <w:r>
        <w:rPr>
          <w:szCs w:val="28"/>
          <w:highlight w:val="none"/>
          <w:lang w:val="zh-CN"/>
        </w:rPr>
        <w:t>措施及其可行性分析</w:t>
      </w:r>
      <w:r>
        <w:rPr>
          <w:highlight w:val="none"/>
        </w:rPr>
        <w:tab/>
      </w:r>
      <w:r>
        <w:rPr>
          <w:highlight w:val="none"/>
        </w:rPr>
        <w:fldChar w:fldCharType="begin"/>
      </w:r>
      <w:r>
        <w:rPr>
          <w:highlight w:val="none"/>
        </w:rPr>
        <w:instrText xml:space="preserve"> PAGEREF _Toc575 </w:instrText>
      </w:r>
      <w:r>
        <w:rPr>
          <w:highlight w:val="none"/>
        </w:rPr>
        <w:fldChar w:fldCharType="separate"/>
      </w:r>
      <w:r>
        <w:rPr>
          <w:highlight w:val="none"/>
        </w:rPr>
        <w:t>135</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_Toc17447 </w:instrText>
      </w:r>
      <w:r>
        <w:rPr>
          <w:highlight w:val="none"/>
        </w:rPr>
        <w:fldChar w:fldCharType="separate"/>
      </w:r>
      <w:r>
        <w:rPr>
          <w:rFonts w:hint="eastAsia"/>
          <w:highlight w:val="none"/>
          <w:lang w:val="en-US" w:eastAsia="zh-CN"/>
        </w:rPr>
        <w:t>8</w:t>
      </w:r>
      <w:r>
        <w:rPr>
          <w:highlight w:val="none"/>
        </w:rPr>
        <w:t>.2.1 运营期大气污染防治</w:t>
      </w:r>
      <w:r>
        <w:rPr>
          <w:highlight w:val="none"/>
        </w:rPr>
        <w:tab/>
      </w:r>
      <w:r>
        <w:rPr>
          <w:highlight w:val="none"/>
        </w:rPr>
        <w:fldChar w:fldCharType="begin"/>
      </w:r>
      <w:r>
        <w:rPr>
          <w:highlight w:val="none"/>
        </w:rPr>
        <w:instrText xml:space="preserve"> PAGEREF _Toc17447 </w:instrText>
      </w:r>
      <w:r>
        <w:rPr>
          <w:highlight w:val="none"/>
        </w:rPr>
        <w:fldChar w:fldCharType="separate"/>
      </w:r>
      <w:r>
        <w:rPr>
          <w:highlight w:val="none"/>
        </w:rPr>
        <w:t>135</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_Toc10423 </w:instrText>
      </w:r>
      <w:r>
        <w:rPr>
          <w:highlight w:val="none"/>
        </w:rPr>
        <w:fldChar w:fldCharType="separate"/>
      </w:r>
      <w:r>
        <w:rPr>
          <w:rFonts w:hint="eastAsia"/>
          <w:highlight w:val="none"/>
          <w:lang w:val="en-US" w:eastAsia="zh-CN"/>
        </w:rPr>
        <w:t>8</w:t>
      </w:r>
      <w:r>
        <w:rPr>
          <w:highlight w:val="none"/>
        </w:rPr>
        <w:t>.2.2 运营期水污染防治措施</w:t>
      </w:r>
      <w:r>
        <w:rPr>
          <w:highlight w:val="none"/>
        </w:rPr>
        <w:tab/>
      </w:r>
      <w:r>
        <w:rPr>
          <w:highlight w:val="none"/>
        </w:rPr>
        <w:fldChar w:fldCharType="begin"/>
      </w:r>
      <w:r>
        <w:rPr>
          <w:highlight w:val="none"/>
        </w:rPr>
        <w:instrText xml:space="preserve"> PAGEREF _Toc10423 </w:instrText>
      </w:r>
      <w:r>
        <w:rPr>
          <w:highlight w:val="none"/>
        </w:rPr>
        <w:fldChar w:fldCharType="separate"/>
      </w:r>
      <w:r>
        <w:rPr>
          <w:highlight w:val="none"/>
        </w:rPr>
        <w:t>138</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_Toc19233 </w:instrText>
      </w:r>
      <w:r>
        <w:rPr>
          <w:highlight w:val="none"/>
        </w:rPr>
        <w:fldChar w:fldCharType="separate"/>
      </w:r>
      <w:r>
        <w:rPr>
          <w:rFonts w:hint="eastAsia"/>
          <w:highlight w:val="none"/>
          <w:lang w:val="en-US" w:eastAsia="zh-CN"/>
        </w:rPr>
        <w:t>8</w:t>
      </w:r>
      <w:r>
        <w:rPr>
          <w:highlight w:val="none"/>
        </w:rPr>
        <w:t>.2.3 运营期噪声污染防治措施</w:t>
      </w:r>
      <w:r>
        <w:rPr>
          <w:highlight w:val="none"/>
        </w:rPr>
        <w:tab/>
      </w:r>
      <w:r>
        <w:rPr>
          <w:highlight w:val="none"/>
        </w:rPr>
        <w:fldChar w:fldCharType="begin"/>
      </w:r>
      <w:r>
        <w:rPr>
          <w:highlight w:val="none"/>
        </w:rPr>
        <w:instrText xml:space="preserve"> PAGEREF _Toc19233 </w:instrText>
      </w:r>
      <w:r>
        <w:rPr>
          <w:highlight w:val="none"/>
        </w:rPr>
        <w:fldChar w:fldCharType="separate"/>
      </w:r>
      <w:r>
        <w:rPr>
          <w:highlight w:val="none"/>
        </w:rPr>
        <w:t>139</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_Toc18114 </w:instrText>
      </w:r>
      <w:r>
        <w:rPr>
          <w:highlight w:val="none"/>
        </w:rPr>
        <w:fldChar w:fldCharType="separate"/>
      </w:r>
      <w:r>
        <w:rPr>
          <w:rFonts w:hint="eastAsia"/>
          <w:highlight w:val="none"/>
          <w:lang w:val="en-US" w:eastAsia="zh-CN"/>
        </w:rPr>
        <w:t>8</w:t>
      </w:r>
      <w:r>
        <w:rPr>
          <w:highlight w:val="none"/>
        </w:rPr>
        <w:t>.2.4 运营期固体废物污染防治措施</w:t>
      </w:r>
      <w:r>
        <w:rPr>
          <w:highlight w:val="none"/>
        </w:rPr>
        <w:tab/>
      </w:r>
      <w:r>
        <w:rPr>
          <w:highlight w:val="none"/>
        </w:rPr>
        <w:fldChar w:fldCharType="begin"/>
      </w:r>
      <w:r>
        <w:rPr>
          <w:highlight w:val="none"/>
        </w:rPr>
        <w:instrText xml:space="preserve"> PAGEREF _Toc18114 </w:instrText>
      </w:r>
      <w:r>
        <w:rPr>
          <w:highlight w:val="none"/>
        </w:rPr>
        <w:fldChar w:fldCharType="separate"/>
      </w:r>
      <w:r>
        <w:rPr>
          <w:highlight w:val="none"/>
        </w:rPr>
        <w:t>141</w:t>
      </w:r>
      <w:r>
        <w:rPr>
          <w:highlight w:val="none"/>
        </w:rPr>
        <w:fldChar w:fldCharType="end"/>
      </w:r>
      <w:r>
        <w:rPr>
          <w:highlight w:val="none"/>
        </w:rPr>
        <w:fldChar w:fldCharType="end"/>
      </w:r>
    </w:p>
    <w:p>
      <w:pPr>
        <w:pStyle w:val="25"/>
        <w:tabs>
          <w:tab w:val="right" w:leader="dot" w:pos="9077"/>
        </w:tabs>
        <w:rPr>
          <w:highlight w:val="none"/>
        </w:rPr>
      </w:pPr>
      <w:r>
        <w:rPr>
          <w:highlight w:val="none"/>
        </w:rPr>
        <w:fldChar w:fldCharType="begin"/>
      </w:r>
      <w:r>
        <w:rPr>
          <w:highlight w:val="none"/>
        </w:rPr>
        <w:instrText xml:space="preserve"> HYPERLINK \l _Toc29107 </w:instrText>
      </w:r>
      <w:r>
        <w:rPr>
          <w:highlight w:val="none"/>
        </w:rPr>
        <w:fldChar w:fldCharType="separate"/>
      </w:r>
      <w:r>
        <w:rPr>
          <w:rFonts w:hint="eastAsia"/>
          <w:szCs w:val="28"/>
          <w:highlight w:val="none"/>
          <w:lang w:val="en-US" w:eastAsia="zh-CN"/>
        </w:rPr>
        <w:t>8</w:t>
      </w:r>
      <w:r>
        <w:rPr>
          <w:rFonts w:hint="eastAsia"/>
          <w:szCs w:val="28"/>
          <w:highlight w:val="none"/>
        </w:rPr>
        <w:t>.3 生态环境保护及恢复措施</w:t>
      </w:r>
      <w:r>
        <w:rPr>
          <w:highlight w:val="none"/>
        </w:rPr>
        <w:tab/>
      </w:r>
      <w:r>
        <w:rPr>
          <w:highlight w:val="none"/>
        </w:rPr>
        <w:fldChar w:fldCharType="begin"/>
      </w:r>
      <w:r>
        <w:rPr>
          <w:highlight w:val="none"/>
        </w:rPr>
        <w:instrText xml:space="preserve"> PAGEREF _Toc29107 </w:instrText>
      </w:r>
      <w:r>
        <w:rPr>
          <w:highlight w:val="none"/>
        </w:rPr>
        <w:fldChar w:fldCharType="separate"/>
      </w:r>
      <w:r>
        <w:rPr>
          <w:highlight w:val="none"/>
        </w:rPr>
        <w:t>143</w:t>
      </w:r>
      <w:r>
        <w:rPr>
          <w:highlight w:val="none"/>
        </w:rPr>
        <w:fldChar w:fldCharType="end"/>
      </w:r>
      <w:r>
        <w:rPr>
          <w:highlight w:val="none"/>
        </w:rPr>
        <w:fldChar w:fldCharType="end"/>
      </w:r>
    </w:p>
    <w:p>
      <w:pPr>
        <w:pStyle w:val="23"/>
        <w:tabs>
          <w:tab w:val="right" w:leader="dot" w:pos="9077"/>
        </w:tabs>
        <w:rPr>
          <w:highlight w:val="none"/>
        </w:rPr>
      </w:pPr>
      <w:r>
        <w:rPr>
          <w:highlight w:val="none"/>
        </w:rPr>
        <w:fldChar w:fldCharType="begin"/>
      </w:r>
      <w:r>
        <w:rPr>
          <w:highlight w:val="none"/>
        </w:rPr>
        <w:instrText xml:space="preserve"> HYPERLINK \l _Toc1045 </w:instrText>
      </w:r>
      <w:r>
        <w:rPr>
          <w:highlight w:val="none"/>
        </w:rPr>
        <w:fldChar w:fldCharType="separate"/>
      </w:r>
      <w:r>
        <w:rPr>
          <w:rFonts w:hint="eastAsia"/>
          <w:highlight w:val="none"/>
          <w:lang w:val="en-US" w:eastAsia="zh-CN"/>
        </w:rPr>
        <w:t>9</w:t>
      </w:r>
      <w:r>
        <w:rPr>
          <w:rFonts w:hint="eastAsia"/>
          <w:highlight w:val="none"/>
        </w:rPr>
        <w:t>环境影响经济损益分析</w:t>
      </w:r>
      <w:r>
        <w:rPr>
          <w:highlight w:val="none"/>
        </w:rPr>
        <w:tab/>
      </w:r>
      <w:r>
        <w:rPr>
          <w:highlight w:val="none"/>
        </w:rPr>
        <w:fldChar w:fldCharType="begin"/>
      </w:r>
      <w:r>
        <w:rPr>
          <w:highlight w:val="none"/>
        </w:rPr>
        <w:instrText xml:space="preserve"> PAGEREF _Toc1045 </w:instrText>
      </w:r>
      <w:r>
        <w:rPr>
          <w:highlight w:val="none"/>
        </w:rPr>
        <w:fldChar w:fldCharType="separate"/>
      </w:r>
      <w:r>
        <w:rPr>
          <w:highlight w:val="none"/>
        </w:rPr>
        <w:t>145</w:t>
      </w:r>
      <w:r>
        <w:rPr>
          <w:highlight w:val="none"/>
        </w:rPr>
        <w:fldChar w:fldCharType="end"/>
      </w:r>
      <w:r>
        <w:rPr>
          <w:highlight w:val="none"/>
        </w:rPr>
        <w:fldChar w:fldCharType="end"/>
      </w:r>
    </w:p>
    <w:p>
      <w:pPr>
        <w:pStyle w:val="25"/>
        <w:tabs>
          <w:tab w:val="right" w:leader="dot" w:pos="9077"/>
        </w:tabs>
        <w:rPr>
          <w:highlight w:val="none"/>
        </w:rPr>
      </w:pPr>
      <w:r>
        <w:rPr>
          <w:highlight w:val="none"/>
        </w:rPr>
        <w:fldChar w:fldCharType="begin"/>
      </w:r>
      <w:r>
        <w:rPr>
          <w:highlight w:val="none"/>
        </w:rPr>
        <w:instrText xml:space="preserve"> HYPERLINK \l _Toc3391 </w:instrText>
      </w:r>
      <w:r>
        <w:rPr>
          <w:highlight w:val="none"/>
        </w:rPr>
        <w:fldChar w:fldCharType="separate"/>
      </w:r>
      <w:r>
        <w:rPr>
          <w:rFonts w:hint="eastAsia"/>
          <w:highlight w:val="none"/>
          <w:lang w:val="en-US" w:eastAsia="zh-CN"/>
        </w:rPr>
        <w:t>9</w:t>
      </w:r>
      <w:r>
        <w:rPr>
          <w:rFonts w:hint="eastAsia"/>
          <w:highlight w:val="none"/>
        </w:rPr>
        <w:t>.1经济效益</w:t>
      </w:r>
      <w:r>
        <w:rPr>
          <w:highlight w:val="none"/>
        </w:rPr>
        <w:tab/>
      </w:r>
      <w:r>
        <w:rPr>
          <w:highlight w:val="none"/>
        </w:rPr>
        <w:fldChar w:fldCharType="begin"/>
      </w:r>
      <w:r>
        <w:rPr>
          <w:highlight w:val="none"/>
        </w:rPr>
        <w:instrText xml:space="preserve"> PAGEREF _Toc3391 </w:instrText>
      </w:r>
      <w:r>
        <w:rPr>
          <w:highlight w:val="none"/>
        </w:rPr>
        <w:fldChar w:fldCharType="separate"/>
      </w:r>
      <w:r>
        <w:rPr>
          <w:highlight w:val="none"/>
        </w:rPr>
        <w:t>145</w:t>
      </w:r>
      <w:r>
        <w:rPr>
          <w:highlight w:val="none"/>
        </w:rPr>
        <w:fldChar w:fldCharType="end"/>
      </w:r>
      <w:r>
        <w:rPr>
          <w:highlight w:val="none"/>
        </w:rPr>
        <w:fldChar w:fldCharType="end"/>
      </w:r>
    </w:p>
    <w:p>
      <w:pPr>
        <w:pStyle w:val="25"/>
        <w:tabs>
          <w:tab w:val="right" w:leader="dot" w:pos="9077"/>
        </w:tabs>
        <w:rPr>
          <w:highlight w:val="none"/>
        </w:rPr>
      </w:pPr>
      <w:r>
        <w:rPr>
          <w:highlight w:val="none"/>
        </w:rPr>
        <w:fldChar w:fldCharType="begin"/>
      </w:r>
      <w:r>
        <w:rPr>
          <w:highlight w:val="none"/>
        </w:rPr>
        <w:instrText xml:space="preserve"> HYPERLINK \l _Toc770 </w:instrText>
      </w:r>
      <w:r>
        <w:rPr>
          <w:highlight w:val="none"/>
        </w:rPr>
        <w:fldChar w:fldCharType="separate"/>
      </w:r>
      <w:r>
        <w:rPr>
          <w:rFonts w:hint="eastAsia"/>
          <w:highlight w:val="none"/>
          <w:lang w:val="en-US" w:eastAsia="zh-CN"/>
        </w:rPr>
        <w:t>9</w:t>
      </w:r>
      <w:r>
        <w:rPr>
          <w:highlight w:val="none"/>
        </w:rPr>
        <w:t>.2 社会效益</w:t>
      </w:r>
      <w:r>
        <w:rPr>
          <w:highlight w:val="none"/>
        </w:rPr>
        <w:tab/>
      </w:r>
      <w:r>
        <w:rPr>
          <w:highlight w:val="none"/>
        </w:rPr>
        <w:fldChar w:fldCharType="begin"/>
      </w:r>
      <w:r>
        <w:rPr>
          <w:highlight w:val="none"/>
        </w:rPr>
        <w:instrText xml:space="preserve"> PAGEREF _Toc770 </w:instrText>
      </w:r>
      <w:r>
        <w:rPr>
          <w:highlight w:val="none"/>
        </w:rPr>
        <w:fldChar w:fldCharType="separate"/>
      </w:r>
      <w:r>
        <w:rPr>
          <w:highlight w:val="none"/>
        </w:rPr>
        <w:t>145</w:t>
      </w:r>
      <w:r>
        <w:rPr>
          <w:highlight w:val="none"/>
        </w:rPr>
        <w:fldChar w:fldCharType="end"/>
      </w:r>
      <w:r>
        <w:rPr>
          <w:highlight w:val="none"/>
        </w:rPr>
        <w:fldChar w:fldCharType="end"/>
      </w:r>
    </w:p>
    <w:p>
      <w:pPr>
        <w:pStyle w:val="25"/>
        <w:tabs>
          <w:tab w:val="right" w:leader="dot" w:pos="9077"/>
        </w:tabs>
        <w:rPr>
          <w:highlight w:val="none"/>
        </w:rPr>
      </w:pPr>
      <w:r>
        <w:rPr>
          <w:highlight w:val="none"/>
        </w:rPr>
        <w:fldChar w:fldCharType="begin"/>
      </w:r>
      <w:r>
        <w:rPr>
          <w:highlight w:val="none"/>
        </w:rPr>
        <w:instrText xml:space="preserve"> HYPERLINK \l _Toc14175 </w:instrText>
      </w:r>
      <w:r>
        <w:rPr>
          <w:highlight w:val="none"/>
        </w:rPr>
        <w:fldChar w:fldCharType="separate"/>
      </w:r>
      <w:r>
        <w:rPr>
          <w:rFonts w:hint="eastAsia"/>
          <w:highlight w:val="none"/>
          <w:lang w:val="en-US" w:eastAsia="zh-CN"/>
        </w:rPr>
        <w:t>9</w:t>
      </w:r>
      <w:r>
        <w:rPr>
          <w:highlight w:val="none"/>
        </w:rPr>
        <w:t>.3 环保经济效益分析</w:t>
      </w:r>
      <w:r>
        <w:rPr>
          <w:highlight w:val="none"/>
        </w:rPr>
        <w:tab/>
      </w:r>
      <w:r>
        <w:rPr>
          <w:highlight w:val="none"/>
        </w:rPr>
        <w:fldChar w:fldCharType="begin"/>
      </w:r>
      <w:r>
        <w:rPr>
          <w:highlight w:val="none"/>
        </w:rPr>
        <w:instrText xml:space="preserve"> PAGEREF _Toc14175 </w:instrText>
      </w:r>
      <w:r>
        <w:rPr>
          <w:highlight w:val="none"/>
        </w:rPr>
        <w:fldChar w:fldCharType="separate"/>
      </w:r>
      <w:r>
        <w:rPr>
          <w:highlight w:val="none"/>
        </w:rPr>
        <w:t>146</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_Toc15626 </w:instrText>
      </w:r>
      <w:r>
        <w:rPr>
          <w:highlight w:val="none"/>
        </w:rPr>
        <w:fldChar w:fldCharType="separate"/>
      </w:r>
      <w:r>
        <w:rPr>
          <w:rFonts w:hint="eastAsia"/>
          <w:highlight w:val="none"/>
          <w:lang w:val="en-US" w:eastAsia="zh-CN"/>
        </w:rPr>
        <w:t>9</w:t>
      </w:r>
      <w:r>
        <w:rPr>
          <w:rFonts w:hint="default"/>
          <w:highlight w:val="none"/>
        </w:rPr>
        <w:t>.3.1 环保投资</w:t>
      </w:r>
      <w:r>
        <w:rPr>
          <w:highlight w:val="none"/>
        </w:rPr>
        <w:tab/>
      </w:r>
      <w:r>
        <w:rPr>
          <w:highlight w:val="none"/>
        </w:rPr>
        <w:fldChar w:fldCharType="begin"/>
      </w:r>
      <w:r>
        <w:rPr>
          <w:highlight w:val="none"/>
        </w:rPr>
        <w:instrText xml:space="preserve"> PAGEREF _Toc15626 </w:instrText>
      </w:r>
      <w:r>
        <w:rPr>
          <w:highlight w:val="none"/>
        </w:rPr>
        <w:fldChar w:fldCharType="separate"/>
      </w:r>
      <w:r>
        <w:rPr>
          <w:highlight w:val="none"/>
        </w:rPr>
        <w:t>146</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_Toc22710 </w:instrText>
      </w:r>
      <w:r>
        <w:rPr>
          <w:highlight w:val="none"/>
        </w:rPr>
        <w:fldChar w:fldCharType="separate"/>
      </w:r>
      <w:r>
        <w:rPr>
          <w:rFonts w:hint="eastAsia" w:cs="宋体"/>
          <w:highlight w:val="none"/>
          <w:lang w:val="en-US" w:eastAsia="zh-CN"/>
        </w:rPr>
        <w:t>9</w:t>
      </w:r>
      <w:r>
        <w:rPr>
          <w:rFonts w:hint="default" w:cs="宋体"/>
          <w:highlight w:val="none"/>
        </w:rPr>
        <w:t>.3.2环保经济效益分析</w:t>
      </w:r>
      <w:r>
        <w:rPr>
          <w:highlight w:val="none"/>
        </w:rPr>
        <w:tab/>
      </w:r>
      <w:r>
        <w:rPr>
          <w:highlight w:val="none"/>
        </w:rPr>
        <w:fldChar w:fldCharType="begin"/>
      </w:r>
      <w:r>
        <w:rPr>
          <w:highlight w:val="none"/>
        </w:rPr>
        <w:instrText xml:space="preserve"> PAGEREF _Toc22710 </w:instrText>
      </w:r>
      <w:r>
        <w:rPr>
          <w:highlight w:val="none"/>
        </w:rPr>
        <w:fldChar w:fldCharType="separate"/>
      </w:r>
      <w:r>
        <w:rPr>
          <w:highlight w:val="none"/>
        </w:rPr>
        <w:t>147</w:t>
      </w:r>
      <w:r>
        <w:rPr>
          <w:highlight w:val="none"/>
        </w:rPr>
        <w:fldChar w:fldCharType="end"/>
      </w:r>
      <w:r>
        <w:rPr>
          <w:highlight w:val="none"/>
        </w:rPr>
        <w:fldChar w:fldCharType="end"/>
      </w:r>
    </w:p>
    <w:p>
      <w:pPr>
        <w:pStyle w:val="25"/>
        <w:tabs>
          <w:tab w:val="right" w:leader="dot" w:pos="9077"/>
        </w:tabs>
        <w:rPr>
          <w:highlight w:val="none"/>
        </w:rPr>
      </w:pPr>
      <w:r>
        <w:rPr>
          <w:highlight w:val="none"/>
        </w:rPr>
        <w:fldChar w:fldCharType="begin"/>
      </w:r>
      <w:r>
        <w:rPr>
          <w:highlight w:val="none"/>
        </w:rPr>
        <w:instrText xml:space="preserve"> HYPERLINK \l _Toc214 </w:instrText>
      </w:r>
      <w:r>
        <w:rPr>
          <w:highlight w:val="none"/>
        </w:rPr>
        <w:fldChar w:fldCharType="separate"/>
      </w:r>
      <w:r>
        <w:rPr>
          <w:highlight w:val="none"/>
        </w:rPr>
        <w:t>9.4 经济损益小结</w:t>
      </w:r>
      <w:r>
        <w:rPr>
          <w:highlight w:val="none"/>
        </w:rPr>
        <w:tab/>
      </w:r>
      <w:r>
        <w:rPr>
          <w:highlight w:val="none"/>
        </w:rPr>
        <w:fldChar w:fldCharType="begin"/>
      </w:r>
      <w:r>
        <w:rPr>
          <w:highlight w:val="none"/>
        </w:rPr>
        <w:instrText xml:space="preserve"> PAGEREF _Toc214 </w:instrText>
      </w:r>
      <w:r>
        <w:rPr>
          <w:highlight w:val="none"/>
        </w:rPr>
        <w:fldChar w:fldCharType="separate"/>
      </w:r>
      <w:r>
        <w:rPr>
          <w:highlight w:val="none"/>
        </w:rPr>
        <w:t>148</w:t>
      </w:r>
      <w:r>
        <w:rPr>
          <w:highlight w:val="none"/>
        </w:rPr>
        <w:fldChar w:fldCharType="end"/>
      </w:r>
      <w:r>
        <w:rPr>
          <w:highlight w:val="none"/>
        </w:rPr>
        <w:fldChar w:fldCharType="end"/>
      </w:r>
    </w:p>
    <w:p>
      <w:pPr>
        <w:pStyle w:val="23"/>
        <w:tabs>
          <w:tab w:val="right" w:leader="dot" w:pos="9077"/>
        </w:tabs>
        <w:rPr>
          <w:highlight w:val="none"/>
        </w:rPr>
      </w:pPr>
      <w:r>
        <w:rPr>
          <w:highlight w:val="none"/>
        </w:rPr>
        <w:fldChar w:fldCharType="begin"/>
      </w:r>
      <w:r>
        <w:rPr>
          <w:highlight w:val="none"/>
        </w:rPr>
        <w:instrText xml:space="preserve"> HYPERLINK \l _Toc21371 </w:instrText>
      </w:r>
      <w:r>
        <w:rPr>
          <w:highlight w:val="none"/>
        </w:rPr>
        <w:fldChar w:fldCharType="separate"/>
      </w:r>
      <w:r>
        <w:rPr>
          <w:rFonts w:hint="eastAsia"/>
          <w:szCs w:val="32"/>
          <w:highlight w:val="none"/>
          <w:lang w:val="en-US" w:eastAsia="zh-CN"/>
        </w:rPr>
        <w:t>10</w:t>
      </w:r>
      <w:r>
        <w:rPr>
          <w:szCs w:val="32"/>
          <w:highlight w:val="none"/>
        </w:rPr>
        <w:t xml:space="preserve"> 环境管理与环境监测</w:t>
      </w:r>
      <w:r>
        <w:rPr>
          <w:highlight w:val="none"/>
        </w:rPr>
        <w:tab/>
      </w:r>
      <w:r>
        <w:rPr>
          <w:highlight w:val="none"/>
        </w:rPr>
        <w:fldChar w:fldCharType="begin"/>
      </w:r>
      <w:r>
        <w:rPr>
          <w:highlight w:val="none"/>
        </w:rPr>
        <w:instrText xml:space="preserve"> PAGEREF _Toc21371 </w:instrText>
      </w:r>
      <w:r>
        <w:rPr>
          <w:highlight w:val="none"/>
        </w:rPr>
        <w:fldChar w:fldCharType="separate"/>
      </w:r>
      <w:r>
        <w:rPr>
          <w:highlight w:val="none"/>
        </w:rPr>
        <w:t>149</w:t>
      </w:r>
      <w:r>
        <w:rPr>
          <w:highlight w:val="none"/>
        </w:rPr>
        <w:fldChar w:fldCharType="end"/>
      </w:r>
      <w:r>
        <w:rPr>
          <w:highlight w:val="none"/>
        </w:rPr>
        <w:fldChar w:fldCharType="end"/>
      </w:r>
    </w:p>
    <w:p>
      <w:pPr>
        <w:pStyle w:val="25"/>
        <w:tabs>
          <w:tab w:val="right" w:leader="dot" w:pos="9077"/>
        </w:tabs>
        <w:rPr>
          <w:highlight w:val="none"/>
        </w:rPr>
      </w:pPr>
      <w:r>
        <w:rPr>
          <w:highlight w:val="none"/>
        </w:rPr>
        <w:fldChar w:fldCharType="begin"/>
      </w:r>
      <w:r>
        <w:rPr>
          <w:highlight w:val="none"/>
        </w:rPr>
        <w:instrText xml:space="preserve"> HYPERLINK \l _Toc1330 </w:instrText>
      </w:r>
      <w:r>
        <w:rPr>
          <w:highlight w:val="none"/>
        </w:rPr>
        <w:fldChar w:fldCharType="separate"/>
      </w:r>
      <w:r>
        <w:rPr>
          <w:rFonts w:hint="eastAsia"/>
          <w:highlight w:val="none"/>
          <w:lang w:val="en-US" w:eastAsia="zh-CN"/>
        </w:rPr>
        <w:t>10</w:t>
      </w:r>
      <w:r>
        <w:rPr>
          <w:highlight w:val="none"/>
        </w:rPr>
        <w:t>.1环境</w:t>
      </w:r>
      <w:r>
        <w:rPr>
          <w:rFonts w:hint="eastAsia"/>
          <w:highlight w:val="none"/>
        </w:rPr>
        <w:t>保护管理</w:t>
      </w:r>
      <w:r>
        <w:rPr>
          <w:highlight w:val="none"/>
        </w:rPr>
        <w:tab/>
      </w:r>
      <w:r>
        <w:rPr>
          <w:highlight w:val="none"/>
        </w:rPr>
        <w:fldChar w:fldCharType="begin"/>
      </w:r>
      <w:r>
        <w:rPr>
          <w:highlight w:val="none"/>
        </w:rPr>
        <w:instrText xml:space="preserve"> PAGEREF _Toc1330 </w:instrText>
      </w:r>
      <w:r>
        <w:rPr>
          <w:highlight w:val="none"/>
        </w:rPr>
        <w:fldChar w:fldCharType="separate"/>
      </w:r>
      <w:r>
        <w:rPr>
          <w:highlight w:val="none"/>
        </w:rPr>
        <w:t>149</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_Toc4871 </w:instrText>
      </w:r>
      <w:r>
        <w:rPr>
          <w:highlight w:val="none"/>
        </w:rPr>
        <w:fldChar w:fldCharType="separate"/>
      </w:r>
      <w:r>
        <w:rPr>
          <w:rFonts w:hint="eastAsia"/>
          <w:highlight w:val="none"/>
          <w:lang w:val="en-US" w:eastAsia="zh-CN"/>
        </w:rPr>
        <w:t>10</w:t>
      </w:r>
      <w:r>
        <w:rPr>
          <w:highlight w:val="none"/>
        </w:rPr>
        <w:t>.1.1环境保护管理的目的</w:t>
      </w:r>
      <w:r>
        <w:rPr>
          <w:highlight w:val="none"/>
        </w:rPr>
        <w:tab/>
      </w:r>
      <w:r>
        <w:rPr>
          <w:highlight w:val="none"/>
        </w:rPr>
        <w:fldChar w:fldCharType="begin"/>
      </w:r>
      <w:r>
        <w:rPr>
          <w:highlight w:val="none"/>
        </w:rPr>
        <w:instrText xml:space="preserve"> PAGEREF _Toc4871 </w:instrText>
      </w:r>
      <w:r>
        <w:rPr>
          <w:highlight w:val="none"/>
        </w:rPr>
        <w:fldChar w:fldCharType="separate"/>
      </w:r>
      <w:r>
        <w:rPr>
          <w:highlight w:val="none"/>
        </w:rPr>
        <w:t>149</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_Toc24777 </w:instrText>
      </w:r>
      <w:r>
        <w:rPr>
          <w:highlight w:val="none"/>
        </w:rPr>
        <w:fldChar w:fldCharType="separate"/>
      </w:r>
      <w:r>
        <w:rPr>
          <w:rFonts w:hint="eastAsia" w:cs="宋体"/>
          <w:highlight w:val="none"/>
          <w:lang w:val="en-US" w:eastAsia="zh-CN"/>
        </w:rPr>
        <w:t>10</w:t>
      </w:r>
      <w:r>
        <w:rPr>
          <w:rFonts w:cs="宋体"/>
          <w:highlight w:val="none"/>
        </w:rPr>
        <w:t>.1.2环境保护管理机构</w:t>
      </w:r>
      <w:r>
        <w:rPr>
          <w:highlight w:val="none"/>
        </w:rPr>
        <w:tab/>
      </w:r>
      <w:r>
        <w:rPr>
          <w:highlight w:val="none"/>
        </w:rPr>
        <w:fldChar w:fldCharType="begin"/>
      </w:r>
      <w:r>
        <w:rPr>
          <w:highlight w:val="none"/>
        </w:rPr>
        <w:instrText xml:space="preserve"> PAGEREF _Toc24777 </w:instrText>
      </w:r>
      <w:r>
        <w:rPr>
          <w:highlight w:val="none"/>
        </w:rPr>
        <w:fldChar w:fldCharType="separate"/>
      </w:r>
      <w:r>
        <w:rPr>
          <w:highlight w:val="none"/>
        </w:rPr>
        <w:t>149</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_Toc12593 </w:instrText>
      </w:r>
      <w:r>
        <w:rPr>
          <w:highlight w:val="none"/>
        </w:rPr>
        <w:fldChar w:fldCharType="separate"/>
      </w:r>
      <w:r>
        <w:rPr>
          <w:rFonts w:hint="eastAsia" w:cs="宋体"/>
          <w:highlight w:val="none"/>
          <w:lang w:val="en-US" w:eastAsia="zh-CN"/>
        </w:rPr>
        <w:t>10</w:t>
      </w:r>
      <w:r>
        <w:rPr>
          <w:rFonts w:cs="宋体"/>
          <w:highlight w:val="none"/>
        </w:rPr>
        <w:t>.1.3环境保护管理计划</w:t>
      </w:r>
      <w:r>
        <w:rPr>
          <w:highlight w:val="none"/>
        </w:rPr>
        <w:tab/>
      </w:r>
      <w:r>
        <w:rPr>
          <w:highlight w:val="none"/>
        </w:rPr>
        <w:fldChar w:fldCharType="begin"/>
      </w:r>
      <w:r>
        <w:rPr>
          <w:highlight w:val="none"/>
        </w:rPr>
        <w:instrText xml:space="preserve"> PAGEREF _Toc12593 </w:instrText>
      </w:r>
      <w:r>
        <w:rPr>
          <w:highlight w:val="none"/>
        </w:rPr>
        <w:fldChar w:fldCharType="separate"/>
      </w:r>
      <w:r>
        <w:rPr>
          <w:highlight w:val="none"/>
        </w:rPr>
        <w:t>149</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_Toc29857 </w:instrText>
      </w:r>
      <w:r>
        <w:rPr>
          <w:highlight w:val="none"/>
        </w:rPr>
        <w:fldChar w:fldCharType="separate"/>
      </w:r>
      <w:r>
        <w:rPr>
          <w:rFonts w:hint="eastAsia" w:cs="宋体"/>
          <w:highlight w:val="none"/>
          <w:lang w:val="en-US" w:eastAsia="zh-CN"/>
        </w:rPr>
        <w:t>10</w:t>
      </w:r>
      <w:r>
        <w:rPr>
          <w:rFonts w:hint="default" w:cs="宋体"/>
          <w:highlight w:val="none"/>
        </w:rPr>
        <w:t>.1.4</w:t>
      </w:r>
      <w:r>
        <w:rPr>
          <w:rFonts w:cs="宋体"/>
          <w:highlight w:val="none"/>
        </w:rPr>
        <w:t>施工期</w:t>
      </w:r>
      <w:r>
        <w:rPr>
          <w:rFonts w:hint="default" w:cs="宋体"/>
          <w:highlight w:val="none"/>
        </w:rPr>
        <w:t>环境监理</w:t>
      </w:r>
      <w:r>
        <w:rPr>
          <w:rFonts w:cs="宋体"/>
          <w:highlight w:val="none"/>
        </w:rPr>
        <w:t>计划</w:t>
      </w:r>
      <w:r>
        <w:rPr>
          <w:highlight w:val="none"/>
        </w:rPr>
        <w:tab/>
      </w:r>
      <w:r>
        <w:rPr>
          <w:highlight w:val="none"/>
        </w:rPr>
        <w:fldChar w:fldCharType="begin"/>
      </w:r>
      <w:r>
        <w:rPr>
          <w:highlight w:val="none"/>
        </w:rPr>
        <w:instrText xml:space="preserve"> PAGEREF _Toc29857 </w:instrText>
      </w:r>
      <w:r>
        <w:rPr>
          <w:highlight w:val="none"/>
        </w:rPr>
        <w:fldChar w:fldCharType="separate"/>
      </w:r>
      <w:r>
        <w:rPr>
          <w:highlight w:val="none"/>
        </w:rPr>
        <w:t>150</w:t>
      </w:r>
      <w:r>
        <w:rPr>
          <w:highlight w:val="none"/>
        </w:rPr>
        <w:fldChar w:fldCharType="end"/>
      </w:r>
      <w:r>
        <w:rPr>
          <w:highlight w:val="none"/>
        </w:rPr>
        <w:fldChar w:fldCharType="end"/>
      </w:r>
    </w:p>
    <w:p>
      <w:pPr>
        <w:pStyle w:val="25"/>
        <w:tabs>
          <w:tab w:val="right" w:leader="dot" w:pos="9077"/>
        </w:tabs>
        <w:rPr>
          <w:highlight w:val="none"/>
        </w:rPr>
      </w:pPr>
      <w:r>
        <w:rPr>
          <w:highlight w:val="none"/>
        </w:rPr>
        <w:fldChar w:fldCharType="begin"/>
      </w:r>
      <w:r>
        <w:rPr>
          <w:highlight w:val="none"/>
        </w:rPr>
        <w:instrText xml:space="preserve"> HYPERLINK \l _Toc10052 </w:instrText>
      </w:r>
      <w:r>
        <w:rPr>
          <w:highlight w:val="none"/>
        </w:rPr>
        <w:fldChar w:fldCharType="separate"/>
      </w:r>
      <w:r>
        <w:rPr>
          <w:rFonts w:hint="eastAsia"/>
          <w:highlight w:val="none"/>
          <w:lang w:val="en-US" w:eastAsia="zh-CN"/>
        </w:rPr>
        <w:t>10</w:t>
      </w:r>
      <w:r>
        <w:rPr>
          <w:rFonts w:hint="eastAsia"/>
          <w:highlight w:val="none"/>
        </w:rPr>
        <w:t>.2</w:t>
      </w:r>
      <w:r>
        <w:rPr>
          <w:highlight w:val="none"/>
        </w:rPr>
        <w:t>环境监测</w:t>
      </w:r>
      <w:r>
        <w:rPr>
          <w:highlight w:val="none"/>
        </w:rPr>
        <w:tab/>
      </w:r>
      <w:r>
        <w:rPr>
          <w:highlight w:val="none"/>
        </w:rPr>
        <w:fldChar w:fldCharType="begin"/>
      </w:r>
      <w:r>
        <w:rPr>
          <w:highlight w:val="none"/>
        </w:rPr>
        <w:instrText xml:space="preserve"> PAGEREF _Toc10052 </w:instrText>
      </w:r>
      <w:r>
        <w:rPr>
          <w:highlight w:val="none"/>
        </w:rPr>
        <w:fldChar w:fldCharType="separate"/>
      </w:r>
      <w:r>
        <w:rPr>
          <w:highlight w:val="none"/>
        </w:rPr>
        <w:t>150</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_Toc1972 </w:instrText>
      </w:r>
      <w:r>
        <w:rPr>
          <w:highlight w:val="none"/>
        </w:rPr>
        <w:fldChar w:fldCharType="separate"/>
      </w:r>
      <w:r>
        <w:rPr>
          <w:rFonts w:hint="eastAsia"/>
          <w:highlight w:val="none"/>
          <w:lang w:val="en-US" w:eastAsia="zh-CN"/>
        </w:rPr>
        <w:t>10</w:t>
      </w:r>
      <w:r>
        <w:rPr>
          <w:highlight w:val="none"/>
        </w:rPr>
        <w:t>.2.1</w:t>
      </w:r>
      <w:r>
        <w:rPr>
          <w:rFonts w:hint="default"/>
          <w:highlight w:val="none"/>
        </w:rPr>
        <w:t xml:space="preserve"> 环境监测的机构设置</w:t>
      </w:r>
      <w:r>
        <w:rPr>
          <w:highlight w:val="none"/>
        </w:rPr>
        <w:tab/>
      </w:r>
      <w:r>
        <w:rPr>
          <w:highlight w:val="none"/>
        </w:rPr>
        <w:fldChar w:fldCharType="begin"/>
      </w:r>
      <w:r>
        <w:rPr>
          <w:highlight w:val="none"/>
        </w:rPr>
        <w:instrText xml:space="preserve"> PAGEREF _Toc1972 </w:instrText>
      </w:r>
      <w:r>
        <w:rPr>
          <w:highlight w:val="none"/>
        </w:rPr>
        <w:fldChar w:fldCharType="separate"/>
      </w:r>
      <w:r>
        <w:rPr>
          <w:highlight w:val="none"/>
        </w:rPr>
        <w:t>150</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_Toc28614 </w:instrText>
      </w:r>
      <w:r>
        <w:rPr>
          <w:highlight w:val="none"/>
        </w:rPr>
        <w:fldChar w:fldCharType="separate"/>
      </w:r>
      <w:r>
        <w:rPr>
          <w:rFonts w:hint="eastAsia" w:cs="宋体"/>
          <w:highlight w:val="none"/>
          <w:lang w:val="en-US" w:eastAsia="zh-CN"/>
        </w:rPr>
        <w:t>10</w:t>
      </w:r>
      <w:r>
        <w:rPr>
          <w:rFonts w:cs="宋体"/>
          <w:highlight w:val="none"/>
        </w:rPr>
        <w:t>.2.2</w:t>
      </w:r>
      <w:r>
        <w:rPr>
          <w:rFonts w:hint="default" w:cs="宋体"/>
          <w:highlight w:val="none"/>
        </w:rPr>
        <w:t xml:space="preserve"> </w:t>
      </w:r>
      <w:r>
        <w:rPr>
          <w:rFonts w:cs="宋体"/>
          <w:highlight w:val="none"/>
        </w:rPr>
        <w:t>自行监测计划</w:t>
      </w:r>
      <w:r>
        <w:rPr>
          <w:highlight w:val="none"/>
        </w:rPr>
        <w:tab/>
      </w:r>
      <w:r>
        <w:rPr>
          <w:highlight w:val="none"/>
        </w:rPr>
        <w:fldChar w:fldCharType="begin"/>
      </w:r>
      <w:r>
        <w:rPr>
          <w:highlight w:val="none"/>
        </w:rPr>
        <w:instrText xml:space="preserve"> PAGEREF _Toc28614 </w:instrText>
      </w:r>
      <w:r>
        <w:rPr>
          <w:highlight w:val="none"/>
        </w:rPr>
        <w:fldChar w:fldCharType="separate"/>
      </w:r>
      <w:r>
        <w:rPr>
          <w:highlight w:val="none"/>
        </w:rPr>
        <w:t>150</w:t>
      </w:r>
      <w:r>
        <w:rPr>
          <w:highlight w:val="none"/>
        </w:rPr>
        <w:fldChar w:fldCharType="end"/>
      </w:r>
      <w:r>
        <w:rPr>
          <w:highlight w:val="none"/>
        </w:rPr>
        <w:fldChar w:fldCharType="end"/>
      </w:r>
    </w:p>
    <w:p>
      <w:pPr>
        <w:pStyle w:val="16"/>
        <w:tabs>
          <w:tab w:val="right" w:leader="dot" w:pos="9077"/>
        </w:tabs>
        <w:rPr>
          <w:highlight w:val="none"/>
        </w:rPr>
      </w:pPr>
      <w:r>
        <w:rPr>
          <w:highlight w:val="none"/>
        </w:rPr>
        <w:fldChar w:fldCharType="begin"/>
      </w:r>
      <w:r>
        <w:rPr>
          <w:highlight w:val="none"/>
        </w:rPr>
        <w:instrText xml:space="preserve"> HYPERLINK \l _Toc1050 </w:instrText>
      </w:r>
      <w:r>
        <w:rPr>
          <w:highlight w:val="none"/>
        </w:rPr>
        <w:fldChar w:fldCharType="separate"/>
      </w:r>
      <w:r>
        <w:rPr>
          <w:rFonts w:hint="eastAsia" w:cs="宋体"/>
          <w:highlight w:val="none"/>
          <w:lang w:val="en-US" w:eastAsia="zh-CN"/>
        </w:rPr>
        <w:t>10</w:t>
      </w:r>
      <w:r>
        <w:rPr>
          <w:rFonts w:cs="宋体"/>
          <w:highlight w:val="none"/>
        </w:rPr>
        <w:t xml:space="preserve">.2.3 </w:t>
      </w:r>
      <w:r>
        <w:rPr>
          <w:rFonts w:hint="default" w:cs="宋体"/>
          <w:highlight w:val="none"/>
        </w:rPr>
        <w:t>监测数据的整理、审核和存档</w:t>
      </w:r>
      <w:r>
        <w:rPr>
          <w:highlight w:val="none"/>
        </w:rPr>
        <w:tab/>
      </w:r>
      <w:r>
        <w:rPr>
          <w:highlight w:val="none"/>
        </w:rPr>
        <w:fldChar w:fldCharType="begin"/>
      </w:r>
      <w:r>
        <w:rPr>
          <w:highlight w:val="none"/>
        </w:rPr>
        <w:instrText xml:space="preserve"> PAGEREF _Toc1050 </w:instrText>
      </w:r>
      <w:r>
        <w:rPr>
          <w:highlight w:val="none"/>
        </w:rPr>
        <w:fldChar w:fldCharType="separate"/>
      </w:r>
      <w:r>
        <w:rPr>
          <w:highlight w:val="none"/>
        </w:rPr>
        <w:t>151</w:t>
      </w:r>
      <w:r>
        <w:rPr>
          <w:highlight w:val="none"/>
        </w:rPr>
        <w:fldChar w:fldCharType="end"/>
      </w:r>
      <w:r>
        <w:rPr>
          <w:highlight w:val="none"/>
        </w:rPr>
        <w:fldChar w:fldCharType="end"/>
      </w:r>
    </w:p>
    <w:p>
      <w:pPr>
        <w:pStyle w:val="25"/>
        <w:tabs>
          <w:tab w:val="right" w:leader="dot" w:pos="9077"/>
        </w:tabs>
        <w:rPr>
          <w:highlight w:val="none"/>
        </w:rPr>
      </w:pPr>
      <w:r>
        <w:rPr>
          <w:highlight w:val="none"/>
        </w:rPr>
        <w:fldChar w:fldCharType="begin"/>
      </w:r>
      <w:r>
        <w:rPr>
          <w:highlight w:val="none"/>
        </w:rPr>
        <w:instrText xml:space="preserve"> HYPERLINK \l _Toc26485 </w:instrText>
      </w:r>
      <w:r>
        <w:rPr>
          <w:highlight w:val="none"/>
        </w:rPr>
        <w:fldChar w:fldCharType="separate"/>
      </w:r>
      <w:r>
        <w:rPr>
          <w:rFonts w:hint="eastAsia"/>
          <w:highlight w:val="none"/>
          <w:lang w:val="en-US" w:eastAsia="zh-CN"/>
        </w:rPr>
        <w:t>10</w:t>
      </w:r>
      <w:r>
        <w:rPr>
          <w:highlight w:val="none"/>
        </w:rPr>
        <w:t>.3环保竣工验收</w:t>
      </w:r>
      <w:r>
        <w:rPr>
          <w:highlight w:val="none"/>
        </w:rPr>
        <w:tab/>
      </w:r>
      <w:r>
        <w:rPr>
          <w:highlight w:val="none"/>
        </w:rPr>
        <w:fldChar w:fldCharType="begin"/>
      </w:r>
      <w:r>
        <w:rPr>
          <w:highlight w:val="none"/>
        </w:rPr>
        <w:instrText xml:space="preserve"> PAGEREF _Toc26485 </w:instrText>
      </w:r>
      <w:r>
        <w:rPr>
          <w:highlight w:val="none"/>
        </w:rPr>
        <w:fldChar w:fldCharType="separate"/>
      </w:r>
      <w:r>
        <w:rPr>
          <w:highlight w:val="none"/>
        </w:rPr>
        <w:t>151</w:t>
      </w:r>
      <w:r>
        <w:rPr>
          <w:highlight w:val="none"/>
        </w:rPr>
        <w:fldChar w:fldCharType="end"/>
      </w:r>
      <w:r>
        <w:rPr>
          <w:highlight w:val="none"/>
        </w:rPr>
        <w:fldChar w:fldCharType="end"/>
      </w:r>
    </w:p>
    <w:p>
      <w:pPr>
        <w:pStyle w:val="23"/>
        <w:tabs>
          <w:tab w:val="right" w:leader="dot" w:pos="9077"/>
        </w:tabs>
        <w:rPr>
          <w:highlight w:val="none"/>
        </w:rPr>
      </w:pPr>
      <w:r>
        <w:rPr>
          <w:highlight w:val="none"/>
        </w:rPr>
        <w:fldChar w:fldCharType="begin"/>
      </w:r>
      <w:r>
        <w:rPr>
          <w:highlight w:val="none"/>
        </w:rPr>
        <w:instrText xml:space="preserve"> HYPERLINK \l _Toc28445 </w:instrText>
      </w:r>
      <w:r>
        <w:rPr>
          <w:highlight w:val="none"/>
        </w:rPr>
        <w:fldChar w:fldCharType="separate"/>
      </w:r>
      <w:r>
        <w:rPr>
          <w:rFonts w:hint="eastAsia"/>
          <w:szCs w:val="32"/>
          <w:highlight w:val="none"/>
          <w:lang w:val="en-US" w:eastAsia="zh-CN"/>
        </w:rPr>
        <w:t>11</w:t>
      </w:r>
      <w:r>
        <w:rPr>
          <w:szCs w:val="32"/>
          <w:highlight w:val="none"/>
        </w:rPr>
        <w:t xml:space="preserve"> 环境影响评价结论</w:t>
      </w:r>
      <w:r>
        <w:rPr>
          <w:highlight w:val="none"/>
        </w:rPr>
        <w:tab/>
      </w:r>
      <w:r>
        <w:rPr>
          <w:highlight w:val="none"/>
        </w:rPr>
        <w:fldChar w:fldCharType="begin"/>
      </w:r>
      <w:r>
        <w:rPr>
          <w:highlight w:val="none"/>
        </w:rPr>
        <w:instrText xml:space="preserve"> PAGEREF _Toc28445 </w:instrText>
      </w:r>
      <w:r>
        <w:rPr>
          <w:highlight w:val="none"/>
        </w:rPr>
        <w:fldChar w:fldCharType="separate"/>
      </w:r>
      <w:r>
        <w:rPr>
          <w:highlight w:val="none"/>
        </w:rPr>
        <w:t>154</w:t>
      </w:r>
      <w:r>
        <w:rPr>
          <w:highlight w:val="none"/>
        </w:rPr>
        <w:fldChar w:fldCharType="end"/>
      </w:r>
      <w:r>
        <w:rPr>
          <w:highlight w:val="none"/>
        </w:rPr>
        <w:fldChar w:fldCharType="end"/>
      </w:r>
    </w:p>
    <w:p>
      <w:pPr>
        <w:pStyle w:val="25"/>
        <w:tabs>
          <w:tab w:val="right" w:leader="dot" w:pos="9077"/>
        </w:tabs>
        <w:rPr>
          <w:highlight w:val="none"/>
        </w:rPr>
      </w:pPr>
      <w:r>
        <w:rPr>
          <w:highlight w:val="none"/>
        </w:rPr>
        <w:fldChar w:fldCharType="begin"/>
      </w:r>
      <w:r>
        <w:rPr>
          <w:highlight w:val="none"/>
        </w:rPr>
        <w:instrText xml:space="preserve"> HYPERLINK \l _Toc30593 </w:instrText>
      </w:r>
      <w:r>
        <w:rPr>
          <w:highlight w:val="none"/>
        </w:rPr>
        <w:fldChar w:fldCharType="separate"/>
      </w:r>
      <w:r>
        <w:rPr>
          <w:rFonts w:hint="eastAsia"/>
          <w:highlight w:val="none"/>
          <w:lang w:val="en-US" w:eastAsia="zh-CN"/>
        </w:rPr>
        <w:t>11</w:t>
      </w:r>
      <w:r>
        <w:rPr>
          <w:highlight w:val="none"/>
        </w:rPr>
        <w:t>.1项目概况</w:t>
      </w:r>
      <w:r>
        <w:rPr>
          <w:highlight w:val="none"/>
        </w:rPr>
        <w:tab/>
      </w:r>
      <w:r>
        <w:rPr>
          <w:highlight w:val="none"/>
        </w:rPr>
        <w:fldChar w:fldCharType="begin"/>
      </w:r>
      <w:r>
        <w:rPr>
          <w:highlight w:val="none"/>
        </w:rPr>
        <w:instrText xml:space="preserve"> PAGEREF _Toc30593 </w:instrText>
      </w:r>
      <w:r>
        <w:rPr>
          <w:highlight w:val="none"/>
        </w:rPr>
        <w:fldChar w:fldCharType="separate"/>
      </w:r>
      <w:r>
        <w:rPr>
          <w:highlight w:val="none"/>
        </w:rPr>
        <w:t>154</w:t>
      </w:r>
      <w:r>
        <w:rPr>
          <w:highlight w:val="none"/>
        </w:rPr>
        <w:fldChar w:fldCharType="end"/>
      </w:r>
      <w:r>
        <w:rPr>
          <w:highlight w:val="none"/>
        </w:rPr>
        <w:fldChar w:fldCharType="end"/>
      </w:r>
    </w:p>
    <w:p>
      <w:pPr>
        <w:pStyle w:val="25"/>
        <w:tabs>
          <w:tab w:val="right" w:leader="dot" w:pos="9077"/>
        </w:tabs>
        <w:rPr>
          <w:highlight w:val="none"/>
        </w:rPr>
      </w:pPr>
      <w:r>
        <w:rPr>
          <w:highlight w:val="none"/>
        </w:rPr>
        <w:fldChar w:fldCharType="begin"/>
      </w:r>
      <w:r>
        <w:rPr>
          <w:highlight w:val="none"/>
        </w:rPr>
        <w:instrText xml:space="preserve"> HYPERLINK \l _Toc7481 </w:instrText>
      </w:r>
      <w:r>
        <w:rPr>
          <w:highlight w:val="none"/>
        </w:rPr>
        <w:fldChar w:fldCharType="separate"/>
      </w:r>
      <w:r>
        <w:rPr>
          <w:rFonts w:hint="eastAsia"/>
          <w:highlight w:val="none"/>
          <w:lang w:val="en-US" w:eastAsia="zh-CN"/>
        </w:rPr>
        <w:t>11</w:t>
      </w:r>
      <w:r>
        <w:rPr>
          <w:highlight w:val="none"/>
        </w:rPr>
        <w:t>.2环境质量现状</w:t>
      </w:r>
      <w:r>
        <w:rPr>
          <w:rFonts w:hint="eastAsia"/>
          <w:highlight w:val="none"/>
        </w:rPr>
        <w:t>评价结论</w:t>
      </w:r>
      <w:r>
        <w:rPr>
          <w:highlight w:val="none"/>
        </w:rPr>
        <w:tab/>
      </w:r>
      <w:r>
        <w:rPr>
          <w:highlight w:val="none"/>
        </w:rPr>
        <w:fldChar w:fldCharType="begin"/>
      </w:r>
      <w:r>
        <w:rPr>
          <w:highlight w:val="none"/>
        </w:rPr>
        <w:instrText xml:space="preserve"> PAGEREF _Toc7481 </w:instrText>
      </w:r>
      <w:r>
        <w:rPr>
          <w:highlight w:val="none"/>
        </w:rPr>
        <w:fldChar w:fldCharType="separate"/>
      </w:r>
      <w:r>
        <w:rPr>
          <w:highlight w:val="none"/>
        </w:rPr>
        <w:t>154</w:t>
      </w:r>
      <w:r>
        <w:rPr>
          <w:highlight w:val="none"/>
        </w:rPr>
        <w:fldChar w:fldCharType="end"/>
      </w:r>
      <w:r>
        <w:rPr>
          <w:highlight w:val="none"/>
        </w:rPr>
        <w:fldChar w:fldCharType="end"/>
      </w:r>
    </w:p>
    <w:p>
      <w:pPr>
        <w:pStyle w:val="25"/>
        <w:tabs>
          <w:tab w:val="right" w:leader="dot" w:pos="9077"/>
        </w:tabs>
        <w:rPr>
          <w:highlight w:val="none"/>
        </w:rPr>
      </w:pPr>
      <w:r>
        <w:rPr>
          <w:highlight w:val="none"/>
        </w:rPr>
        <w:fldChar w:fldCharType="begin"/>
      </w:r>
      <w:r>
        <w:rPr>
          <w:highlight w:val="none"/>
        </w:rPr>
        <w:instrText xml:space="preserve"> HYPERLINK \l _Toc3217 </w:instrText>
      </w:r>
      <w:r>
        <w:rPr>
          <w:highlight w:val="none"/>
        </w:rPr>
        <w:fldChar w:fldCharType="separate"/>
      </w:r>
      <w:r>
        <w:rPr>
          <w:rFonts w:hint="eastAsia"/>
          <w:highlight w:val="none"/>
          <w:lang w:val="en-US" w:eastAsia="zh-CN"/>
        </w:rPr>
        <w:t>11</w:t>
      </w:r>
      <w:r>
        <w:rPr>
          <w:highlight w:val="none"/>
        </w:rPr>
        <w:t>.3</w:t>
      </w:r>
      <w:r>
        <w:rPr>
          <w:rFonts w:hint="eastAsia"/>
          <w:highlight w:val="none"/>
          <w:lang w:eastAsia="zh-CN"/>
        </w:rPr>
        <w:t>环境影响分析结论</w:t>
      </w:r>
      <w:r>
        <w:rPr>
          <w:highlight w:val="none"/>
        </w:rPr>
        <w:tab/>
      </w:r>
      <w:r>
        <w:rPr>
          <w:highlight w:val="none"/>
        </w:rPr>
        <w:fldChar w:fldCharType="begin"/>
      </w:r>
      <w:r>
        <w:rPr>
          <w:highlight w:val="none"/>
        </w:rPr>
        <w:instrText xml:space="preserve"> PAGEREF _Toc3217 </w:instrText>
      </w:r>
      <w:r>
        <w:rPr>
          <w:highlight w:val="none"/>
        </w:rPr>
        <w:fldChar w:fldCharType="separate"/>
      </w:r>
      <w:r>
        <w:rPr>
          <w:highlight w:val="none"/>
        </w:rPr>
        <w:t>155</w:t>
      </w:r>
      <w:r>
        <w:rPr>
          <w:highlight w:val="none"/>
        </w:rPr>
        <w:fldChar w:fldCharType="end"/>
      </w:r>
      <w:r>
        <w:rPr>
          <w:highlight w:val="none"/>
        </w:rPr>
        <w:fldChar w:fldCharType="end"/>
      </w:r>
    </w:p>
    <w:p>
      <w:pPr>
        <w:pStyle w:val="25"/>
        <w:tabs>
          <w:tab w:val="right" w:leader="dot" w:pos="9077"/>
        </w:tabs>
        <w:rPr>
          <w:highlight w:val="none"/>
        </w:rPr>
      </w:pPr>
      <w:r>
        <w:rPr>
          <w:highlight w:val="none"/>
        </w:rPr>
        <w:fldChar w:fldCharType="begin"/>
      </w:r>
      <w:r>
        <w:rPr>
          <w:highlight w:val="none"/>
        </w:rPr>
        <w:instrText xml:space="preserve"> HYPERLINK \l _Toc1405 </w:instrText>
      </w:r>
      <w:r>
        <w:rPr>
          <w:highlight w:val="none"/>
        </w:rPr>
        <w:fldChar w:fldCharType="separate"/>
      </w:r>
      <w:r>
        <w:rPr>
          <w:rFonts w:hint="eastAsia"/>
          <w:highlight w:val="none"/>
        </w:rPr>
        <w:t>1</w:t>
      </w:r>
      <w:r>
        <w:rPr>
          <w:rFonts w:hint="eastAsia"/>
          <w:highlight w:val="none"/>
          <w:lang w:val="en-US" w:eastAsia="zh-CN"/>
        </w:rPr>
        <w:t>1</w:t>
      </w:r>
      <w:r>
        <w:rPr>
          <w:highlight w:val="none"/>
        </w:rPr>
        <w:t>.4</w:t>
      </w:r>
      <w:r>
        <w:rPr>
          <w:rFonts w:hint="eastAsia"/>
          <w:highlight w:val="none"/>
        </w:rPr>
        <w:t>总量控制</w:t>
      </w:r>
      <w:r>
        <w:rPr>
          <w:highlight w:val="none"/>
        </w:rPr>
        <w:tab/>
      </w:r>
      <w:r>
        <w:rPr>
          <w:highlight w:val="none"/>
        </w:rPr>
        <w:fldChar w:fldCharType="begin"/>
      </w:r>
      <w:r>
        <w:rPr>
          <w:highlight w:val="none"/>
        </w:rPr>
        <w:instrText xml:space="preserve"> PAGEREF _Toc1405 </w:instrText>
      </w:r>
      <w:r>
        <w:rPr>
          <w:highlight w:val="none"/>
        </w:rPr>
        <w:fldChar w:fldCharType="separate"/>
      </w:r>
      <w:r>
        <w:rPr>
          <w:highlight w:val="none"/>
        </w:rPr>
        <w:t>156</w:t>
      </w:r>
      <w:r>
        <w:rPr>
          <w:highlight w:val="none"/>
        </w:rPr>
        <w:fldChar w:fldCharType="end"/>
      </w:r>
      <w:r>
        <w:rPr>
          <w:highlight w:val="none"/>
        </w:rPr>
        <w:fldChar w:fldCharType="end"/>
      </w:r>
    </w:p>
    <w:p>
      <w:pPr>
        <w:pStyle w:val="25"/>
        <w:tabs>
          <w:tab w:val="right" w:leader="dot" w:pos="9077"/>
        </w:tabs>
        <w:rPr>
          <w:highlight w:val="none"/>
        </w:rPr>
      </w:pPr>
      <w:r>
        <w:rPr>
          <w:highlight w:val="none"/>
        </w:rPr>
        <w:fldChar w:fldCharType="begin"/>
      </w:r>
      <w:r>
        <w:rPr>
          <w:highlight w:val="none"/>
        </w:rPr>
        <w:instrText xml:space="preserve"> HYPERLINK \l _Toc19603 </w:instrText>
      </w:r>
      <w:r>
        <w:rPr>
          <w:highlight w:val="none"/>
        </w:rPr>
        <w:fldChar w:fldCharType="separate"/>
      </w:r>
      <w:r>
        <w:rPr>
          <w:rFonts w:hint="eastAsia"/>
          <w:highlight w:val="none"/>
        </w:rPr>
        <w:t>1</w:t>
      </w:r>
      <w:r>
        <w:rPr>
          <w:rFonts w:hint="eastAsia"/>
          <w:highlight w:val="none"/>
          <w:lang w:val="en-US" w:eastAsia="zh-CN"/>
        </w:rPr>
        <w:t>1</w:t>
      </w:r>
      <w:r>
        <w:rPr>
          <w:rFonts w:hint="eastAsia"/>
          <w:highlight w:val="none"/>
        </w:rPr>
        <w:t>.</w:t>
      </w:r>
      <w:r>
        <w:rPr>
          <w:rFonts w:hint="eastAsia"/>
          <w:highlight w:val="none"/>
          <w:lang w:val="en-US" w:eastAsia="zh-CN"/>
        </w:rPr>
        <w:t>5</w:t>
      </w:r>
      <w:r>
        <w:rPr>
          <w:rFonts w:hint="eastAsia"/>
          <w:highlight w:val="none"/>
        </w:rPr>
        <w:t>公众参与</w:t>
      </w:r>
      <w:r>
        <w:rPr>
          <w:highlight w:val="none"/>
        </w:rPr>
        <w:tab/>
      </w:r>
      <w:r>
        <w:rPr>
          <w:highlight w:val="none"/>
        </w:rPr>
        <w:fldChar w:fldCharType="begin"/>
      </w:r>
      <w:r>
        <w:rPr>
          <w:highlight w:val="none"/>
        </w:rPr>
        <w:instrText xml:space="preserve"> PAGEREF _Toc19603 </w:instrText>
      </w:r>
      <w:r>
        <w:rPr>
          <w:highlight w:val="none"/>
        </w:rPr>
        <w:fldChar w:fldCharType="separate"/>
      </w:r>
      <w:r>
        <w:rPr>
          <w:highlight w:val="none"/>
        </w:rPr>
        <w:t>156</w:t>
      </w:r>
      <w:r>
        <w:rPr>
          <w:highlight w:val="none"/>
        </w:rPr>
        <w:fldChar w:fldCharType="end"/>
      </w:r>
      <w:r>
        <w:rPr>
          <w:highlight w:val="none"/>
        </w:rPr>
        <w:fldChar w:fldCharType="end"/>
      </w:r>
    </w:p>
    <w:p>
      <w:pPr>
        <w:pStyle w:val="25"/>
        <w:tabs>
          <w:tab w:val="right" w:leader="dot" w:pos="9077"/>
        </w:tabs>
        <w:rPr>
          <w:highlight w:val="none"/>
        </w:rPr>
      </w:pPr>
      <w:r>
        <w:rPr>
          <w:highlight w:val="none"/>
        </w:rPr>
        <w:fldChar w:fldCharType="begin"/>
      </w:r>
      <w:r>
        <w:rPr>
          <w:highlight w:val="none"/>
        </w:rPr>
        <w:instrText xml:space="preserve"> HYPERLINK \l _Toc3505 </w:instrText>
      </w:r>
      <w:r>
        <w:rPr>
          <w:highlight w:val="none"/>
        </w:rPr>
        <w:fldChar w:fldCharType="separate"/>
      </w:r>
      <w:r>
        <w:rPr>
          <w:rFonts w:hint="eastAsia"/>
          <w:highlight w:val="none"/>
          <w:lang w:val="en-US" w:eastAsia="zh-CN"/>
        </w:rPr>
        <w:t>11</w:t>
      </w:r>
      <w:r>
        <w:rPr>
          <w:rFonts w:hint="eastAsia"/>
          <w:highlight w:val="none"/>
        </w:rPr>
        <w:t>.</w:t>
      </w:r>
      <w:r>
        <w:rPr>
          <w:rFonts w:hint="eastAsia"/>
          <w:highlight w:val="none"/>
          <w:lang w:val="en-US" w:eastAsia="zh-CN"/>
        </w:rPr>
        <w:t>6</w:t>
      </w:r>
      <w:r>
        <w:rPr>
          <w:rFonts w:hint="eastAsia"/>
          <w:highlight w:val="none"/>
          <w:lang w:eastAsia="zh-CN"/>
        </w:rPr>
        <w:t>环境保护措施</w:t>
      </w:r>
      <w:r>
        <w:rPr>
          <w:highlight w:val="none"/>
        </w:rPr>
        <w:tab/>
      </w:r>
      <w:r>
        <w:rPr>
          <w:highlight w:val="none"/>
        </w:rPr>
        <w:fldChar w:fldCharType="begin"/>
      </w:r>
      <w:r>
        <w:rPr>
          <w:highlight w:val="none"/>
        </w:rPr>
        <w:instrText xml:space="preserve"> PAGEREF _Toc3505 </w:instrText>
      </w:r>
      <w:r>
        <w:rPr>
          <w:highlight w:val="none"/>
        </w:rPr>
        <w:fldChar w:fldCharType="separate"/>
      </w:r>
      <w:r>
        <w:rPr>
          <w:highlight w:val="none"/>
        </w:rPr>
        <w:t>157</w:t>
      </w:r>
      <w:r>
        <w:rPr>
          <w:highlight w:val="none"/>
        </w:rPr>
        <w:fldChar w:fldCharType="end"/>
      </w:r>
      <w:r>
        <w:rPr>
          <w:highlight w:val="none"/>
        </w:rPr>
        <w:fldChar w:fldCharType="end"/>
      </w:r>
    </w:p>
    <w:p>
      <w:pPr>
        <w:pStyle w:val="25"/>
        <w:tabs>
          <w:tab w:val="right" w:leader="dot" w:pos="9077"/>
        </w:tabs>
        <w:rPr>
          <w:highlight w:val="none"/>
        </w:rPr>
      </w:pPr>
      <w:r>
        <w:rPr>
          <w:highlight w:val="none"/>
        </w:rPr>
        <w:fldChar w:fldCharType="begin"/>
      </w:r>
      <w:r>
        <w:rPr>
          <w:highlight w:val="none"/>
        </w:rPr>
        <w:instrText xml:space="preserve"> HYPERLINK \l _Toc17253 </w:instrText>
      </w:r>
      <w:r>
        <w:rPr>
          <w:highlight w:val="none"/>
        </w:rPr>
        <w:fldChar w:fldCharType="separate"/>
      </w:r>
      <w:r>
        <w:rPr>
          <w:rFonts w:hint="eastAsia"/>
          <w:szCs w:val="28"/>
          <w:highlight w:val="none"/>
          <w:lang w:val="en-US" w:eastAsia="zh-CN"/>
        </w:rPr>
        <w:t>11</w:t>
      </w:r>
      <w:r>
        <w:rPr>
          <w:rFonts w:hint="eastAsia"/>
          <w:szCs w:val="28"/>
          <w:highlight w:val="none"/>
        </w:rPr>
        <w:t>.</w:t>
      </w:r>
      <w:r>
        <w:rPr>
          <w:rFonts w:hint="eastAsia"/>
          <w:szCs w:val="28"/>
          <w:highlight w:val="none"/>
          <w:lang w:val="en-US" w:eastAsia="zh-CN"/>
        </w:rPr>
        <w:t>7</w:t>
      </w:r>
      <w:r>
        <w:rPr>
          <w:rFonts w:hint="eastAsia"/>
          <w:szCs w:val="28"/>
          <w:highlight w:val="none"/>
          <w:lang w:eastAsia="zh-CN"/>
        </w:rPr>
        <w:t>环境风险影响评价结论</w:t>
      </w:r>
      <w:r>
        <w:rPr>
          <w:highlight w:val="none"/>
        </w:rPr>
        <w:tab/>
      </w:r>
      <w:r>
        <w:rPr>
          <w:highlight w:val="none"/>
        </w:rPr>
        <w:fldChar w:fldCharType="begin"/>
      </w:r>
      <w:r>
        <w:rPr>
          <w:highlight w:val="none"/>
        </w:rPr>
        <w:instrText xml:space="preserve"> PAGEREF _Toc17253 </w:instrText>
      </w:r>
      <w:r>
        <w:rPr>
          <w:highlight w:val="none"/>
        </w:rPr>
        <w:fldChar w:fldCharType="separate"/>
      </w:r>
      <w:r>
        <w:rPr>
          <w:highlight w:val="none"/>
        </w:rPr>
        <w:t>159</w:t>
      </w:r>
      <w:r>
        <w:rPr>
          <w:highlight w:val="none"/>
        </w:rPr>
        <w:fldChar w:fldCharType="end"/>
      </w:r>
      <w:r>
        <w:rPr>
          <w:highlight w:val="none"/>
        </w:rPr>
        <w:fldChar w:fldCharType="end"/>
      </w:r>
    </w:p>
    <w:p>
      <w:pPr>
        <w:pStyle w:val="25"/>
        <w:tabs>
          <w:tab w:val="right" w:leader="dot" w:pos="9077"/>
        </w:tabs>
        <w:rPr>
          <w:highlight w:val="none"/>
        </w:rPr>
      </w:pPr>
      <w:r>
        <w:rPr>
          <w:highlight w:val="none"/>
        </w:rPr>
        <w:fldChar w:fldCharType="begin"/>
      </w:r>
      <w:r>
        <w:rPr>
          <w:highlight w:val="none"/>
        </w:rPr>
        <w:instrText xml:space="preserve"> HYPERLINK \l _Toc17043 </w:instrText>
      </w:r>
      <w:r>
        <w:rPr>
          <w:highlight w:val="none"/>
        </w:rPr>
        <w:fldChar w:fldCharType="separate"/>
      </w:r>
      <w:r>
        <w:rPr>
          <w:rFonts w:hint="eastAsia"/>
          <w:szCs w:val="28"/>
          <w:highlight w:val="none"/>
          <w:lang w:val="en-US" w:eastAsia="zh-CN"/>
        </w:rPr>
        <w:t>11</w:t>
      </w:r>
      <w:r>
        <w:rPr>
          <w:rFonts w:hint="eastAsia"/>
          <w:szCs w:val="28"/>
          <w:highlight w:val="none"/>
        </w:rPr>
        <w:t>.</w:t>
      </w:r>
      <w:r>
        <w:rPr>
          <w:rFonts w:hint="eastAsia"/>
          <w:szCs w:val="28"/>
          <w:highlight w:val="none"/>
          <w:lang w:val="en-US" w:eastAsia="zh-CN"/>
        </w:rPr>
        <w:t>10</w:t>
      </w:r>
      <w:r>
        <w:rPr>
          <w:rFonts w:hint="eastAsia"/>
          <w:szCs w:val="28"/>
          <w:highlight w:val="none"/>
          <w:lang w:val="zh-CN"/>
        </w:rPr>
        <w:t>评价总结论</w:t>
      </w:r>
      <w:r>
        <w:rPr>
          <w:highlight w:val="none"/>
        </w:rPr>
        <w:tab/>
      </w:r>
      <w:r>
        <w:rPr>
          <w:highlight w:val="none"/>
        </w:rPr>
        <w:fldChar w:fldCharType="begin"/>
      </w:r>
      <w:r>
        <w:rPr>
          <w:highlight w:val="none"/>
        </w:rPr>
        <w:instrText xml:space="preserve"> PAGEREF _Toc17043 </w:instrText>
      </w:r>
      <w:r>
        <w:rPr>
          <w:highlight w:val="none"/>
        </w:rPr>
        <w:fldChar w:fldCharType="separate"/>
      </w:r>
      <w:r>
        <w:rPr>
          <w:highlight w:val="none"/>
        </w:rPr>
        <w:t>160</w:t>
      </w:r>
      <w:r>
        <w:rPr>
          <w:highlight w:val="none"/>
        </w:rPr>
        <w:fldChar w:fldCharType="end"/>
      </w:r>
      <w:r>
        <w:rPr>
          <w:highlight w:val="none"/>
        </w:rPr>
        <w:fldChar w:fldCharType="end"/>
      </w:r>
    </w:p>
    <w:p>
      <w:pPr>
        <w:bidi w:val="0"/>
        <w:jc w:val="center"/>
        <w:rPr>
          <w:highlight w:val="none"/>
        </w:rPr>
      </w:pPr>
      <w:r>
        <w:rPr>
          <w:highlight w:val="none"/>
        </w:rPr>
        <w:fldChar w:fldCharType="end"/>
      </w:r>
      <w:bookmarkStart w:id="2" w:name="_Toc8654"/>
    </w:p>
    <w:p>
      <w:pPr>
        <w:ind w:firstLine="0" w:firstLineChars="0"/>
        <w:rPr>
          <w:rFonts w:hint="eastAsia"/>
          <w:b/>
          <w:bCs/>
          <w:highlight w:val="none"/>
        </w:rPr>
      </w:pPr>
    </w:p>
    <w:p>
      <w:pPr>
        <w:ind w:firstLine="0" w:firstLineChars="0"/>
        <w:rPr>
          <w:rFonts w:hint="eastAsia"/>
          <w:b/>
          <w:bCs/>
          <w:highlight w:val="none"/>
        </w:rPr>
      </w:pPr>
    </w:p>
    <w:p>
      <w:pPr>
        <w:ind w:firstLine="0" w:firstLineChars="0"/>
        <w:rPr>
          <w:rFonts w:hint="eastAsia"/>
          <w:b/>
          <w:bCs/>
          <w:highlight w:val="none"/>
        </w:rPr>
      </w:pPr>
    </w:p>
    <w:p>
      <w:pPr>
        <w:ind w:firstLine="0" w:firstLineChars="0"/>
        <w:rPr>
          <w:rFonts w:hint="eastAsia"/>
          <w:b/>
          <w:bCs/>
          <w:highlight w:val="none"/>
        </w:rPr>
      </w:pPr>
    </w:p>
    <w:p>
      <w:pPr>
        <w:ind w:firstLine="0" w:firstLineChars="0"/>
        <w:rPr>
          <w:rFonts w:hint="eastAsia"/>
          <w:b/>
          <w:bCs/>
          <w:highlight w:val="none"/>
        </w:rPr>
      </w:pPr>
    </w:p>
    <w:p>
      <w:pPr>
        <w:ind w:firstLine="0" w:firstLineChars="0"/>
        <w:rPr>
          <w:rFonts w:hint="eastAsia"/>
          <w:b/>
          <w:bCs/>
          <w:highlight w:val="none"/>
        </w:rPr>
      </w:pPr>
    </w:p>
    <w:p>
      <w:pPr>
        <w:ind w:firstLine="0" w:firstLineChars="0"/>
        <w:rPr>
          <w:rFonts w:hint="eastAsia"/>
          <w:b/>
          <w:bCs/>
          <w:highlight w:val="none"/>
        </w:rPr>
      </w:pPr>
    </w:p>
    <w:p>
      <w:pPr>
        <w:ind w:firstLine="0" w:firstLineChars="0"/>
        <w:rPr>
          <w:rFonts w:hint="eastAsia"/>
          <w:b/>
          <w:bCs/>
          <w:highlight w:val="none"/>
        </w:rPr>
      </w:pPr>
    </w:p>
    <w:p>
      <w:pPr>
        <w:ind w:firstLine="0" w:firstLineChars="0"/>
        <w:rPr>
          <w:rFonts w:hint="eastAsia"/>
          <w:b/>
          <w:bCs/>
          <w:highlight w:val="none"/>
        </w:rPr>
      </w:pPr>
    </w:p>
    <w:p>
      <w:pPr>
        <w:ind w:firstLine="0" w:firstLineChars="0"/>
        <w:rPr>
          <w:rFonts w:hint="eastAsia"/>
          <w:b/>
          <w:bCs/>
          <w:highlight w:val="none"/>
        </w:rPr>
      </w:pPr>
    </w:p>
    <w:p>
      <w:pPr>
        <w:ind w:firstLine="0" w:firstLineChars="0"/>
        <w:rPr>
          <w:rFonts w:hint="eastAsia"/>
          <w:b/>
          <w:bCs/>
          <w:highlight w:val="none"/>
        </w:rPr>
      </w:pPr>
    </w:p>
    <w:p>
      <w:pPr>
        <w:ind w:firstLine="0" w:firstLineChars="0"/>
        <w:rPr>
          <w:rFonts w:hint="eastAsia"/>
          <w:b/>
          <w:bCs/>
          <w:highlight w:val="none"/>
        </w:rPr>
      </w:pPr>
    </w:p>
    <w:p>
      <w:pPr>
        <w:ind w:firstLine="0" w:firstLineChars="0"/>
        <w:rPr>
          <w:rFonts w:hint="eastAsia"/>
          <w:b/>
          <w:bCs/>
          <w:highlight w:val="none"/>
        </w:rPr>
      </w:pPr>
    </w:p>
    <w:p>
      <w:pPr>
        <w:ind w:firstLine="0" w:firstLineChars="0"/>
        <w:rPr>
          <w:rFonts w:hint="eastAsia"/>
          <w:b/>
          <w:bCs/>
          <w:highlight w:val="none"/>
        </w:rPr>
      </w:pPr>
    </w:p>
    <w:p>
      <w:pPr>
        <w:ind w:firstLine="0" w:firstLineChars="0"/>
        <w:rPr>
          <w:rFonts w:hint="eastAsia"/>
          <w:b/>
          <w:bCs/>
          <w:highlight w:val="none"/>
        </w:rPr>
      </w:pPr>
    </w:p>
    <w:p>
      <w:pPr>
        <w:ind w:firstLine="0" w:firstLineChars="0"/>
        <w:rPr>
          <w:rFonts w:hint="eastAsia"/>
          <w:b/>
          <w:bCs/>
          <w:highlight w:val="none"/>
        </w:rPr>
      </w:pPr>
    </w:p>
    <w:p>
      <w:pPr>
        <w:ind w:firstLine="0" w:firstLineChars="0"/>
        <w:rPr>
          <w:rFonts w:hint="eastAsia"/>
          <w:b/>
          <w:bCs/>
          <w:highlight w:val="none"/>
        </w:rPr>
      </w:pPr>
    </w:p>
    <w:p>
      <w:pPr>
        <w:ind w:firstLine="0" w:firstLineChars="0"/>
        <w:rPr>
          <w:rFonts w:hint="eastAsia"/>
          <w:b/>
          <w:bCs/>
          <w:highlight w:val="none"/>
        </w:rPr>
      </w:pPr>
    </w:p>
    <w:p>
      <w:pPr>
        <w:ind w:firstLine="0" w:firstLineChars="0"/>
        <w:rPr>
          <w:rFonts w:hint="eastAsia"/>
          <w:b/>
          <w:bCs/>
          <w:highlight w:val="none"/>
        </w:rPr>
      </w:pPr>
    </w:p>
    <w:p>
      <w:pPr>
        <w:ind w:firstLine="0" w:firstLineChars="0"/>
        <w:rPr>
          <w:rFonts w:hint="eastAsia"/>
          <w:b/>
          <w:bCs/>
          <w:highlight w:val="none"/>
        </w:rPr>
      </w:pPr>
    </w:p>
    <w:p>
      <w:pPr>
        <w:ind w:firstLine="0" w:firstLineChars="0"/>
        <w:rPr>
          <w:rFonts w:hint="eastAsia"/>
          <w:b/>
          <w:bCs/>
          <w:highlight w:val="none"/>
        </w:rPr>
      </w:pPr>
    </w:p>
    <w:p>
      <w:pPr>
        <w:ind w:firstLine="0" w:firstLineChars="0"/>
        <w:rPr>
          <w:b/>
          <w:bCs/>
          <w:highlight w:val="none"/>
        </w:rPr>
      </w:pPr>
      <w:r>
        <w:rPr>
          <w:rFonts w:hint="eastAsia"/>
          <w:b/>
          <w:bCs/>
          <w:highlight w:val="none"/>
        </w:rPr>
        <w:t>附表列表：</w:t>
      </w:r>
      <w:bookmarkEnd w:id="2"/>
    </w:p>
    <w:p>
      <w:pPr>
        <w:ind w:firstLine="480"/>
        <w:rPr>
          <w:highlight w:val="none"/>
        </w:rPr>
      </w:pPr>
      <w:r>
        <w:rPr>
          <w:rFonts w:hint="eastAsia"/>
          <w:highlight w:val="none"/>
        </w:rPr>
        <w:t>附表一、建设项目环评审批基础信息表</w:t>
      </w:r>
    </w:p>
    <w:p>
      <w:pPr>
        <w:ind w:firstLine="480"/>
        <w:rPr>
          <w:highlight w:val="none"/>
        </w:rPr>
      </w:pPr>
      <w:r>
        <w:rPr>
          <w:rFonts w:hint="eastAsia"/>
          <w:highlight w:val="none"/>
        </w:rPr>
        <w:t>附表二、建设项目大气环境影响评价自查表</w:t>
      </w:r>
    </w:p>
    <w:p>
      <w:pPr>
        <w:ind w:firstLine="480"/>
        <w:rPr>
          <w:highlight w:val="none"/>
        </w:rPr>
      </w:pPr>
      <w:r>
        <w:rPr>
          <w:rFonts w:hint="eastAsia"/>
          <w:highlight w:val="none"/>
        </w:rPr>
        <w:t>附表三、建设项目地表水环境影响评价自查表</w:t>
      </w:r>
    </w:p>
    <w:p>
      <w:pPr>
        <w:ind w:firstLine="480"/>
        <w:rPr>
          <w:rFonts w:hint="eastAsia"/>
          <w:highlight w:val="none"/>
          <w:lang w:eastAsia="zh-CN"/>
        </w:rPr>
      </w:pPr>
      <w:r>
        <w:rPr>
          <w:rFonts w:hint="eastAsia"/>
          <w:highlight w:val="none"/>
        </w:rPr>
        <w:t>附表四、建设项目环境风险</w:t>
      </w:r>
      <w:r>
        <w:rPr>
          <w:rFonts w:hint="eastAsia"/>
          <w:highlight w:val="none"/>
          <w:lang w:eastAsia="zh-CN"/>
        </w:rPr>
        <w:t>自查表</w:t>
      </w:r>
    </w:p>
    <w:p>
      <w:pPr>
        <w:pStyle w:val="2"/>
        <w:rPr>
          <w:highlight w:val="none"/>
        </w:rPr>
      </w:pPr>
      <w:r>
        <w:rPr>
          <w:rFonts w:hint="eastAsia"/>
          <w:highlight w:val="none"/>
          <w:lang w:val="en-US" w:eastAsia="zh-CN"/>
        </w:rPr>
        <w:t>附表五、土壤环境影响评价自查表</w:t>
      </w:r>
    </w:p>
    <w:p>
      <w:pPr>
        <w:ind w:firstLine="0" w:firstLineChars="0"/>
        <w:rPr>
          <w:b/>
          <w:bCs/>
          <w:highlight w:val="none"/>
        </w:rPr>
      </w:pPr>
      <w:r>
        <w:rPr>
          <w:rFonts w:hint="eastAsia"/>
          <w:b/>
          <w:bCs/>
          <w:highlight w:val="none"/>
        </w:rPr>
        <w:t>附图列表：</w:t>
      </w:r>
    </w:p>
    <w:p>
      <w:pPr>
        <w:pStyle w:val="17"/>
        <w:ind w:firstLine="480"/>
        <w:rPr>
          <w:rFonts w:hint="eastAsia" w:eastAsia="宋体"/>
          <w:highlight w:val="none"/>
          <w:lang w:eastAsia="zh-CN"/>
        </w:rPr>
      </w:pPr>
      <w:r>
        <w:rPr>
          <w:rFonts w:hint="eastAsia"/>
          <w:highlight w:val="none"/>
        </w:rPr>
        <w:t>附图一、</w:t>
      </w:r>
      <w:r>
        <w:rPr>
          <w:rFonts w:hint="eastAsia"/>
          <w:highlight w:val="yellow"/>
        </w:rPr>
        <w:t>项目</w:t>
      </w:r>
      <w:r>
        <w:rPr>
          <w:rFonts w:hint="eastAsia"/>
          <w:highlight w:val="yellow"/>
          <w:lang w:eastAsia="zh-CN"/>
        </w:rPr>
        <w:t>评价范围及周边环境敏感点分布图</w:t>
      </w:r>
    </w:p>
    <w:p>
      <w:pPr>
        <w:pStyle w:val="17"/>
        <w:ind w:firstLine="480"/>
        <w:rPr>
          <w:highlight w:val="none"/>
        </w:rPr>
      </w:pPr>
      <w:r>
        <w:rPr>
          <w:rFonts w:hint="eastAsia"/>
          <w:highlight w:val="none"/>
        </w:rPr>
        <w:t>附图二、项目</w:t>
      </w:r>
      <w:r>
        <w:rPr>
          <w:rFonts w:hint="eastAsia"/>
          <w:highlight w:val="none"/>
          <w:lang w:eastAsia="zh-CN"/>
        </w:rPr>
        <w:t>总平面布置图</w:t>
      </w:r>
    </w:p>
    <w:p>
      <w:pPr>
        <w:pStyle w:val="17"/>
        <w:ind w:firstLine="480"/>
        <w:rPr>
          <w:rFonts w:hint="eastAsia" w:eastAsia="宋体"/>
          <w:highlight w:val="none"/>
          <w:lang w:eastAsia="zh-CN"/>
        </w:rPr>
      </w:pPr>
      <w:r>
        <w:rPr>
          <w:rFonts w:hint="eastAsia"/>
          <w:highlight w:val="none"/>
        </w:rPr>
        <w:t>附图三、</w:t>
      </w:r>
      <w:r>
        <w:rPr>
          <w:rFonts w:hint="eastAsia" w:ascii="Times New Roman" w:hAnsi="Times New Roman" w:cs="Times New Roman"/>
          <w:color w:val="auto"/>
          <w:highlight w:val="none"/>
          <w:lang w:eastAsia="zh-CN"/>
        </w:rPr>
        <w:t>项目环保设施布置图</w:t>
      </w:r>
    </w:p>
    <w:p>
      <w:pPr>
        <w:pStyle w:val="17"/>
        <w:ind w:firstLine="48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附图四、</w:t>
      </w:r>
      <w:r>
        <w:rPr>
          <w:rFonts w:hint="eastAsia" w:ascii="Times New Roman" w:hAnsi="Times New Roman" w:cs="Times New Roman"/>
          <w:color w:val="auto"/>
          <w:highlight w:val="none"/>
          <w:lang w:eastAsia="zh-CN"/>
        </w:rPr>
        <w:t>地理位置图</w:t>
      </w:r>
    </w:p>
    <w:p>
      <w:pPr>
        <w:pStyle w:val="17"/>
        <w:ind w:firstLine="480"/>
        <w:rPr>
          <w:rFonts w:hint="eastAsia" w:ascii="Times New Roman" w:hAnsi="Times New Roman" w:cs="Times New Roman"/>
          <w:color w:val="auto"/>
          <w:highlight w:val="none"/>
          <w:lang w:eastAsia="zh-CN"/>
        </w:rPr>
      </w:pPr>
      <w:r>
        <w:rPr>
          <w:rFonts w:hint="default" w:ascii="Times New Roman" w:hAnsi="Times New Roman" w:cs="Times New Roman"/>
          <w:color w:val="auto"/>
          <w:highlight w:val="none"/>
        </w:rPr>
        <w:t>附图五、</w:t>
      </w:r>
      <w:r>
        <w:rPr>
          <w:rFonts w:hint="eastAsia" w:ascii="Times New Roman" w:hAnsi="Times New Roman" w:cs="Times New Roman"/>
          <w:color w:val="auto"/>
          <w:highlight w:val="none"/>
          <w:lang w:eastAsia="zh-CN"/>
        </w:rPr>
        <w:t>项目周边水系图</w:t>
      </w:r>
    </w:p>
    <w:p>
      <w:pPr>
        <w:pStyle w:val="17"/>
        <w:ind w:firstLine="48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附图六、项目现状监测布点图</w:t>
      </w:r>
    </w:p>
    <w:p>
      <w:pPr>
        <w:pStyle w:val="17"/>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eastAsia="zh-CN"/>
        </w:rPr>
        <w:t>附图</w:t>
      </w:r>
      <w:r>
        <w:rPr>
          <w:rFonts w:hint="eastAsia" w:ascii="Times New Roman" w:hAnsi="Times New Roman" w:cs="Times New Roman"/>
          <w:color w:val="auto"/>
          <w:highlight w:val="none"/>
          <w:lang w:val="en-US" w:eastAsia="zh-CN"/>
        </w:rPr>
        <w:t>七、项目区域土地利用现状图</w:t>
      </w:r>
    </w:p>
    <w:p>
      <w:pPr>
        <w:pStyle w:val="17"/>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附图八、项目区域土地利于总体规划图</w:t>
      </w:r>
    </w:p>
    <w:p>
      <w:pPr>
        <w:pStyle w:val="17"/>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附图九、复垦规划图</w:t>
      </w:r>
    </w:p>
    <w:p>
      <w:pPr>
        <w:pStyle w:val="17"/>
        <w:ind w:firstLine="48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附图十、项目区植被分布图</w:t>
      </w:r>
    </w:p>
    <w:p>
      <w:pPr>
        <w:pStyle w:val="17"/>
        <w:ind w:firstLine="0" w:firstLineChars="0"/>
        <w:rPr>
          <w:b/>
          <w:bCs/>
          <w:highlight w:val="none"/>
        </w:rPr>
      </w:pPr>
      <w:r>
        <w:rPr>
          <w:rFonts w:hint="eastAsia"/>
          <w:b/>
          <w:bCs/>
          <w:highlight w:val="none"/>
        </w:rPr>
        <w:t>附件列表：</w:t>
      </w:r>
    </w:p>
    <w:p>
      <w:pPr>
        <w:ind w:firstLine="480"/>
        <w:rPr>
          <w:highlight w:val="none"/>
        </w:rPr>
      </w:pPr>
      <w:r>
        <w:rPr>
          <w:rFonts w:hint="eastAsia"/>
          <w:highlight w:val="none"/>
        </w:rPr>
        <w:t>附件1、环境影响评价委托书</w:t>
      </w:r>
    </w:p>
    <w:p>
      <w:pPr>
        <w:ind w:firstLine="480"/>
        <w:rPr>
          <w:highlight w:val="none"/>
        </w:rPr>
      </w:pPr>
      <w:r>
        <w:rPr>
          <w:rFonts w:hint="eastAsia"/>
          <w:highlight w:val="none"/>
        </w:rPr>
        <w:t>附件2、投资项目备案证</w:t>
      </w:r>
    </w:p>
    <w:p>
      <w:pPr>
        <w:ind w:firstLine="480"/>
        <w:rPr>
          <w:highlight w:val="none"/>
        </w:rPr>
      </w:pPr>
      <w:r>
        <w:rPr>
          <w:rFonts w:hint="eastAsia"/>
          <w:highlight w:val="none"/>
        </w:rPr>
        <w:t>附件3、</w:t>
      </w:r>
      <w:r>
        <w:rPr>
          <w:rFonts w:hint="eastAsia"/>
          <w:highlight w:val="none"/>
          <w:lang w:eastAsia="zh-CN"/>
        </w:rPr>
        <w:t>营业执照及采矿证</w:t>
      </w:r>
    </w:p>
    <w:p>
      <w:pPr>
        <w:ind w:firstLine="480"/>
        <w:rPr>
          <w:highlight w:val="none"/>
        </w:rPr>
      </w:pPr>
      <w:r>
        <w:rPr>
          <w:rFonts w:hint="eastAsia"/>
          <w:highlight w:val="none"/>
        </w:rPr>
        <w:t>附件4、储量核实报告评审备案证明</w:t>
      </w:r>
    </w:p>
    <w:p>
      <w:pPr>
        <w:ind w:firstLine="480"/>
        <w:rPr>
          <w:highlight w:val="none"/>
        </w:rPr>
      </w:pPr>
      <w:r>
        <w:rPr>
          <w:rFonts w:hint="eastAsia"/>
          <w:highlight w:val="none"/>
        </w:rPr>
        <w:t>附件5、</w:t>
      </w:r>
      <w:r>
        <w:rPr>
          <w:rFonts w:hint="eastAsia"/>
          <w:highlight w:val="none"/>
          <w:lang w:eastAsia="zh-CN"/>
        </w:rPr>
        <w:t>生态红线及联堪联审表</w:t>
      </w:r>
    </w:p>
    <w:p>
      <w:pPr>
        <w:ind w:firstLine="480"/>
        <w:rPr>
          <w:highlight w:val="none"/>
        </w:rPr>
      </w:pPr>
      <w:r>
        <w:rPr>
          <w:rFonts w:hint="eastAsia"/>
          <w:highlight w:val="none"/>
        </w:rPr>
        <w:t>附件6、开发利用方案评审意见表</w:t>
      </w:r>
    </w:p>
    <w:p>
      <w:pPr>
        <w:pStyle w:val="17"/>
        <w:ind w:firstLine="480"/>
        <w:rPr>
          <w:rFonts w:hint="eastAsia" w:ascii="Times New Roman" w:hAnsi="Times New Roman"/>
          <w:highlight w:val="none"/>
        </w:rPr>
      </w:pPr>
      <w:r>
        <w:rPr>
          <w:highlight w:val="none"/>
        </w:rPr>
        <w:t>附件</w:t>
      </w:r>
      <w:r>
        <w:rPr>
          <w:rFonts w:hint="eastAsia" w:ascii="Times New Roman" w:hAnsi="Times New Roman" w:eastAsia="宋体" w:cs="Times New Roman"/>
          <w:kern w:val="2"/>
          <w:sz w:val="24"/>
          <w:szCs w:val="24"/>
          <w:highlight w:val="none"/>
          <w:lang w:val="en-US" w:eastAsia="zh-CN" w:bidi="ar-SA"/>
        </w:rPr>
        <w:t>7</w:t>
      </w:r>
      <w:r>
        <w:rPr>
          <w:highlight w:val="none"/>
        </w:rPr>
        <w:t>、</w:t>
      </w:r>
      <w:r>
        <w:rPr>
          <w:rFonts w:hint="eastAsia" w:ascii="Times New Roman" w:hAnsi="Times New Roman"/>
          <w:highlight w:val="none"/>
        </w:rPr>
        <w:t>项目现状检测报告</w:t>
      </w:r>
    </w:p>
    <w:p>
      <w:pPr>
        <w:pStyle w:val="17"/>
        <w:ind w:firstLine="480"/>
        <w:rPr>
          <w:rFonts w:hint="eastAsia" w:ascii="Times New Roman" w:hAnsi="Times New Roman"/>
          <w:color w:val="auto"/>
          <w:highlight w:val="none"/>
          <w:lang w:val="en-US" w:eastAsia="zh-CN"/>
        </w:rPr>
      </w:pPr>
      <w:r>
        <w:rPr>
          <w:rFonts w:hint="eastAsia" w:ascii="Times New Roman" w:hAnsi="Times New Roman"/>
          <w:highlight w:val="none"/>
          <w:lang w:eastAsia="zh-CN"/>
        </w:rPr>
        <w:t>附件</w:t>
      </w:r>
      <w:r>
        <w:rPr>
          <w:rFonts w:hint="eastAsia" w:ascii="Times New Roman" w:hAnsi="Times New Roman"/>
          <w:highlight w:val="none"/>
          <w:lang w:val="en-US" w:eastAsia="zh-CN"/>
        </w:rPr>
        <w:t>8</w:t>
      </w:r>
      <w:r>
        <w:rPr>
          <w:rFonts w:hint="default" w:ascii="Times New Roman" w:hAnsi="Times New Roman"/>
          <w:color w:val="auto"/>
          <w:highlight w:val="none"/>
          <w:lang w:val="en-US" w:eastAsia="zh-CN"/>
        </w:rPr>
        <w:t>、环评合同</w:t>
      </w:r>
    </w:p>
    <w:p>
      <w:pPr>
        <w:pStyle w:val="17"/>
        <w:ind w:firstLine="480"/>
        <w:rPr>
          <w:rFonts w:hint="default" w:ascii="Times New Roman" w:hAnsi="Times New Roman"/>
          <w:color w:val="auto"/>
          <w:highlight w:val="none"/>
          <w:lang w:val="en-US" w:eastAsia="zh-CN"/>
        </w:rPr>
      </w:pPr>
    </w:p>
    <w:p>
      <w:pPr>
        <w:pStyle w:val="17"/>
        <w:ind w:firstLine="480"/>
        <w:rPr>
          <w:rFonts w:hint="default" w:ascii="Times New Roman" w:hAnsi="Times New Roman"/>
          <w:color w:val="auto"/>
          <w:highlight w:val="none"/>
          <w:lang w:val="en-US" w:eastAsia="zh-CN"/>
        </w:rPr>
      </w:pPr>
    </w:p>
    <w:p>
      <w:pPr>
        <w:pStyle w:val="17"/>
        <w:ind w:firstLine="480"/>
        <w:rPr>
          <w:rFonts w:hint="default" w:ascii="Times New Roman" w:hAnsi="Times New Roman"/>
          <w:color w:val="auto"/>
          <w:highlight w:val="none"/>
          <w:lang w:val="en-US" w:eastAsia="zh-CN"/>
        </w:rPr>
      </w:pPr>
    </w:p>
    <w:p>
      <w:pPr>
        <w:pStyle w:val="17"/>
        <w:ind w:left="0" w:leftChars="0" w:firstLine="0" w:firstLineChars="0"/>
        <w:rPr>
          <w:rFonts w:hint="default" w:ascii="Times New Roman" w:hAnsi="Times New Roman"/>
          <w:color w:val="auto"/>
          <w:highlight w:val="none"/>
          <w:lang w:val="en-US" w:eastAsia="zh-CN"/>
        </w:rPr>
      </w:pPr>
    </w:p>
    <w:p>
      <w:pPr>
        <w:pStyle w:val="3"/>
        <w:jc w:val="both"/>
        <w:rPr>
          <w:highlight w:val="none"/>
        </w:rPr>
      </w:pPr>
      <w:bookmarkStart w:id="3" w:name="_Toc10958"/>
      <w:bookmarkStart w:id="4" w:name="_Toc9835"/>
      <w:bookmarkStart w:id="5" w:name="_Toc6230"/>
      <w:bookmarkStart w:id="6" w:name="_Toc25783"/>
      <w:r>
        <w:rPr>
          <w:highlight w:val="none"/>
        </w:rPr>
        <w:t>概 述</w:t>
      </w:r>
      <w:bookmarkEnd w:id="0"/>
      <w:bookmarkEnd w:id="3"/>
      <w:bookmarkEnd w:id="4"/>
      <w:bookmarkEnd w:id="5"/>
      <w:bookmarkEnd w:id="6"/>
    </w:p>
    <w:p>
      <w:pPr>
        <w:numPr>
          <w:ilvl w:val="0"/>
          <w:numId w:val="2"/>
        </w:numPr>
        <w:snapToGrid w:val="0"/>
        <w:ind w:firstLine="0" w:firstLineChars="0"/>
        <w:rPr>
          <w:b/>
          <w:sz w:val="28"/>
          <w:szCs w:val="28"/>
          <w:highlight w:val="none"/>
        </w:rPr>
      </w:pPr>
      <w:bookmarkStart w:id="7" w:name="_Toc22723"/>
      <w:bookmarkStart w:id="8" w:name="_Toc536"/>
      <w:r>
        <w:rPr>
          <w:b/>
          <w:sz w:val="28"/>
          <w:szCs w:val="28"/>
          <w:highlight w:val="none"/>
        </w:rPr>
        <w:t>项目背景</w:t>
      </w:r>
      <w:bookmarkEnd w:id="7"/>
      <w:bookmarkEnd w:id="8"/>
    </w:p>
    <w:p>
      <w:pPr>
        <w:ind w:firstLine="480"/>
        <w:jc w:val="both"/>
        <w:rPr>
          <w:color w:val="auto"/>
          <w:highlight w:val="none"/>
        </w:rPr>
      </w:pPr>
      <w:r>
        <w:rPr>
          <w:rFonts w:hint="eastAsia"/>
          <w:color w:val="auto"/>
          <w:highlight w:val="none"/>
        </w:rPr>
        <w:t>砚山县倮基黑卡子凹塘普通建筑材料用石灰岩矿原采矿许可证证号为C5326222009027120006016，采矿许可证为砚山县自然资源局颁发，采矿权人为砚山县江那镇真元饲料添加剂沸石粉厂，属个人经营，有效期6个月</w:t>
      </w:r>
      <w:r>
        <w:rPr>
          <w:rFonts w:hint="eastAsia"/>
          <w:color w:val="auto"/>
          <w:highlight w:val="none"/>
          <w:lang w:eastAsia="zh-CN"/>
        </w:rPr>
        <w:t>，</w:t>
      </w:r>
      <w:r>
        <w:rPr>
          <w:rFonts w:hint="eastAsia"/>
          <w:color w:val="auto"/>
          <w:highlight w:val="none"/>
        </w:rPr>
        <w:t>自2017年1月25日至2017年7月25日，开采矿种为建筑石料用灰岩，矿区范围由4个拐点圈定，矿区面积0.0206</w:t>
      </w:r>
      <w:r>
        <w:rPr>
          <w:rFonts w:hint="eastAsia"/>
          <w:color w:val="auto"/>
          <w:highlight w:val="none"/>
          <w:lang w:val="en-US" w:eastAsia="zh-CN"/>
        </w:rPr>
        <w:t>km</w:t>
      </w:r>
      <w:r>
        <w:rPr>
          <w:rFonts w:hint="eastAsia"/>
          <w:color w:val="auto"/>
          <w:highlight w:val="none"/>
          <w:vertAlign w:val="superscript"/>
          <w:lang w:val="en-US" w:eastAsia="zh-CN"/>
        </w:rPr>
        <w:t>2</w:t>
      </w:r>
      <w:r>
        <w:rPr>
          <w:rFonts w:hint="eastAsia"/>
          <w:color w:val="auto"/>
          <w:highlight w:val="none"/>
        </w:rPr>
        <w:t>，开采标高1640.00m-1550.00m，开采方式为露天开采，生产规模为原矿2.72万t/a</w:t>
      </w:r>
      <w:r>
        <w:rPr>
          <w:rFonts w:hint="eastAsia"/>
          <w:color w:val="auto"/>
          <w:highlight w:val="none"/>
          <w:lang w:eastAsia="zh-CN"/>
        </w:rPr>
        <w:t>，原矿山未开工建设。根据</w:t>
      </w:r>
      <w:r>
        <w:rPr>
          <w:rFonts w:hint="eastAsia" w:ascii="Times New Roman" w:hAnsi="Times New Roman"/>
          <w:color w:val="auto"/>
          <w:highlight w:val="none"/>
        </w:rPr>
        <w:t>《云南省人民政府关于促进非煤矿山转型升级的实施意见（云政发〔2015〕38号）》</w:t>
      </w:r>
      <w:r>
        <w:rPr>
          <w:rFonts w:hint="eastAsia"/>
          <w:color w:val="auto"/>
          <w:highlight w:val="none"/>
          <w:lang w:eastAsia="zh-CN"/>
        </w:rPr>
        <w:t>文件精神，建设单位申请变更矿权设置，扩大矿区范围及生产规模，变更后矿区范围由</w:t>
      </w:r>
      <w:r>
        <w:rPr>
          <w:rFonts w:hint="eastAsia"/>
          <w:color w:val="auto"/>
          <w:highlight w:val="none"/>
          <w:lang w:val="en-US" w:eastAsia="zh-CN"/>
        </w:rPr>
        <w:t>1~9号拐点圈闭，矿区面积</w:t>
      </w:r>
      <w:r>
        <w:rPr>
          <w:rFonts w:hint="eastAsia"/>
          <w:color w:val="auto"/>
          <w:highlight w:val="none"/>
        </w:rPr>
        <w:t>为0.0</w:t>
      </w:r>
      <w:r>
        <w:rPr>
          <w:rFonts w:hint="eastAsia"/>
          <w:color w:val="auto"/>
          <w:highlight w:val="none"/>
          <w:lang w:val="en-US" w:eastAsia="zh-CN"/>
        </w:rPr>
        <w:t>95km</w:t>
      </w:r>
      <w:r>
        <w:rPr>
          <w:rFonts w:hint="eastAsia"/>
          <w:color w:val="auto"/>
          <w:highlight w:val="none"/>
          <w:vertAlign w:val="superscript"/>
          <w:lang w:val="en-US" w:eastAsia="zh-CN"/>
        </w:rPr>
        <w:t>2</w:t>
      </w:r>
      <w:r>
        <w:rPr>
          <w:rFonts w:hint="eastAsia"/>
          <w:color w:val="auto"/>
          <w:highlight w:val="none"/>
        </w:rPr>
        <w:t>，</w:t>
      </w:r>
      <w:r>
        <w:rPr>
          <w:rFonts w:hint="eastAsia"/>
          <w:color w:val="auto"/>
          <w:highlight w:val="none"/>
          <w:lang w:eastAsia="zh-CN"/>
        </w:rPr>
        <w:t>拟设定标高</w:t>
      </w:r>
      <w:r>
        <w:rPr>
          <w:rFonts w:hint="eastAsia"/>
          <w:color w:val="auto"/>
          <w:highlight w:val="none"/>
          <w:lang w:val="en-US" w:eastAsia="zh-CN"/>
        </w:rPr>
        <w:t>1746.00m-1580.00m，</w:t>
      </w:r>
      <w:r>
        <w:rPr>
          <w:rFonts w:hint="eastAsia"/>
          <w:color w:val="auto"/>
          <w:highlight w:val="none"/>
        </w:rPr>
        <w:t>开采方式为露天开采，生产规模为原矿</w:t>
      </w:r>
      <w:r>
        <w:rPr>
          <w:rFonts w:hint="eastAsia"/>
          <w:color w:val="auto"/>
          <w:highlight w:val="none"/>
          <w:lang w:val="en-US" w:eastAsia="zh-CN"/>
        </w:rPr>
        <w:t>30</w:t>
      </w:r>
      <w:r>
        <w:rPr>
          <w:rFonts w:hint="eastAsia"/>
          <w:color w:val="auto"/>
          <w:highlight w:val="none"/>
        </w:rPr>
        <w:t>万t/a</w:t>
      </w:r>
      <w:r>
        <w:rPr>
          <w:rFonts w:hint="eastAsia"/>
          <w:color w:val="auto"/>
          <w:highlight w:val="none"/>
          <w:lang w:eastAsia="zh-CN"/>
        </w:rPr>
        <w:t>（</w:t>
      </w:r>
      <w:r>
        <w:rPr>
          <w:rFonts w:hint="eastAsia"/>
          <w:color w:val="auto"/>
          <w:highlight w:val="none"/>
          <w:lang w:val="en-US" w:eastAsia="zh-CN"/>
        </w:rPr>
        <w:t>12万m</w:t>
      </w:r>
      <w:r>
        <w:rPr>
          <w:rFonts w:hint="eastAsia"/>
          <w:color w:val="auto"/>
          <w:highlight w:val="none"/>
          <w:vertAlign w:val="superscript"/>
          <w:lang w:val="en-US" w:eastAsia="zh-CN"/>
        </w:rPr>
        <w:t>3</w:t>
      </w:r>
      <w:r>
        <w:rPr>
          <w:rFonts w:hint="eastAsia"/>
          <w:color w:val="auto"/>
          <w:highlight w:val="none"/>
          <w:lang w:val="en-US" w:eastAsia="zh-CN"/>
        </w:rPr>
        <w:t>/a</w:t>
      </w:r>
      <w:r>
        <w:rPr>
          <w:rFonts w:hint="eastAsia"/>
          <w:color w:val="auto"/>
          <w:highlight w:val="none"/>
          <w:lang w:eastAsia="zh-CN"/>
        </w:rPr>
        <w:t>）</w:t>
      </w:r>
      <w:r>
        <w:rPr>
          <w:color w:val="auto"/>
          <w:highlight w:val="none"/>
        </w:rPr>
        <w:t>。</w:t>
      </w:r>
    </w:p>
    <w:p>
      <w:pPr>
        <w:pStyle w:val="17"/>
        <w:ind w:firstLine="480"/>
        <w:rPr>
          <w:rFonts w:ascii="Times New Roman" w:hAnsi="Times New Roman"/>
          <w:color w:val="auto"/>
          <w:highlight w:val="none"/>
        </w:rPr>
      </w:pPr>
      <w:r>
        <w:rPr>
          <w:rFonts w:hint="eastAsia" w:ascii="Times New Roman" w:hAnsi="Times New Roman"/>
          <w:color w:val="auto"/>
          <w:highlight w:val="none"/>
        </w:rPr>
        <w:t>201</w:t>
      </w:r>
      <w:r>
        <w:rPr>
          <w:rFonts w:hint="eastAsia" w:ascii="Times New Roman" w:hAnsi="Times New Roman"/>
          <w:color w:val="auto"/>
          <w:highlight w:val="none"/>
          <w:lang w:val="en-US" w:eastAsia="zh-CN"/>
        </w:rPr>
        <w:t>9</w:t>
      </w:r>
      <w:r>
        <w:rPr>
          <w:rFonts w:hint="eastAsia" w:ascii="Times New Roman" w:hAnsi="Times New Roman"/>
          <w:color w:val="auto"/>
          <w:highlight w:val="none"/>
        </w:rPr>
        <w:t>年</w:t>
      </w:r>
      <w:r>
        <w:rPr>
          <w:rFonts w:hint="eastAsia" w:ascii="Times New Roman" w:hAnsi="Times New Roman"/>
          <w:color w:val="auto"/>
          <w:highlight w:val="none"/>
          <w:lang w:val="en-US" w:eastAsia="zh-CN"/>
        </w:rPr>
        <w:t>9</w:t>
      </w:r>
      <w:r>
        <w:rPr>
          <w:rFonts w:hint="eastAsia" w:ascii="Times New Roman" w:hAnsi="Times New Roman"/>
          <w:color w:val="auto"/>
          <w:highlight w:val="none"/>
        </w:rPr>
        <w:t>月，</w:t>
      </w:r>
      <w:r>
        <w:rPr>
          <w:rFonts w:hint="eastAsia" w:ascii="Times New Roman" w:hAnsi="Times New Roman"/>
          <w:color w:val="auto"/>
          <w:highlight w:val="none"/>
          <w:lang w:eastAsia="zh-CN"/>
        </w:rPr>
        <w:t>砚山县江那镇真元饲料添加剂沸石粉厂</w:t>
      </w:r>
      <w:r>
        <w:rPr>
          <w:rFonts w:hint="eastAsia" w:ascii="Times New Roman" w:hAnsi="Times New Roman"/>
          <w:color w:val="auto"/>
          <w:highlight w:val="none"/>
        </w:rPr>
        <w:t>完成了《</w:t>
      </w:r>
      <w:bookmarkStart w:id="9" w:name="_Toc214875736"/>
      <w:bookmarkStart w:id="10" w:name="_Toc214875383"/>
      <w:r>
        <w:rPr>
          <w:rFonts w:hint="eastAsia" w:ascii="Times New Roman" w:hAnsi="Times New Roman"/>
          <w:color w:val="auto"/>
          <w:highlight w:val="none"/>
        </w:rPr>
        <w:t>云南省砚山县</w:t>
      </w:r>
      <w:r>
        <w:rPr>
          <w:rFonts w:hint="eastAsia" w:ascii="Times New Roman" w:hAnsi="Times New Roman"/>
          <w:color w:val="auto"/>
          <w:highlight w:val="none"/>
          <w:lang w:eastAsia="zh-CN"/>
        </w:rPr>
        <w:t>倮基黑卡子凹塘普通建筑材料用灰岩</w:t>
      </w:r>
      <w:r>
        <w:rPr>
          <w:rFonts w:hint="eastAsia" w:ascii="Times New Roman" w:hAnsi="Times New Roman"/>
          <w:color w:val="auto"/>
          <w:highlight w:val="none"/>
        </w:rPr>
        <w:t>矿资源储量核实报告</w:t>
      </w:r>
      <w:bookmarkEnd w:id="9"/>
      <w:bookmarkEnd w:id="10"/>
      <w:r>
        <w:rPr>
          <w:rFonts w:hint="eastAsia" w:ascii="Times New Roman" w:hAnsi="Times New Roman"/>
          <w:color w:val="auto"/>
          <w:highlight w:val="none"/>
        </w:rPr>
        <w:t>》；并于20</w:t>
      </w:r>
      <w:r>
        <w:rPr>
          <w:rFonts w:hint="eastAsia" w:ascii="Times New Roman" w:hAnsi="Times New Roman"/>
          <w:color w:val="auto"/>
          <w:highlight w:val="none"/>
          <w:lang w:val="en-US" w:eastAsia="zh-CN"/>
        </w:rPr>
        <w:t>19</w:t>
      </w:r>
      <w:r>
        <w:rPr>
          <w:rFonts w:hint="eastAsia" w:ascii="Times New Roman" w:hAnsi="Times New Roman"/>
          <w:color w:val="auto"/>
          <w:highlight w:val="none"/>
        </w:rPr>
        <w:t>年</w:t>
      </w:r>
      <w:r>
        <w:rPr>
          <w:rFonts w:hint="eastAsia" w:ascii="Times New Roman" w:hAnsi="Times New Roman"/>
          <w:color w:val="auto"/>
          <w:highlight w:val="none"/>
          <w:lang w:val="en-US" w:eastAsia="zh-CN"/>
        </w:rPr>
        <w:t>10</w:t>
      </w:r>
      <w:r>
        <w:rPr>
          <w:rFonts w:hint="eastAsia" w:ascii="Times New Roman" w:hAnsi="Times New Roman"/>
          <w:color w:val="auto"/>
          <w:highlight w:val="none"/>
        </w:rPr>
        <w:t>月</w:t>
      </w:r>
      <w:r>
        <w:rPr>
          <w:rFonts w:hint="eastAsia" w:ascii="Times New Roman" w:hAnsi="Times New Roman"/>
          <w:color w:val="auto"/>
          <w:highlight w:val="none"/>
          <w:lang w:eastAsia="zh-CN"/>
        </w:rPr>
        <w:t>向文山伟成商务服务有限公司提交《</w:t>
      </w:r>
      <w:r>
        <w:rPr>
          <w:rFonts w:hint="eastAsia" w:ascii="Times New Roman" w:hAnsi="Times New Roman"/>
          <w:color w:val="auto"/>
          <w:highlight w:val="none"/>
        </w:rPr>
        <w:t>云南省砚山县</w:t>
      </w:r>
      <w:r>
        <w:rPr>
          <w:rFonts w:hint="eastAsia" w:ascii="Times New Roman" w:hAnsi="Times New Roman"/>
          <w:color w:val="auto"/>
          <w:highlight w:val="none"/>
          <w:lang w:eastAsia="zh-CN"/>
        </w:rPr>
        <w:t>倮基黑卡子凹塘普通建筑材料用灰岩</w:t>
      </w:r>
      <w:r>
        <w:rPr>
          <w:rFonts w:hint="eastAsia" w:ascii="Times New Roman" w:hAnsi="Times New Roman"/>
          <w:color w:val="auto"/>
          <w:highlight w:val="none"/>
        </w:rPr>
        <w:t>矿资源储量核实报告</w:t>
      </w:r>
      <w:r>
        <w:rPr>
          <w:rFonts w:hint="eastAsia" w:ascii="Times New Roman" w:hAnsi="Times New Roman"/>
          <w:color w:val="auto"/>
          <w:highlight w:val="none"/>
          <w:lang w:eastAsia="zh-CN"/>
        </w:rPr>
        <w:t>》送审稿。经文山伟成商务服务有限公司组织专家评审并形成评审意见（文伟资储评字</w:t>
      </w:r>
      <w:r>
        <w:rPr>
          <w:rFonts w:hint="eastAsia" w:ascii="Times New Roman" w:hAnsi="Times New Roman"/>
          <w:color w:val="auto"/>
          <w:highlight w:val="none"/>
          <w:lang w:val="en-US" w:eastAsia="zh-CN"/>
        </w:rPr>
        <w:t>[2019]60号</w:t>
      </w:r>
      <w:r>
        <w:rPr>
          <w:rFonts w:hint="eastAsia" w:ascii="Times New Roman" w:hAnsi="Times New Roman"/>
          <w:color w:val="auto"/>
          <w:highlight w:val="none"/>
          <w:lang w:eastAsia="zh-CN"/>
        </w:rPr>
        <w:t>）后，报送砚山县自然资源局。出具了</w:t>
      </w:r>
      <w:r>
        <w:rPr>
          <w:rFonts w:hint="eastAsia" w:ascii="Times New Roman" w:hAnsi="Times New Roman"/>
          <w:color w:val="auto"/>
          <w:highlight w:val="none"/>
        </w:rPr>
        <w:t>“</w:t>
      </w:r>
      <w:r>
        <w:rPr>
          <w:rFonts w:hint="eastAsia" w:ascii="Times New Roman" w:hAnsi="Times New Roman"/>
          <w:color w:val="auto"/>
          <w:highlight w:val="none"/>
          <w:lang w:eastAsia="zh-CN"/>
        </w:rPr>
        <w:t>砚自然资储备字</w:t>
      </w:r>
      <w:r>
        <w:rPr>
          <w:rFonts w:hint="eastAsia" w:ascii="Times New Roman" w:hAnsi="Times New Roman"/>
          <w:color w:val="auto"/>
          <w:highlight w:val="none"/>
          <w:lang w:val="en-US" w:eastAsia="zh-CN"/>
        </w:rPr>
        <w:t>[2019]10</w:t>
      </w:r>
      <w:r>
        <w:rPr>
          <w:rFonts w:hint="eastAsia" w:ascii="Times New Roman" w:hAnsi="Times New Roman"/>
          <w:color w:val="auto"/>
          <w:highlight w:val="none"/>
        </w:rPr>
        <w:t>号”</w:t>
      </w:r>
      <w:r>
        <w:rPr>
          <w:rFonts w:hint="eastAsia" w:ascii="Times New Roman" w:hAnsi="Times New Roman"/>
          <w:color w:val="auto"/>
          <w:highlight w:val="none"/>
          <w:lang w:eastAsia="zh-CN"/>
        </w:rPr>
        <w:t>评审备案证明</w:t>
      </w:r>
      <w:r>
        <w:rPr>
          <w:rFonts w:hint="eastAsia" w:ascii="Times New Roman" w:hAnsi="Times New Roman"/>
          <w:color w:val="auto"/>
          <w:highlight w:val="none"/>
        </w:rPr>
        <w:t>，于201</w:t>
      </w:r>
      <w:r>
        <w:rPr>
          <w:rFonts w:hint="eastAsia" w:ascii="Times New Roman" w:hAnsi="Times New Roman"/>
          <w:color w:val="auto"/>
          <w:highlight w:val="none"/>
          <w:lang w:val="en-US" w:eastAsia="zh-CN"/>
        </w:rPr>
        <w:t>9</w:t>
      </w:r>
      <w:r>
        <w:rPr>
          <w:rFonts w:hint="eastAsia" w:ascii="Times New Roman" w:hAnsi="Times New Roman"/>
          <w:color w:val="auto"/>
          <w:highlight w:val="none"/>
        </w:rPr>
        <w:t>年</w:t>
      </w:r>
      <w:r>
        <w:rPr>
          <w:rFonts w:hint="eastAsia" w:ascii="Times New Roman" w:hAnsi="Times New Roman"/>
          <w:color w:val="auto"/>
          <w:highlight w:val="none"/>
          <w:lang w:val="en-US" w:eastAsia="zh-CN"/>
        </w:rPr>
        <w:t>11</w:t>
      </w:r>
      <w:r>
        <w:rPr>
          <w:rFonts w:hint="eastAsia" w:ascii="Times New Roman" w:hAnsi="Times New Roman"/>
          <w:color w:val="auto"/>
          <w:highlight w:val="none"/>
        </w:rPr>
        <w:t>月</w:t>
      </w:r>
      <w:r>
        <w:rPr>
          <w:rFonts w:hint="eastAsia" w:ascii="Times New Roman" w:hAnsi="Times New Roman"/>
          <w:color w:val="auto"/>
          <w:highlight w:val="none"/>
          <w:lang w:val="en-US" w:eastAsia="zh-CN"/>
        </w:rPr>
        <w:t>13</w:t>
      </w:r>
      <w:r>
        <w:rPr>
          <w:rFonts w:hint="eastAsia" w:ascii="Times New Roman" w:hAnsi="Times New Roman"/>
          <w:color w:val="auto"/>
          <w:highlight w:val="none"/>
        </w:rPr>
        <w:t>日取得了</w:t>
      </w:r>
      <w:r>
        <w:rPr>
          <w:rFonts w:hint="eastAsia" w:ascii="Times New Roman" w:hAnsi="Times New Roman"/>
          <w:color w:val="auto"/>
          <w:highlight w:val="none"/>
          <w:lang w:eastAsia="zh-CN"/>
        </w:rPr>
        <w:t>砚山县自然资源局</w:t>
      </w:r>
      <w:r>
        <w:rPr>
          <w:rFonts w:hint="eastAsia" w:ascii="Times New Roman" w:hAnsi="Times New Roman"/>
          <w:color w:val="auto"/>
          <w:highlight w:val="none"/>
        </w:rPr>
        <w:t>文件“《云南省砚山县</w:t>
      </w:r>
      <w:r>
        <w:rPr>
          <w:rFonts w:hint="eastAsia" w:ascii="Times New Roman" w:hAnsi="Times New Roman"/>
          <w:color w:val="auto"/>
          <w:highlight w:val="none"/>
          <w:lang w:eastAsia="zh-CN"/>
        </w:rPr>
        <w:t>倮基黑卡子凹塘普通建筑材料用灰岩</w:t>
      </w:r>
      <w:r>
        <w:rPr>
          <w:rFonts w:hint="eastAsia" w:ascii="Times New Roman" w:hAnsi="Times New Roman"/>
          <w:color w:val="auto"/>
          <w:highlight w:val="none"/>
        </w:rPr>
        <w:t>矿资源储量核实报告》评审备案证明（</w:t>
      </w:r>
      <w:r>
        <w:rPr>
          <w:rFonts w:hint="eastAsia" w:ascii="Times New Roman" w:hAnsi="Times New Roman"/>
          <w:color w:val="auto"/>
          <w:highlight w:val="none"/>
          <w:lang w:eastAsia="zh-CN"/>
        </w:rPr>
        <w:t>砚自然资储备字</w:t>
      </w:r>
      <w:r>
        <w:rPr>
          <w:rFonts w:hint="eastAsia" w:ascii="Times New Roman" w:hAnsi="Times New Roman"/>
          <w:color w:val="auto"/>
          <w:highlight w:val="none"/>
          <w:lang w:val="en-US" w:eastAsia="zh-CN"/>
        </w:rPr>
        <w:t>[2019]10</w:t>
      </w:r>
      <w:r>
        <w:rPr>
          <w:rFonts w:hint="eastAsia" w:ascii="Times New Roman" w:hAnsi="Times New Roman"/>
          <w:color w:val="auto"/>
          <w:highlight w:val="none"/>
        </w:rPr>
        <w:t>号”。（详见附件</w:t>
      </w:r>
      <w:r>
        <w:rPr>
          <w:rFonts w:hint="eastAsia" w:ascii="Times New Roman" w:hAnsi="Times New Roman"/>
          <w:color w:val="auto"/>
          <w:highlight w:val="none"/>
          <w:lang w:val="en-US" w:eastAsia="zh-CN"/>
        </w:rPr>
        <w:t>4</w:t>
      </w:r>
      <w:r>
        <w:rPr>
          <w:rFonts w:hint="eastAsia" w:ascii="Times New Roman" w:hAnsi="Times New Roman"/>
          <w:color w:val="auto"/>
          <w:highlight w:val="none"/>
        </w:rPr>
        <w:t>）</w:t>
      </w:r>
    </w:p>
    <w:p>
      <w:pPr>
        <w:pStyle w:val="17"/>
        <w:ind w:firstLine="480"/>
        <w:rPr>
          <w:rFonts w:hint="eastAsia" w:eastAsia="宋体"/>
          <w:color w:val="auto"/>
          <w:highlight w:val="none"/>
          <w:lang w:val="en-US" w:eastAsia="zh-CN"/>
        </w:rPr>
      </w:pPr>
      <w:r>
        <w:rPr>
          <w:rFonts w:hint="eastAsia" w:ascii="Times New Roman" w:hAnsi="Times New Roman"/>
          <w:color w:val="auto"/>
          <w:highlight w:val="none"/>
        </w:rPr>
        <w:t>根据《</w:t>
      </w:r>
      <w:r>
        <w:rPr>
          <w:rFonts w:hint="eastAsia" w:ascii="Times New Roman" w:hAnsi="Times New Roman"/>
          <w:color w:val="auto"/>
          <w:highlight w:val="none"/>
          <w:lang w:eastAsia="zh-CN"/>
        </w:rPr>
        <w:t>云南省砚山县倮基黑卡子凹塘普通建筑材料用灰岩矿资源储量核实报告</w:t>
      </w:r>
      <w:r>
        <w:rPr>
          <w:rFonts w:hint="eastAsia" w:ascii="Times New Roman" w:hAnsi="Times New Roman"/>
          <w:color w:val="auto"/>
          <w:highlight w:val="none"/>
        </w:rPr>
        <w:t>》：在</w:t>
      </w:r>
      <w:r>
        <w:rPr>
          <w:rFonts w:hint="eastAsia" w:ascii="Times New Roman" w:hAnsi="Times New Roman"/>
          <w:color w:val="auto"/>
          <w:highlight w:val="none"/>
          <w:lang w:eastAsia="zh-CN"/>
        </w:rPr>
        <w:t>采矿权</w:t>
      </w:r>
      <w:r>
        <w:rPr>
          <w:rFonts w:hint="eastAsia" w:ascii="Times New Roman" w:hAnsi="Times New Roman"/>
          <w:color w:val="auto"/>
          <w:highlight w:val="none"/>
        </w:rPr>
        <w:t>范围内</w:t>
      </w:r>
      <w:r>
        <w:rPr>
          <w:rFonts w:hint="eastAsia" w:ascii="Times New Roman" w:hAnsi="Times New Roman"/>
          <w:color w:val="auto"/>
          <w:highlight w:val="none"/>
          <w:lang w:eastAsia="zh-CN"/>
        </w:rPr>
        <w:t>的122b类石灰岩矿矿石保有资源储量为548.44万m</w:t>
      </w:r>
      <w:r>
        <w:rPr>
          <w:rFonts w:hint="eastAsia" w:ascii="Times New Roman" w:hAnsi="Times New Roman"/>
          <w:color w:val="auto"/>
          <w:highlight w:val="none"/>
          <w:vertAlign w:val="superscript"/>
          <w:lang w:eastAsia="zh-CN"/>
        </w:rPr>
        <w:t>3</w:t>
      </w:r>
      <w:r>
        <w:rPr>
          <w:rFonts w:hint="eastAsia" w:ascii="Times New Roman" w:hAnsi="Times New Roman"/>
          <w:color w:val="auto"/>
          <w:highlight w:val="none"/>
          <w:lang w:eastAsia="zh-CN"/>
        </w:rPr>
        <w:t>(1371.10万t)。本次矿山设计利用资源储量为保有资源储量的部分（开采标高</w:t>
      </w:r>
      <w:r>
        <w:rPr>
          <w:rFonts w:hint="eastAsia" w:ascii="Times New Roman" w:hAnsi="Times New Roman"/>
          <w:color w:val="auto"/>
          <w:highlight w:val="none"/>
          <w:lang w:val="en-US" w:eastAsia="zh-CN"/>
        </w:rPr>
        <w:t>1746m-1680m</w:t>
      </w:r>
      <w:r>
        <w:rPr>
          <w:rFonts w:hint="eastAsia" w:ascii="Times New Roman" w:hAnsi="Times New Roman"/>
          <w:color w:val="auto"/>
          <w:highlight w:val="none"/>
          <w:lang w:eastAsia="zh-CN"/>
        </w:rPr>
        <w:t>）资源量199.62万m</w:t>
      </w:r>
      <w:r>
        <w:rPr>
          <w:rFonts w:hint="eastAsia" w:ascii="Times New Roman" w:hAnsi="Times New Roman"/>
          <w:color w:val="auto"/>
          <w:highlight w:val="none"/>
          <w:vertAlign w:val="superscript"/>
          <w:lang w:eastAsia="zh-CN"/>
        </w:rPr>
        <w:t>3</w:t>
      </w:r>
      <w:r>
        <w:rPr>
          <w:rFonts w:hint="eastAsia" w:ascii="Times New Roman" w:hAnsi="Times New Roman"/>
          <w:color w:val="auto"/>
          <w:highlight w:val="none"/>
          <w:lang w:eastAsia="zh-CN"/>
        </w:rPr>
        <w:t>(299.05万t)</w:t>
      </w:r>
      <w:r>
        <w:rPr>
          <w:rFonts w:hint="eastAsia" w:ascii="Times New Roman" w:hAnsi="Times New Roman"/>
          <w:color w:val="auto"/>
          <w:highlight w:val="none"/>
        </w:rPr>
        <w:t>，设计损失资源储量(122b类)为33.79万m</w:t>
      </w:r>
      <w:r>
        <w:rPr>
          <w:rFonts w:hint="eastAsia" w:ascii="Times New Roman" w:hAnsi="Times New Roman"/>
          <w:color w:val="auto"/>
          <w:highlight w:val="none"/>
          <w:vertAlign w:val="superscript"/>
        </w:rPr>
        <w:t>3</w:t>
      </w:r>
      <w:r>
        <w:rPr>
          <w:rFonts w:hint="eastAsia" w:ascii="Times New Roman" w:hAnsi="Times New Roman"/>
          <w:color w:val="auto"/>
          <w:highlight w:val="none"/>
        </w:rPr>
        <w:t>(84.47万t)，矿山预可采资源储量(122类资源储量)为81.54万m</w:t>
      </w:r>
      <w:r>
        <w:rPr>
          <w:rFonts w:hint="eastAsia" w:ascii="Times New Roman" w:hAnsi="Times New Roman"/>
          <w:color w:val="auto"/>
          <w:highlight w:val="none"/>
          <w:vertAlign w:val="superscript"/>
        </w:rPr>
        <w:t>3</w:t>
      </w:r>
      <w:r>
        <w:rPr>
          <w:rFonts w:hint="eastAsia" w:ascii="Times New Roman" w:hAnsi="Times New Roman"/>
          <w:color w:val="auto"/>
          <w:highlight w:val="none"/>
        </w:rPr>
        <w:t>(203.85万t)</w:t>
      </w:r>
      <w:r>
        <w:rPr>
          <w:rFonts w:hint="eastAsia" w:ascii="Times New Roman" w:hAnsi="Times New Roman"/>
          <w:color w:val="auto"/>
          <w:highlight w:val="none"/>
          <w:lang w:eastAsia="zh-CN"/>
        </w:rPr>
        <w:t>。</w:t>
      </w:r>
      <w:r>
        <w:rPr>
          <w:rFonts w:hint="eastAsia" w:hAnsi="宋体"/>
          <w:sz w:val="24"/>
          <w:highlight w:val="none"/>
          <w:lang w:eastAsia="zh-CN"/>
        </w:rPr>
        <w:t>根据《云南省人民政府关于促进非煤矿山转型升级的实施意见》（云政发</w:t>
      </w:r>
      <w:r>
        <w:rPr>
          <w:rFonts w:hint="eastAsia" w:hAnsi="宋体"/>
          <w:sz w:val="24"/>
          <w:highlight w:val="none"/>
          <w:lang w:val="en-US" w:eastAsia="zh-CN"/>
        </w:rPr>
        <w:t>[2015]38号</w:t>
      </w:r>
      <w:r>
        <w:rPr>
          <w:rFonts w:hint="eastAsia" w:hAnsi="宋体"/>
          <w:sz w:val="24"/>
          <w:highlight w:val="none"/>
          <w:lang w:eastAsia="zh-CN"/>
        </w:rPr>
        <w:t>）要求，矿种为建筑用石料类（饰面用除外），新建矿山最小开采规模为</w:t>
      </w:r>
      <w:r>
        <w:rPr>
          <w:rFonts w:hint="eastAsia" w:hAnsi="宋体"/>
          <w:sz w:val="24"/>
          <w:highlight w:val="none"/>
          <w:lang w:val="en-US" w:eastAsia="zh-CN"/>
        </w:rPr>
        <w:t>30万吨/a，露天开采矿山生产服务年限最低为6年，本项目矿山生产能力为30万t/a，预可采资源量203.85万t，矿山生产服务年限为6.8年，符合云南省非煤矿山最小开采规模和最低服务年限标准</w:t>
      </w:r>
      <w:r>
        <w:rPr>
          <w:rFonts w:hint="eastAsia" w:ascii="Times New Roman" w:hAnsi="Times New Roman"/>
          <w:color w:val="auto"/>
          <w:highlight w:val="none"/>
        </w:rPr>
        <w:t>。</w:t>
      </w:r>
    </w:p>
    <w:p>
      <w:pPr>
        <w:pStyle w:val="17"/>
        <w:rPr>
          <w:rFonts w:hint="eastAsia"/>
          <w:color w:val="auto"/>
          <w:highlight w:val="none"/>
          <w:lang w:eastAsia="zh-CN"/>
        </w:rPr>
      </w:pPr>
      <w:r>
        <w:rPr>
          <w:rFonts w:hint="default" w:ascii="Times New Roman" w:hAnsi="Times New Roman" w:cs="Times New Roman"/>
          <w:color w:val="auto"/>
          <w:highlight w:val="none"/>
          <w:lang w:val="en-US" w:eastAsia="zh-CN"/>
        </w:rPr>
        <w:t>2019年</w:t>
      </w:r>
      <w:r>
        <w:rPr>
          <w:rFonts w:hint="eastAsia" w:ascii="Times New Roman" w:hAnsi="Times New Roman" w:cs="Times New Roman"/>
          <w:color w:val="auto"/>
          <w:highlight w:val="none"/>
          <w:lang w:val="en-US" w:eastAsia="zh-CN"/>
        </w:rPr>
        <w:t>10</w:t>
      </w:r>
      <w:r>
        <w:rPr>
          <w:rFonts w:hint="default" w:ascii="Times New Roman" w:hAnsi="Times New Roman" w:cs="Times New Roman"/>
          <w:color w:val="auto"/>
          <w:highlight w:val="none"/>
          <w:lang w:val="en-US" w:eastAsia="zh-CN"/>
        </w:rPr>
        <w:t>月</w:t>
      </w:r>
      <w:r>
        <w:rPr>
          <w:rFonts w:hint="eastAsia" w:ascii="Times New Roman" w:hAnsi="Times New Roman" w:cs="Times New Roman"/>
          <w:color w:val="auto"/>
          <w:highlight w:val="none"/>
          <w:lang w:val="en-US" w:eastAsia="zh-CN"/>
        </w:rPr>
        <w:t>12</w:t>
      </w:r>
      <w:r>
        <w:rPr>
          <w:rFonts w:hint="default" w:ascii="Times New Roman" w:hAnsi="Times New Roman" w:cs="Times New Roman"/>
          <w:color w:val="auto"/>
          <w:highlight w:val="none"/>
          <w:lang w:val="en-US" w:eastAsia="zh-CN"/>
        </w:rPr>
        <w:t>日</w:t>
      </w:r>
      <w:r>
        <w:rPr>
          <w:rFonts w:hint="eastAsia" w:ascii="Times New Roman" w:hAnsi="Times New Roman" w:cs="Times New Roman"/>
          <w:color w:val="auto"/>
          <w:highlight w:val="none"/>
          <w:lang w:val="en-US" w:eastAsia="zh-CN"/>
        </w:rPr>
        <w:t>，</w:t>
      </w:r>
      <w:r>
        <w:rPr>
          <w:rFonts w:hint="eastAsia" w:ascii="Times New Roman" w:hAnsi="Times New Roman"/>
          <w:color w:val="auto"/>
          <w:highlight w:val="none"/>
          <w:lang w:eastAsia="zh-CN"/>
        </w:rPr>
        <w:t>砚山县江那镇真元饲料添加剂沸石粉厂到砚山县自然资源局查询了矿区范围是否涉及地方生态保护红线，并取得了</w:t>
      </w:r>
      <w:r>
        <w:rPr>
          <w:rFonts w:hint="eastAsia" w:ascii="Times New Roman" w:hAnsi="Times New Roman" w:cs="Times New Roman"/>
          <w:color w:val="auto"/>
          <w:highlight w:val="none"/>
          <w:lang w:val="en-US" w:eastAsia="zh-CN"/>
        </w:rPr>
        <w:t>砚山县</w:t>
      </w:r>
      <w:r>
        <w:rPr>
          <w:rFonts w:hint="default" w:ascii="Times New Roman" w:hAnsi="Times New Roman" w:cs="Times New Roman"/>
          <w:color w:val="auto"/>
          <w:highlight w:val="none"/>
          <w:lang w:val="en-US" w:eastAsia="zh-CN"/>
        </w:rPr>
        <w:t>生态保护红线数据查询审批表</w:t>
      </w:r>
      <w:r>
        <w:rPr>
          <w:rFonts w:hint="eastAsia" w:ascii="Times New Roman" w:hAnsi="Times New Roman" w:cs="Times New Roman"/>
          <w:color w:val="auto"/>
          <w:highlight w:val="none"/>
          <w:lang w:val="en-US" w:eastAsia="zh-CN"/>
        </w:rPr>
        <w:t>，该表查询结果为：</w:t>
      </w:r>
      <w:r>
        <w:rPr>
          <w:rFonts w:hint="default" w:ascii="Times New Roman" w:hAnsi="Times New Roman" w:cs="Times New Roman"/>
          <w:color w:val="auto"/>
          <w:highlight w:val="none"/>
          <w:lang w:val="en-US" w:eastAsia="zh-CN"/>
        </w:rPr>
        <w:t>矿权范围未涉及生态保护红线。</w:t>
      </w:r>
      <w:r>
        <w:rPr>
          <w:rFonts w:hint="eastAsia" w:ascii="Times New Roman" w:hAnsi="Times New Roman" w:cs="Times New Roman"/>
          <w:color w:val="auto"/>
          <w:highlight w:val="none"/>
          <w:lang w:val="en-US" w:eastAsia="zh-CN"/>
        </w:rPr>
        <w:t>（详见附件5）</w:t>
      </w:r>
    </w:p>
    <w:p>
      <w:pPr>
        <w:pStyle w:val="17"/>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ascii="Times New Roman" w:hAnsi="Times New Roman"/>
          <w:color w:val="auto"/>
          <w:highlight w:val="none"/>
        </w:rPr>
      </w:pPr>
      <w:r>
        <w:rPr>
          <w:rFonts w:hint="eastAsia" w:ascii="Times New Roman" w:hAnsi="Times New Roman"/>
          <w:color w:val="auto"/>
          <w:highlight w:val="none"/>
        </w:rPr>
        <w:t>目前，本项目已取得投资备案证</w:t>
      </w:r>
      <w:r>
        <w:rPr>
          <w:rFonts w:hint="eastAsia" w:ascii="Times New Roman" w:hAnsi="Times New Roman"/>
          <w:color w:val="auto"/>
          <w:highlight w:val="none"/>
          <w:lang w:eastAsia="zh-CN"/>
        </w:rPr>
        <w:t>，</w:t>
      </w:r>
      <w:r>
        <w:rPr>
          <w:rFonts w:hint="eastAsia" w:ascii="Times New Roman" w:hAnsi="Times New Roman"/>
          <w:color w:val="auto"/>
          <w:highlight w:val="none"/>
        </w:rPr>
        <w:t>项目代码：201</w:t>
      </w:r>
      <w:r>
        <w:rPr>
          <w:rFonts w:hint="eastAsia" w:ascii="Times New Roman" w:hAnsi="Times New Roman"/>
          <w:color w:val="auto"/>
          <w:highlight w:val="none"/>
          <w:lang w:val="en-US" w:eastAsia="zh-CN"/>
        </w:rPr>
        <w:t>7</w:t>
      </w:r>
      <w:r>
        <w:rPr>
          <w:rFonts w:hint="eastAsia" w:ascii="Times New Roman" w:hAnsi="Times New Roman"/>
          <w:color w:val="auto"/>
          <w:highlight w:val="none"/>
        </w:rPr>
        <w:t>-532622-10-03-0</w:t>
      </w:r>
      <w:r>
        <w:rPr>
          <w:rFonts w:hint="eastAsia" w:ascii="Times New Roman" w:hAnsi="Times New Roman"/>
          <w:color w:val="auto"/>
          <w:highlight w:val="none"/>
          <w:lang w:val="en-US" w:eastAsia="zh-CN"/>
        </w:rPr>
        <w:t>01068</w:t>
      </w:r>
      <w:r>
        <w:rPr>
          <w:rFonts w:hint="eastAsia" w:ascii="Times New Roman" w:hAnsi="Times New Roman"/>
          <w:color w:val="auto"/>
          <w:highlight w:val="none"/>
          <w:lang w:eastAsia="zh-CN"/>
        </w:rPr>
        <w:t>。（</w:t>
      </w:r>
      <w:r>
        <w:rPr>
          <w:rFonts w:hint="eastAsia" w:ascii="Times New Roman" w:hAnsi="Times New Roman"/>
          <w:color w:val="auto"/>
          <w:highlight w:val="none"/>
        </w:rPr>
        <w:t>详见附件2）。</w:t>
      </w:r>
    </w:p>
    <w:p>
      <w:pPr>
        <w:numPr>
          <w:ilvl w:val="0"/>
          <w:numId w:val="2"/>
        </w:numPr>
        <w:snapToGrid w:val="0"/>
        <w:ind w:firstLine="0" w:firstLineChars="0"/>
        <w:rPr>
          <w:b/>
          <w:color w:val="auto"/>
          <w:sz w:val="28"/>
          <w:szCs w:val="28"/>
          <w:highlight w:val="none"/>
        </w:rPr>
      </w:pPr>
      <w:bookmarkStart w:id="11" w:name="_Toc14463"/>
      <w:bookmarkStart w:id="12" w:name="_Toc783"/>
      <w:r>
        <w:rPr>
          <w:b/>
          <w:color w:val="auto"/>
          <w:sz w:val="28"/>
          <w:szCs w:val="28"/>
          <w:highlight w:val="none"/>
        </w:rPr>
        <w:t>建设项目特点</w:t>
      </w:r>
      <w:bookmarkEnd w:id="11"/>
      <w:bookmarkEnd w:id="12"/>
      <w:r>
        <w:rPr>
          <w:rFonts w:hint="eastAsia"/>
          <w:b/>
          <w:color w:val="auto"/>
          <w:sz w:val="28"/>
          <w:szCs w:val="28"/>
          <w:highlight w:val="none"/>
          <w:lang w:eastAsia="zh-CN"/>
        </w:rPr>
        <w:t>及分析判定相关情况</w:t>
      </w:r>
    </w:p>
    <w:p>
      <w:pPr>
        <w:adjustRightInd w:val="0"/>
        <w:snapToGrid w:val="0"/>
        <w:ind w:firstLine="480"/>
        <w:rPr>
          <w:rFonts w:hint="eastAsia" w:eastAsia="宋体"/>
          <w:color w:val="auto"/>
          <w:highlight w:val="none"/>
          <w:lang w:val="en-US" w:eastAsia="zh-CN"/>
        </w:rPr>
      </w:pPr>
      <w:r>
        <w:rPr>
          <w:rFonts w:hint="eastAsia"/>
          <w:b/>
          <w:bCs/>
          <w:color w:val="auto"/>
          <w:highlight w:val="none"/>
          <w:lang w:val="en-US" w:eastAsia="zh-CN"/>
        </w:rPr>
        <w:t>1、建设项目特点</w:t>
      </w:r>
    </w:p>
    <w:p>
      <w:pPr>
        <w:adjustRightInd w:val="0"/>
        <w:snapToGrid w:val="0"/>
        <w:ind w:firstLine="480"/>
        <w:rPr>
          <w:color w:val="auto"/>
          <w:highlight w:val="none"/>
        </w:rPr>
      </w:pPr>
      <w:r>
        <w:rPr>
          <w:rFonts w:hint="eastAsia"/>
          <w:color w:val="auto"/>
          <w:highlight w:val="none"/>
        </w:rPr>
        <w:t>（</w:t>
      </w:r>
      <w:r>
        <w:rPr>
          <w:rFonts w:hint="eastAsia"/>
          <w:color w:val="auto"/>
          <w:highlight w:val="none"/>
          <w:lang w:val="en-US" w:eastAsia="zh-CN"/>
        </w:rPr>
        <w:t>1</w:t>
      </w:r>
      <w:r>
        <w:rPr>
          <w:rFonts w:hint="eastAsia"/>
          <w:color w:val="auto"/>
          <w:highlight w:val="none"/>
        </w:rPr>
        <w:t>）开采</w:t>
      </w:r>
      <w:r>
        <w:rPr>
          <w:color w:val="auto"/>
          <w:highlight w:val="none"/>
        </w:rPr>
        <w:t>规模情况</w:t>
      </w:r>
    </w:p>
    <w:p>
      <w:pPr>
        <w:adjustRightInd w:val="0"/>
        <w:snapToGrid w:val="0"/>
        <w:ind w:firstLine="480"/>
        <w:rPr>
          <w:color w:val="auto"/>
          <w:highlight w:val="none"/>
        </w:rPr>
      </w:pPr>
      <w:r>
        <w:rPr>
          <w:rFonts w:hint="eastAsia"/>
          <w:color w:val="auto"/>
          <w:highlight w:val="none"/>
          <w:lang w:eastAsia="zh-CN"/>
        </w:rPr>
        <w:t>砚山县阿猛镇倮基黑卡子凹塘石料厂年产30万吨建筑石料用灰岩建设项目为新建项目，主要由开采区、工业场地区、办公生活区及附属设施组成。</w:t>
      </w:r>
      <w:r>
        <w:rPr>
          <w:rFonts w:hint="eastAsia"/>
          <w:highlight w:val="none"/>
        </w:rPr>
        <w:t>本项目</w:t>
      </w:r>
      <w:r>
        <w:rPr>
          <w:rFonts w:hint="eastAsia"/>
          <w:highlight w:val="none"/>
          <w:lang w:eastAsia="zh-CN"/>
        </w:rPr>
        <w:t>总占地面积</w:t>
      </w:r>
      <w:r>
        <w:rPr>
          <w:rFonts w:hint="eastAsia"/>
          <w:highlight w:val="none"/>
          <w:lang w:val="en-US" w:eastAsia="zh-CN"/>
        </w:rPr>
        <w:t>96600m</w:t>
      </w:r>
      <w:r>
        <w:rPr>
          <w:rFonts w:hint="eastAsia"/>
          <w:highlight w:val="none"/>
          <w:vertAlign w:val="superscript"/>
          <w:lang w:val="en-US" w:eastAsia="zh-CN"/>
        </w:rPr>
        <w:t>2</w:t>
      </w:r>
      <w:r>
        <w:rPr>
          <w:rFonts w:hint="eastAsia"/>
          <w:highlight w:val="none"/>
          <w:lang w:val="en-US" w:eastAsia="zh-CN"/>
        </w:rPr>
        <w:t>，其中</w:t>
      </w:r>
      <w:r>
        <w:rPr>
          <w:rFonts w:hint="eastAsia"/>
          <w:highlight w:val="none"/>
          <w:lang w:eastAsia="zh-CN"/>
        </w:rPr>
        <w:t>矿山面积</w:t>
      </w:r>
      <w:r>
        <w:rPr>
          <w:rFonts w:hint="eastAsia"/>
          <w:highlight w:val="none"/>
          <w:lang w:val="en-US" w:eastAsia="zh-CN"/>
        </w:rPr>
        <w:t>95000m</w:t>
      </w:r>
      <w:r>
        <w:rPr>
          <w:rFonts w:hint="eastAsia"/>
          <w:highlight w:val="none"/>
          <w:vertAlign w:val="superscript"/>
          <w:lang w:val="en-US" w:eastAsia="zh-CN"/>
        </w:rPr>
        <w:t>2</w:t>
      </w:r>
      <w:r>
        <w:rPr>
          <w:rFonts w:hint="eastAsia"/>
          <w:highlight w:val="none"/>
          <w:lang w:val="en-US" w:eastAsia="zh-CN"/>
        </w:rPr>
        <w:t>（0.095km</w:t>
      </w:r>
      <w:r>
        <w:rPr>
          <w:rFonts w:hint="eastAsia"/>
          <w:highlight w:val="none"/>
          <w:vertAlign w:val="superscript"/>
          <w:lang w:val="en-US" w:eastAsia="zh-CN"/>
        </w:rPr>
        <w:t>2</w:t>
      </w:r>
      <w:r>
        <w:rPr>
          <w:rFonts w:hint="eastAsia"/>
          <w:highlight w:val="none"/>
          <w:lang w:val="en-US" w:eastAsia="zh-CN"/>
        </w:rPr>
        <w:t>），生产加工区、堆料场占地面积3118m</w:t>
      </w:r>
      <w:r>
        <w:rPr>
          <w:rFonts w:hint="eastAsia"/>
          <w:highlight w:val="none"/>
          <w:vertAlign w:val="superscript"/>
          <w:lang w:val="en-US" w:eastAsia="zh-CN"/>
        </w:rPr>
        <w:t>2</w:t>
      </w:r>
      <w:r>
        <w:rPr>
          <w:rFonts w:hint="eastAsia"/>
          <w:highlight w:val="none"/>
          <w:lang w:val="en-US" w:eastAsia="zh-CN"/>
        </w:rPr>
        <w:t>，排土场占地面积1600m</w:t>
      </w:r>
      <w:r>
        <w:rPr>
          <w:rFonts w:hint="eastAsia"/>
          <w:highlight w:val="none"/>
          <w:vertAlign w:val="superscript"/>
          <w:lang w:val="en-US" w:eastAsia="zh-CN"/>
        </w:rPr>
        <w:t>2</w:t>
      </w:r>
      <w:r>
        <w:rPr>
          <w:rFonts w:hint="eastAsia"/>
          <w:highlight w:val="none"/>
          <w:lang w:val="en-US" w:eastAsia="zh-CN"/>
        </w:rPr>
        <w:t>，办公区、生活区占地面积466m</w:t>
      </w:r>
      <w:r>
        <w:rPr>
          <w:rFonts w:hint="eastAsia"/>
          <w:highlight w:val="none"/>
          <w:vertAlign w:val="superscript"/>
          <w:lang w:val="en-US" w:eastAsia="zh-CN"/>
        </w:rPr>
        <w:t>2</w:t>
      </w:r>
      <w:r>
        <w:rPr>
          <w:rFonts w:hint="eastAsia"/>
          <w:highlight w:val="none"/>
          <w:lang w:val="en-US" w:eastAsia="zh-CN"/>
        </w:rPr>
        <w:t>，开拓公路占地面积306m</w:t>
      </w:r>
      <w:r>
        <w:rPr>
          <w:rFonts w:hint="eastAsia"/>
          <w:highlight w:val="none"/>
          <w:vertAlign w:val="superscript"/>
          <w:lang w:val="en-US" w:eastAsia="zh-CN"/>
        </w:rPr>
        <w:t>2</w:t>
      </w:r>
      <w:r>
        <w:rPr>
          <w:rFonts w:hint="eastAsia"/>
          <w:highlight w:val="none"/>
          <w:lang w:val="en-US" w:eastAsia="zh-CN"/>
        </w:rPr>
        <w:t>。项目</w:t>
      </w:r>
      <w:r>
        <w:rPr>
          <w:rFonts w:hint="eastAsia" w:hAnsi="宋体"/>
          <w:bCs/>
          <w:sz w:val="24"/>
          <w:highlight w:val="none"/>
        </w:rPr>
        <w:t>生产规模为</w:t>
      </w:r>
      <w:r>
        <w:rPr>
          <w:rFonts w:hint="eastAsia"/>
          <w:bCs/>
          <w:sz w:val="24"/>
          <w:highlight w:val="none"/>
          <w:lang w:val="en-US" w:eastAsia="zh-CN"/>
        </w:rPr>
        <w:t>30</w:t>
      </w:r>
      <w:r>
        <w:rPr>
          <w:rFonts w:hint="eastAsia" w:hAnsi="宋体"/>
          <w:bCs/>
          <w:sz w:val="24"/>
          <w:highlight w:val="none"/>
        </w:rPr>
        <w:t>万吨/年</w:t>
      </w:r>
      <w:r>
        <w:rPr>
          <w:rFonts w:hint="eastAsia" w:hAnsi="宋体"/>
          <w:bCs/>
          <w:sz w:val="24"/>
          <w:highlight w:val="none"/>
          <w:lang w:eastAsia="zh-CN"/>
        </w:rPr>
        <w:t>，</w:t>
      </w:r>
      <w:r>
        <w:rPr>
          <w:rFonts w:hint="eastAsia"/>
          <w:highlight w:val="none"/>
          <w:lang w:eastAsia="zh-CN"/>
        </w:rPr>
        <w:t>产品方案主要为公分石、细沙</w:t>
      </w:r>
      <w:r>
        <w:rPr>
          <w:color w:val="auto"/>
          <w:highlight w:val="none"/>
        </w:rPr>
        <w:t>。</w:t>
      </w:r>
    </w:p>
    <w:p>
      <w:pPr>
        <w:pStyle w:val="17"/>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lang w:eastAsia="zh-CN"/>
        </w:rPr>
        <w:t>）开采方式</w:t>
      </w:r>
      <w:r>
        <w:rPr>
          <w:rFonts w:hint="eastAsia" w:ascii="Times New Roman" w:hAnsi="Times New Roman" w:cs="Times New Roman"/>
          <w:color w:val="auto"/>
          <w:highlight w:val="none"/>
          <w:lang w:eastAsia="zh-CN"/>
        </w:rPr>
        <w:t>、开采境界面、服务年限</w:t>
      </w:r>
    </w:p>
    <w:p>
      <w:pPr>
        <w:adjustRightInd w:val="0"/>
        <w:snapToGrid w:val="0"/>
        <w:ind w:firstLine="480"/>
        <w:rPr>
          <w:rFonts w:hint="eastAsia"/>
          <w:color w:val="auto"/>
          <w:highlight w:val="none"/>
          <w:lang w:eastAsia="zh-CN"/>
        </w:rPr>
      </w:pPr>
      <w:r>
        <w:rPr>
          <w:rFonts w:hint="eastAsia"/>
          <w:b/>
          <w:bCs/>
          <w:color w:val="auto"/>
          <w:highlight w:val="none"/>
          <w:lang w:eastAsia="zh-CN"/>
        </w:rPr>
        <w:t>开采方式：</w:t>
      </w:r>
      <w:r>
        <w:rPr>
          <w:rFonts w:hint="eastAsia"/>
          <w:color w:val="auto"/>
          <w:highlight w:val="none"/>
        </w:rPr>
        <w:t>露天开采</w:t>
      </w:r>
      <w:r>
        <w:rPr>
          <w:rFonts w:hint="eastAsia"/>
          <w:color w:val="auto"/>
          <w:highlight w:val="none"/>
          <w:lang w:eastAsia="zh-CN"/>
        </w:rPr>
        <w:t>（从上往下分台阶（层）水平开采），总设计台阶（水平）为</w:t>
      </w:r>
      <w:r>
        <w:rPr>
          <w:rFonts w:hint="eastAsia"/>
          <w:color w:val="auto"/>
          <w:highlight w:val="none"/>
          <w:lang w:val="en-US" w:eastAsia="zh-CN"/>
        </w:rPr>
        <w:t>6台</w:t>
      </w:r>
      <w:r>
        <w:rPr>
          <w:rFonts w:hint="eastAsia"/>
          <w:color w:val="auto"/>
          <w:highlight w:val="none"/>
          <w:lang w:eastAsia="zh-CN"/>
        </w:rPr>
        <w:t>：</w:t>
      </w:r>
      <w:r>
        <w:rPr>
          <w:rFonts w:hint="eastAsia"/>
          <w:color w:val="auto"/>
          <w:highlight w:val="none"/>
          <w:lang w:val="en-US" w:eastAsia="zh-CN"/>
        </w:rPr>
        <w:t>1730</w:t>
      </w:r>
      <w:r>
        <w:rPr>
          <w:rFonts w:hint="eastAsia"/>
          <w:color w:val="auto"/>
          <w:highlight w:val="none"/>
          <w:lang w:eastAsia="zh-CN"/>
        </w:rPr>
        <w:t>m、</w:t>
      </w:r>
      <w:r>
        <w:rPr>
          <w:rFonts w:hint="eastAsia"/>
          <w:color w:val="auto"/>
          <w:highlight w:val="none"/>
          <w:lang w:val="en-US" w:eastAsia="zh-CN"/>
        </w:rPr>
        <w:t>1720</w:t>
      </w:r>
      <w:r>
        <w:rPr>
          <w:rFonts w:hint="eastAsia"/>
          <w:color w:val="auto"/>
          <w:highlight w:val="none"/>
          <w:lang w:eastAsia="zh-CN"/>
        </w:rPr>
        <w:t>m、</w:t>
      </w:r>
      <w:r>
        <w:rPr>
          <w:rFonts w:hint="eastAsia"/>
          <w:color w:val="auto"/>
          <w:highlight w:val="none"/>
          <w:lang w:val="en-US" w:eastAsia="zh-CN"/>
        </w:rPr>
        <w:t>1710</w:t>
      </w:r>
      <w:r>
        <w:rPr>
          <w:rFonts w:hint="eastAsia"/>
          <w:color w:val="auto"/>
          <w:highlight w:val="none"/>
          <w:lang w:eastAsia="zh-CN"/>
        </w:rPr>
        <w:t>m、</w:t>
      </w:r>
      <w:r>
        <w:rPr>
          <w:rFonts w:hint="eastAsia"/>
          <w:color w:val="auto"/>
          <w:highlight w:val="none"/>
          <w:lang w:val="en-US" w:eastAsia="zh-CN"/>
        </w:rPr>
        <w:t>1700</w:t>
      </w:r>
      <w:r>
        <w:rPr>
          <w:rFonts w:hint="eastAsia"/>
          <w:color w:val="auto"/>
          <w:highlight w:val="none"/>
          <w:lang w:eastAsia="zh-CN"/>
        </w:rPr>
        <w:t>m、</w:t>
      </w:r>
      <w:r>
        <w:rPr>
          <w:rFonts w:hint="eastAsia"/>
          <w:color w:val="auto"/>
          <w:highlight w:val="none"/>
          <w:lang w:val="en-US" w:eastAsia="zh-CN"/>
        </w:rPr>
        <w:t>1690</w:t>
      </w:r>
      <w:r>
        <w:rPr>
          <w:rFonts w:hint="eastAsia"/>
          <w:color w:val="auto"/>
          <w:highlight w:val="none"/>
          <w:lang w:eastAsia="zh-CN"/>
        </w:rPr>
        <w:t>m、</w:t>
      </w:r>
      <w:r>
        <w:rPr>
          <w:rFonts w:hint="eastAsia"/>
          <w:color w:val="auto"/>
          <w:highlight w:val="none"/>
          <w:lang w:val="en-US" w:eastAsia="zh-CN"/>
        </w:rPr>
        <w:t>1680</w:t>
      </w:r>
      <w:r>
        <w:rPr>
          <w:rFonts w:hint="eastAsia"/>
          <w:color w:val="auto"/>
          <w:highlight w:val="none"/>
          <w:lang w:eastAsia="zh-CN"/>
        </w:rPr>
        <w:t>m。</w:t>
      </w:r>
    </w:p>
    <w:p>
      <w:pPr>
        <w:pStyle w:val="17"/>
        <w:rPr>
          <w:rFonts w:hint="eastAsia" w:ascii="Times New Roman" w:hAnsi="Times New Roman" w:cs="Times New Roman"/>
          <w:color w:val="auto"/>
          <w:highlight w:val="none"/>
          <w:lang w:val="en-US" w:eastAsia="zh-CN"/>
        </w:rPr>
      </w:pPr>
      <w:r>
        <w:rPr>
          <w:rFonts w:hint="eastAsia"/>
          <w:b/>
          <w:bCs/>
          <w:color w:val="auto"/>
          <w:highlight w:val="none"/>
          <w:lang w:eastAsia="zh-CN"/>
        </w:rPr>
        <w:t>服务年限：</w:t>
      </w:r>
      <w:r>
        <w:rPr>
          <w:rFonts w:hint="default" w:ascii="Times New Roman" w:hAnsi="Times New Roman" w:cs="Times New Roman"/>
          <w:b w:val="0"/>
          <w:bCs w:val="0"/>
          <w:color w:val="auto"/>
          <w:highlight w:val="none"/>
          <w:lang w:eastAsia="zh-CN"/>
        </w:rPr>
        <w:t>矿</w:t>
      </w:r>
      <w:r>
        <w:rPr>
          <w:rFonts w:hint="default" w:ascii="Times New Roman" w:hAnsi="Times New Roman" w:cs="Times New Roman"/>
          <w:color w:val="auto"/>
          <w:highlight w:val="none"/>
          <w:lang w:eastAsia="zh-CN"/>
        </w:rPr>
        <w:t>山服务年限</w:t>
      </w:r>
      <w:r>
        <w:rPr>
          <w:rFonts w:hint="eastAsia" w:ascii="Times New Roman" w:hAnsi="Times New Roman" w:cs="Times New Roman"/>
          <w:color w:val="auto"/>
          <w:highlight w:val="none"/>
          <w:lang w:val="en-US" w:eastAsia="zh-CN"/>
        </w:rPr>
        <w:t>6.8</w:t>
      </w:r>
      <w:r>
        <w:rPr>
          <w:rFonts w:hint="default" w:ascii="Times New Roman" w:hAnsi="Times New Roman" w:cs="Times New Roman"/>
          <w:color w:val="auto"/>
          <w:highlight w:val="none"/>
          <w:lang w:val="en-US" w:eastAsia="zh-CN"/>
        </w:rPr>
        <w:t>年</w:t>
      </w:r>
      <w:r>
        <w:rPr>
          <w:rFonts w:hint="eastAsia" w:ascii="Times New Roman" w:hAnsi="Times New Roman" w:cs="Times New Roman"/>
          <w:color w:val="auto"/>
          <w:highlight w:val="none"/>
          <w:lang w:val="en-US" w:eastAsia="zh-CN"/>
        </w:rPr>
        <w:t>。</w:t>
      </w:r>
    </w:p>
    <w:p>
      <w:pPr>
        <w:pStyle w:val="17"/>
        <w:numPr>
          <w:ilvl w:val="0"/>
          <w:numId w:val="3"/>
        </w:numPr>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分析判定相关情况</w:t>
      </w:r>
    </w:p>
    <w:p>
      <w:pPr>
        <w:pStyle w:val="17"/>
        <w:keepNext w:val="0"/>
        <w:keepLines w:val="0"/>
        <w:pageBreakBefore w:val="0"/>
        <w:widowControl w:val="0"/>
        <w:numPr>
          <w:ilvl w:val="0"/>
          <w:numId w:val="4"/>
        </w:numPr>
        <w:kinsoku/>
        <w:wordWrap/>
        <w:overflowPunct/>
        <w:topLinePunct w:val="0"/>
        <w:autoSpaceDE/>
        <w:autoSpaceDN/>
        <w:bidi w:val="0"/>
        <w:adjustRightInd/>
        <w:snapToGrid/>
        <w:ind w:firstLine="48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产业政策符合性判定</w:t>
      </w:r>
    </w:p>
    <w:p>
      <w:pPr>
        <w:pStyle w:val="17"/>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该项目为石灰岩矿开采及加工项目，查阅《产业结构调整指导目录（2019年本）》，该项目不属于国家规定的鼓励类、限制类和淘汰类项目，属于允许类，该项目符合相关产业政策。</w:t>
      </w:r>
    </w:p>
    <w:p>
      <w:pPr>
        <w:pStyle w:val="17"/>
        <w:keepNext w:val="0"/>
        <w:keepLines w:val="0"/>
        <w:pageBreakBefore w:val="0"/>
        <w:widowControl w:val="0"/>
        <w:numPr>
          <w:ilvl w:val="0"/>
          <w:numId w:val="4"/>
        </w:numPr>
        <w:kinsoku/>
        <w:wordWrap/>
        <w:overflowPunct/>
        <w:topLinePunct w:val="0"/>
        <w:autoSpaceDE/>
        <w:autoSpaceDN/>
        <w:bidi w:val="0"/>
        <w:adjustRightInd/>
        <w:snapToGrid/>
        <w:ind w:left="0" w:leftChars="0" w:firstLine="48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相关规划符合性判定</w:t>
      </w:r>
    </w:p>
    <w:p>
      <w:pPr>
        <w:pStyle w:val="17"/>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属于矿山新建项目，项目生产规模为30万吨/年，服务年限为6.3年，项目周边无国家划定的自然保护区、重要风景区、国家重点保护的历史文物和名胜古迹分布，项目建设符合《云南省人民政府关于促进非煤矿山转型升级的实施意见》（云政发〔2015〕38 号）要求，本项目不在砚山县生态保护红线范围内，项目符合《云南省生态保护红线》要求。项目与砚山县城市总体规划不冲突。项目用地符合土地利用规划</w:t>
      </w:r>
      <w:r>
        <w:rPr>
          <w:rFonts w:hint="eastAsia" w:ascii="Times New Roman" w:hAnsi="Times New Roman" w:cs="Times New Roman"/>
          <w:color w:val="auto"/>
          <w:highlight w:val="none"/>
          <w:lang w:val="en-US" w:eastAsia="zh-CN"/>
        </w:rPr>
        <w:t>。</w:t>
      </w:r>
    </w:p>
    <w:p>
      <w:pPr>
        <w:pStyle w:val="17"/>
        <w:keepNext w:val="0"/>
        <w:keepLines w:val="0"/>
        <w:pageBreakBefore w:val="0"/>
        <w:widowControl w:val="0"/>
        <w:numPr>
          <w:ilvl w:val="0"/>
          <w:numId w:val="4"/>
        </w:numPr>
        <w:kinsoku/>
        <w:wordWrap/>
        <w:overflowPunct/>
        <w:topLinePunct w:val="0"/>
        <w:autoSpaceDE/>
        <w:autoSpaceDN/>
        <w:bidi w:val="0"/>
        <w:adjustRightInd/>
        <w:snapToGrid/>
        <w:ind w:left="0" w:leftChars="0" w:firstLine="48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选址合理性判定</w:t>
      </w:r>
    </w:p>
    <w:p>
      <w:pPr>
        <w:pStyle w:val="17"/>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highlight w:val="none"/>
          <w:lang w:val="en-US" w:eastAsia="zh-CN"/>
        </w:rPr>
      </w:pPr>
      <w:r>
        <w:rPr>
          <w:rFonts w:hint="eastAsia" w:ascii="Times New Roman" w:hAnsi="Times New Roman"/>
          <w:sz w:val="24"/>
          <w:szCs w:val="24"/>
          <w:highlight w:val="none"/>
          <w:lang w:eastAsia="zh-CN"/>
        </w:rPr>
        <w:t>项目不涉及自然保护区、风景名胜区、饮用水水源保护区、世界文化和自然遗产地等环境敏感区；项目不在重要城镇、城市面山一侧，与村庄的距离大于500m，不在铁路、高速公路、国道、省道等重要交通干线和旅游线路两侧可视范围内；另外项目建成后不会改变区域环境功能。因此，项目选址可行。</w:t>
      </w:r>
    </w:p>
    <w:p>
      <w:pPr>
        <w:numPr>
          <w:ilvl w:val="0"/>
          <w:numId w:val="2"/>
        </w:numPr>
        <w:snapToGrid w:val="0"/>
        <w:ind w:firstLine="0" w:firstLineChars="0"/>
        <w:rPr>
          <w:b/>
          <w:color w:val="auto"/>
          <w:sz w:val="28"/>
          <w:szCs w:val="28"/>
          <w:highlight w:val="none"/>
        </w:rPr>
      </w:pPr>
      <w:bookmarkStart w:id="13" w:name="_Toc23011"/>
      <w:bookmarkStart w:id="14" w:name="_Toc7521"/>
      <w:r>
        <w:rPr>
          <w:b/>
          <w:color w:val="auto"/>
          <w:sz w:val="28"/>
          <w:szCs w:val="28"/>
          <w:highlight w:val="none"/>
        </w:rPr>
        <w:t>工作过程概述</w:t>
      </w:r>
      <w:bookmarkEnd w:id="13"/>
      <w:bookmarkEnd w:id="14"/>
    </w:p>
    <w:p>
      <w:pPr>
        <w:pStyle w:val="8"/>
        <w:adjustRightInd w:val="0"/>
        <w:snapToGrid w:val="0"/>
        <w:ind w:firstLine="470" w:firstLineChars="196"/>
        <w:rPr>
          <w:color w:val="auto"/>
          <w:highlight w:val="none"/>
        </w:rPr>
      </w:pPr>
      <w:r>
        <w:rPr>
          <w:color w:val="auto"/>
          <w:highlight w:val="none"/>
        </w:rPr>
        <w:t>根据《中华人民共和国环境保护法》和《中华人民共和国环境影响评价法》等法律法规的要求，本项目应开展环境影响评价工作。</w:t>
      </w:r>
    </w:p>
    <w:p>
      <w:pPr>
        <w:adjustRightInd w:val="0"/>
        <w:snapToGrid w:val="0"/>
        <w:ind w:firstLine="480"/>
        <w:rPr>
          <w:rFonts w:hint="eastAsia"/>
          <w:highlight w:val="none"/>
          <w:lang w:eastAsia="zh-CN"/>
        </w:rPr>
      </w:pPr>
      <w:r>
        <w:rPr>
          <w:color w:val="auto"/>
          <w:highlight w:val="none"/>
        </w:rPr>
        <w:t>根据《建设项目环境影响评价分类管理名录》（2017年9月1日施行，</w:t>
      </w:r>
      <w:r>
        <w:rPr>
          <w:highlight w:val="none"/>
        </w:rPr>
        <w:t>2018年4月28日修改）</w:t>
      </w:r>
      <w:r>
        <w:rPr>
          <w:rFonts w:hint="eastAsia" w:ascii="宋体" w:hAnsi="宋体" w:cs="宋体"/>
          <w:highlight w:val="none"/>
        </w:rPr>
        <w:t>“四十五——非金属矿采选业——</w:t>
      </w:r>
      <w:r>
        <w:rPr>
          <w:highlight w:val="none"/>
        </w:rPr>
        <w:t>137土砂石、</w:t>
      </w:r>
      <w:r>
        <w:rPr>
          <w:rFonts w:hint="eastAsia"/>
          <w:highlight w:val="none"/>
          <w:lang w:eastAsia="zh-CN"/>
        </w:rPr>
        <w:t>石材开采加工——涉及环境敏感区的（水土流失重点防治区）应编制环境影响报告书。</w:t>
      </w:r>
    </w:p>
    <w:p>
      <w:pPr>
        <w:adjustRightInd w:val="0"/>
        <w:snapToGrid w:val="0"/>
        <w:ind w:firstLine="480"/>
        <w:rPr>
          <w:highlight w:val="none"/>
        </w:rPr>
      </w:pPr>
      <w:r>
        <w:rPr>
          <w:highlight w:val="none"/>
        </w:rPr>
        <w:t>本项目</w:t>
      </w:r>
      <w:r>
        <w:rPr>
          <w:rFonts w:hint="eastAsia"/>
          <w:highlight w:val="none"/>
          <w:lang w:eastAsia="zh-CN"/>
        </w:rPr>
        <w:t>位于砚山县阿猛镇，根据云南省水利厅第</w:t>
      </w:r>
      <w:r>
        <w:rPr>
          <w:rFonts w:hint="eastAsia"/>
          <w:highlight w:val="none"/>
          <w:lang w:val="en-US" w:eastAsia="zh-CN"/>
        </w:rPr>
        <w:t>49号</w:t>
      </w:r>
      <w:r>
        <w:rPr>
          <w:rFonts w:hint="eastAsia"/>
          <w:highlight w:val="none"/>
          <w:lang w:eastAsia="zh-CN"/>
        </w:rPr>
        <w:t>《云南省水利厅关于划分省级水土流失重点预防区和重点治理区的公告》，砚山县阿猛镇属分区中的滇东岩溶石漠化国家级水土流失重点治理区，因此，本项目</w:t>
      </w:r>
      <w:r>
        <w:rPr>
          <w:highlight w:val="none"/>
        </w:rPr>
        <w:t>需编制环境影响报告书。</w:t>
      </w:r>
    </w:p>
    <w:p>
      <w:pPr>
        <w:pStyle w:val="8"/>
        <w:adjustRightInd w:val="0"/>
        <w:snapToGrid w:val="0"/>
        <w:ind w:firstLine="470" w:firstLineChars="196"/>
        <w:rPr>
          <w:highlight w:val="none"/>
        </w:rPr>
      </w:pPr>
      <w:r>
        <w:rPr>
          <w:rFonts w:hint="eastAsia"/>
          <w:highlight w:val="none"/>
          <w:lang w:val="en-US" w:eastAsia="zh-CN"/>
        </w:rPr>
        <w:t>2020</w:t>
      </w:r>
      <w:r>
        <w:rPr>
          <w:highlight w:val="none"/>
        </w:rPr>
        <w:t>年</w:t>
      </w:r>
      <w:r>
        <w:rPr>
          <w:rFonts w:hint="eastAsia"/>
          <w:highlight w:val="none"/>
        </w:rPr>
        <w:t>1</w:t>
      </w:r>
      <w:r>
        <w:rPr>
          <w:highlight w:val="none"/>
        </w:rPr>
        <w:t>月，</w:t>
      </w:r>
      <w:r>
        <w:rPr>
          <w:rFonts w:hint="eastAsia"/>
          <w:highlight w:val="none"/>
          <w:lang w:eastAsia="zh-CN"/>
        </w:rPr>
        <w:t>砚山县江那镇真元饲料添加剂沸石粉厂</w:t>
      </w:r>
      <w:r>
        <w:rPr>
          <w:highlight w:val="none"/>
        </w:rPr>
        <w:t>委托我单位</w:t>
      </w:r>
      <w:r>
        <w:rPr>
          <w:rFonts w:hint="eastAsia" w:ascii="宋体" w:hAnsi="宋体" w:cs="宋体"/>
          <w:highlight w:val="none"/>
        </w:rPr>
        <w:t>对“</w:t>
      </w:r>
      <w:r>
        <w:rPr>
          <w:rFonts w:hint="eastAsia"/>
          <w:highlight w:val="none"/>
          <w:lang w:eastAsia="zh-CN"/>
        </w:rPr>
        <w:t>砚山县阿猛镇倮基黑卡子凹塘石料厂年产30万吨建筑石料用灰岩建设项目</w:t>
      </w:r>
      <w:r>
        <w:rPr>
          <w:rFonts w:hint="eastAsia" w:ascii="宋体" w:hAnsi="宋体" w:cs="宋体"/>
          <w:highlight w:val="none"/>
        </w:rPr>
        <w:t>”进行环境影响评价工作（</w:t>
      </w:r>
      <w:r>
        <w:rPr>
          <w:highlight w:val="none"/>
        </w:rPr>
        <w:t>详见附件1</w:t>
      </w:r>
      <w:r>
        <w:rPr>
          <w:rFonts w:hint="eastAsia" w:ascii="宋体" w:hAnsi="宋体" w:cs="宋体"/>
          <w:highlight w:val="none"/>
        </w:rPr>
        <w:t>）</w:t>
      </w:r>
      <w:r>
        <w:rPr>
          <w:highlight w:val="none"/>
        </w:rPr>
        <w:t>，受委托后，我单位对现场进行了踏勘和资料收集，在对工程特点和环境影响因素进行分析的基础上，</w:t>
      </w:r>
      <w:r>
        <w:rPr>
          <w:rFonts w:hint="eastAsia"/>
          <w:highlight w:val="none"/>
        </w:rPr>
        <w:t>并根据环境影响评价技术导则的规定，认真进行了生产过程源强分析、污染控制措施分析、环境影响预测与分析等工作，协助建设单位进行了公众参与工作，完成了本报告的编制</w:t>
      </w:r>
      <w:r>
        <w:rPr>
          <w:highlight w:val="none"/>
        </w:rPr>
        <w:t>。</w:t>
      </w:r>
    </w:p>
    <w:p>
      <w:pPr>
        <w:pStyle w:val="8"/>
        <w:adjustRightInd w:val="0"/>
        <w:snapToGrid w:val="0"/>
        <w:ind w:firstLine="470" w:firstLineChars="196"/>
        <w:rPr>
          <w:highlight w:val="none"/>
        </w:rPr>
      </w:pPr>
      <w:r>
        <w:rPr>
          <w:rFonts w:hint="eastAsia"/>
          <w:highlight w:val="none"/>
        </w:rPr>
        <w:t>本项目环评工作程序如下：</w:t>
      </w:r>
    </w:p>
    <w:p>
      <w:pPr>
        <w:pStyle w:val="8"/>
        <w:adjustRightInd w:val="0"/>
        <w:snapToGrid w:val="0"/>
        <w:ind w:firstLine="470" w:firstLineChars="196"/>
        <w:rPr>
          <w:highlight w:val="none"/>
        </w:rPr>
      </w:pPr>
      <w:r>
        <w:rPr>
          <w:rFonts w:hint="eastAsia"/>
          <w:highlight w:val="none"/>
        </w:rPr>
        <w:t>（1）</w:t>
      </w:r>
      <w:r>
        <w:rPr>
          <w:rFonts w:hint="eastAsia"/>
          <w:highlight w:val="none"/>
          <w:lang w:val="en-US" w:eastAsia="zh-CN"/>
        </w:rPr>
        <w:t>2020</w:t>
      </w:r>
      <w:r>
        <w:rPr>
          <w:rFonts w:hint="eastAsia"/>
          <w:highlight w:val="none"/>
        </w:rPr>
        <w:t>年1月，接受建设单位关于本项目的环评委托，建设单位并在环评爱好者网站上进行了第一次信息公示，公示期间未收到任何反馈意见；</w:t>
      </w:r>
    </w:p>
    <w:p>
      <w:pPr>
        <w:pStyle w:val="8"/>
        <w:numPr>
          <w:ilvl w:val="0"/>
          <w:numId w:val="5"/>
        </w:numPr>
        <w:adjustRightInd w:val="0"/>
        <w:snapToGrid w:val="0"/>
        <w:ind w:firstLine="470" w:firstLineChars="196"/>
        <w:rPr>
          <w:highlight w:val="none"/>
        </w:rPr>
      </w:pPr>
      <w:r>
        <w:rPr>
          <w:rFonts w:hint="eastAsia"/>
          <w:highlight w:val="none"/>
        </w:rPr>
        <w:t>接受委托后，我单位进行了现场踏勘和资料收集工作，并在此基础上开展了项目工程分析和初步环境状况调查；</w:t>
      </w:r>
    </w:p>
    <w:p>
      <w:pPr>
        <w:pStyle w:val="8"/>
        <w:numPr>
          <w:ilvl w:val="0"/>
          <w:numId w:val="5"/>
        </w:numPr>
        <w:adjustRightInd w:val="0"/>
        <w:snapToGrid w:val="0"/>
        <w:ind w:firstLine="470" w:firstLineChars="196"/>
        <w:rPr>
          <w:highlight w:val="none"/>
        </w:rPr>
      </w:pPr>
      <w:r>
        <w:rPr>
          <w:rFonts w:hint="eastAsia"/>
          <w:highlight w:val="none"/>
        </w:rPr>
        <w:t>根据工程分析和环境状况调查的基础上进行了环境影响预测分析、风险分析等内容，得到初步环评结论；</w:t>
      </w:r>
    </w:p>
    <w:p>
      <w:pPr>
        <w:pStyle w:val="8"/>
        <w:numPr>
          <w:ilvl w:val="0"/>
          <w:numId w:val="5"/>
        </w:numPr>
        <w:adjustRightInd w:val="0"/>
        <w:snapToGrid w:val="0"/>
        <w:ind w:firstLine="470" w:firstLineChars="196"/>
        <w:rPr>
          <w:highlight w:val="none"/>
        </w:rPr>
      </w:pPr>
      <w:r>
        <w:rPr>
          <w:rFonts w:hint="eastAsia"/>
          <w:highlight w:val="none"/>
        </w:rPr>
        <w:t>汇总结果，梳理报告形成初稿；</w:t>
      </w:r>
    </w:p>
    <w:p>
      <w:pPr>
        <w:pStyle w:val="8"/>
        <w:adjustRightInd w:val="0"/>
        <w:snapToGrid w:val="0"/>
        <w:ind w:firstLine="480"/>
        <w:rPr>
          <w:rFonts w:ascii="Times New Roman" w:hAnsi="Times New Roman"/>
          <w:highlight w:val="none"/>
        </w:rPr>
      </w:pPr>
      <w:r>
        <w:rPr>
          <w:rFonts w:hint="eastAsia"/>
          <w:highlight w:val="none"/>
        </w:rPr>
        <w:t>（5）初稿形成后，建设单位</w:t>
      </w:r>
      <w:r>
        <w:rPr>
          <w:rFonts w:hint="eastAsia"/>
          <w:highlight w:val="none"/>
          <w:lang w:eastAsia="zh-CN"/>
        </w:rPr>
        <w:t>于</w:t>
      </w:r>
      <w:r>
        <w:rPr>
          <w:rFonts w:hint="eastAsia"/>
          <w:highlight w:val="none"/>
          <w:lang w:val="en-US" w:eastAsia="zh-CN"/>
        </w:rPr>
        <w:t>2020年3月6日—19日</w:t>
      </w:r>
      <w:r>
        <w:rPr>
          <w:rFonts w:hint="eastAsia"/>
          <w:highlight w:val="none"/>
        </w:rPr>
        <w:t>在环评爱好者网站；文山日报</w:t>
      </w:r>
      <w:r>
        <w:rPr>
          <w:rFonts w:hint="eastAsia"/>
          <w:highlight w:val="none"/>
          <w:lang w:eastAsia="zh-CN"/>
        </w:rPr>
        <w:t>（两次）</w:t>
      </w:r>
      <w:r>
        <w:rPr>
          <w:rFonts w:hint="eastAsia"/>
          <w:highlight w:val="none"/>
        </w:rPr>
        <w:t>；</w:t>
      </w:r>
      <w:r>
        <w:rPr>
          <w:rFonts w:hint="eastAsia"/>
          <w:highlight w:val="none"/>
          <w:lang w:eastAsia="zh-CN"/>
        </w:rPr>
        <w:t>卡子</w:t>
      </w:r>
      <w:r>
        <w:rPr>
          <w:rFonts w:hint="eastAsia"/>
          <w:highlight w:val="none"/>
        </w:rPr>
        <w:t>村委会公示栏同步进行了第二次信息公示；公示期间未收到任何反馈意见。</w:t>
      </w:r>
    </w:p>
    <w:p>
      <w:pPr>
        <w:numPr>
          <w:ilvl w:val="0"/>
          <w:numId w:val="2"/>
        </w:numPr>
        <w:snapToGrid w:val="0"/>
        <w:ind w:firstLine="0" w:firstLineChars="0"/>
        <w:rPr>
          <w:b/>
          <w:sz w:val="28"/>
          <w:szCs w:val="28"/>
          <w:highlight w:val="none"/>
        </w:rPr>
      </w:pPr>
      <w:bookmarkStart w:id="15" w:name="_Toc8431"/>
      <w:bookmarkStart w:id="16" w:name="_Toc1811"/>
      <w:r>
        <w:rPr>
          <w:b/>
          <w:sz w:val="28"/>
          <w:szCs w:val="28"/>
          <w:highlight w:val="none"/>
        </w:rPr>
        <w:t>关注的主要环境问题及环境影响</w:t>
      </w:r>
      <w:bookmarkEnd w:id="15"/>
      <w:bookmarkEnd w:id="16"/>
    </w:p>
    <w:p>
      <w:pPr>
        <w:ind w:firstLine="480"/>
        <w:rPr>
          <w:highlight w:val="none"/>
        </w:rPr>
      </w:pPr>
      <w:r>
        <w:rPr>
          <w:highlight w:val="none"/>
        </w:rPr>
        <w:t>（1）本项目废气、噪声是否达标；废水、固废是否得到有效处置；</w:t>
      </w:r>
    </w:p>
    <w:p>
      <w:pPr>
        <w:pStyle w:val="17"/>
        <w:ind w:firstLine="480"/>
        <w:rPr>
          <w:rFonts w:ascii="Times New Roman" w:hAnsi="Times New Roman"/>
          <w:highlight w:val="none"/>
        </w:rPr>
      </w:pPr>
      <w:r>
        <w:rPr>
          <w:rFonts w:ascii="Times New Roman" w:hAnsi="Times New Roman"/>
          <w:highlight w:val="none"/>
        </w:rPr>
        <w:t>（</w:t>
      </w:r>
      <w:r>
        <w:rPr>
          <w:rFonts w:hint="eastAsia" w:ascii="Times New Roman" w:hAnsi="Times New Roman"/>
          <w:highlight w:val="none"/>
          <w:lang w:val="en-US" w:eastAsia="zh-CN"/>
        </w:rPr>
        <w:t>2</w:t>
      </w:r>
      <w:r>
        <w:rPr>
          <w:rFonts w:ascii="Times New Roman" w:hAnsi="Times New Roman"/>
          <w:highlight w:val="none"/>
        </w:rPr>
        <w:t>）从项目生产、使用、存储过程中涉及的</w:t>
      </w:r>
      <w:r>
        <w:rPr>
          <w:rFonts w:hint="eastAsia" w:ascii="Times New Roman" w:hAnsi="Times New Roman"/>
          <w:highlight w:val="none"/>
          <w:lang w:eastAsia="zh-CN"/>
        </w:rPr>
        <w:t>危险物质</w:t>
      </w:r>
      <w:r>
        <w:rPr>
          <w:rFonts w:ascii="Times New Roman" w:hAnsi="Times New Roman"/>
          <w:highlight w:val="none"/>
        </w:rPr>
        <w:t>情况，关注风险潜势与防范措施；</w:t>
      </w:r>
    </w:p>
    <w:p>
      <w:pPr>
        <w:pStyle w:val="17"/>
        <w:ind w:firstLine="480"/>
        <w:rPr>
          <w:rFonts w:hint="eastAsia" w:ascii="Times New Roman" w:hAnsi="Times New Roman" w:eastAsia="宋体"/>
          <w:highlight w:val="none"/>
          <w:lang w:eastAsia="zh-CN"/>
        </w:rPr>
      </w:pPr>
      <w:r>
        <w:rPr>
          <w:rFonts w:ascii="Times New Roman" w:hAnsi="Times New Roman"/>
          <w:highlight w:val="none"/>
        </w:rPr>
        <w:t>（</w:t>
      </w:r>
      <w:r>
        <w:rPr>
          <w:rFonts w:hint="eastAsia" w:ascii="Times New Roman" w:hAnsi="Times New Roman"/>
          <w:highlight w:val="none"/>
          <w:lang w:val="en-US" w:eastAsia="zh-CN"/>
        </w:rPr>
        <w:t>3</w:t>
      </w:r>
      <w:r>
        <w:rPr>
          <w:rFonts w:ascii="Times New Roman" w:hAnsi="Times New Roman"/>
          <w:highlight w:val="none"/>
        </w:rPr>
        <w:t>）本项目各项污染防治措施是否可行；是否满足总量控制要求</w:t>
      </w:r>
      <w:r>
        <w:rPr>
          <w:rFonts w:hint="eastAsia" w:ascii="Times New Roman" w:hAnsi="Times New Roman"/>
          <w:highlight w:val="none"/>
          <w:lang w:eastAsia="zh-CN"/>
        </w:rPr>
        <w:t>。</w:t>
      </w:r>
    </w:p>
    <w:p>
      <w:pPr>
        <w:ind w:firstLine="0" w:firstLineChars="0"/>
        <w:rPr>
          <w:b/>
          <w:sz w:val="28"/>
          <w:szCs w:val="28"/>
          <w:highlight w:val="none"/>
        </w:rPr>
      </w:pPr>
      <w:bookmarkStart w:id="17" w:name="_Toc32673"/>
      <w:bookmarkStart w:id="18" w:name="_Toc15244"/>
      <w:r>
        <w:rPr>
          <w:rFonts w:hint="eastAsia"/>
          <w:b/>
          <w:sz w:val="28"/>
          <w:szCs w:val="28"/>
          <w:highlight w:val="none"/>
          <w:lang w:eastAsia="zh-CN"/>
        </w:rPr>
        <w:t>五</w:t>
      </w:r>
      <w:r>
        <w:rPr>
          <w:b/>
          <w:sz w:val="28"/>
          <w:szCs w:val="28"/>
          <w:highlight w:val="none"/>
        </w:rPr>
        <w:t>、主要结论</w:t>
      </w:r>
      <w:bookmarkEnd w:id="17"/>
      <w:bookmarkEnd w:id="18"/>
    </w:p>
    <w:p>
      <w:pPr>
        <w:adjustRightInd w:val="0"/>
        <w:snapToGrid w:val="0"/>
        <w:ind w:firstLine="516" w:firstLineChars="215"/>
        <w:rPr>
          <w:color w:val="auto"/>
          <w:highlight w:val="none"/>
        </w:rPr>
      </w:pPr>
      <w:r>
        <w:rPr>
          <w:rFonts w:hint="eastAsia"/>
          <w:color w:val="auto"/>
          <w:highlight w:val="none"/>
          <w:lang w:eastAsia="zh-CN"/>
        </w:rPr>
        <w:t>本项目为新建项目，年</w:t>
      </w:r>
      <w:r>
        <w:rPr>
          <w:color w:val="auto"/>
          <w:highlight w:val="none"/>
        </w:rPr>
        <w:t>生产规模</w:t>
      </w:r>
      <w:r>
        <w:rPr>
          <w:rFonts w:hint="eastAsia"/>
          <w:color w:val="auto"/>
          <w:highlight w:val="none"/>
          <w:lang w:val="en-US" w:eastAsia="zh-CN"/>
        </w:rPr>
        <w:t>30</w:t>
      </w:r>
      <w:r>
        <w:rPr>
          <w:color w:val="auto"/>
          <w:highlight w:val="none"/>
        </w:rPr>
        <w:t>万t/a</w:t>
      </w:r>
      <w:r>
        <w:rPr>
          <w:rFonts w:hint="eastAsia"/>
          <w:color w:val="auto"/>
          <w:highlight w:val="none"/>
          <w:lang w:eastAsia="zh-CN"/>
        </w:rPr>
        <w:t>，项目</w:t>
      </w:r>
      <w:r>
        <w:rPr>
          <w:rFonts w:ascii="Times New Roman" w:hAnsi="Times New Roman"/>
          <w:color w:val="auto"/>
          <w:highlight w:val="none"/>
        </w:rPr>
        <w:t>符合</w:t>
      </w:r>
      <w:r>
        <w:rPr>
          <w:rFonts w:hint="eastAsia" w:ascii="Times New Roman" w:hAnsi="Times New Roman"/>
          <w:color w:val="auto"/>
          <w:highlight w:val="none"/>
        </w:rPr>
        <w:t>《云南省主体功能区划》、《云南省生态功能区划》（2009年）、</w:t>
      </w:r>
      <w:r>
        <w:rPr>
          <w:rFonts w:ascii="Times New Roman" w:hAnsi="Times New Roman"/>
          <w:color w:val="auto"/>
          <w:highlight w:val="none"/>
        </w:rPr>
        <w:t>《云南省矿产资源总体规划</w:t>
      </w:r>
      <w:r>
        <w:rPr>
          <w:rFonts w:hint="eastAsia" w:ascii="Times New Roman" w:hAnsi="Times New Roman"/>
          <w:color w:val="auto"/>
          <w:highlight w:val="none"/>
        </w:rPr>
        <w:t>（</w:t>
      </w:r>
      <w:r>
        <w:rPr>
          <w:rFonts w:ascii="Times New Roman" w:hAnsi="Times New Roman"/>
          <w:color w:val="auto"/>
          <w:highlight w:val="none"/>
        </w:rPr>
        <w:t>2016-2020</w:t>
      </w:r>
      <w:r>
        <w:rPr>
          <w:rFonts w:hint="eastAsia" w:ascii="Times New Roman" w:hAnsi="Times New Roman"/>
          <w:color w:val="auto"/>
          <w:highlight w:val="none"/>
        </w:rPr>
        <w:t>）</w:t>
      </w:r>
      <w:r>
        <w:rPr>
          <w:rFonts w:ascii="Times New Roman" w:hAnsi="Times New Roman"/>
          <w:color w:val="auto"/>
          <w:highlight w:val="none"/>
        </w:rPr>
        <w:t>》</w:t>
      </w:r>
      <w:r>
        <w:rPr>
          <w:rFonts w:hint="eastAsia" w:ascii="Times New Roman" w:hAnsi="Times New Roman"/>
          <w:color w:val="auto"/>
          <w:highlight w:val="none"/>
        </w:rPr>
        <w:t>、《云南省人民政府关于促进非煤矿山转型升级的实施意见（云政发〔2015〕38号）》、等</w:t>
      </w:r>
      <w:r>
        <w:rPr>
          <w:rFonts w:ascii="Times New Roman" w:hAnsi="Times New Roman"/>
          <w:color w:val="auto"/>
          <w:highlight w:val="none"/>
        </w:rPr>
        <w:t>规范及条例的相关规定</w:t>
      </w:r>
      <w:r>
        <w:rPr>
          <w:rFonts w:hint="eastAsia" w:ascii="Times New Roman" w:hAnsi="Times New Roman"/>
          <w:color w:val="auto"/>
          <w:highlight w:val="none"/>
        </w:rPr>
        <w:t>；</w:t>
      </w:r>
      <w:r>
        <w:rPr>
          <w:rFonts w:hint="eastAsia"/>
          <w:color w:val="auto"/>
          <w:highlight w:val="none"/>
          <w:lang w:eastAsia="zh-CN"/>
        </w:rPr>
        <w:t>项目</w:t>
      </w:r>
      <w:r>
        <w:rPr>
          <w:color w:val="auto"/>
          <w:highlight w:val="none"/>
        </w:rPr>
        <w:t>选址未占用基本农田，选址不在风景名胜区、水源保护区</w:t>
      </w:r>
      <w:r>
        <w:rPr>
          <w:rFonts w:hint="eastAsia"/>
          <w:color w:val="auto"/>
          <w:highlight w:val="none"/>
          <w:lang w:eastAsia="zh-CN"/>
        </w:rPr>
        <w:t>、生态保护红线</w:t>
      </w:r>
      <w:r>
        <w:rPr>
          <w:color w:val="auto"/>
          <w:highlight w:val="none"/>
        </w:rPr>
        <w:t>等需要特殊保护的区域内，选址不违反国家相关法律法规，且距离周围敏感点较远、交通条件方便，选址合理。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sz w:val="24"/>
          <w:szCs w:val="24"/>
          <w:highlight w:val="none"/>
          <w:lang w:eastAsia="zh-CN"/>
        </w:rPr>
      </w:pPr>
      <w:r>
        <w:rPr>
          <w:rFonts w:hint="eastAsia" w:ascii="Times New Roman" w:hAnsi="Times New Roman"/>
          <w:sz w:val="24"/>
          <w:szCs w:val="24"/>
          <w:highlight w:val="none"/>
          <w:lang w:eastAsia="zh-CN"/>
        </w:rPr>
        <w:t>项目区域环境空气质量现状可满足《环境空气质量标准》（GB3095-2012）二级标准，该项目运营期排放的大气污染物主要为扬粉尘，根据预测结果，本项目排放的大气污染物不会降低区域环境空气质量；项目区域声环境质量现状可满足《声环境质量标准》（GB3096-2008）2 类标准要求，项目运营期排放的噪声对环境影响较小，不会降低区域声环境质量；项目运营期产生的废水经处理后回用于场区洒水降尘，不外排；项目固体废物妥善处置率为100%；项目在严格按照土地复垦和矿山恢复方案进行恢复后，项目生态环境影响较小。</w:t>
      </w:r>
    </w:p>
    <w:p>
      <w:pPr>
        <w:snapToGrid w:val="0"/>
        <w:ind w:firstLine="480"/>
        <w:rPr>
          <w:color w:val="auto"/>
          <w:highlight w:val="none"/>
        </w:rPr>
      </w:pPr>
      <w:r>
        <w:rPr>
          <w:rFonts w:hint="eastAsia" w:ascii="Times New Roman" w:hAnsi="Times New Roman"/>
          <w:sz w:val="24"/>
          <w:szCs w:val="24"/>
          <w:highlight w:val="none"/>
          <w:lang w:eastAsia="zh-CN"/>
        </w:rPr>
        <w:t>综上，</w:t>
      </w:r>
      <w:r>
        <w:rPr>
          <w:rFonts w:hint="eastAsia" w:ascii="Times New Roman"/>
          <w:bCs/>
          <w:color w:val="auto"/>
          <w:sz w:val="24"/>
          <w:highlight w:val="none"/>
        </w:rPr>
        <w:t>项目的建设符合达标排放、总量控制等评价原则的要求，项目的建设不会改变当地环境功能，正常情况下对当地环境质量及主要关心点影响很小。项目只要严格执行国家规定“三同时”原则，在项目建成后，要严格进行环境管理，保证相应环保设施的正常运行，做到达标排放；同时安排、培训专职的环保管理人员，使整个项目的环境效益、经济效益和社会效益做到协调发展</w:t>
      </w:r>
      <w:r>
        <w:rPr>
          <w:rFonts w:hint="eastAsia"/>
          <w:bCs/>
          <w:color w:val="auto"/>
          <w:sz w:val="24"/>
          <w:highlight w:val="none"/>
          <w:lang w:eastAsia="zh-CN"/>
        </w:rPr>
        <w:t>；</w:t>
      </w:r>
      <w:r>
        <w:rPr>
          <w:rFonts w:hint="eastAsia" w:ascii="Times New Roman"/>
          <w:bCs/>
          <w:color w:val="auto"/>
          <w:sz w:val="24"/>
          <w:highlight w:val="none"/>
        </w:rPr>
        <w:t>本项目在采用实施本评价所提出的所有污染治理对策措施</w:t>
      </w:r>
      <w:r>
        <w:rPr>
          <w:rFonts w:hint="eastAsia" w:cs="Times New Roman"/>
          <w:color w:val="auto"/>
          <w:highlight w:val="none"/>
          <w:lang w:eastAsia="zh-CN"/>
        </w:rPr>
        <w:t>后</w:t>
      </w:r>
      <w:r>
        <w:rPr>
          <w:rFonts w:hint="eastAsia" w:ascii="Times New Roman"/>
          <w:bCs/>
          <w:color w:val="auto"/>
          <w:sz w:val="24"/>
          <w:highlight w:val="none"/>
        </w:rPr>
        <w:t>，从环保角度评价</w:t>
      </w:r>
      <w:r>
        <w:rPr>
          <w:rFonts w:hint="eastAsia"/>
          <w:bCs/>
          <w:color w:val="auto"/>
          <w:sz w:val="24"/>
          <w:highlight w:val="none"/>
          <w:lang w:eastAsia="zh-CN"/>
        </w:rPr>
        <w:t>，项目建设</w:t>
      </w:r>
      <w:r>
        <w:rPr>
          <w:rFonts w:hint="eastAsia" w:ascii="Times New Roman"/>
          <w:bCs/>
          <w:color w:val="auto"/>
          <w:sz w:val="24"/>
          <w:highlight w:val="none"/>
        </w:rPr>
        <w:t>可行。</w:t>
      </w:r>
    </w:p>
    <w:p>
      <w:pPr>
        <w:pStyle w:val="17"/>
        <w:ind w:firstLine="480"/>
        <w:rPr>
          <w:rFonts w:ascii="Times New Roman" w:hAnsi="Times New Roman"/>
          <w:color w:val="FF0000"/>
          <w:highlight w:val="none"/>
        </w:rPr>
      </w:pPr>
    </w:p>
    <w:p>
      <w:pPr>
        <w:pStyle w:val="17"/>
        <w:ind w:firstLine="480"/>
        <w:rPr>
          <w:rFonts w:ascii="Times New Roman" w:hAnsi="Times New Roman"/>
          <w:color w:val="FF0000"/>
          <w:highlight w:val="none"/>
        </w:rPr>
      </w:pPr>
    </w:p>
    <w:p>
      <w:pPr>
        <w:pStyle w:val="17"/>
        <w:ind w:firstLine="480"/>
        <w:rPr>
          <w:rFonts w:ascii="Times New Roman" w:hAnsi="Times New Roman"/>
          <w:color w:val="FF0000"/>
          <w:highlight w:val="none"/>
        </w:rPr>
      </w:pPr>
    </w:p>
    <w:p>
      <w:pPr>
        <w:pStyle w:val="17"/>
        <w:ind w:firstLine="480"/>
        <w:rPr>
          <w:rFonts w:ascii="Times New Roman" w:hAnsi="Times New Roman"/>
          <w:highlight w:val="none"/>
        </w:rPr>
      </w:pPr>
    </w:p>
    <w:p>
      <w:pPr>
        <w:pStyle w:val="17"/>
        <w:ind w:firstLine="0" w:firstLineChars="0"/>
        <w:rPr>
          <w:rFonts w:ascii="Times New Roman" w:hAnsi="Times New Roman"/>
          <w:highlight w:val="none"/>
        </w:rPr>
      </w:pPr>
    </w:p>
    <w:p>
      <w:pPr>
        <w:pStyle w:val="17"/>
        <w:ind w:firstLine="0" w:firstLineChars="0"/>
        <w:rPr>
          <w:rFonts w:ascii="Times New Roman" w:hAnsi="Times New Roman"/>
          <w:highlight w:val="none"/>
        </w:rPr>
        <w:sectPr>
          <w:footerReference r:id="rId5" w:type="default"/>
          <w:pgSz w:w="11911" w:h="16838"/>
          <w:pgMar w:top="1417" w:right="1417" w:bottom="1417" w:left="1417" w:header="879" w:footer="952" w:gutter="0"/>
          <w:pgBorders>
            <w:top w:val="none" w:sz="0" w:space="0"/>
            <w:left w:val="none" w:sz="0" w:space="0"/>
            <w:bottom w:val="none" w:sz="0" w:space="0"/>
            <w:right w:val="none" w:sz="0" w:space="0"/>
          </w:pgBorders>
          <w:pgNumType w:fmt="decimal" w:start="1"/>
          <w:cols w:space="720" w:num="1"/>
          <w:docGrid w:linePitch="312" w:charSpace="0"/>
        </w:sectPr>
      </w:pPr>
    </w:p>
    <w:p>
      <w:pPr>
        <w:pStyle w:val="3"/>
        <w:rPr>
          <w:b/>
          <w:bCs w:val="0"/>
          <w:szCs w:val="32"/>
          <w:highlight w:val="none"/>
        </w:rPr>
      </w:pPr>
      <w:bookmarkStart w:id="19" w:name="_Toc221596376"/>
      <w:bookmarkStart w:id="20" w:name="_Toc224217746"/>
      <w:bookmarkStart w:id="21" w:name="_Toc369961552"/>
      <w:bookmarkStart w:id="22" w:name="_Toc408501244"/>
      <w:bookmarkStart w:id="23" w:name="_Ref220332103"/>
      <w:bookmarkStart w:id="24" w:name="_Toc21743"/>
      <w:bookmarkStart w:id="25" w:name="_Toc11969"/>
      <w:bookmarkStart w:id="26" w:name="_Toc17982"/>
      <w:bookmarkStart w:id="27" w:name="_Toc23264"/>
      <w:bookmarkStart w:id="28" w:name="_Toc29057"/>
      <w:bookmarkStart w:id="29" w:name="_Toc32320"/>
      <w:r>
        <w:rPr>
          <w:rStyle w:val="42"/>
          <w:rFonts w:cs="Times New Roman"/>
          <w:b/>
          <w:bCs w:val="0"/>
          <w:szCs w:val="32"/>
          <w:highlight w:val="none"/>
        </w:rPr>
        <w:t>1总</w:t>
      </w:r>
      <w:bookmarkEnd w:id="19"/>
      <w:bookmarkEnd w:id="20"/>
      <w:bookmarkEnd w:id="21"/>
      <w:bookmarkEnd w:id="22"/>
      <w:bookmarkEnd w:id="23"/>
      <w:r>
        <w:rPr>
          <w:rStyle w:val="42"/>
          <w:rFonts w:cs="Times New Roman"/>
          <w:b/>
          <w:bCs w:val="0"/>
          <w:szCs w:val="32"/>
          <w:highlight w:val="none"/>
        </w:rPr>
        <w:t>则</w:t>
      </w:r>
      <w:bookmarkEnd w:id="24"/>
      <w:bookmarkEnd w:id="25"/>
      <w:bookmarkEnd w:id="26"/>
      <w:bookmarkEnd w:id="27"/>
      <w:bookmarkEnd w:id="28"/>
      <w:bookmarkEnd w:id="29"/>
    </w:p>
    <w:p>
      <w:pPr>
        <w:pStyle w:val="4"/>
        <w:numPr>
          <w:ilvl w:val="1"/>
          <w:numId w:val="6"/>
        </w:numPr>
        <w:bidi w:val="0"/>
        <w:rPr>
          <w:highlight w:val="none"/>
        </w:rPr>
      </w:pPr>
      <w:bookmarkStart w:id="30" w:name="_Toc224217748"/>
      <w:bookmarkStart w:id="31" w:name="_Toc17138"/>
      <w:bookmarkStart w:id="32" w:name="_Toc369961554"/>
      <w:bookmarkStart w:id="33" w:name="_Toc341"/>
      <w:bookmarkStart w:id="34" w:name="_Toc12892"/>
      <w:bookmarkStart w:id="35" w:name="_Toc408501245"/>
      <w:bookmarkStart w:id="36" w:name="_Toc19934"/>
      <w:bookmarkStart w:id="37" w:name="_Toc10240"/>
      <w:bookmarkStart w:id="38" w:name="_Toc12534"/>
      <w:r>
        <w:rPr>
          <w:highlight w:val="none"/>
        </w:rPr>
        <w:t>编制依据</w:t>
      </w:r>
      <w:bookmarkEnd w:id="30"/>
      <w:bookmarkEnd w:id="31"/>
      <w:bookmarkEnd w:id="32"/>
      <w:bookmarkEnd w:id="33"/>
      <w:bookmarkEnd w:id="34"/>
      <w:bookmarkEnd w:id="35"/>
      <w:bookmarkEnd w:id="36"/>
      <w:bookmarkEnd w:id="37"/>
      <w:bookmarkEnd w:id="38"/>
    </w:p>
    <w:p>
      <w:pPr>
        <w:pStyle w:val="5"/>
        <w:rPr>
          <w:rFonts w:hint="default"/>
          <w:highlight w:val="none"/>
        </w:rPr>
      </w:pPr>
      <w:bookmarkStart w:id="39" w:name="_Toc19139"/>
      <w:bookmarkStart w:id="40" w:name="_Toc5992"/>
      <w:bookmarkStart w:id="41" w:name="_Toc16929"/>
      <w:bookmarkStart w:id="42" w:name="_Toc25040"/>
      <w:bookmarkStart w:id="43" w:name="_Toc9335"/>
      <w:bookmarkStart w:id="44" w:name="_Toc20533"/>
      <w:r>
        <w:rPr>
          <w:rFonts w:hint="default"/>
          <w:highlight w:val="none"/>
        </w:rPr>
        <w:t>1.1.1 相关法律法规</w:t>
      </w:r>
      <w:bookmarkEnd w:id="39"/>
      <w:bookmarkEnd w:id="40"/>
      <w:bookmarkEnd w:id="41"/>
      <w:bookmarkEnd w:id="42"/>
      <w:bookmarkEnd w:id="43"/>
      <w:bookmarkEnd w:id="44"/>
    </w:p>
    <w:p>
      <w:pPr>
        <w:pStyle w:val="8"/>
        <w:adjustRightInd w:val="0"/>
        <w:snapToGrid w:val="0"/>
        <w:ind w:firstLine="480"/>
        <w:rPr>
          <w:highlight w:val="none"/>
        </w:rPr>
      </w:pPr>
      <w:r>
        <w:rPr>
          <w:highlight w:val="none"/>
        </w:rPr>
        <w:t>（1）《中华人民共和国环境保护法》，2014年4月24日修订，2015年1月1日</w:t>
      </w:r>
      <w:r>
        <w:rPr>
          <w:rFonts w:hint="eastAsia"/>
          <w:highlight w:val="none"/>
        </w:rPr>
        <w:t>施行</w:t>
      </w:r>
      <w:r>
        <w:rPr>
          <w:highlight w:val="none"/>
        </w:rPr>
        <w:t>。</w:t>
      </w:r>
    </w:p>
    <w:p>
      <w:pPr>
        <w:pStyle w:val="8"/>
        <w:adjustRightInd w:val="0"/>
        <w:snapToGrid w:val="0"/>
        <w:ind w:firstLine="480"/>
        <w:rPr>
          <w:highlight w:val="none"/>
        </w:rPr>
      </w:pPr>
      <w:r>
        <w:rPr>
          <w:highlight w:val="none"/>
        </w:rPr>
        <w:t>（2）《中华人民共和国环境影响评价法》，</w:t>
      </w:r>
      <w:r>
        <w:rPr>
          <w:rFonts w:hint="eastAsia"/>
          <w:highlight w:val="none"/>
        </w:rPr>
        <w:t>2018年修订，2018年12月29日施行</w:t>
      </w:r>
      <w:r>
        <w:rPr>
          <w:highlight w:val="none"/>
        </w:rPr>
        <w:t>。</w:t>
      </w:r>
    </w:p>
    <w:p>
      <w:pPr>
        <w:pStyle w:val="8"/>
        <w:adjustRightInd w:val="0"/>
        <w:snapToGrid w:val="0"/>
        <w:ind w:firstLine="480"/>
        <w:rPr>
          <w:highlight w:val="none"/>
        </w:rPr>
      </w:pPr>
      <w:r>
        <w:rPr>
          <w:highlight w:val="none"/>
        </w:rPr>
        <w:t>（3）《中华人民共和国环境噪声污染防治法》，</w:t>
      </w:r>
      <w:r>
        <w:rPr>
          <w:rFonts w:hint="eastAsia"/>
          <w:highlight w:val="none"/>
        </w:rPr>
        <w:t>2018年修订，2018年12月29日施行</w:t>
      </w:r>
      <w:r>
        <w:rPr>
          <w:highlight w:val="none"/>
        </w:rPr>
        <w:t>。</w:t>
      </w:r>
    </w:p>
    <w:p>
      <w:pPr>
        <w:pStyle w:val="8"/>
        <w:adjustRightInd w:val="0"/>
        <w:snapToGrid w:val="0"/>
        <w:ind w:firstLine="480"/>
        <w:rPr>
          <w:highlight w:val="none"/>
        </w:rPr>
      </w:pPr>
      <w:r>
        <w:rPr>
          <w:highlight w:val="none"/>
        </w:rPr>
        <w:t>（4）《中华人民共和国大气污染防治法》，</w:t>
      </w:r>
      <w:r>
        <w:rPr>
          <w:rFonts w:hint="eastAsia"/>
          <w:highlight w:val="none"/>
        </w:rPr>
        <w:t>2018年修订，2018年10月26日施行。</w:t>
      </w:r>
    </w:p>
    <w:p>
      <w:pPr>
        <w:pStyle w:val="8"/>
        <w:adjustRightInd w:val="0"/>
        <w:snapToGrid w:val="0"/>
        <w:ind w:firstLine="480"/>
        <w:rPr>
          <w:highlight w:val="none"/>
        </w:rPr>
      </w:pPr>
      <w:r>
        <w:rPr>
          <w:highlight w:val="none"/>
        </w:rPr>
        <w:t>（5）《中华人民共和国水污染防治法》，</w:t>
      </w:r>
      <w:r>
        <w:rPr>
          <w:rFonts w:hint="eastAsia"/>
          <w:highlight w:val="none"/>
        </w:rPr>
        <w:t>2017年6月27日修订，2018年1月1日施行。</w:t>
      </w:r>
    </w:p>
    <w:p>
      <w:pPr>
        <w:pStyle w:val="8"/>
        <w:adjustRightInd w:val="0"/>
        <w:snapToGrid w:val="0"/>
        <w:ind w:firstLine="480"/>
        <w:rPr>
          <w:highlight w:val="none"/>
        </w:rPr>
      </w:pPr>
      <w:r>
        <w:rPr>
          <w:highlight w:val="none"/>
        </w:rPr>
        <w:t>（6）《中华人民共和国固体废物污染环境防治法》，</w:t>
      </w:r>
      <w:r>
        <w:rPr>
          <w:rFonts w:hint="eastAsia"/>
          <w:highlight w:val="none"/>
        </w:rPr>
        <w:t>2016年11月7日修订。</w:t>
      </w:r>
    </w:p>
    <w:p>
      <w:pPr>
        <w:pStyle w:val="8"/>
        <w:adjustRightInd w:val="0"/>
        <w:snapToGrid w:val="0"/>
        <w:ind w:firstLine="480"/>
        <w:rPr>
          <w:highlight w:val="none"/>
        </w:rPr>
      </w:pPr>
      <w:r>
        <w:rPr>
          <w:highlight w:val="none"/>
        </w:rPr>
        <w:t>（7）《中华人民共和国水法》，</w:t>
      </w:r>
      <w:r>
        <w:rPr>
          <w:rFonts w:hint="eastAsia"/>
          <w:highlight w:val="none"/>
        </w:rPr>
        <w:t>2016年7月2日修订，2016年9月1日施行</w:t>
      </w:r>
      <w:r>
        <w:rPr>
          <w:highlight w:val="none"/>
        </w:rPr>
        <w:t>。</w:t>
      </w:r>
    </w:p>
    <w:p>
      <w:pPr>
        <w:pStyle w:val="8"/>
        <w:adjustRightInd w:val="0"/>
        <w:snapToGrid w:val="0"/>
        <w:ind w:firstLine="480"/>
        <w:rPr>
          <w:highlight w:val="none"/>
        </w:rPr>
      </w:pPr>
      <w:r>
        <w:rPr>
          <w:highlight w:val="none"/>
        </w:rPr>
        <w:t>（8）《中华人民共和国土地管理法》，2004年8月</w:t>
      </w:r>
      <w:r>
        <w:rPr>
          <w:rFonts w:hint="eastAsia"/>
          <w:highlight w:val="none"/>
        </w:rPr>
        <w:t>28</w:t>
      </w:r>
      <w:r>
        <w:rPr>
          <w:highlight w:val="none"/>
        </w:rPr>
        <w:t>日</w:t>
      </w:r>
      <w:r>
        <w:rPr>
          <w:rFonts w:hint="eastAsia"/>
          <w:highlight w:val="none"/>
        </w:rPr>
        <w:t>施行</w:t>
      </w:r>
      <w:r>
        <w:rPr>
          <w:highlight w:val="none"/>
        </w:rPr>
        <w:t>。</w:t>
      </w:r>
    </w:p>
    <w:p>
      <w:pPr>
        <w:pStyle w:val="8"/>
        <w:adjustRightInd w:val="0"/>
        <w:snapToGrid w:val="0"/>
        <w:ind w:firstLine="480"/>
        <w:rPr>
          <w:highlight w:val="none"/>
        </w:rPr>
      </w:pPr>
      <w:r>
        <w:rPr>
          <w:highlight w:val="none"/>
        </w:rPr>
        <w:t>（9）《中华人民共和国节约能源法》，2007年10月28日。</w:t>
      </w:r>
    </w:p>
    <w:p>
      <w:pPr>
        <w:pStyle w:val="8"/>
        <w:adjustRightInd w:val="0"/>
        <w:snapToGrid w:val="0"/>
        <w:ind w:firstLine="480"/>
        <w:rPr>
          <w:highlight w:val="none"/>
        </w:rPr>
      </w:pPr>
      <w:r>
        <w:rPr>
          <w:highlight w:val="none"/>
        </w:rPr>
        <w:t>（10）《中华人民共和国清洁生产促进法》，2012年2月29日</w:t>
      </w:r>
      <w:r>
        <w:rPr>
          <w:rFonts w:hint="eastAsia"/>
          <w:highlight w:val="none"/>
        </w:rPr>
        <w:t>修订</w:t>
      </w:r>
      <w:r>
        <w:rPr>
          <w:highlight w:val="none"/>
        </w:rPr>
        <w:t>，2012年7月1日</w:t>
      </w:r>
      <w:r>
        <w:rPr>
          <w:rFonts w:hint="eastAsia"/>
          <w:highlight w:val="none"/>
        </w:rPr>
        <w:t>施行</w:t>
      </w:r>
      <w:r>
        <w:rPr>
          <w:highlight w:val="none"/>
        </w:rPr>
        <w:t>。</w:t>
      </w:r>
    </w:p>
    <w:p>
      <w:pPr>
        <w:pStyle w:val="8"/>
        <w:adjustRightInd w:val="0"/>
        <w:snapToGrid w:val="0"/>
        <w:ind w:firstLine="480"/>
        <w:rPr>
          <w:highlight w:val="none"/>
        </w:rPr>
      </w:pPr>
      <w:r>
        <w:rPr>
          <w:highlight w:val="none"/>
        </w:rPr>
        <w:t>（11）《中华人民共和国水土保持法》，2011年3月1日</w:t>
      </w:r>
      <w:r>
        <w:rPr>
          <w:rFonts w:hint="eastAsia"/>
          <w:highlight w:val="none"/>
        </w:rPr>
        <w:t>施行</w:t>
      </w:r>
      <w:r>
        <w:rPr>
          <w:highlight w:val="none"/>
        </w:rPr>
        <w:t>。</w:t>
      </w:r>
    </w:p>
    <w:p>
      <w:pPr>
        <w:pStyle w:val="8"/>
        <w:adjustRightInd w:val="0"/>
        <w:snapToGrid w:val="0"/>
        <w:ind w:firstLine="480"/>
        <w:rPr>
          <w:highlight w:val="none"/>
        </w:rPr>
      </w:pPr>
      <w:r>
        <w:rPr>
          <w:highlight w:val="none"/>
        </w:rPr>
        <w:t>（12）《中华人民共和国森林法》，</w:t>
      </w:r>
      <w:r>
        <w:rPr>
          <w:rFonts w:hint="eastAsia"/>
          <w:highlight w:val="none"/>
          <w:lang w:val="en-US" w:eastAsia="zh-CN"/>
        </w:rPr>
        <w:t>1998</w:t>
      </w:r>
      <w:r>
        <w:rPr>
          <w:highlight w:val="none"/>
        </w:rPr>
        <w:t>年</w:t>
      </w:r>
      <w:r>
        <w:rPr>
          <w:rFonts w:hint="eastAsia"/>
          <w:highlight w:val="none"/>
          <w:lang w:val="en-US" w:eastAsia="zh-CN"/>
        </w:rPr>
        <w:t>4</w:t>
      </w:r>
      <w:r>
        <w:rPr>
          <w:highlight w:val="none"/>
        </w:rPr>
        <w:t>月</w:t>
      </w:r>
      <w:r>
        <w:rPr>
          <w:rFonts w:hint="eastAsia"/>
          <w:highlight w:val="none"/>
          <w:lang w:val="en-US" w:eastAsia="zh-CN"/>
        </w:rPr>
        <w:t>29</w:t>
      </w:r>
      <w:r>
        <w:rPr>
          <w:highlight w:val="none"/>
        </w:rPr>
        <w:t>日</w:t>
      </w:r>
      <w:r>
        <w:rPr>
          <w:rFonts w:hint="eastAsia"/>
          <w:highlight w:val="none"/>
          <w:lang w:eastAsia="zh-CN"/>
        </w:rPr>
        <w:t>修订</w:t>
      </w:r>
      <w:r>
        <w:rPr>
          <w:highlight w:val="none"/>
        </w:rPr>
        <w:t>。</w:t>
      </w:r>
    </w:p>
    <w:p>
      <w:pPr>
        <w:pStyle w:val="8"/>
        <w:adjustRightInd w:val="0"/>
        <w:snapToGrid w:val="0"/>
        <w:ind w:firstLine="480"/>
        <w:rPr>
          <w:highlight w:val="none"/>
        </w:rPr>
      </w:pPr>
      <w:r>
        <w:rPr>
          <w:highlight w:val="none"/>
        </w:rPr>
        <w:t>（13）《中华人民共和国森林法实施条例》，2000年1月29日起施行。</w:t>
      </w:r>
    </w:p>
    <w:p>
      <w:pPr>
        <w:pStyle w:val="8"/>
        <w:adjustRightInd w:val="0"/>
        <w:snapToGrid w:val="0"/>
        <w:ind w:firstLine="480"/>
        <w:rPr>
          <w:highlight w:val="none"/>
        </w:rPr>
      </w:pPr>
      <w:r>
        <w:rPr>
          <w:highlight w:val="none"/>
        </w:rPr>
        <w:t>（14）《中华人民共和国野生植物保护条例》</w:t>
      </w:r>
      <w:r>
        <w:rPr>
          <w:rFonts w:hint="eastAsia"/>
          <w:highlight w:val="none"/>
          <w:lang w:eastAsia="zh-CN"/>
        </w:rPr>
        <w:t>，</w:t>
      </w:r>
      <w:r>
        <w:rPr>
          <w:highlight w:val="none"/>
        </w:rPr>
        <w:t>1997年1月1日起施行。</w:t>
      </w:r>
    </w:p>
    <w:p>
      <w:pPr>
        <w:pStyle w:val="8"/>
        <w:adjustRightInd w:val="0"/>
        <w:snapToGrid w:val="0"/>
        <w:ind w:firstLine="480"/>
        <w:rPr>
          <w:highlight w:val="none"/>
        </w:rPr>
      </w:pPr>
      <w:r>
        <w:rPr>
          <w:highlight w:val="none"/>
        </w:rPr>
        <w:t>（15）《中华人民共和国野生动物保护法》，</w:t>
      </w:r>
      <w:r>
        <w:rPr>
          <w:rFonts w:hint="eastAsia"/>
          <w:highlight w:val="none"/>
          <w:lang w:val="en-US" w:eastAsia="zh-CN"/>
        </w:rPr>
        <w:t>2018</w:t>
      </w:r>
      <w:r>
        <w:rPr>
          <w:highlight w:val="none"/>
        </w:rPr>
        <w:t>年</w:t>
      </w:r>
      <w:r>
        <w:rPr>
          <w:rFonts w:hint="eastAsia"/>
          <w:highlight w:val="none"/>
          <w:lang w:val="en-US" w:eastAsia="zh-CN"/>
        </w:rPr>
        <w:t>10</w:t>
      </w:r>
      <w:r>
        <w:rPr>
          <w:highlight w:val="none"/>
        </w:rPr>
        <w:t>月</w:t>
      </w:r>
      <w:r>
        <w:rPr>
          <w:rFonts w:hint="eastAsia"/>
          <w:highlight w:val="none"/>
          <w:lang w:val="en-US" w:eastAsia="zh-CN"/>
        </w:rPr>
        <w:t>26</w:t>
      </w:r>
      <w:r>
        <w:rPr>
          <w:highlight w:val="none"/>
        </w:rPr>
        <w:t>日</w:t>
      </w:r>
      <w:r>
        <w:rPr>
          <w:rFonts w:hint="eastAsia"/>
          <w:highlight w:val="none"/>
          <w:lang w:eastAsia="zh-CN"/>
        </w:rPr>
        <w:t>修订</w:t>
      </w:r>
      <w:r>
        <w:rPr>
          <w:highlight w:val="none"/>
        </w:rPr>
        <w:t>。</w:t>
      </w:r>
    </w:p>
    <w:p>
      <w:pPr>
        <w:pStyle w:val="8"/>
        <w:adjustRightInd w:val="0"/>
        <w:snapToGrid w:val="0"/>
        <w:ind w:firstLine="480"/>
        <w:rPr>
          <w:highlight w:val="none"/>
        </w:rPr>
      </w:pPr>
      <w:r>
        <w:rPr>
          <w:highlight w:val="none"/>
        </w:rPr>
        <w:t>（16）《中华人民共和国陆生野生动物保护实施条例》，1992年3月1日起施行。</w:t>
      </w:r>
    </w:p>
    <w:p>
      <w:pPr>
        <w:pStyle w:val="8"/>
        <w:adjustRightInd w:val="0"/>
        <w:snapToGrid w:val="0"/>
        <w:ind w:firstLine="480"/>
        <w:rPr>
          <w:highlight w:val="none"/>
        </w:rPr>
      </w:pPr>
      <w:r>
        <w:rPr>
          <w:highlight w:val="none"/>
        </w:rPr>
        <w:t>（17）《基本农田保护条例》，1999年1月1日起施行</w:t>
      </w:r>
      <w:r>
        <w:rPr>
          <w:rFonts w:hint="eastAsia"/>
          <w:highlight w:val="none"/>
        </w:rPr>
        <w:t>，2011年1月8日修订</w:t>
      </w:r>
      <w:r>
        <w:rPr>
          <w:highlight w:val="none"/>
        </w:rPr>
        <w:t>。</w:t>
      </w:r>
    </w:p>
    <w:p>
      <w:pPr>
        <w:pStyle w:val="8"/>
        <w:adjustRightInd w:val="0"/>
        <w:snapToGrid w:val="0"/>
        <w:ind w:firstLine="480"/>
        <w:rPr>
          <w:highlight w:val="none"/>
        </w:rPr>
      </w:pPr>
      <w:r>
        <w:rPr>
          <w:highlight w:val="none"/>
        </w:rPr>
        <w:t>（18）《中华人民共和国矿产资源法（修正）》，19</w:t>
      </w:r>
      <w:r>
        <w:rPr>
          <w:rFonts w:hint="eastAsia"/>
          <w:highlight w:val="none"/>
          <w:lang w:val="en-US" w:eastAsia="zh-CN"/>
        </w:rPr>
        <w:t>96</w:t>
      </w:r>
      <w:r>
        <w:rPr>
          <w:highlight w:val="none"/>
        </w:rPr>
        <w:t>年</w:t>
      </w:r>
      <w:r>
        <w:rPr>
          <w:rFonts w:hint="eastAsia"/>
          <w:highlight w:val="none"/>
          <w:lang w:val="en-US" w:eastAsia="zh-CN"/>
        </w:rPr>
        <w:t>8</w:t>
      </w:r>
      <w:r>
        <w:rPr>
          <w:highlight w:val="none"/>
        </w:rPr>
        <w:t>月</w:t>
      </w:r>
      <w:r>
        <w:rPr>
          <w:rFonts w:hint="eastAsia"/>
          <w:highlight w:val="none"/>
          <w:lang w:val="en-US" w:eastAsia="zh-CN"/>
        </w:rPr>
        <w:t>29</w:t>
      </w:r>
      <w:r>
        <w:rPr>
          <w:highlight w:val="none"/>
        </w:rPr>
        <w:t>日</w:t>
      </w:r>
      <w:r>
        <w:rPr>
          <w:rFonts w:hint="eastAsia"/>
          <w:highlight w:val="none"/>
          <w:lang w:eastAsia="zh-CN"/>
        </w:rPr>
        <w:t>修订</w:t>
      </w:r>
      <w:r>
        <w:rPr>
          <w:highlight w:val="none"/>
        </w:rPr>
        <w:t>。</w:t>
      </w:r>
    </w:p>
    <w:p>
      <w:pPr>
        <w:pStyle w:val="8"/>
        <w:adjustRightInd w:val="0"/>
        <w:snapToGrid w:val="0"/>
        <w:ind w:firstLine="480"/>
        <w:rPr>
          <w:highlight w:val="none"/>
        </w:rPr>
      </w:pPr>
      <w:r>
        <w:rPr>
          <w:highlight w:val="none"/>
        </w:rPr>
        <w:t>（19）《中华人民共和国矿山安全法》，</w:t>
      </w:r>
      <w:r>
        <w:rPr>
          <w:rFonts w:hint="eastAsia"/>
          <w:highlight w:val="none"/>
          <w:lang w:val="en-US" w:eastAsia="zh-CN"/>
        </w:rPr>
        <w:t>2009</w:t>
      </w:r>
      <w:r>
        <w:rPr>
          <w:highlight w:val="none"/>
        </w:rPr>
        <w:t>年</w:t>
      </w:r>
      <w:r>
        <w:rPr>
          <w:rFonts w:hint="eastAsia"/>
          <w:highlight w:val="none"/>
          <w:lang w:val="en-US" w:eastAsia="zh-CN"/>
        </w:rPr>
        <w:t>8</w:t>
      </w:r>
      <w:r>
        <w:rPr>
          <w:highlight w:val="none"/>
        </w:rPr>
        <w:t>月</w:t>
      </w:r>
      <w:r>
        <w:rPr>
          <w:rFonts w:hint="eastAsia"/>
          <w:highlight w:val="none"/>
          <w:lang w:val="en-US" w:eastAsia="zh-CN"/>
        </w:rPr>
        <w:t>27</w:t>
      </w:r>
      <w:r>
        <w:rPr>
          <w:highlight w:val="none"/>
        </w:rPr>
        <w:t>日</w:t>
      </w:r>
      <w:r>
        <w:rPr>
          <w:rFonts w:hint="eastAsia"/>
          <w:highlight w:val="none"/>
          <w:lang w:eastAsia="zh-CN"/>
        </w:rPr>
        <w:t>修订</w:t>
      </w:r>
      <w:r>
        <w:rPr>
          <w:highlight w:val="none"/>
        </w:rPr>
        <w:t>。</w:t>
      </w:r>
    </w:p>
    <w:p>
      <w:pPr>
        <w:pStyle w:val="8"/>
        <w:adjustRightInd w:val="0"/>
        <w:snapToGrid w:val="0"/>
        <w:ind w:firstLine="480"/>
        <w:rPr>
          <w:highlight w:val="none"/>
        </w:rPr>
      </w:pPr>
      <w:r>
        <w:rPr>
          <w:highlight w:val="none"/>
        </w:rPr>
        <w:t>（20）《中华人民共和国循环经济促进法》，2009 年1月1日起施行。</w:t>
      </w:r>
    </w:p>
    <w:p>
      <w:pPr>
        <w:pStyle w:val="8"/>
        <w:adjustRightInd w:val="0"/>
        <w:snapToGrid w:val="0"/>
        <w:ind w:firstLine="480"/>
        <w:rPr>
          <w:highlight w:val="none"/>
        </w:rPr>
      </w:pPr>
    </w:p>
    <w:p>
      <w:pPr>
        <w:pStyle w:val="8"/>
        <w:adjustRightInd w:val="0"/>
        <w:snapToGrid w:val="0"/>
        <w:ind w:firstLine="480"/>
        <w:rPr>
          <w:highlight w:val="none"/>
        </w:rPr>
      </w:pPr>
      <w:r>
        <w:rPr>
          <w:highlight w:val="none"/>
        </w:rPr>
        <w:t>（21）《关于进一步加强环境影响评价管理防范环境风险的通知》，环境保护部，环发[2012]77号，2012年07月03日。</w:t>
      </w:r>
    </w:p>
    <w:p>
      <w:pPr>
        <w:pStyle w:val="8"/>
        <w:adjustRightInd w:val="0"/>
        <w:snapToGrid w:val="0"/>
        <w:ind w:firstLine="480"/>
        <w:rPr>
          <w:highlight w:val="none"/>
        </w:rPr>
      </w:pPr>
      <w:r>
        <w:rPr>
          <w:highlight w:val="none"/>
        </w:rPr>
        <w:t>（22）《建设项目环境保护管理条例》，</w:t>
      </w:r>
      <w:r>
        <w:rPr>
          <w:rFonts w:hint="eastAsia"/>
          <w:highlight w:val="none"/>
        </w:rPr>
        <w:t>2017年10月1日施行</w:t>
      </w:r>
      <w:r>
        <w:rPr>
          <w:highlight w:val="none"/>
        </w:rPr>
        <w:t>。</w:t>
      </w:r>
    </w:p>
    <w:p>
      <w:pPr>
        <w:pStyle w:val="8"/>
        <w:adjustRightInd w:val="0"/>
        <w:snapToGrid w:val="0"/>
        <w:ind w:firstLine="480"/>
        <w:rPr>
          <w:highlight w:val="none"/>
        </w:rPr>
      </w:pPr>
      <w:r>
        <w:rPr>
          <w:highlight w:val="none"/>
        </w:rPr>
        <w:t>（23）《产业结构调整指导目录（201</w:t>
      </w:r>
      <w:r>
        <w:rPr>
          <w:rFonts w:hint="eastAsia"/>
          <w:highlight w:val="none"/>
          <w:lang w:val="en-US" w:eastAsia="zh-CN"/>
        </w:rPr>
        <w:t>9</w:t>
      </w:r>
      <w:r>
        <w:rPr>
          <w:highlight w:val="none"/>
        </w:rPr>
        <w:t>年本）》，</w:t>
      </w:r>
      <w:r>
        <w:rPr>
          <w:rFonts w:hint="eastAsia"/>
          <w:highlight w:val="none"/>
          <w:lang w:val="en-US" w:eastAsia="zh-CN"/>
        </w:rPr>
        <w:t>2020</w:t>
      </w:r>
      <w:r>
        <w:rPr>
          <w:highlight w:val="none"/>
        </w:rPr>
        <w:t>年</w:t>
      </w:r>
      <w:r>
        <w:rPr>
          <w:rFonts w:hint="eastAsia"/>
          <w:highlight w:val="none"/>
          <w:lang w:val="en-US" w:eastAsia="zh-CN"/>
        </w:rPr>
        <w:t>1</w:t>
      </w:r>
      <w:r>
        <w:rPr>
          <w:highlight w:val="none"/>
        </w:rPr>
        <w:t>月</w:t>
      </w:r>
      <w:r>
        <w:rPr>
          <w:rFonts w:hint="eastAsia"/>
          <w:highlight w:val="none"/>
          <w:lang w:val="en-US" w:eastAsia="zh-CN"/>
        </w:rPr>
        <w:t>1日起施行</w:t>
      </w:r>
      <w:r>
        <w:rPr>
          <w:highlight w:val="none"/>
        </w:rPr>
        <w:t>。</w:t>
      </w:r>
    </w:p>
    <w:p>
      <w:pPr>
        <w:pStyle w:val="8"/>
        <w:adjustRightInd w:val="0"/>
        <w:snapToGrid w:val="0"/>
        <w:ind w:firstLine="480"/>
        <w:rPr>
          <w:color w:val="auto"/>
          <w:highlight w:val="none"/>
        </w:rPr>
      </w:pPr>
      <w:r>
        <w:rPr>
          <w:highlight w:val="none"/>
        </w:rPr>
        <w:t>（24）《建设项目环境影响评价分类管理名录》，2015年6月1日</w:t>
      </w:r>
      <w:r>
        <w:rPr>
          <w:rFonts w:hint="eastAsia"/>
          <w:highlight w:val="none"/>
        </w:rPr>
        <w:t>实施，2018年4月2</w:t>
      </w:r>
      <w:r>
        <w:rPr>
          <w:rFonts w:hint="eastAsia"/>
          <w:color w:val="auto"/>
          <w:highlight w:val="none"/>
        </w:rPr>
        <w:t>8日修正</w:t>
      </w:r>
      <w:r>
        <w:rPr>
          <w:color w:val="auto"/>
          <w:highlight w:val="none"/>
        </w:rPr>
        <w:t>。</w:t>
      </w:r>
    </w:p>
    <w:p>
      <w:pPr>
        <w:pStyle w:val="8"/>
        <w:adjustRightInd w:val="0"/>
        <w:snapToGrid w:val="0"/>
        <w:ind w:firstLine="480"/>
        <w:rPr>
          <w:color w:val="auto"/>
          <w:highlight w:val="none"/>
        </w:rPr>
      </w:pPr>
      <w:r>
        <w:rPr>
          <w:color w:val="auto"/>
          <w:highlight w:val="none"/>
        </w:rPr>
        <w:t>（25）《环境影响评价公众参与办法》，</w:t>
      </w:r>
      <w:r>
        <w:rPr>
          <w:rFonts w:hint="eastAsia"/>
          <w:color w:val="auto"/>
          <w:highlight w:val="none"/>
        </w:rPr>
        <w:t>生态环境部令第4号，2019年1月1日施行</w:t>
      </w:r>
      <w:r>
        <w:rPr>
          <w:color w:val="auto"/>
          <w:highlight w:val="none"/>
        </w:rPr>
        <w:t>。</w:t>
      </w:r>
    </w:p>
    <w:p>
      <w:pPr>
        <w:pStyle w:val="8"/>
        <w:adjustRightInd w:val="0"/>
        <w:snapToGrid w:val="0"/>
        <w:ind w:firstLine="480"/>
        <w:rPr>
          <w:color w:val="auto"/>
          <w:highlight w:val="none"/>
        </w:rPr>
      </w:pPr>
      <w:r>
        <w:rPr>
          <w:color w:val="auto"/>
          <w:highlight w:val="none"/>
        </w:rPr>
        <w:t>（26）《矿山生态环境保护与污染防治技术政策》，国家环保总局环发〔2005〕109号，2005年9月7日。</w:t>
      </w:r>
    </w:p>
    <w:p>
      <w:pPr>
        <w:pStyle w:val="8"/>
        <w:adjustRightInd w:val="0"/>
        <w:snapToGrid w:val="0"/>
        <w:ind w:firstLine="480"/>
        <w:rPr>
          <w:color w:val="auto"/>
          <w:highlight w:val="none"/>
        </w:rPr>
      </w:pPr>
      <w:r>
        <w:rPr>
          <w:color w:val="auto"/>
          <w:highlight w:val="none"/>
        </w:rPr>
        <w:t>（27）《关于逐步建立矿山环境治理和生态恢复责任机制的指导意见》，财政部、国土资源部、环保总局文件【2006】215号，2006年2月10日。</w:t>
      </w:r>
    </w:p>
    <w:p>
      <w:pPr>
        <w:pStyle w:val="8"/>
        <w:adjustRightInd w:val="0"/>
        <w:snapToGrid w:val="0"/>
        <w:ind w:firstLine="480"/>
        <w:rPr>
          <w:color w:val="auto"/>
          <w:highlight w:val="none"/>
        </w:rPr>
      </w:pPr>
      <w:r>
        <w:rPr>
          <w:color w:val="auto"/>
          <w:highlight w:val="none"/>
        </w:rPr>
        <w:t>（28）《地质灾害防治条例》，</w:t>
      </w:r>
      <w:r>
        <w:rPr>
          <w:rFonts w:hint="eastAsia"/>
          <w:color w:val="auto"/>
          <w:highlight w:val="none"/>
          <w:lang w:eastAsia="zh-CN"/>
        </w:rPr>
        <w:t>中华人民共和国</w:t>
      </w:r>
      <w:r>
        <w:rPr>
          <w:color w:val="auto"/>
          <w:highlight w:val="none"/>
        </w:rPr>
        <w:t>国务院令第394号，2003.11.24。</w:t>
      </w:r>
    </w:p>
    <w:p>
      <w:pPr>
        <w:pStyle w:val="8"/>
        <w:adjustRightInd w:val="0"/>
        <w:snapToGrid w:val="0"/>
        <w:ind w:firstLine="480"/>
        <w:rPr>
          <w:color w:val="auto"/>
          <w:highlight w:val="none"/>
        </w:rPr>
      </w:pPr>
      <w:r>
        <w:rPr>
          <w:color w:val="auto"/>
          <w:highlight w:val="none"/>
        </w:rPr>
        <w:t>（29）《云南省环境保护条例》，1992年11月25日云南省第七届人民代表大会常务委员会第二十七次会议通过。</w:t>
      </w:r>
    </w:p>
    <w:p>
      <w:pPr>
        <w:pStyle w:val="8"/>
        <w:adjustRightInd w:val="0"/>
        <w:snapToGrid w:val="0"/>
        <w:ind w:firstLine="480"/>
        <w:rPr>
          <w:color w:val="auto"/>
          <w:highlight w:val="none"/>
        </w:rPr>
      </w:pPr>
      <w:r>
        <w:rPr>
          <w:color w:val="auto"/>
          <w:highlight w:val="none"/>
        </w:rPr>
        <w:t>（30）《云南省矿山地质环境保护规定》，云南省人民政府令第71号，1998年9月30日。</w:t>
      </w:r>
    </w:p>
    <w:p>
      <w:pPr>
        <w:pStyle w:val="8"/>
        <w:adjustRightInd w:val="0"/>
        <w:snapToGrid w:val="0"/>
        <w:ind w:firstLine="480"/>
        <w:rPr>
          <w:color w:val="auto"/>
          <w:highlight w:val="none"/>
        </w:rPr>
      </w:pPr>
      <w:r>
        <w:rPr>
          <w:color w:val="auto"/>
          <w:highlight w:val="none"/>
        </w:rPr>
        <w:t>（31）《云南省地质环境保护条例》，云南省九届人大常委会公告第54号，2001年7月28日。</w:t>
      </w:r>
    </w:p>
    <w:p>
      <w:pPr>
        <w:pStyle w:val="8"/>
        <w:adjustRightInd w:val="0"/>
        <w:snapToGrid w:val="0"/>
        <w:ind w:firstLine="480"/>
        <w:rPr>
          <w:color w:val="auto"/>
          <w:highlight w:val="none"/>
        </w:rPr>
      </w:pPr>
      <w:r>
        <w:rPr>
          <w:color w:val="auto"/>
          <w:highlight w:val="none"/>
        </w:rPr>
        <w:t>（32）《云南省人民政府关于促进非煤矿山转型升级的实施意见》（云政发【2015】38号），2015年6月1日。</w:t>
      </w:r>
    </w:p>
    <w:p>
      <w:pPr>
        <w:pStyle w:val="8"/>
        <w:adjustRightInd w:val="0"/>
        <w:snapToGrid w:val="0"/>
        <w:ind w:firstLine="480"/>
        <w:rPr>
          <w:color w:val="auto"/>
          <w:highlight w:val="none"/>
        </w:rPr>
      </w:pPr>
      <w:r>
        <w:rPr>
          <w:color w:val="auto"/>
          <w:highlight w:val="none"/>
        </w:rPr>
        <w:t>（33）《云南省地表水水环境功能区划（2010-2020年）。</w:t>
      </w:r>
    </w:p>
    <w:p>
      <w:pPr>
        <w:pStyle w:val="8"/>
        <w:adjustRightInd w:val="0"/>
        <w:snapToGrid w:val="0"/>
        <w:ind w:firstLine="480"/>
        <w:rPr>
          <w:rFonts w:hint="eastAsia"/>
          <w:color w:val="auto"/>
          <w:highlight w:val="none"/>
          <w:lang w:val="en-US" w:eastAsia="zh-CN"/>
        </w:rPr>
      </w:pPr>
      <w:r>
        <w:rPr>
          <w:rFonts w:hint="eastAsia"/>
          <w:color w:val="auto"/>
          <w:highlight w:val="none"/>
          <w:lang w:val="en-US" w:eastAsia="zh-CN"/>
        </w:rPr>
        <w:t>（34）</w:t>
      </w:r>
      <w:r>
        <w:rPr>
          <w:color w:val="auto"/>
          <w:highlight w:val="none"/>
        </w:rPr>
        <w:t>《云南省大气污染防治条例》</w:t>
      </w:r>
      <w:r>
        <w:rPr>
          <w:rFonts w:hint="eastAsia"/>
          <w:color w:val="auto"/>
          <w:highlight w:val="none"/>
          <w:lang w:eastAsia="zh-CN"/>
        </w:rPr>
        <w:t>，</w:t>
      </w:r>
      <w:r>
        <w:rPr>
          <w:rFonts w:hint="eastAsia"/>
          <w:color w:val="auto"/>
          <w:highlight w:val="none"/>
          <w:lang w:val="en-US" w:eastAsia="zh-CN"/>
        </w:rPr>
        <w:t>2019年1月1日起施行。</w:t>
      </w:r>
    </w:p>
    <w:p>
      <w:pPr>
        <w:pStyle w:val="8"/>
        <w:adjustRightInd w:val="0"/>
        <w:snapToGrid w:val="0"/>
        <w:ind w:firstLine="480"/>
        <w:rPr>
          <w:rFonts w:hint="eastAsia"/>
          <w:color w:val="auto"/>
          <w:highlight w:val="none"/>
          <w:lang w:val="en-US" w:eastAsia="zh-CN"/>
        </w:rPr>
      </w:pPr>
      <w:r>
        <w:rPr>
          <w:rFonts w:hint="eastAsia"/>
          <w:color w:val="auto"/>
          <w:highlight w:val="none"/>
          <w:lang w:val="en-US" w:eastAsia="zh-CN"/>
        </w:rPr>
        <w:t>（35）《水污染防治行动计划》，2015年4月16日起实施。</w:t>
      </w:r>
    </w:p>
    <w:p>
      <w:pPr>
        <w:pStyle w:val="8"/>
        <w:adjustRightInd w:val="0"/>
        <w:snapToGrid w:val="0"/>
        <w:ind w:firstLine="480"/>
        <w:rPr>
          <w:rFonts w:hint="eastAsia"/>
          <w:color w:val="auto"/>
          <w:highlight w:val="none"/>
          <w:lang w:val="en-US" w:eastAsia="zh-CN"/>
        </w:rPr>
      </w:pPr>
      <w:r>
        <w:rPr>
          <w:rFonts w:hint="eastAsia"/>
          <w:color w:val="auto"/>
          <w:highlight w:val="none"/>
          <w:lang w:val="en-US" w:eastAsia="zh-CN"/>
        </w:rPr>
        <w:t>（36）《大气污染防治行动计划》，2013年9月10日起实施。</w:t>
      </w:r>
    </w:p>
    <w:p>
      <w:pPr>
        <w:pStyle w:val="8"/>
        <w:adjustRightInd w:val="0"/>
        <w:snapToGrid w:val="0"/>
        <w:ind w:firstLine="480"/>
        <w:rPr>
          <w:rFonts w:hint="eastAsia"/>
          <w:color w:val="auto"/>
          <w:highlight w:val="none"/>
          <w:lang w:val="en-US" w:eastAsia="zh-CN"/>
        </w:rPr>
      </w:pPr>
      <w:r>
        <w:rPr>
          <w:rFonts w:hint="eastAsia"/>
          <w:color w:val="auto"/>
          <w:highlight w:val="none"/>
          <w:lang w:val="en-US" w:eastAsia="zh-CN"/>
        </w:rPr>
        <w:t>（37）《土壤污染防治行动计划》，2016年5月28日起实施。</w:t>
      </w:r>
    </w:p>
    <w:p>
      <w:pPr>
        <w:pStyle w:val="8"/>
        <w:adjustRightInd w:val="0"/>
        <w:snapToGrid w:val="0"/>
        <w:ind w:firstLine="480"/>
        <w:rPr>
          <w:rFonts w:hint="eastAsia"/>
          <w:color w:val="auto"/>
          <w:highlight w:val="none"/>
          <w:lang w:val="en-US" w:eastAsia="zh-CN"/>
        </w:rPr>
      </w:pPr>
      <w:r>
        <w:rPr>
          <w:rFonts w:hint="eastAsia"/>
          <w:color w:val="auto"/>
          <w:highlight w:val="none"/>
          <w:lang w:val="en-US" w:eastAsia="zh-CN"/>
        </w:rPr>
        <w:t>（38）国务院关于印发打赢蓝天保卫战三年行动计划的通知》（国发〔2018〕22号）。</w:t>
      </w:r>
    </w:p>
    <w:p>
      <w:pPr>
        <w:pStyle w:val="8"/>
        <w:adjustRightInd w:val="0"/>
        <w:snapToGrid w:val="0"/>
        <w:ind w:firstLine="480"/>
        <w:rPr>
          <w:rFonts w:hint="eastAsia" w:eastAsia="宋体"/>
          <w:color w:val="auto"/>
          <w:highlight w:val="none"/>
          <w:lang w:val="en-US" w:eastAsia="zh-CN"/>
        </w:rPr>
      </w:pPr>
      <w:r>
        <w:rPr>
          <w:rFonts w:hint="eastAsia"/>
          <w:color w:val="auto"/>
          <w:highlight w:val="none"/>
          <w:lang w:val="en-US" w:eastAsia="zh-CN"/>
        </w:rPr>
        <w:t>（39）</w:t>
      </w:r>
      <w:r>
        <w:rPr>
          <w:rFonts w:ascii="Arial" w:hAnsi="Arial" w:eastAsia="宋体" w:cs="Arial"/>
          <w:i w:val="0"/>
          <w:caps w:val="0"/>
          <w:color w:val="000000"/>
          <w:spacing w:val="0"/>
          <w:sz w:val="24"/>
          <w:szCs w:val="24"/>
          <w:highlight w:val="none"/>
          <w:shd w:val="clear" w:fill="FFFFFF"/>
        </w:rPr>
        <w:t>《云南省人民政府关于印发云南省打赢蓝天保卫战三年行动实施方案》(云政发〔2018〕44号)</w:t>
      </w:r>
      <w:r>
        <w:rPr>
          <w:rFonts w:hint="eastAsia" w:ascii="Arial" w:hAnsi="Arial" w:cs="Arial"/>
          <w:i w:val="0"/>
          <w:caps w:val="0"/>
          <w:color w:val="000000"/>
          <w:spacing w:val="0"/>
          <w:sz w:val="24"/>
          <w:szCs w:val="24"/>
          <w:highlight w:val="none"/>
          <w:shd w:val="clear" w:fill="FFFFFF"/>
          <w:lang w:eastAsia="zh-CN"/>
        </w:rPr>
        <w:t>。</w:t>
      </w:r>
    </w:p>
    <w:p>
      <w:pPr>
        <w:pStyle w:val="8"/>
        <w:adjustRightInd w:val="0"/>
        <w:snapToGrid w:val="0"/>
        <w:ind w:firstLine="480"/>
        <w:rPr>
          <w:rFonts w:hint="default"/>
          <w:color w:val="auto"/>
          <w:highlight w:val="none"/>
          <w:lang w:val="en-US" w:eastAsia="zh-CN"/>
        </w:rPr>
      </w:pPr>
      <w:r>
        <w:rPr>
          <w:rFonts w:hint="eastAsia"/>
          <w:color w:val="auto"/>
          <w:highlight w:val="none"/>
          <w:lang w:val="en-US" w:eastAsia="zh-CN"/>
        </w:rPr>
        <w:t>（40）</w:t>
      </w:r>
      <w:r>
        <w:rPr>
          <w:rFonts w:ascii="Arial" w:hAnsi="Arial" w:eastAsia="宋体" w:cs="Arial"/>
          <w:i w:val="0"/>
          <w:caps w:val="0"/>
          <w:color w:val="000000"/>
          <w:spacing w:val="0"/>
          <w:sz w:val="24"/>
          <w:szCs w:val="24"/>
          <w:highlight w:val="none"/>
          <w:shd w:val="clear" w:fill="FFFFFF"/>
        </w:rPr>
        <w:t>《文山州人民政府办公室关于印发文山州打赢蓝天保卫战三年行动实施办法的通知》(文政办发〔2019〕</w:t>
      </w:r>
      <w:r>
        <w:rPr>
          <w:rFonts w:hint="eastAsia"/>
          <w:color w:val="auto"/>
          <w:highlight w:val="none"/>
          <w:lang w:val="en-US" w:eastAsia="zh-CN"/>
        </w:rPr>
        <w:t>。</w:t>
      </w:r>
    </w:p>
    <w:p>
      <w:pPr>
        <w:pStyle w:val="5"/>
        <w:rPr>
          <w:rFonts w:hint="default"/>
          <w:highlight w:val="none"/>
        </w:rPr>
      </w:pPr>
      <w:bookmarkStart w:id="45" w:name="_Toc18086"/>
      <w:bookmarkStart w:id="46" w:name="_Toc28513"/>
      <w:bookmarkStart w:id="47" w:name="_Toc14546"/>
      <w:bookmarkStart w:id="48" w:name="_Toc7692"/>
      <w:bookmarkStart w:id="49" w:name="_Toc2908"/>
      <w:bookmarkStart w:id="50" w:name="_Toc27255"/>
      <w:r>
        <w:rPr>
          <w:rFonts w:hint="default"/>
          <w:highlight w:val="none"/>
        </w:rPr>
        <w:t>1.1.</w:t>
      </w:r>
      <w:r>
        <w:rPr>
          <w:highlight w:val="none"/>
        </w:rPr>
        <w:t>2</w:t>
      </w:r>
      <w:r>
        <w:rPr>
          <w:rFonts w:hint="default"/>
          <w:highlight w:val="none"/>
        </w:rPr>
        <w:t xml:space="preserve"> 技术规范和标准</w:t>
      </w:r>
      <w:bookmarkEnd w:id="45"/>
      <w:bookmarkEnd w:id="46"/>
      <w:bookmarkEnd w:id="47"/>
      <w:bookmarkEnd w:id="48"/>
      <w:bookmarkEnd w:id="49"/>
      <w:bookmarkEnd w:id="50"/>
    </w:p>
    <w:p>
      <w:pPr>
        <w:pStyle w:val="8"/>
        <w:adjustRightInd w:val="0"/>
        <w:snapToGrid w:val="0"/>
        <w:ind w:firstLine="480"/>
        <w:rPr>
          <w:rFonts w:hAnsi="Calibri" w:eastAsia="Calibri"/>
          <w:highlight w:val="none"/>
        </w:rPr>
      </w:pPr>
      <w:r>
        <w:rPr>
          <w:highlight w:val="none"/>
        </w:rPr>
        <w:t>（</w:t>
      </w:r>
      <w:r>
        <w:rPr>
          <w:rFonts w:hAnsi="Calibri" w:eastAsia="Calibri"/>
          <w:highlight w:val="none"/>
        </w:rPr>
        <w:t>1）《建设项目环境影响评价技术导则——总纲》（HJ2.1-2016）；</w:t>
      </w:r>
    </w:p>
    <w:p>
      <w:pPr>
        <w:pStyle w:val="8"/>
        <w:adjustRightInd w:val="0"/>
        <w:snapToGrid w:val="0"/>
        <w:ind w:firstLine="480"/>
        <w:rPr>
          <w:rFonts w:hAnsi="Calibri" w:eastAsia="Calibri"/>
          <w:highlight w:val="none"/>
        </w:rPr>
      </w:pPr>
      <w:r>
        <w:rPr>
          <w:rFonts w:hAnsi="Calibri" w:eastAsia="Calibri"/>
          <w:highlight w:val="none"/>
        </w:rPr>
        <w:t>（2）《环境影响评价技术导则——大气环境》（HJ2.2-20</w:t>
      </w:r>
      <w:r>
        <w:rPr>
          <w:rFonts w:hint="eastAsia" w:hAnsi="Calibri" w:eastAsia="Calibri"/>
          <w:highlight w:val="none"/>
        </w:rPr>
        <w:t>1</w:t>
      </w:r>
      <w:r>
        <w:rPr>
          <w:rFonts w:hAnsi="Calibri" w:eastAsia="Calibri"/>
          <w:highlight w:val="none"/>
        </w:rPr>
        <w:t>8）；</w:t>
      </w:r>
    </w:p>
    <w:p>
      <w:pPr>
        <w:pStyle w:val="8"/>
        <w:adjustRightInd w:val="0"/>
        <w:snapToGrid w:val="0"/>
        <w:ind w:firstLine="480"/>
        <w:rPr>
          <w:rFonts w:hAnsi="Calibri" w:eastAsia="Calibri"/>
          <w:highlight w:val="none"/>
        </w:rPr>
      </w:pPr>
      <w:r>
        <w:rPr>
          <w:rFonts w:hAnsi="Calibri" w:eastAsia="Calibri"/>
          <w:highlight w:val="none"/>
        </w:rPr>
        <w:t>（3）《环境影响评价技术导则——</w:t>
      </w:r>
      <w:r>
        <w:rPr>
          <w:rFonts w:hint="eastAsia" w:hAnsi="Calibri"/>
          <w:highlight w:val="none"/>
        </w:rPr>
        <w:t>地表水</w:t>
      </w:r>
      <w:r>
        <w:rPr>
          <w:rFonts w:hAnsi="Calibri" w:eastAsia="Calibri"/>
          <w:highlight w:val="none"/>
        </w:rPr>
        <w:t>环境》（HJ2.3-</w:t>
      </w:r>
      <w:r>
        <w:rPr>
          <w:rFonts w:hint="eastAsia" w:hAnsi="Calibri"/>
          <w:highlight w:val="none"/>
        </w:rPr>
        <w:t>2018</w:t>
      </w:r>
      <w:r>
        <w:rPr>
          <w:rFonts w:hAnsi="Calibri" w:eastAsia="Calibri"/>
          <w:highlight w:val="none"/>
        </w:rPr>
        <w:t>）；</w:t>
      </w:r>
    </w:p>
    <w:p>
      <w:pPr>
        <w:pStyle w:val="8"/>
        <w:adjustRightInd w:val="0"/>
        <w:snapToGrid w:val="0"/>
        <w:ind w:firstLine="480"/>
        <w:rPr>
          <w:rFonts w:hAnsi="Calibri" w:eastAsia="Calibri"/>
          <w:highlight w:val="none"/>
        </w:rPr>
      </w:pPr>
      <w:r>
        <w:rPr>
          <w:rFonts w:hAnsi="Calibri" w:eastAsia="Calibri"/>
          <w:highlight w:val="none"/>
        </w:rPr>
        <w:t>（4）《环境影响评价技术导则——地下水环境》（HJ610-2016）；</w:t>
      </w:r>
    </w:p>
    <w:p>
      <w:pPr>
        <w:pStyle w:val="8"/>
        <w:adjustRightInd w:val="0"/>
        <w:snapToGrid w:val="0"/>
        <w:ind w:firstLine="480"/>
        <w:rPr>
          <w:rFonts w:hAnsi="Calibri" w:eastAsia="Calibri"/>
          <w:highlight w:val="none"/>
        </w:rPr>
      </w:pPr>
      <w:r>
        <w:rPr>
          <w:rFonts w:hAnsi="Calibri" w:eastAsia="Calibri"/>
          <w:highlight w:val="none"/>
        </w:rPr>
        <w:t>（5）《环境影响评价技术导则——声环境》（HJ2.4-2009）；</w:t>
      </w:r>
    </w:p>
    <w:p>
      <w:pPr>
        <w:pStyle w:val="8"/>
        <w:adjustRightInd w:val="0"/>
        <w:snapToGrid w:val="0"/>
        <w:ind w:firstLine="480"/>
        <w:rPr>
          <w:rFonts w:hAnsi="Calibri" w:eastAsia="Calibri"/>
          <w:highlight w:val="none"/>
        </w:rPr>
      </w:pPr>
      <w:r>
        <w:rPr>
          <w:rFonts w:hAnsi="Calibri" w:eastAsia="Calibri"/>
          <w:highlight w:val="none"/>
        </w:rPr>
        <w:t>（6）《环境影响评价技术导则——生态影响》（HJ19-2011）；</w:t>
      </w:r>
    </w:p>
    <w:p>
      <w:pPr>
        <w:pStyle w:val="8"/>
        <w:adjustRightInd w:val="0"/>
        <w:snapToGrid w:val="0"/>
        <w:ind w:firstLine="480"/>
        <w:rPr>
          <w:rFonts w:hint="eastAsia" w:hAnsi="Calibri" w:eastAsia="宋体"/>
          <w:highlight w:val="none"/>
          <w:lang w:eastAsia="zh-CN"/>
        </w:rPr>
      </w:pPr>
      <w:r>
        <w:rPr>
          <w:rFonts w:hAnsi="Calibri" w:eastAsia="Calibri"/>
          <w:highlight w:val="none"/>
        </w:rPr>
        <w:t>（7）《建设项目环境风险评价技术导则》（HJ169-</w:t>
      </w:r>
      <w:r>
        <w:rPr>
          <w:rFonts w:hint="eastAsia" w:hAnsi="Calibri"/>
          <w:highlight w:val="none"/>
        </w:rPr>
        <w:t>2018</w:t>
      </w:r>
      <w:r>
        <w:rPr>
          <w:rFonts w:hAnsi="Calibri" w:eastAsia="Calibri"/>
          <w:highlight w:val="none"/>
        </w:rPr>
        <w:t>）</w:t>
      </w:r>
      <w:r>
        <w:rPr>
          <w:rFonts w:hint="eastAsia" w:hAnsi="Calibri" w:eastAsia="宋体"/>
          <w:highlight w:val="none"/>
          <w:lang w:eastAsia="zh-CN"/>
        </w:rPr>
        <w:t>；</w:t>
      </w:r>
    </w:p>
    <w:p>
      <w:pPr>
        <w:pStyle w:val="8"/>
        <w:adjustRightInd w:val="0"/>
        <w:snapToGrid w:val="0"/>
        <w:ind w:firstLine="480"/>
        <w:rPr>
          <w:rFonts w:hint="eastAsia" w:eastAsia="宋体"/>
          <w:highlight w:val="none"/>
          <w:lang w:eastAsia="zh-CN"/>
        </w:rPr>
      </w:pPr>
      <w:r>
        <w:rPr>
          <w:rFonts w:hint="eastAsia"/>
          <w:color w:val="auto"/>
          <w:highlight w:val="none"/>
          <w:lang w:val="en-US" w:eastAsia="zh-CN"/>
        </w:rPr>
        <w:t>（8）《矿山生态环境保护与恢复治理技术规范》（HJ651-2013）</w:t>
      </w:r>
      <w:r>
        <w:rPr>
          <w:rFonts w:hint="eastAsia" w:hAnsi="Calibri" w:eastAsia="宋体"/>
          <w:highlight w:val="none"/>
          <w:lang w:eastAsia="zh-CN"/>
        </w:rPr>
        <w:t>。</w:t>
      </w:r>
    </w:p>
    <w:p>
      <w:pPr>
        <w:pStyle w:val="5"/>
        <w:rPr>
          <w:rFonts w:hint="default"/>
          <w:highlight w:val="none"/>
        </w:rPr>
      </w:pPr>
      <w:bookmarkStart w:id="51" w:name="_Toc25790"/>
      <w:bookmarkStart w:id="52" w:name="_Toc22997"/>
      <w:bookmarkStart w:id="53" w:name="_Toc14442"/>
      <w:bookmarkStart w:id="54" w:name="_Toc20555"/>
      <w:bookmarkStart w:id="55" w:name="_Toc7075"/>
      <w:bookmarkStart w:id="56" w:name="_Toc25852"/>
      <w:r>
        <w:rPr>
          <w:rFonts w:hint="default"/>
          <w:highlight w:val="none"/>
        </w:rPr>
        <w:t>1.1.</w:t>
      </w:r>
      <w:r>
        <w:rPr>
          <w:highlight w:val="none"/>
        </w:rPr>
        <w:t>3</w:t>
      </w:r>
      <w:r>
        <w:rPr>
          <w:rFonts w:hint="default"/>
          <w:highlight w:val="none"/>
        </w:rPr>
        <w:t xml:space="preserve"> 技术资料及文件</w:t>
      </w:r>
      <w:bookmarkEnd w:id="51"/>
      <w:bookmarkEnd w:id="52"/>
      <w:bookmarkEnd w:id="53"/>
      <w:bookmarkEnd w:id="54"/>
      <w:bookmarkEnd w:id="55"/>
      <w:bookmarkEnd w:id="56"/>
    </w:p>
    <w:p>
      <w:pPr>
        <w:pStyle w:val="8"/>
        <w:adjustRightInd w:val="0"/>
        <w:snapToGrid w:val="0"/>
        <w:ind w:firstLine="480"/>
        <w:rPr>
          <w:rFonts w:hAnsi="Calibri" w:eastAsia="Calibri"/>
          <w:highlight w:val="none"/>
        </w:rPr>
      </w:pPr>
      <w:r>
        <w:rPr>
          <w:rFonts w:hAnsi="Calibri" w:eastAsia="Calibri"/>
          <w:highlight w:val="none"/>
        </w:rPr>
        <w:t>（1）</w:t>
      </w:r>
      <w:r>
        <w:rPr>
          <w:rFonts w:hint="eastAsia" w:hAnsi="Calibri"/>
          <w:highlight w:val="none"/>
        </w:rPr>
        <w:t>环境影响评价</w:t>
      </w:r>
      <w:r>
        <w:rPr>
          <w:rFonts w:hAnsi="Calibri" w:eastAsia="Calibri"/>
          <w:highlight w:val="none"/>
        </w:rPr>
        <w:t>委托书；</w:t>
      </w:r>
    </w:p>
    <w:p>
      <w:pPr>
        <w:pStyle w:val="8"/>
        <w:adjustRightInd w:val="0"/>
        <w:snapToGrid w:val="0"/>
        <w:ind w:firstLine="480"/>
        <w:rPr>
          <w:rFonts w:hAnsi="Calibri" w:eastAsia="Calibri"/>
          <w:color w:val="auto"/>
          <w:highlight w:val="none"/>
        </w:rPr>
      </w:pPr>
      <w:r>
        <w:rPr>
          <w:rFonts w:hAnsi="Calibri" w:eastAsia="Calibri"/>
          <w:color w:val="auto"/>
          <w:highlight w:val="none"/>
        </w:rPr>
        <w:t>（2）</w:t>
      </w:r>
      <w:r>
        <w:rPr>
          <w:rFonts w:hint="eastAsia" w:hAnsi="Calibri"/>
          <w:color w:val="auto"/>
          <w:highlight w:val="none"/>
        </w:rPr>
        <w:t>投资项目备案证</w:t>
      </w:r>
      <w:r>
        <w:rPr>
          <w:rFonts w:hint="eastAsia" w:hAnsi="Calibri"/>
          <w:color w:val="auto"/>
          <w:highlight w:val="none"/>
          <w:lang w:eastAsia="zh-CN"/>
        </w:rPr>
        <w:t>，</w:t>
      </w:r>
      <w:r>
        <w:rPr>
          <w:rFonts w:hint="eastAsia" w:hAnsi="Calibri"/>
          <w:color w:val="auto"/>
          <w:highlight w:val="none"/>
          <w:lang w:val="en-US" w:eastAsia="zh-CN"/>
        </w:rPr>
        <w:t>2017年1月23日</w:t>
      </w:r>
      <w:r>
        <w:rPr>
          <w:rFonts w:hAnsi="Calibri" w:eastAsia="Calibri"/>
          <w:color w:val="auto"/>
          <w:highlight w:val="none"/>
        </w:rPr>
        <w:t>；</w:t>
      </w:r>
    </w:p>
    <w:p>
      <w:pPr>
        <w:pStyle w:val="8"/>
        <w:adjustRightInd w:val="0"/>
        <w:snapToGrid w:val="0"/>
        <w:ind w:firstLine="480"/>
        <w:rPr>
          <w:rFonts w:hAnsi="Calibri" w:eastAsia="Calibri"/>
          <w:color w:val="auto"/>
          <w:highlight w:val="none"/>
        </w:rPr>
      </w:pPr>
      <w:r>
        <w:rPr>
          <w:rFonts w:hAnsi="Calibri" w:eastAsia="Calibri"/>
          <w:color w:val="auto"/>
          <w:highlight w:val="none"/>
        </w:rPr>
        <w:t>（</w:t>
      </w:r>
      <w:r>
        <w:rPr>
          <w:rFonts w:hint="eastAsia" w:hAnsi="Calibri" w:eastAsia="宋体"/>
          <w:color w:val="auto"/>
          <w:highlight w:val="none"/>
          <w:lang w:val="en-US" w:eastAsia="zh-CN"/>
        </w:rPr>
        <w:t>3</w:t>
      </w:r>
      <w:r>
        <w:rPr>
          <w:rFonts w:hAnsi="Calibri" w:eastAsia="Calibri"/>
          <w:color w:val="auto"/>
          <w:highlight w:val="none"/>
        </w:rPr>
        <w:t>）</w:t>
      </w:r>
      <w:r>
        <w:rPr>
          <w:rFonts w:hint="eastAsia"/>
          <w:color w:val="auto"/>
          <w:highlight w:val="none"/>
        </w:rPr>
        <w:t>《</w:t>
      </w:r>
      <w:r>
        <w:rPr>
          <w:rFonts w:hint="eastAsia"/>
          <w:color w:val="auto"/>
          <w:highlight w:val="none"/>
          <w:lang w:eastAsia="zh-CN"/>
        </w:rPr>
        <w:t>云南省砚山县倮基黑卡子凹塘普通建筑材料用灰岩矿资源储量核实报告</w:t>
      </w:r>
      <w:r>
        <w:rPr>
          <w:rFonts w:hint="eastAsia"/>
          <w:color w:val="auto"/>
          <w:highlight w:val="none"/>
        </w:rPr>
        <w:t>》，201</w:t>
      </w:r>
      <w:r>
        <w:rPr>
          <w:rFonts w:hint="eastAsia"/>
          <w:color w:val="auto"/>
          <w:highlight w:val="none"/>
          <w:lang w:val="en-US" w:eastAsia="zh-CN"/>
        </w:rPr>
        <w:t>9</w:t>
      </w:r>
      <w:r>
        <w:rPr>
          <w:rFonts w:hint="eastAsia"/>
          <w:color w:val="auto"/>
          <w:highlight w:val="none"/>
        </w:rPr>
        <w:t>年</w:t>
      </w:r>
      <w:r>
        <w:rPr>
          <w:rFonts w:hint="eastAsia"/>
          <w:color w:val="auto"/>
          <w:highlight w:val="none"/>
          <w:lang w:val="en-US" w:eastAsia="zh-CN"/>
        </w:rPr>
        <w:t>10</w:t>
      </w:r>
      <w:r>
        <w:rPr>
          <w:rFonts w:hint="eastAsia"/>
          <w:color w:val="auto"/>
          <w:highlight w:val="none"/>
        </w:rPr>
        <w:t>月</w:t>
      </w:r>
      <w:r>
        <w:rPr>
          <w:rFonts w:hAnsi="Calibri" w:eastAsia="Calibri"/>
          <w:color w:val="auto"/>
          <w:highlight w:val="none"/>
        </w:rPr>
        <w:t>；</w:t>
      </w:r>
    </w:p>
    <w:p>
      <w:pPr>
        <w:pStyle w:val="8"/>
        <w:adjustRightInd w:val="0"/>
        <w:snapToGrid w:val="0"/>
        <w:ind w:firstLine="480"/>
        <w:rPr>
          <w:color w:val="auto"/>
          <w:highlight w:val="none"/>
        </w:rPr>
      </w:pPr>
      <w:r>
        <w:rPr>
          <w:rFonts w:hAnsi="Calibri" w:eastAsia="Calibri"/>
          <w:color w:val="auto"/>
          <w:highlight w:val="none"/>
        </w:rPr>
        <w:t>（</w:t>
      </w:r>
      <w:r>
        <w:rPr>
          <w:rFonts w:hint="eastAsia" w:hAnsi="Calibri" w:eastAsia="宋体"/>
          <w:color w:val="auto"/>
          <w:highlight w:val="none"/>
          <w:lang w:val="en-US" w:eastAsia="zh-CN"/>
        </w:rPr>
        <w:t>4</w:t>
      </w:r>
      <w:r>
        <w:rPr>
          <w:rFonts w:hAnsi="Calibri" w:eastAsia="Calibri"/>
          <w:color w:val="auto"/>
          <w:highlight w:val="none"/>
        </w:rPr>
        <w:t>）</w:t>
      </w:r>
      <w:r>
        <w:rPr>
          <w:rFonts w:hint="eastAsia"/>
          <w:color w:val="auto"/>
          <w:highlight w:val="none"/>
        </w:rPr>
        <w:t>《</w:t>
      </w:r>
      <w:r>
        <w:rPr>
          <w:rFonts w:hint="eastAsia"/>
          <w:color w:val="auto"/>
          <w:highlight w:val="none"/>
          <w:lang w:eastAsia="zh-CN"/>
        </w:rPr>
        <w:t>云南省砚山县倮基黑卡子凹塘普通建筑材料用灰岩矿资源储量核实报告</w:t>
      </w:r>
      <w:r>
        <w:rPr>
          <w:rFonts w:hint="eastAsia"/>
          <w:color w:val="auto"/>
          <w:highlight w:val="none"/>
        </w:rPr>
        <w:t>》评审意见，</w:t>
      </w:r>
      <w:r>
        <w:rPr>
          <w:rFonts w:hint="eastAsia" w:ascii="Times New Roman" w:hAnsi="Times New Roman"/>
          <w:color w:val="auto"/>
          <w:highlight w:val="none"/>
          <w:lang w:eastAsia="zh-CN"/>
        </w:rPr>
        <w:t>文伟资储评字</w:t>
      </w:r>
      <w:r>
        <w:rPr>
          <w:rFonts w:hint="eastAsia" w:ascii="Times New Roman" w:hAnsi="Times New Roman"/>
          <w:color w:val="auto"/>
          <w:highlight w:val="none"/>
          <w:lang w:val="en-US" w:eastAsia="zh-CN"/>
        </w:rPr>
        <w:t>[2019]60号</w:t>
      </w:r>
      <w:r>
        <w:rPr>
          <w:rFonts w:hint="eastAsia"/>
          <w:color w:val="auto"/>
          <w:highlight w:val="none"/>
        </w:rPr>
        <w:t>，201</w:t>
      </w:r>
      <w:r>
        <w:rPr>
          <w:rFonts w:hint="eastAsia"/>
          <w:color w:val="auto"/>
          <w:highlight w:val="none"/>
          <w:lang w:val="en-US" w:eastAsia="zh-CN"/>
        </w:rPr>
        <w:t>9</w:t>
      </w:r>
      <w:r>
        <w:rPr>
          <w:rFonts w:hint="eastAsia"/>
          <w:color w:val="auto"/>
          <w:highlight w:val="none"/>
        </w:rPr>
        <w:t>年</w:t>
      </w:r>
      <w:r>
        <w:rPr>
          <w:rFonts w:hint="eastAsia"/>
          <w:color w:val="auto"/>
          <w:highlight w:val="none"/>
          <w:lang w:val="en-US" w:eastAsia="zh-CN"/>
        </w:rPr>
        <w:t>11</w:t>
      </w:r>
      <w:r>
        <w:rPr>
          <w:rFonts w:hint="eastAsia"/>
          <w:color w:val="auto"/>
          <w:highlight w:val="none"/>
        </w:rPr>
        <w:t>月</w:t>
      </w:r>
      <w:r>
        <w:rPr>
          <w:rFonts w:hint="eastAsia"/>
          <w:color w:val="auto"/>
          <w:highlight w:val="none"/>
          <w:lang w:val="en-US" w:eastAsia="zh-CN"/>
        </w:rPr>
        <w:t>5</w:t>
      </w:r>
      <w:r>
        <w:rPr>
          <w:rFonts w:hint="eastAsia"/>
          <w:color w:val="auto"/>
          <w:highlight w:val="none"/>
        </w:rPr>
        <w:t>日</w:t>
      </w:r>
    </w:p>
    <w:p>
      <w:pPr>
        <w:pStyle w:val="8"/>
        <w:adjustRightInd w:val="0"/>
        <w:snapToGrid w:val="0"/>
        <w:ind w:firstLine="480"/>
        <w:rPr>
          <w:rFonts w:hAnsi="Calibri" w:eastAsia="Calibri"/>
          <w:color w:val="auto"/>
          <w:highlight w:val="none"/>
        </w:rPr>
      </w:pPr>
      <w:r>
        <w:rPr>
          <w:rFonts w:hint="eastAsia"/>
          <w:color w:val="auto"/>
          <w:highlight w:val="none"/>
        </w:rPr>
        <w:t>（</w:t>
      </w:r>
      <w:r>
        <w:rPr>
          <w:rFonts w:hint="eastAsia"/>
          <w:color w:val="auto"/>
          <w:highlight w:val="none"/>
          <w:lang w:val="en-US" w:eastAsia="zh-CN"/>
        </w:rPr>
        <w:t>5</w:t>
      </w:r>
      <w:r>
        <w:rPr>
          <w:rFonts w:hint="eastAsia"/>
          <w:color w:val="auto"/>
          <w:highlight w:val="none"/>
        </w:rPr>
        <w:t>）《</w:t>
      </w:r>
      <w:r>
        <w:rPr>
          <w:rFonts w:hint="eastAsia"/>
          <w:color w:val="auto"/>
          <w:highlight w:val="none"/>
          <w:lang w:eastAsia="zh-CN"/>
        </w:rPr>
        <w:t>云南省砚山县倮基黑卡子凹塘普通建筑材料用灰岩矿资源储量核实报告</w:t>
      </w:r>
      <w:r>
        <w:rPr>
          <w:rFonts w:hint="eastAsia"/>
          <w:color w:val="auto"/>
          <w:highlight w:val="none"/>
        </w:rPr>
        <w:t>》评审备案证明（</w:t>
      </w:r>
      <w:r>
        <w:rPr>
          <w:rFonts w:hint="eastAsia" w:ascii="Times New Roman" w:hAnsi="Times New Roman"/>
          <w:color w:val="auto"/>
          <w:highlight w:val="none"/>
          <w:lang w:eastAsia="zh-CN"/>
        </w:rPr>
        <w:t>砚自然资储备字</w:t>
      </w:r>
      <w:r>
        <w:rPr>
          <w:rFonts w:hint="eastAsia" w:ascii="Times New Roman" w:hAnsi="Times New Roman"/>
          <w:color w:val="auto"/>
          <w:highlight w:val="none"/>
          <w:lang w:val="en-US" w:eastAsia="zh-CN"/>
        </w:rPr>
        <w:t>[2019]10</w:t>
      </w:r>
      <w:r>
        <w:rPr>
          <w:rFonts w:hint="eastAsia" w:ascii="Times New Roman" w:hAnsi="Times New Roman"/>
          <w:color w:val="auto"/>
          <w:highlight w:val="none"/>
        </w:rPr>
        <w:t>号</w:t>
      </w:r>
      <w:r>
        <w:rPr>
          <w:rFonts w:hint="eastAsia"/>
          <w:color w:val="auto"/>
          <w:highlight w:val="none"/>
        </w:rPr>
        <w:t>），201</w:t>
      </w:r>
      <w:r>
        <w:rPr>
          <w:rFonts w:hint="eastAsia"/>
          <w:color w:val="auto"/>
          <w:highlight w:val="none"/>
          <w:lang w:val="en-US" w:eastAsia="zh-CN"/>
        </w:rPr>
        <w:t>9</w:t>
      </w:r>
      <w:r>
        <w:rPr>
          <w:rFonts w:hint="eastAsia"/>
          <w:color w:val="auto"/>
          <w:highlight w:val="none"/>
        </w:rPr>
        <w:t>年</w:t>
      </w:r>
      <w:r>
        <w:rPr>
          <w:rFonts w:hint="eastAsia"/>
          <w:color w:val="auto"/>
          <w:highlight w:val="none"/>
          <w:lang w:val="en-US" w:eastAsia="zh-CN"/>
        </w:rPr>
        <w:t>11</w:t>
      </w:r>
      <w:r>
        <w:rPr>
          <w:rFonts w:hint="eastAsia"/>
          <w:color w:val="auto"/>
          <w:highlight w:val="none"/>
        </w:rPr>
        <w:t>月</w:t>
      </w:r>
      <w:r>
        <w:rPr>
          <w:rFonts w:hint="eastAsia"/>
          <w:color w:val="auto"/>
          <w:highlight w:val="none"/>
          <w:lang w:val="en-US" w:eastAsia="zh-CN"/>
        </w:rPr>
        <w:t>13</w:t>
      </w:r>
      <w:r>
        <w:rPr>
          <w:rFonts w:hint="eastAsia"/>
          <w:color w:val="auto"/>
          <w:highlight w:val="none"/>
        </w:rPr>
        <w:t>日</w:t>
      </w:r>
      <w:r>
        <w:rPr>
          <w:rFonts w:hAnsi="Calibri" w:eastAsia="Calibri"/>
          <w:color w:val="auto"/>
          <w:highlight w:val="none"/>
        </w:rPr>
        <w:t>；</w:t>
      </w:r>
    </w:p>
    <w:p>
      <w:pPr>
        <w:pStyle w:val="8"/>
        <w:adjustRightInd w:val="0"/>
        <w:snapToGrid w:val="0"/>
        <w:ind w:firstLine="480"/>
        <w:rPr>
          <w:rFonts w:hint="default" w:hAnsi="Calibri" w:eastAsia="宋体"/>
          <w:color w:val="auto"/>
          <w:highlight w:val="none"/>
          <w:lang w:val="en-US" w:eastAsia="zh-CN"/>
        </w:rPr>
      </w:pPr>
      <w:r>
        <w:rPr>
          <w:rFonts w:hint="eastAsia" w:hAnsi="Calibri"/>
          <w:color w:val="auto"/>
          <w:highlight w:val="none"/>
          <w:lang w:eastAsia="zh-CN"/>
        </w:rPr>
        <w:t>（</w:t>
      </w:r>
      <w:r>
        <w:rPr>
          <w:rFonts w:hint="eastAsia" w:hAnsi="Calibri"/>
          <w:color w:val="auto"/>
          <w:highlight w:val="none"/>
          <w:lang w:val="en-US" w:eastAsia="zh-CN"/>
        </w:rPr>
        <w:t>6</w:t>
      </w:r>
      <w:r>
        <w:rPr>
          <w:rFonts w:hint="eastAsia" w:hAnsi="Calibri"/>
          <w:color w:val="auto"/>
          <w:highlight w:val="none"/>
          <w:lang w:eastAsia="zh-CN"/>
        </w:rPr>
        <w:t>）《</w:t>
      </w:r>
      <w:r>
        <w:rPr>
          <w:rFonts w:hint="eastAsia"/>
          <w:color w:val="auto"/>
          <w:highlight w:val="none"/>
          <w:lang w:eastAsia="zh-CN"/>
        </w:rPr>
        <w:t>云南省砚山县倮基黑卡子凹塘普通建筑材料用灰岩矿矿产资源开发利用方案</w:t>
      </w:r>
      <w:r>
        <w:rPr>
          <w:rFonts w:hint="eastAsia" w:hAnsi="Calibri"/>
          <w:color w:val="auto"/>
          <w:highlight w:val="none"/>
          <w:lang w:eastAsia="zh-CN"/>
        </w:rPr>
        <w:t>》，</w:t>
      </w:r>
      <w:r>
        <w:rPr>
          <w:rFonts w:hint="eastAsia"/>
          <w:color w:val="auto"/>
          <w:highlight w:val="none"/>
          <w:lang w:eastAsia="zh-CN"/>
        </w:rPr>
        <w:t>砚山县江那镇真元饲料添加剂沸石粉厂，</w:t>
      </w:r>
      <w:r>
        <w:rPr>
          <w:rFonts w:hint="eastAsia"/>
          <w:color w:val="auto"/>
          <w:highlight w:val="none"/>
          <w:lang w:val="en-US" w:eastAsia="zh-CN"/>
        </w:rPr>
        <w:t>2019年9月</w:t>
      </w:r>
    </w:p>
    <w:p>
      <w:pPr>
        <w:pStyle w:val="8"/>
        <w:adjustRightInd w:val="0"/>
        <w:snapToGrid w:val="0"/>
        <w:ind w:firstLine="480"/>
        <w:rPr>
          <w:rFonts w:hAnsi="Calibri" w:eastAsia="Calibri"/>
          <w:color w:val="auto"/>
          <w:highlight w:val="none"/>
        </w:rPr>
      </w:pPr>
      <w:r>
        <w:rPr>
          <w:rFonts w:hAnsi="Calibri" w:eastAsia="Calibri"/>
          <w:color w:val="auto"/>
          <w:highlight w:val="none"/>
        </w:rPr>
        <w:t>（</w:t>
      </w:r>
      <w:r>
        <w:rPr>
          <w:rFonts w:hint="eastAsia" w:hAnsi="Calibri"/>
          <w:color w:val="auto"/>
          <w:highlight w:val="none"/>
          <w:lang w:val="en-US" w:eastAsia="zh-CN"/>
        </w:rPr>
        <w:t>7</w:t>
      </w:r>
      <w:r>
        <w:rPr>
          <w:rFonts w:hAnsi="Calibri" w:eastAsia="Calibri"/>
          <w:color w:val="auto"/>
          <w:highlight w:val="none"/>
        </w:rPr>
        <w:t>）</w:t>
      </w:r>
      <w:r>
        <w:rPr>
          <w:rFonts w:hint="eastAsia" w:hAnsi="Calibri"/>
          <w:color w:val="auto"/>
          <w:highlight w:val="none"/>
        </w:rPr>
        <w:t>矿产资源开发利用方案评审意见表，</w:t>
      </w:r>
      <w:r>
        <w:rPr>
          <w:rFonts w:hint="eastAsia" w:hAnsi="Calibri"/>
          <w:color w:val="auto"/>
          <w:highlight w:val="none"/>
          <w:lang w:eastAsia="zh-CN"/>
        </w:rPr>
        <w:t>文伟资开审字</w:t>
      </w:r>
      <w:r>
        <w:rPr>
          <w:rFonts w:hint="eastAsia" w:hAnsi="Calibri"/>
          <w:color w:val="auto"/>
          <w:highlight w:val="none"/>
          <w:lang w:val="en-US" w:eastAsia="zh-CN"/>
        </w:rPr>
        <w:t>[2019]58号</w:t>
      </w:r>
      <w:r>
        <w:rPr>
          <w:rFonts w:hint="eastAsia" w:hAnsi="Calibri"/>
          <w:color w:val="auto"/>
          <w:highlight w:val="none"/>
        </w:rPr>
        <w:t>，201</w:t>
      </w:r>
      <w:r>
        <w:rPr>
          <w:rFonts w:hint="eastAsia" w:hAnsi="Calibri"/>
          <w:color w:val="auto"/>
          <w:highlight w:val="none"/>
          <w:lang w:val="en-US" w:eastAsia="zh-CN"/>
        </w:rPr>
        <w:t>9</w:t>
      </w:r>
      <w:r>
        <w:rPr>
          <w:rFonts w:hint="eastAsia" w:hAnsi="Calibri"/>
          <w:color w:val="auto"/>
          <w:highlight w:val="none"/>
        </w:rPr>
        <w:t>年</w:t>
      </w:r>
      <w:r>
        <w:rPr>
          <w:rFonts w:hint="eastAsia" w:hAnsi="Calibri"/>
          <w:color w:val="auto"/>
          <w:highlight w:val="none"/>
          <w:lang w:val="en-US" w:eastAsia="zh-CN"/>
        </w:rPr>
        <w:t>11</w:t>
      </w:r>
      <w:r>
        <w:rPr>
          <w:rFonts w:hint="eastAsia" w:hAnsi="Calibri"/>
          <w:color w:val="auto"/>
          <w:highlight w:val="none"/>
        </w:rPr>
        <w:t>月</w:t>
      </w:r>
      <w:r>
        <w:rPr>
          <w:rFonts w:hint="eastAsia" w:hAnsi="Calibri"/>
          <w:color w:val="auto"/>
          <w:highlight w:val="none"/>
          <w:lang w:val="en-US" w:eastAsia="zh-CN"/>
        </w:rPr>
        <w:t>25</w:t>
      </w:r>
      <w:r>
        <w:rPr>
          <w:rFonts w:hint="eastAsia" w:hAnsi="Calibri"/>
          <w:color w:val="auto"/>
          <w:highlight w:val="none"/>
        </w:rPr>
        <w:t>日</w:t>
      </w:r>
      <w:r>
        <w:rPr>
          <w:rFonts w:hAnsi="Calibri" w:eastAsia="Calibri"/>
          <w:color w:val="auto"/>
          <w:highlight w:val="none"/>
        </w:rPr>
        <w:t>；</w:t>
      </w:r>
    </w:p>
    <w:p>
      <w:pPr>
        <w:pStyle w:val="8"/>
        <w:adjustRightInd w:val="0"/>
        <w:snapToGrid w:val="0"/>
        <w:ind w:firstLine="480"/>
        <w:rPr>
          <w:rFonts w:hint="default" w:eastAsia="宋体"/>
          <w:color w:val="auto"/>
          <w:highlight w:val="none"/>
          <w:lang w:val="en-US" w:eastAsia="zh-CN"/>
        </w:rPr>
      </w:pPr>
      <w:r>
        <w:rPr>
          <w:rFonts w:hint="eastAsia" w:hAnsi="Calibri"/>
          <w:color w:val="auto"/>
          <w:highlight w:val="none"/>
        </w:rPr>
        <w:t>（</w:t>
      </w:r>
      <w:r>
        <w:rPr>
          <w:rFonts w:hint="eastAsia" w:hAnsi="Calibri"/>
          <w:color w:val="auto"/>
          <w:highlight w:val="none"/>
          <w:lang w:val="en-US" w:eastAsia="zh-CN"/>
        </w:rPr>
        <w:t>8</w:t>
      </w:r>
      <w:r>
        <w:rPr>
          <w:rFonts w:hint="eastAsia" w:hAnsi="Calibri"/>
          <w:color w:val="auto"/>
          <w:highlight w:val="none"/>
        </w:rPr>
        <w:t>）</w:t>
      </w:r>
      <w:r>
        <w:rPr>
          <w:rFonts w:hint="eastAsia"/>
          <w:color w:val="auto"/>
          <w:highlight w:val="none"/>
          <w:lang w:eastAsia="zh-CN"/>
        </w:rPr>
        <w:t>文山州生态保护红线数据查询审批表</w:t>
      </w:r>
      <w:r>
        <w:rPr>
          <w:rFonts w:hint="eastAsia"/>
          <w:color w:val="auto"/>
          <w:highlight w:val="none"/>
          <w:lang w:val="en-US" w:eastAsia="zh-CN"/>
        </w:rPr>
        <w:t>，查询结果：矿权未涉及生态保护红线，2019年10月12日；</w:t>
      </w:r>
    </w:p>
    <w:p>
      <w:pPr>
        <w:pStyle w:val="8"/>
        <w:adjustRightInd w:val="0"/>
        <w:snapToGrid w:val="0"/>
        <w:ind w:firstLine="480"/>
        <w:rPr>
          <w:rFonts w:hint="eastAsia" w:hAnsi="Calibri" w:eastAsia="宋体"/>
          <w:color w:val="auto"/>
          <w:highlight w:val="none"/>
          <w:lang w:val="en-US" w:eastAsia="zh-CN"/>
        </w:rPr>
        <w:sectPr>
          <w:pgSz w:w="11911" w:h="16838"/>
          <w:pgMar w:top="1417" w:right="1417" w:bottom="1417" w:left="1417" w:header="879" w:footer="952" w:gutter="0"/>
          <w:pgBorders>
            <w:top w:val="none" w:sz="0" w:space="0"/>
            <w:left w:val="none" w:sz="0" w:space="0"/>
            <w:bottom w:val="none" w:sz="0" w:space="0"/>
            <w:right w:val="none" w:sz="0" w:space="0"/>
          </w:pgBorders>
          <w:pgNumType w:fmt="decimal"/>
          <w:cols w:space="720" w:num="1"/>
          <w:docGrid w:linePitch="312" w:charSpace="0"/>
        </w:sectPr>
      </w:pPr>
      <w:r>
        <w:rPr>
          <w:rFonts w:hint="eastAsia"/>
          <w:color w:val="auto"/>
          <w:highlight w:val="none"/>
          <w:lang w:eastAsia="zh-CN"/>
        </w:rPr>
        <w:t>（</w:t>
      </w:r>
      <w:r>
        <w:rPr>
          <w:rFonts w:hint="eastAsia"/>
          <w:color w:val="auto"/>
          <w:highlight w:val="none"/>
          <w:lang w:val="en-US" w:eastAsia="zh-CN"/>
        </w:rPr>
        <w:t>9</w:t>
      </w:r>
      <w:r>
        <w:rPr>
          <w:rFonts w:hint="eastAsia"/>
          <w:color w:val="auto"/>
          <w:highlight w:val="none"/>
          <w:lang w:eastAsia="zh-CN"/>
        </w:rPr>
        <w:t>）</w:t>
      </w:r>
      <w:r>
        <w:rPr>
          <w:rFonts w:hint="eastAsia" w:hAnsi="Calibri"/>
          <w:color w:val="auto"/>
          <w:highlight w:val="none"/>
        </w:rPr>
        <w:t>建设单位提供的其它有关本项目的资料</w:t>
      </w:r>
      <w:r>
        <w:rPr>
          <w:rFonts w:hint="eastAsia" w:hAnsi="Calibri"/>
          <w:color w:val="auto"/>
          <w:highlight w:val="none"/>
          <w:lang w:eastAsia="zh-CN"/>
        </w:rPr>
        <w:t>。</w:t>
      </w:r>
    </w:p>
    <w:p>
      <w:pPr>
        <w:pStyle w:val="4"/>
        <w:rPr>
          <w:highlight w:val="none"/>
          <w:lang w:val="zh-CN"/>
        </w:rPr>
      </w:pPr>
      <w:bookmarkStart w:id="57" w:name="_Toc10442"/>
      <w:bookmarkStart w:id="58" w:name="_Toc369961555"/>
      <w:bookmarkStart w:id="59" w:name="_Toc2485"/>
      <w:bookmarkStart w:id="60" w:name="_Toc17289"/>
      <w:bookmarkStart w:id="61" w:name="_Toc25709"/>
      <w:bookmarkStart w:id="62" w:name="_Toc408501246"/>
      <w:bookmarkStart w:id="63" w:name="_Toc6602"/>
      <w:bookmarkStart w:id="64" w:name="_Toc32750"/>
      <w:r>
        <w:rPr>
          <w:highlight w:val="none"/>
          <w:lang w:val="zh-CN"/>
        </w:rPr>
        <w:t>1.2 评价目的及原则</w:t>
      </w:r>
      <w:bookmarkEnd w:id="57"/>
      <w:bookmarkEnd w:id="58"/>
      <w:bookmarkEnd w:id="59"/>
      <w:bookmarkEnd w:id="60"/>
      <w:bookmarkEnd w:id="61"/>
      <w:bookmarkEnd w:id="62"/>
      <w:bookmarkEnd w:id="63"/>
      <w:bookmarkEnd w:id="64"/>
    </w:p>
    <w:p>
      <w:pPr>
        <w:pStyle w:val="5"/>
        <w:rPr>
          <w:rFonts w:hint="default"/>
          <w:highlight w:val="none"/>
        </w:rPr>
      </w:pPr>
      <w:bookmarkStart w:id="65" w:name="_Toc16649"/>
      <w:bookmarkStart w:id="66" w:name="_Toc6906"/>
      <w:bookmarkStart w:id="67" w:name="_Toc10800"/>
      <w:bookmarkStart w:id="68" w:name="_Toc4721"/>
      <w:bookmarkStart w:id="69" w:name="_Toc13041"/>
      <w:bookmarkStart w:id="70" w:name="_Toc26043"/>
      <w:r>
        <w:rPr>
          <w:rFonts w:hint="default"/>
          <w:highlight w:val="none"/>
        </w:rPr>
        <w:t>1.2.1评价目的</w:t>
      </w:r>
      <w:bookmarkEnd w:id="65"/>
      <w:bookmarkEnd w:id="66"/>
      <w:bookmarkEnd w:id="67"/>
      <w:bookmarkEnd w:id="68"/>
      <w:bookmarkEnd w:id="69"/>
      <w:bookmarkEnd w:id="70"/>
    </w:p>
    <w:p>
      <w:pPr>
        <w:ind w:firstLine="480"/>
        <w:rPr>
          <w:highlight w:val="none"/>
        </w:rPr>
      </w:pPr>
      <w:r>
        <w:rPr>
          <w:highlight w:val="none"/>
        </w:rPr>
        <w:t>通过对工程</w:t>
      </w:r>
      <w:r>
        <w:rPr>
          <w:rFonts w:hint="eastAsia"/>
          <w:highlight w:val="none"/>
          <w:lang w:eastAsia="zh-CN"/>
        </w:rPr>
        <w:t>评</w:t>
      </w:r>
      <w:r>
        <w:rPr>
          <w:highlight w:val="none"/>
        </w:rPr>
        <w:t>价范围内的自然、生态、环境质量现状进行调查、监测及分析评价，对项目建设带来的各种影响作定性或定量的预测分析，以期达到如下目标：</w:t>
      </w:r>
    </w:p>
    <w:p>
      <w:pPr>
        <w:ind w:firstLine="480"/>
        <w:rPr>
          <w:highlight w:val="none"/>
        </w:rPr>
      </w:pPr>
      <w:bookmarkStart w:id="71" w:name="_Toc7195"/>
      <w:r>
        <w:rPr>
          <w:highlight w:val="none"/>
        </w:rPr>
        <w:t>（1）对项目周围环境质量现状进行调查，了解项目所处区域的环境功能区划和当地环保要求。</w:t>
      </w:r>
    </w:p>
    <w:p>
      <w:pPr>
        <w:ind w:firstLine="480"/>
        <w:rPr>
          <w:highlight w:val="none"/>
        </w:rPr>
      </w:pPr>
      <w:r>
        <w:rPr>
          <w:highlight w:val="none"/>
        </w:rPr>
        <w:t>（2）核算项目产排污情况、污染物处置情况，评述开发利用方案等提出的污染控制措施的合理性和可行性。</w:t>
      </w:r>
    </w:p>
    <w:p>
      <w:pPr>
        <w:ind w:firstLine="480"/>
        <w:rPr>
          <w:highlight w:val="none"/>
        </w:rPr>
      </w:pPr>
      <w:r>
        <w:rPr>
          <w:highlight w:val="none"/>
        </w:rPr>
        <w:t>（</w:t>
      </w:r>
      <w:r>
        <w:rPr>
          <w:rFonts w:hint="eastAsia"/>
          <w:highlight w:val="none"/>
          <w:lang w:val="en-US" w:eastAsia="zh-CN"/>
        </w:rPr>
        <w:t>3</w:t>
      </w:r>
      <w:r>
        <w:rPr>
          <w:highlight w:val="none"/>
        </w:rPr>
        <w:t>）结合区域自然、社会环境特点，预测评价项目污染物排放对周围环境的影响范围和影响程度，判断其是否满足排放标准、环境质量标准要求</w:t>
      </w:r>
      <w:r>
        <w:rPr>
          <w:rFonts w:hint="eastAsia"/>
          <w:highlight w:val="none"/>
        </w:rPr>
        <w:t>。</w:t>
      </w:r>
    </w:p>
    <w:p>
      <w:pPr>
        <w:ind w:firstLine="480"/>
        <w:rPr>
          <w:highlight w:val="none"/>
        </w:rPr>
      </w:pPr>
      <w:r>
        <w:rPr>
          <w:highlight w:val="none"/>
        </w:rPr>
        <w:t>（</w:t>
      </w:r>
      <w:r>
        <w:rPr>
          <w:rFonts w:hint="eastAsia"/>
          <w:highlight w:val="none"/>
          <w:lang w:val="en-US" w:eastAsia="zh-CN"/>
        </w:rPr>
        <w:t>4</w:t>
      </w:r>
      <w:r>
        <w:rPr>
          <w:highlight w:val="none"/>
        </w:rPr>
        <w:t>）针对项目实施可能造成的生态破坏和水土流失，以及污染物对周围环境造成的环境问题，提出相应的保护环境、减缓和控制污染、恢复生态的对策、措施和建议。</w:t>
      </w:r>
    </w:p>
    <w:p>
      <w:pPr>
        <w:ind w:firstLine="480"/>
        <w:rPr>
          <w:highlight w:val="none"/>
        </w:rPr>
      </w:pPr>
      <w:r>
        <w:rPr>
          <w:highlight w:val="none"/>
        </w:rPr>
        <w:t>（</w:t>
      </w:r>
      <w:r>
        <w:rPr>
          <w:rFonts w:hint="eastAsia"/>
          <w:highlight w:val="none"/>
          <w:lang w:val="en-US" w:eastAsia="zh-CN"/>
        </w:rPr>
        <w:t>5</w:t>
      </w:r>
      <w:r>
        <w:rPr>
          <w:highlight w:val="none"/>
        </w:rPr>
        <w:t>）通过公众参与，了解项目所在地公众对项目建设的意见及要求。</w:t>
      </w:r>
    </w:p>
    <w:p>
      <w:pPr>
        <w:ind w:firstLine="480"/>
        <w:rPr>
          <w:highlight w:val="none"/>
        </w:rPr>
      </w:pPr>
      <w:r>
        <w:rPr>
          <w:highlight w:val="none"/>
        </w:rPr>
        <w:t>（</w:t>
      </w:r>
      <w:r>
        <w:rPr>
          <w:rFonts w:hint="eastAsia"/>
          <w:highlight w:val="none"/>
          <w:lang w:val="en-US" w:eastAsia="zh-CN"/>
        </w:rPr>
        <w:t>6</w:t>
      </w:r>
      <w:r>
        <w:rPr>
          <w:highlight w:val="none"/>
        </w:rPr>
        <w:t>）从环保法规、产业政策、环境特点、污染防治等方面综合分析，对项目的环境可行性做出明确结论，为环境保护主管部门决策及工程的环境管理提供科学依据。</w:t>
      </w:r>
    </w:p>
    <w:p>
      <w:pPr>
        <w:pStyle w:val="5"/>
        <w:rPr>
          <w:rFonts w:hint="default"/>
          <w:highlight w:val="none"/>
        </w:rPr>
      </w:pPr>
      <w:bookmarkStart w:id="72" w:name="_Toc31324"/>
      <w:bookmarkStart w:id="73" w:name="_Toc16828"/>
      <w:bookmarkStart w:id="74" w:name="_Toc19580"/>
      <w:bookmarkStart w:id="75" w:name="_Toc901"/>
      <w:bookmarkStart w:id="76" w:name="_Toc27567"/>
      <w:r>
        <w:rPr>
          <w:rFonts w:hint="default"/>
          <w:highlight w:val="none"/>
        </w:rPr>
        <w:t>1.2.2评价原则</w:t>
      </w:r>
      <w:bookmarkEnd w:id="71"/>
      <w:bookmarkEnd w:id="72"/>
      <w:bookmarkEnd w:id="73"/>
      <w:bookmarkEnd w:id="74"/>
      <w:bookmarkEnd w:id="75"/>
      <w:bookmarkEnd w:id="76"/>
    </w:p>
    <w:p>
      <w:pPr>
        <w:ind w:firstLine="480"/>
        <w:rPr>
          <w:highlight w:val="none"/>
        </w:rPr>
      </w:pPr>
      <w:r>
        <w:rPr>
          <w:highlight w:val="none"/>
        </w:rPr>
        <w:t>根据环评导则的技术要求、环境管理要求和工程区环境现状，确定本项目评价原则为：突出环境影响评价的源头预防作用，坚持保护和改善环境质量</w:t>
      </w:r>
      <w:r>
        <w:rPr>
          <w:rFonts w:hint="eastAsia"/>
          <w:highlight w:val="none"/>
          <w:lang w:eastAsia="zh-CN"/>
        </w:rPr>
        <w:t>，具体如下</w:t>
      </w:r>
      <w:r>
        <w:rPr>
          <w:highlight w:val="none"/>
        </w:rPr>
        <w:t>。</w:t>
      </w:r>
    </w:p>
    <w:p>
      <w:pPr>
        <w:ind w:firstLine="480"/>
        <w:rPr>
          <w:rFonts w:hint="eastAsia"/>
          <w:color w:val="auto"/>
          <w:highlight w:val="none"/>
          <w:lang w:eastAsia="zh-CN"/>
        </w:rPr>
      </w:pPr>
      <w:r>
        <w:rPr>
          <w:rFonts w:hint="eastAsia"/>
          <w:color w:val="auto"/>
          <w:highlight w:val="none"/>
          <w:lang w:eastAsia="zh-CN"/>
        </w:rPr>
        <w:t>（1）符合产业政策原则：项目建设应符合国家、地方相关产业政策等；</w:t>
      </w:r>
    </w:p>
    <w:p>
      <w:pPr>
        <w:ind w:firstLine="480"/>
        <w:rPr>
          <w:rFonts w:hint="eastAsia"/>
          <w:color w:val="auto"/>
          <w:highlight w:val="none"/>
          <w:lang w:eastAsia="zh-CN"/>
        </w:rPr>
      </w:pPr>
      <w:r>
        <w:rPr>
          <w:rFonts w:hint="eastAsia"/>
          <w:color w:val="auto"/>
          <w:highlight w:val="none"/>
          <w:lang w:eastAsia="zh-CN"/>
        </w:rPr>
        <w:t>（2）符合规划的原则：项目建设应符合相关规划等；</w:t>
      </w:r>
    </w:p>
    <w:p>
      <w:pPr>
        <w:ind w:firstLine="480"/>
        <w:rPr>
          <w:rFonts w:hint="eastAsia"/>
          <w:color w:val="auto"/>
          <w:highlight w:val="none"/>
          <w:lang w:eastAsia="zh-CN"/>
        </w:rPr>
      </w:pPr>
      <w:r>
        <w:rPr>
          <w:rFonts w:hint="eastAsia"/>
          <w:color w:val="auto"/>
          <w:highlight w:val="none"/>
          <w:lang w:eastAsia="zh-CN"/>
        </w:rPr>
        <w:t>（3）符合污染物达标排放原则：污染物的排放必须确保达到国家或地方规定的污染物排放标准；</w:t>
      </w:r>
    </w:p>
    <w:p>
      <w:pPr>
        <w:ind w:firstLine="480"/>
        <w:rPr>
          <w:rFonts w:hint="eastAsia"/>
          <w:color w:val="auto"/>
          <w:highlight w:val="none"/>
          <w:lang w:eastAsia="zh-CN"/>
        </w:rPr>
      </w:pPr>
      <w:r>
        <w:rPr>
          <w:rFonts w:hint="eastAsia"/>
          <w:color w:val="auto"/>
          <w:highlight w:val="none"/>
          <w:lang w:eastAsia="zh-CN"/>
        </w:rPr>
        <w:t>（4）符合与生态环境相协调和可持续发展的原则：项目规划、设计应与生态环境相协调，不严重损害当地生态环境；</w:t>
      </w:r>
    </w:p>
    <w:p>
      <w:pPr>
        <w:ind w:firstLine="480"/>
        <w:rPr>
          <w:rFonts w:hint="eastAsia"/>
          <w:color w:val="auto"/>
          <w:highlight w:val="none"/>
          <w:lang w:eastAsia="zh-CN"/>
        </w:rPr>
      </w:pPr>
      <w:r>
        <w:rPr>
          <w:rFonts w:hint="eastAsia"/>
          <w:color w:val="auto"/>
          <w:highlight w:val="none"/>
          <w:lang w:eastAsia="zh-CN"/>
        </w:rPr>
        <w:t>（5）符合环境功能要求原则：项目建设对环境的影响不能导致当地环境功能的降低；</w:t>
      </w:r>
    </w:p>
    <w:p>
      <w:pPr>
        <w:ind w:firstLine="480"/>
        <w:rPr>
          <w:rFonts w:hint="eastAsia"/>
          <w:color w:val="auto"/>
          <w:highlight w:val="none"/>
          <w:lang w:eastAsia="zh-CN"/>
        </w:rPr>
      </w:pPr>
      <w:r>
        <w:rPr>
          <w:rFonts w:hint="eastAsia"/>
          <w:color w:val="auto"/>
          <w:highlight w:val="none"/>
          <w:lang w:eastAsia="zh-CN"/>
        </w:rPr>
        <w:t>（6）符合总量控制的原则：建设项目应符合地方总量控制的要求；</w:t>
      </w:r>
    </w:p>
    <w:p>
      <w:pPr>
        <w:ind w:firstLine="48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7</w:t>
      </w:r>
      <w:r>
        <w:rPr>
          <w:rFonts w:hint="eastAsia"/>
          <w:color w:val="auto"/>
          <w:highlight w:val="none"/>
          <w:lang w:eastAsia="zh-CN"/>
        </w:rPr>
        <w:t>）防范环境风险原则：项目建设应将发生环境风险排放事故的可能性降到最低，并有切实可行的环境风险事故应急预案，使风险事故时的环境破坏程度降到可接受水平。</w:t>
      </w:r>
    </w:p>
    <w:p>
      <w:pPr>
        <w:ind w:firstLine="48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8</w:t>
      </w:r>
      <w:r>
        <w:rPr>
          <w:rFonts w:hint="eastAsia"/>
          <w:color w:val="auto"/>
          <w:highlight w:val="none"/>
          <w:lang w:eastAsia="zh-CN"/>
        </w:rPr>
        <w:t>）符合公众参与原则：项目建设应为社会公众所接受。</w:t>
      </w:r>
    </w:p>
    <w:p>
      <w:pPr>
        <w:ind w:firstLine="480"/>
        <w:rPr>
          <w:rFonts w:hint="eastAsia" w:eastAsia="宋体"/>
          <w:color w:val="auto"/>
          <w:highlight w:val="none"/>
          <w:lang w:eastAsia="zh-CN"/>
        </w:rPr>
      </w:pPr>
    </w:p>
    <w:p>
      <w:pPr>
        <w:ind w:left="0" w:leftChars="0" w:firstLine="0" w:firstLineChars="0"/>
        <w:rPr>
          <w:color w:val="auto"/>
          <w:highlight w:val="none"/>
        </w:rPr>
        <w:sectPr>
          <w:pgSz w:w="11911" w:h="16838"/>
          <w:pgMar w:top="1417" w:right="1417" w:bottom="1417" w:left="1417" w:header="879" w:footer="952" w:gutter="0"/>
          <w:pgBorders>
            <w:top w:val="none" w:sz="0" w:space="0"/>
            <w:left w:val="none" w:sz="0" w:space="0"/>
            <w:bottom w:val="none" w:sz="0" w:space="0"/>
            <w:right w:val="none" w:sz="0" w:space="0"/>
          </w:pgBorders>
          <w:pgNumType w:fmt="decimal"/>
          <w:cols w:space="720" w:num="1"/>
          <w:docGrid w:linePitch="312" w:charSpace="0"/>
        </w:sectPr>
      </w:pPr>
    </w:p>
    <w:p>
      <w:pPr>
        <w:pStyle w:val="4"/>
        <w:rPr>
          <w:highlight w:val="none"/>
          <w:lang w:val="zh-CN"/>
        </w:rPr>
      </w:pPr>
      <w:bookmarkStart w:id="77" w:name="_Toc17163"/>
      <w:r>
        <w:rPr>
          <w:highlight w:val="none"/>
          <w:lang w:val="zh-CN"/>
        </w:rPr>
        <w:t>1.3评价时段和评价重点</w:t>
      </w:r>
      <w:bookmarkEnd w:id="77"/>
    </w:p>
    <w:p>
      <w:pPr>
        <w:pStyle w:val="5"/>
        <w:rPr>
          <w:rFonts w:hint="default"/>
          <w:sz w:val="17"/>
          <w:szCs w:val="17"/>
          <w:highlight w:val="none"/>
        </w:rPr>
      </w:pPr>
      <w:bookmarkStart w:id="78" w:name="_Toc4993"/>
      <w:r>
        <w:rPr>
          <w:highlight w:val="none"/>
        </w:rPr>
        <w:t>1.3.1</w:t>
      </w:r>
      <w:r>
        <w:rPr>
          <w:rFonts w:hint="default"/>
          <w:highlight w:val="none"/>
        </w:rPr>
        <w:t>评价时段</w:t>
      </w:r>
      <w:bookmarkEnd w:id="78"/>
    </w:p>
    <w:p>
      <w:pPr>
        <w:pStyle w:val="2"/>
        <w:ind w:firstLine="480"/>
        <w:rPr>
          <w:sz w:val="28"/>
          <w:szCs w:val="28"/>
          <w:highlight w:val="none"/>
        </w:rPr>
      </w:pPr>
      <w:r>
        <w:rPr>
          <w:highlight w:val="none"/>
        </w:rPr>
        <w:t>评价时段为施工期、运营期、闭矿期，评价重点时段为运营期。</w:t>
      </w:r>
    </w:p>
    <w:p>
      <w:pPr>
        <w:pStyle w:val="5"/>
        <w:rPr>
          <w:rFonts w:hint="default"/>
          <w:sz w:val="17"/>
          <w:szCs w:val="17"/>
          <w:highlight w:val="none"/>
        </w:rPr>
      </w:pPr>
      <w:bookmarkStart w:id="79" w:name="_Toc18735"/>
      <w:r>
        <w:rPr>
          <w:highlight w:val="none"/>
        </w:rPr>
        <w:t>1.3.2</w:t>
      </w:r>
      <w:r>
        <w:rPr>
          <w:rFonts w:hint="default"/>
          <w:highlight w:val="none"/>
        </w:rPr>
        <w:t>评价重点</w:t>
      </w:r>
      <w:bookmarkEnd w:id="79"/>
    </w:p>
    <w:p>
      <w:pPr>
        <w:pStyle w:val="2"/>
        <w:ind w:right="238" w:firstLine="480"/>
        <w:rPr>
          <w:color w:val="auto"/>
          <w:sz w:val="18"/>
          <w:szCs w:val="18"/>
          <w:highlight w:val="none"/>
        </w:rPr>
      </w:pPr>
      <w:r>
        <w:rPr>
          <w:highlight w:val="none"/>
        </w:rPr>
        <w:t>根据</w:t>
      </w:r>
      <w:r>
        <w:rPr>
          <w:color w:val="auto"/>
          <w:highlight w:val="none"/>
        </w:rPr>
        <w:t>本项目的污染物排放特点</w:t>
      </w:r>
      <w:r>
        <w:rPr>
          <w:color w:val="auto"/>
          <w:spacing w:val="-46"/>
          <w:highlight w:val="none"/>
        </w:rPr>
        <w:t>，</w:t>
      </w:r>
      <w:r>
        <w:rPr>
          <w:color w:val="auto"/>
          <w:highlight w:val="none"/>
        </w:rPr>
        <w:t>结合项目所在地环境特征等因素</w:t>
      </w:r>
      <w:r>
        <w:rPr>
          <w:color w:val="auto"/>
          <w:spacing w:val="-44"/>
          <w:highlight w:val="none"/>
        </w:rPr>
        <w:t>，</w:t>
      </w:r>
      <w:r>
        <w:rPr>
          <w:color w:val="auto"/>
          <w:highlight w:val="none"/>
        </w:rPr>
        <w:t>确定本项目的评价重点为</w:t>
      </w:r>
      <w:r>
        <w:rPr>
          <w:color w:val="auto"/>
          <w:spacing w:val="-22"/>
          <w:highlight w:val="none"/>
        </w:rPr>
        <w:t>：</w:t>
      </w:r>
      <w:r>
        <w:rPr>
          <w:color w:val="auto"/>
          <w:highlight w:val="none"/>
        </w:rPr>
        <w:t>工程分析</w:t>
      </w:r>
      <w:r>
        <w:rPr>
          <w:color w:val="auto"/>
          <w:spacing w:val="-24"/>
          <w:highlight w:val="none"/>
        </w:rPr>
        <w:t>、</w:t>
      </w:r>
      <w:r>
        <w:rPr>
          <w:color w:val="auto"/>
          <w:highlight w:val="none"/>
        </w:rPr>
        <w:t>声环境影响分析</w:t>
      </w:r>
      <w:r>
        <w:rPr>
          <w:color w:val="auto"/>
          <w:spacing w:val="-22"/>
          <w:highlight w:val="none"/>
        </w:rPr>
        <w:t>、</w:t>
      </w:r>
      <w:r>
        <w:rPr>
          <w:color w:val="auto"/>
          <w:highlight w:val="none"/>
        </w:rPr>
        <w:t>大气环境影响分析</w:t>
      </w:r>
      <w:r>
        <w:rPr>
          <w:color w:val="auto"/>
          <w:spacing w:val="-22"/>
          <w:highlight w:val="none"/>
        </w:rPr>
        <w:t>、</w:t>
      </w:r>
      <w:r>
        <w:rPr>
          <w:color w:val="auto"/>
          <w:highlight w:val="none"/>
        </w:rPr>
        <w:t>生态环境影响分析</w:t>
      </w:r>
      <w:r>
        <w:rPr>
          <w:rFonts w:hint="eastAsia"/>
          <w:color w:val="auto"/>
          <w:highlight w:val="none"/>
          <w:lang w:eastAsia="zh-CN"/>
        </w:rPr>
        <w:t>、地表水环境影响分析、环境风险响分析</w:t>
      </w:r>
      <w:r>
        <w:rPr>
          <w:color w:val="auto"/>
          <w:highlight w:val="none"/>
        </w:rPr>
        <w:t>，其余作一般环境影响分析。</w:t>
      </w:r>
    </w:p>
    <w:p>
      <w:pPr>
        <w:pStyle w:val="4"/>
        <w:rPr>
          <w:highlight w:val="none"/>
          <w:lang w:val="zh-CN"/>
        </w:rPr>
      </w:pPr>
      <w:bookmarkStart w:id="80" w:name="_Toc29414"/>
      <w:r>
        <w:rPr>
          <w:highlight w:val="none"/>
          <w:lang w:val="zh-CN"/>
        </w:rPr>
        <w:t>1.4环境影响要素识别和评价因子筛选</w:t>
      </w:r>
      <w:bookmarkEnd w:id="80"/>
    </w:p>
    <w:p>
      <w:pPr>
        <w:pStyle w:val="5"/>
        <w:rPr>
          <w:rFonts w:hint="default"/>
          <w:highlight w:val="none"/>
        </w:rPr>
      </w:pPr>
      <w:bookmarkStart w:id="81" w:name="_Toc5546"/>
      <w:r>
        <w:rPr>
          <w:rFonts w:hint="default"/>
          <w:highlight w:val="none"/>
        </w:rPr>
        <w:t>1.4.1 环境影响要素识别</w:t>
      </w:r>
      <w:bookmarkEnd w:id="81"/>
    </w:p>
    <w:p>
      <w:pPr>
        <w:pStyle w:val="2"/>
        <w:ind w:right="238" w:firstLine="480"/>
        <w:rPr>
          <w:highlight w:val="none"/>
        </w:rPr>
      </w:pPr>
      <w:r>
        <w:rPr>
          <w:highlight w:val="none"/>
        </w:rPr>
        <w:t>通过对项目污染物排放情况的调查、了解，分析其对大气环境、声环境、水环境、生态环境可能产生的影响，建立了主要环境影响因素识别矩阵，详见表</w:t>
      </w:r>
      <w:r>
        <w:rPr>
          <w:rFonts w:hint="eastAsia"/>
          <w:highlight w:val="none"/>
        </w:rPr>
        <w:t>1-1</w:t>
      </w:r>
      <w:r>
        <w:rPr>
          <w:highlight w:val="none"/>
        </w:rPr>
        <w:t>。</w:t>
      </w:r>
    </w:p>
    <w:p>
      <w:pPr>
        <w:tabs>
          <w:tab w:val="left" w:pos="1329"/>
        </w:tabs>
        <w:spacing w:before="41"/>
        <w:ind w:right="522" w:firstLine="422"/>
        <w:jc w:val="center"/>
        <w:rPr>
          <w:b/>
          <w:bCs/>
          <w:sz w:val="21"/>
          <w:szCs w:val="21"/>
          <w:highlight w:val="none"/>
        </w:rPr>
      </w:pPr>
      <w:r>
        <w:rPr>
          <w:b/>
          <w:bCs/>
          <w:sz w:val="21"/>
          <w:szCs w:val="21"/>
          <w:highlight w:val="none"/>
        </w:rPr>
        <w:t>表</w:t>
      </w:r>
      <w:r>
        <w:rPr>
          <w:b/>
          <w:bCs/>
          <w:spacing w:val="-60"/>
          <w:sz w:val="21"/>
          <w:szCs w:val="21"/>
          <w:highlight w:val="none"/>
        </w:rPr>
        <w:t xml:space="preserve"> </w:t>
      </w:r>
      <w:r>
        <w:rPr>
          <w:rFonts w:eastAsia="Times New Roman"/>
          <w:b/>
          <w:bCs/>
          <w:sz w:val="21"/>
          <w:szCs w:val="21"/>
          <w:highlight w:val="none"/>
        </w:rPr>
        <w:t>1</w:t>
      </w:r>
      <w:r>
        <w:rPr>
          <w:rFonts w:eastAsia="Times New Roman"/>
          <w:b/>
          <w:bCs/>
          <w:spacing w:val="-1"/>
          <w:sz w:val="21"/>
          <w:szCs w:val="21"/>
          <w:highlight w:val="none"/>
        </w:rPr>
        <w:t>-</w:t>
      </w:r>
      <w:r>
        <w:rPr>
          <w:rFonts w:eastAsia="Times New Roman"/>
          <w:b/>
          <w:bCs/>
          <w:sz w:val="21"/>
          <w:szCs w:val="21"/>
          <w:highlight w:val="none"/>
        </w:rPr>
        <w:t>1</w:t>
      </w:r>
      <w:r>
        <w:rPr>
          <w:b/>
          <w:bCs/>
          <w:sz w:val="21"/>
          <w:szCs w:val="21"/>
          <w:highlight w:val="none"/>
        </w:rPr>
        <w:t>主</w:t>
      </w:r>
      <w:r>
        <w:rPr>
          <w:b/>
          <w:bCs/>
          <w:spacing w:val="2"/>
          <w:sz w:val="21"/>
          <w:szCs w:val="21"/>
          <w:highlight w:val="none"/>
        </w:rPr>
        <w:t>要</w:t>
      </w:r>
      <w:r>
        <w:rPr>
          <w:b/>
          <w:bCs/>
          <w:sz w:val="21"/>
          <w:szCs w:val="21"/>
          <w:highlight w:val="none"/>
        </w:rPr>
        <w:t>环</w:t>
      </w:r>
      <w:r>
        <w:rPr>
          <w:b/>
          <w:bCs/>
          <w:spacing w:val="2"/>
          <w:sz w:val="21"/>
          <w:szCs w:val="21"/>
          <w:highlight w:val="none"/>
        </w:rPr>
        <w:t>境</w:t>
      </w:r>
      <w:r>
        <w:rPr>
          <w:b/>
          <w:bCs/>
          <w:sz w:val="21"/>
          <w:szCs w:val="21"/>
          <w:highlight w:val="none"/>
        </w:rPr>
        <w:t>影响</w:t>
      </w:r>
      <w:r>
        <w:rPr>
          <w:b/>
          <w:bCs/>
          <w:spacing w:val="2"/>
          <w:sz w:val="21"/>
          <w:szCs w:val="21"/>
          <w:highlight w:val="none"/>
        </w:rPr>
        <w:t>因</w:t>
      </w:r>
      <w:r>
        <w:rPr>
          <w:b/>
          <w:bCs/>
          <w:sz w:val="21"/>
          <w:szCs w:val="21"/>
          <w:highlight w:val="none"/>
        </w:rPr>
        <w:t>素</w:t>
      </w:r>
      <w:r>
        <w:rPr>
          <w:b/>
          <w:bCs/>
          <w:spacing w:val="2"/>
          <w:sz w:val="21"/>
          <w:szCs w:val="21"/>
          <w:highlight w:val="none"/>
        </w:rPr>
        <w:t>识</w:t>
      </w:r>
      <w:r>
        <w:rPr>
          <w:b/>
          <w:bCs/>
          <w:sz w:val="21"/>
          <w:szCs w:val="21"/>
          <w:highlight w:val="none"/>
        </w:rPr>
        <w:t>别矩阵</w:t>
      </w:r>
    </w:p>
    <w:tbl>
      <w:tblPr>
        <w:tblStyle w:val="29"/>
        <w:tblW w:w="8505" w:type="dxa"/>
        <w:jc w:val="center"/>
        <w:tblLayout w:type="fixed"/>
        <w:tblCellMar>
          <w:top w:w="0" w:type="dxa"/>
          <w:left w:w="0" w:type="dxa"/>
          <w:bottom w:w="0" w:type="dxa"/>
          <w:right w:w="0" w:type="dxa"/>
        </w:tblCellMar>
      </w:tblPr>
      <w:tblGrid>
        <w:gridCol w:w="1896"/>
        <w:gridCol w:w="1812"/>
        <w:gridCol w:w="1453"/>
        <w:gridCol w:w="1454"/>
        <w:gridCol w:w="1890"/>
      </w:tblGrid>
      <w:tr>
        <w:tblPrEx>
          <w:tblCellMar>
            <w:top w:w="0" w:type="dxa"/>
            <w:left w:w="0" w:type="dxa"/>
            <w:bottom w:w="0" w:type="dxa"/>
            <w:right w:w="0" w:type="dxa"/>
          </w:tblCellMar>
        </w:tblPrEx>
        <w:trPr>
          <w:cantSplit/>
          <w:jc w:val="center"/>
        </w:trPr>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4"/>
              <w:ind w:firstLine="0" w:firstLineChars="0"/>
              <w:jc w:val="center"/>
              <w:rPr>
                <w:b/>
                <w:bCs/>
                <w:sz w:val="21"/>
                <w:szCs w:val="21"/>
                <w:highlight w:val="none"/>
              </w:rPr>
            </w:pPr>
            <w:r>
              <w:rPr>
                <w:b/>
                <w:bCs/>
                <w:sz w:val="21"/>
                <w:highlight w:val="none"/>
                <w:lang w:val="en-US" w:bidi="ar-SA"/>
              </w:rPr>
              <mc:AlternateContent>
                <mc:Choice Requires="wps">
                  <w:drawing>
                    <wp:anchor distT="0" distB="0" distL="114300" distR="114300" simplePos="0" relativeHeight="251625472" behindDoc="0" locked="0" layoutInCell="1" allowOverlap="1">
                      <wp:simplePos x="0" y="0"/>
                      <wp:positionH relativeFrom="column">
                        <wp:posOffset>3810</wp:posOffset>
                      </wp:positionH>
                      <wp:positionV relativeFrom="paragraph">
                        <wp:posOffset>6985</wp:posOffset>
                      </wp:positionV>
                      <wp:extent cx="1200150" cy="504825"/>
                      <wp:effectExtent l="0" t="0" r="19050" b="28575"/>
                      <wp:wrapNone/>
                      <wp:docPr id="125" name="直接连接符 14"/>
                      <wp:cNvGraphicFramePr/>
                      <a:graphic xmlns:a="http://schemas.openxmlformats.org/drawingml/2006/main">
                        <a:graphicData uri="http://schemas.microsoft.com/office/word/2010/wordprocessingShape">
                          <wps:wsp>
                            <wps:cNvCnPr/>
                            <wps:spPr>
                              <a:xfrm>
                                <a:off x="0" y="0"/>
                                <a:ext cx="1200150" cy="504825"/>
                              </a:xfrm>
                              <a:prstGeom prst="line">
                                <a:avLst/>
                              </a:prstGeom>
                              <a:noFill/>
                              <a:ln w="6350" cap="flat" cmpd="sng" algn="ctr">
                                <a:solidFill>
                                  <a:srgbClr val="000000"/>
                                </a:solidFill>
                                <a:prstDash val="solid"/>
                                <a:miter lim="800000"/>
                              </a:ln>
                            </wps:spPr>
                            <wps:bodyPr/>
                          </wps:wsp>
                        </a:graphicData>
                      </a:graphic>
                    </wp:anchor>
                  </w:drawing>
                </mc:Choice>
                <mc:Fallback>
                  <w:pict>
                    <v:line id="直接连接符 14" o:spid="_x0000_s1026" o:spt="20" style="position:absolute;left:0pt;margin-left:0.3pt;margin-top:0.55pt;height:39.75pt;width:94.5pt;z-index:251625472;mso-width-relative:page;mso-height-relative:page;" filled="f" stroked="t" coordsize="21600,21600" o:gfxdata="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UQ86o9EAAAAFAQAA&#10;DwAAAAAAAAABACAAAAAiAAAAZHJzL2Rvd25yZXYueG1sUEsBAhQAFAAAAAgAh07iQGqpuo7nAQAA&#10;uQMAAA4AAAAAAAAAAQAgAAAAIAEAAGRycy9lMm9Eb2MueG1sUEsFBgAAAAAGAAYAWQEAAHkFAAAA&#10;AA==&#10;">
                      <v:fill on="f" focussize="0,0"/>
                      <v:stroke weight="0.5pt" color="#000000" miterlimit="8" joinstyle="miter"/>
                      <v:imagedata o:title=""/>
                      <o:lock v:ext="edit" aspectratio="f"/>
                    </v:line>
                  </w:pict>
                </mc:Fallback>
              </mc:AlternateContent>
            </w:r>
            <w:r>
              <w:rPr>
                <w:rFonts w:hint="eastAsia"/>
                <w:b/>
                <w:bCs/>
                <w:sz w:val="21"/>
                <w:szCs w:val="21"/>
                <w:highlight w:val="none"/>
                <w:lang w:val="en-US"/>
              </w:rPr>
              <w:t xml:space="preserve">         </w:t>
            </w:r>
            <w:r>
              <w:rPr>
                <w:rFonts w:hint="eastAsia"/>
                <w:b/>
                <w:bCs/>
                <w:sz w:val="21"/>
                <w:szCs w:val="21"/>
                <w:highlight w:val="none"/>
              </w:rPr>
              <w:t>环境因素</w:t>
            </w:r>
          </w:p>
          <w:p>
            <w:pPr>
              <w:pStyle w:val="114"/>
              <w:ind w:firstLine="0" w:firstLineChars="0"/>
              <w:jc w:val="both"/>
              <w:rPr>
                <w:b/>
                <w:bCs/>
                <w:sz w:val="21"/>
                <w:szCs w:val="21"/>
                <w:highlight w:val="none"/>
              </w:rPr>
            </w:pPr>
            <w:r>
              <w:rPr>
                <w:rFonts w:hint="eastAsia"/>
                <w:b/>
                <w:bCs/>
                <w:sz w:val="21"/>
                <w:szCs w:val="21"/>
                <w:highlight w:val="none"/>
              </w:rPr>
              <w:t>工程行为</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4"/>
              <w:ind w:firstLine="0" w:firstLineChars="0"/>
              <w:jc w:val="center"/>
              <w:rPr>
                <w:b/>
                <w:bCs/>
                <w:sz w:val="21"/>
                <w:szCs w:val="21"/>
                <w:highlight w:val="none"/>
              </w:rPr>
            </w:pPr>
            <w:r>
              <w:rPr>
                <w:rFonts w:hint="eastAsia"/>
                <w:b/>
                <w:bCs/>
                <w:spacing w:val="-1"/>
                <w:sz w:val="21"/>
                <w:szCs w:val="21"/>
                <w:highlight w:val="none"/>
              </w:rPr>
              <w:t>大</w:t>
            </w:r>
            <w:r>
              <w:rPr>
                <w:rFonts w:hint="eastAsia"/>
                <w:b/>
                <w:bCs/>
                <w:spacing w:val="2"/>
                <w:sz w:val="21"/>
                <w:szCs w:val="21"/>
                <w:highlight w:val="none"/>
              </w:rPr>
              <w:t>气</w:t>
            </w:r>
            <w:r>
              <w:rPr>
                <w:rFonts w:hint="eastAsia"/>
                <w:b/>
                <w:bCs/>
                <w:spacing w:val="-1"/>
                <w:sz w:val="21"/>
                <w:szCs w:val="21"/>
                <w:highlight w:val="none"/>
              </w:rPr>
              <w:t>质</w:t>
            </w:r>
            <w:r>
              <w:rPr>
                <w:rFonts w:hint="eastAsia"/>
                <w:b/>
                <w:bCs/>
                <w:sz w:val="21"/>
                <w:szCs w:val="21"/>
                <w:highlight w:val="none"/>
              </w:rPr>
              <w:t>量</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4"/>
              <w:ind w:firstLine="0" w:firstLineChars="0"/>
              <w:jc w:val="center"/>
              <w:rPr>
                <w:b/>
                <w:bCs/>
                <w:sz w:val="21"/>
                <w:szCs w:val="21"/>
                <w:highlight w:val="none"/>
              </w:rPr>
            </w:pPr>
            <w:r>
              <w:rPr>
                <w:rFonts w:hint="eastAsia"/>
                <w:b/>
                <w:bCs/>
                <w:spacing w:val="-1"/>
                <w:sz w:val="21"/>
                <w:szCs w:val="21"/>
                <w:highlight w:val="none"/>
              </w:rPr>
              <w:t>水</w:t>
            </w:r>
            <w:r>
              <w:rPr>
                <w:rFonts w:hint="eastAsia"/>
                <w:b/>
                <w:bCs/>
                <w:spacing w:val="2"/>
                <w:sz w:val="21"/>
                <w:szCs w:val="21"/>
                <w:highlight w:val="none"/>
              </w:rPr>
              <w:t>环</w:t>
            </w:r>
            <w:r>
              <w:rPr>
                <w:rFonts w:hint="eastAsia"/>
                <w:b/>
                <w:bCs/>
                <w:sz w:val="21"/>
                <w:szCs w:val="21"/>
                <w:highlight w:val="none"/>
              </w:rPr>
              <w:t>境</w:t>
            </w:r>
          </w:p>
        </w:tc>
        <w:tc>
          <w:tcPr>
            <w:tcW w:w="145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4"/>
              <w:ind w:firstLine="0" w:firstLineChars="0"/>
              <w:jc w:val="center"/>
              <w:rPr>
                <w:b/>
                <w:bCs/>
                <w:spacing w:val="2"/>
                <w:sz w:val="21"/>
                <w:szCs w:val="21"/>
                <w:highlight w:val="none"/>
              </w:rPr>
            </w:pPr>
            <w:r>
              <w:rPr>
                <w:rFonts w:hint="eastAsia"/>
                <w:b/>
                <w:bCs/>
                <w:spacing w:val="2"/>
                <w:sz w:val="21"/>
                <w:szCs w:val="21"/>
                <w:highlight w:val="none"/>
              </w:rPr>
              <w:t>声环境</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4"/>
              <w:ind w:firstLine="0" w:firstLineChars="0"/>
              <w:jc w:val="center"/>
              <w:rPr>
                <w:b/>
                <w:bCs/>
                <w:spacing w:val="2"/>
                <w:sz w:val="21"/>
                <w:szCs w:val="21"/>
                <w:highlight w:val="none"/>
              </w:rPr>
            </w:pPr>
            <w:r>
              <w:rPr>
                <w:rFonts w:hint="eastAsia"/>
                <w:b/>
                <w:bCs/>
                <w:spacing w:val="2"/>
                <w:sz w:val="21"/>
                <w:szCs w:val="21"/>
                <w:highlight w:val="none"/>
              </w:rPr>
              <w:t>生态环境</w:t>
            </w:r>
          </w:p>
          <w:p>
            <w:pPr>
              <w:pStyle w:val="114"/>
              <w:ind w:firstLine="0" w:firstLineChars="0"/>
              <w:jc w:val="center"/>
              <w:rPr>
                <w:b/>
                <w:bCs/>
                <w:spacing w:val="2"/>
                <w:sz w:val="21"/>
                <w:szCs w:val="21"/>
                <w:highlight w:val="none"/>
              </w:rPr>
            </w:pPr>
            <w:r>
              <w:rPr>
                <w:rFonts w:hint="eastAsia"/>
                <w:b/>
                <w:bCs/>
                <w:spacing w:val="2"/>
                <w:sz w:val="21"/>
                <w:szCs w:val="21"/>
                <w:highlight w:val="none"/>
              </w:rPr>
              <w:t>（包括水土保持）</w:t>
            </w:r>
          </w:p>
        </w:tc>
      </w:tr>
      <w:tr>
        <w:tblPrEx>
          <w:tblCellMar>
            <w:top w:w="0" w:type="dxa"/>
            <w:left w:w="0" w:type="dxa"/>
            <w:bottom w:w="0" w:type="dxa"/>
            <w:right w:w="0" w:type="dxa"/>
          </w:tblCellMar>
        </w:tblPrEx>
        <w:trPr>
          <w:cantSplit/>
          <w:jc w:val="center"/>
        </w:trPr>
        <w:tc>
          <w:tcPr>
            <w:tcW w:w="1896" w:type="dxa"/>
            <w:tcBorders>
              <w:top w:val="single" w:color="000000" w:sz="4" w:space="0"/>
              <w:left w:val="single" w:color="000000" w:sz="4" w:space="0"/>
              <w:bottom w:val="single" w:color="000000" w:sz="4" w:space="0"/>
              <w:right w:val="single" w:color="000000" w:sz="4" w:space="0"/>
            </w:tcBorders>
            <w:vAlign w:val="center"/>
          </w:tcPr>
          <w:p>
            <w:pPr>
              <w:pStyle w:val="114"/>
              <w:spacing w:before="9"/>
              <w:ind w:firstLine="0" w:firstLineChars="0"/>
              <w:jc w:val="center"/>
              <w:rPr>
                <w:sz w:val="21"/>
                <w:szCs w:val="21"/>
                <w:highlight w:val="none"/>
              </w:rPr>
            </w:pPr>
            <w:r>
              <w:rPr>
                <w:rFonts w:hint="eastAsia"/>
                <w:spacing w:val="-1"/>
                <w:sz w:val="21"/>
                <w:szCs w:val="21"/>
                <w:highlight w:val="none"/>
              </w:rPr>
              <w:t>表</w:t>
            </w:r>
            <w:r>
              <w:rPr>
                <w:rFonts w:hint="eastAsia"/>
                <w:spacing w:val="2"/>
                <w:sz w:val="21"/>
                <w:szCs w:val="21"/>
                <w:highlight w:val="none"/>
              </w:rPr>
              <w:t>土</w:t>
            </w:r>
            <w:r>
              <w:rPr>
                <w:rFonts w:hint="eastAsia"/>
                <w:spacing w:val="-1"/>
                <w:sz w:val="21"/>
                <w:szCs w:val="21"/>
                <w:highlight w:val="none"/>
              </w:rPr>
              <w:t>剥</w:t>
            </w:r>
            <w:r>
              <w:rPr>
                <w:rFonts w:hint="eastAsia"/>
                <w:sz w:val="21"/>
                <w:szCs w:val="21"/>
                <w:highlight w:val="none"/>
              </w:rPr>
              <w:t>离</w:t>
            </w:r>
          </w:p>
        </w:tc>
        <w:tc>
          <w:tcPr>
            <w:tcW w:w="1812" w:type="dxa"/>
            <w:tcBorders>
              <w:top w:val="single" w:color="000000" w:sz="4" w:space="0"/>
              <w:left w:val="single" w:color="000000" w:sz="4" w:space="0"/>
              <w:bottom w:val="single" w:color="000000" w:sz="4" w:space="0"/>
              <w:right w:val="single" w:color="000000" w:sz="4" w:space="0"/>
            </w:tcBorders>
            <w:vAlign w:val="center"/>
          </w:tcPr>
          <w:p>
            <w:pPr>
              <w:pStyle w:val="114"/>
              <w:spacing w:before="9"/>
              <w:ind w:right="777" w:firstLine="0" w:firstLineChars="0"/>
              <w:jc w:val="center"/>
              <w:rPr>
                <w:sz w:val="21"/>
                <w:szCs w:val="21"/>
                <w:highlight w:val="none"/>
              </w:rPr>
            </w:pPr>
            <w:r>
              <w:rPr>
                <w:rFonts w:hint="eastAsia"/>
                <w:sz w:val="21"/>
                <w:szCs w:val="21"/>
                <w:highlight w:val="none"/>
                <w:lang w:val="en-US"/>
              </w:rPr>
              <w:t xml:space="preserve">       </w:t>
            </w:r>
            <w:r>
              <w:rPr>
                <w:rFonts w:hint="eastAsia"/>
                <w:sz w:val="21"/>
                <w:szCs w:val="21"/>
                <w:highlight w:val="none"/>
              </w:rPr>
              <w:t>☆</w:t>
            </w:r>
          </w:p>
        </w:tc>
        <w:tc>
          <w:tcPr>
            <w:tcW w:w="1453" w:type="dxa"/>
            <w:tcBorders>
              <w:top w:val="single" w:color="000000" w:sz="4" w:space="0"/>
              <w:left w:val="single" w:color="000000" w:sz="4" w:space="0"/>
              <w:bottom w:val="single" w:color="000000" w:sz="4" w:space="0"/>
              <w:right w:val="single" w:color="000000" w:sz="4" w:space="0"/>
            </w:tcBorders>
            <w:vAlign w:val="center"/>
          </w:tcPr>
          <w:p>
            <w:pPr>
              <w:pStyle w:val="114"/>
              <w:spacing w:before="9"/>
              <w:ind w:firstLine="0" w:firstLineChars="0"/>
              <w:jc w:val="center"/>
              <w:rPr>
                <w:spacing w:val="-1"/>
                <w:sz w:val="21"/>
                <w:szCs w:val="21"/>
                <w:highlight w:val="none"/>
              </w:rPr>
            </w:pPr>
            <w:r>
              <w:rPr>
                <w:rFonts w:hint="eastAsia"/>
                <w:spacing w:val="-1"/>
                <w:sz w:val="21"/>
                <w:szCs w:val="21"/>
                <w:highlight w:val="none"/>
              </w:rPr>
              <w:t>☆</w:t>
            </w:r>
          </w:p>
        </w:tc>
        <w:tc>
          <w:tcPr>
            <w:tcW w:w="1454" w:type="dxa"/>
            <w:tcBorders>
              <w:top w:val="single" w:color="000000" w:sz="4" w:space="0"/>
              <w:left w:val="single" w:color="000000" w:sz="4" w:space="0"/>
              <w:bottom w:val="single" w:color="000000" w:sz="4" w:space="0"/>
              <w:right w:val="single" w:color="000000" w:sz="4" w:space="0"/>
            </w:tcBorders>
            <w:vAlign w:val="center"/>
          </w:tcPr>
          <w:p>
            <w:pPr>
              <w:pStyle w:val="114"/>
              <w:spacing w:before="9"/>
              <w:ind w:firstLine="0" w:firstLineChars="0"/>
              <w:jc w:val="center"/>
              <w:rPr>
                <w:spacing w:val="-1"/>
                <w:sz w:val="21"/>
                <w:szCs w:val="21"/>
                <w:highlight w:val="none"/>
              </w:rPr>
            </w:pPr>
            <w:r>
              <w:rPr>
                <w:rFonts w:hint="eastAsia"/>
                <w:spacing w:val="-1"/>
                <w:sz w:val="21"/>
                <w:szCs w:val="21"/>
                <w:highlight w:val="none"/>
              </w:rPr>
              <w:t>☆</w:t>
            </w:r>
          </w:p>
        </w:tc>
        <w:tc>
          <w:tcPr>
            <w:tcW w:w="1890" w:type="dxa"/>
            <w:tcBorders>
              <w:top w:val="single" w:color="000000" w:sz="4" w:space="0"/>
              <w:left w:val="single" w:color="000000" w:sz="4" w:space="0"/>
              <w:bottom w:val="single" w:color="000000" w:sz="4" w:space="0"/>
              <w:right w:val="single" w:color="000000" w:sz="4" w:space="0"/>
            </w:tcBorders>
            <w:vAlign w:val="center"/>
          </w:tcPr>
          <w:p>
            <w:pPr>
              <w:pStyle w:val="114"/>
              <w:spacing w:before="9"/>
              <w:ind w:firstLine="0" w:firstLineChars="0"/>
              <w:jc w:val="center"/>
              <w:rPr>
                <w:spacing w:val="-1"/>
                <w:sz w:val="21"/>
                <w:szCs w:val="21"/>
                <w:highlight w:val="none"/>
              </w:rPr>
            </w:pPr>
            <w:r>
              <w:rPr>
                <w:rFonts w:hint="eastAsia"/>
                <w:spacing w:val="-1"/>
                <w:sz w:val="21"/>
                <w:szCs w:val="21"/>
                <w:highlight w:val="none"/>
              </w:rPr>
              <w:t>★</w:t>
            </w:r>
          </w:p>
        </w:tc>
      </w:tr>
      <w:tr>
        <w:tblPrEx>
          <w:tblCellMar>
            <w:top w:w="0" w:type="dxa"/>
            <w:left w:w="0" w:type="dxa"/>
            <w:bottom w:w="0" w:type="dxa"/>
            <w:right w:w="0" w:type="dxa"/>
          </w:tblCellMar>
        </w:tblPrEx>
        <w:trPr>
          <w:cantSplit/>
          <w:jc w:val="center"/>
        </w:trPr>
        <w:tc>
          <w:tcPr>
            <w:tcW w:w="1896" w:type="dxa"/>
            <w:tcBorders>
              <w:top w:val="single" w:color="000000" w:sz="4" w:space="0"/>
              <w:left w:val="single" w:color="000000" w:sz="4" w:space="0"/>
              <w:bottom w:val="single" w:color="000000" w:sz="4" w:space="0"/>
              <w:right w:val="single" w:color="000000" w:sz="4" w:space="0"/>
            </w:tcBorders>
            <w:vAlign w:val="center"/>
          </w:tcPr>
          <w:p>
            <w:pPr>
              <w:pStyle w:val="114"/>
              <w:spacing w:before="8"/>
              <w:ind w:firstLine="0" w:firstLineChars="0"/>
              <w:jc w:val="center"/>
              <w:rPr>
                <w:sz w:val="21"/>
                <w:szCs w:val="21"/>
                <w:highlight w:val="none"/>
              </w:rPr>
            </w:pPr>
            <w:r>
              <w:rPr>
                <w:rFonts w:hint="eastAsia"/>
                <w:spacing w:val="-1"/>
                <w:sz w:val="21"/>
                <w:szCs w:val="21"/>
                <w:highlight w:val="none"/>
              </w:rPr>
              <w:t>钻</w:t>
            </w:r>
            <w:r>
              <w:rPr>
                <w:rFonts w:hint="eastAsia"/>
                <w:spacing w:val="2"/>
                <w:sz w:val="21"/>
                <w:szCs w:val="21"/>
                <w:highlight w:val="none"/>
              </w:rPr>
              <w:t>孔</w:t>
            </w:r>
            <w:r>
              <w:rPr>
                <w:rFonts w:hint="eastAsia"/>
                <w:spacing w:val="-1"/>
                <w:sz w:val="21"/>
                <w:szCs w:val="21"/>
                <w:highlight w:val="none"/>
              </w:rPr>
              <w:t>、</w:t>
            </w:r>
            <w:r>
              <w:rPr>
                <w:rFonts w:hint="eastAsia"/>
                <w:spacing w:val="2"/>
                <w:sz w:val="21"/>
                <w:szCs w:val="21"/>
                <w:highlight w:val="none"/>
              </w:rPr>
              <w:t>爆</w:t>
            </w:r>
            <w:r>
              <w:rPr>
                <w:rFonts w:hint="eastAsia"/>
                <w:sz w:val="21"/>
                <w:szCs w:val="21"/>
                <w:highlight w:val="none"/>
              </w:rPr>
              <w:t>破</w:t>
            </w:r>
          </w:p>
        </w:tc>
        <w:tc>
          <w:tcPr>
            <w:tcW w:w="1812" w:type="dxa"/>
            <w:tcBorders>
              <w:top w:val="single" w:color="000000" w:sz="4" w:space="0"/>
              <w:left w:val="single" w:color="000000" w:sz="4" w:space="0"/>
              <w:bottom w:val="single" w:color="000000" w:sz="4" w:space="0"/>
              <w:right w:val="single" w:color="000000" w:sz="4" w:space="0"/>
            </w:tcBorders>
            <w:vAlign w:val="center"/>
          </w:tcPr>
          <w:p>
            <w:pPr>
              <w:pStyle w:val="114"/>
              <w:spacing w:before="8"/>
              <w:ind w:right="777" w:firstLine="0" w:firstLineChars="0"/>
              <w:jc w:val="center"/>
              <w:rPr>
                <w:sz w:val="21"/>
                <w:szCs w:val="21"/>
                <w:highlight w:val="none"/>
              </w:rPr>
            </w:pPr>
            <w:r>
              <w:rPr>
                <w:rFonts w:hint="eastAsia"/>
                <w:sz w:val="21"/>
                <w:szCs w:val="21"/>
                <w:highlight w:val="none"/>
                <w:lang w:val="en-US"/>
              </w:rPr>
              <w:t xml:space="preserve">       </w:t>
            </w:r>
            <w:r>
              <w:rPr>
                <w:rFonts w:hint="eastAsia"/>
                <w:sz w:val="21"/>
                <w:szCs w:val="21"/>
                <w:highlight w:val="none"/>
              </w:rPr>
              <w:t>★</w:t>
            </w:r>
          </w:p>
        </w:tc>
        <w:tc>
          <w:tcPr>
            <w:tcW w:w="1453" w:type="dxa"/>
            <w:tcBorders>
              <w:top w:val="single" w:color="000000" w:sz="4" w:space="0"/>
              <w:left w:val="single" w:color="000000" w:sz="4" w:space="0"/>
              <w:bottom w:val="single" w:color="000000" w:sz="4" w:space="0"/>
              <w:right w:val="single" w:color="000000" w:sz="4" w:space="0"/>
            </w:tcBorders>
            <w:vAlign w:val="center"/>
          </w:tcPr>
          <w:p>
            <w:pPr>
              <w:pStyle w:val="114"/>
              <w:spacing w:before="9"/>
              <w:ind w:firstLine="0" w:firstLineChars="0"/>
              <w:jc w:val="center"/>
              <w:rPr>
                <w:spacing w:val="-1"/>
                <w:sz w:val="21"/>
                <w:szCs w:val="21"/>
                <w:highlight w:val="none"/>
              </w:rPr>
            </w:pPr>
            <w:r>
              <w:rPr>
                <w:rFonts w:hint="eastAsia"/>
                <w:spacing w:val="-1"/>
                <w:sz w:val="21"/>
                <w:szCs w:val="21"/>
                <w:highlight w:val="none"/>
              </w:rPr>
              <w:t>☆</w:t>
            </w:r>
          </w:p>
        </w:tc>
        <w:tc>
          <w:tcPr>
            <w:tcW w:w="1454" w:type="dxa"/>
            <w:tcBorders>
              <w:top w:val="single" w:color="000000" w:sz="4" w:space="0"/>
              <w:left w:val="single" w:color="000000" w:sz="4" w:space="0"/>
              <w:bottom w:val="single" w:color="000000" w:sz="4" w:space="0"/>
              <w:right w:val="single" w:color="000000" w:sz="4" w:space="0"/>
            </w:tcBorders>
            <w:vAlign w:val="center"/>
          </w:tcPr>
          <w:p>
            <w:pPr>
              <w:pStyle w:val="114"/>
              <w:spacing w:before="9"/>
              <w:ind w:firstLine="0" w:firstLineChars="0"/>
              <w:jc w:val="center"/>
              <w:rPr>
                <w:spacing w:val="-1"/>
                <w:sz w:val="21"/>
                <w:szCs w:val="21"/>
                <w:highlight w:val="none"/>
              </w:rPr>
            </w:pPr>
            <w:r>
              <w:rPr>
                <w:rFonts w:hint="eastAsia"/>
                <w:spacing w:val="-1"/>
                <w:sz w:val="21"/>
                <w:szCs w:val="21"/>
                <w:highlight w:val="none"/>
              </w:rPr>
              <w:t>★</w:t>
            </w:r>
          </w:p>
        </w:tc>
        <w:tc>
          <w:tcPr>
            <w:tcW w:w="1890" w:type="dxa"/>
            <w:tcBorders>
              <w:top w:val="single" w:color="000000" w:sz="4" w:space="0"/>
              <w:left w:val="single" w:color="000000" w:sz="4" w:space="0"/>
              <w:bottom w:val="single" w:color="000000" w:sz="4" w:space="0"/>
              <w:right w:val="single" w:color="000000" w:sz="4" w:space="0"/>
            </w:tcBorders>
            <w:vAlign w:val="center"/>
          </w:tcPr>
          <w:p>
            <w:pPr>
              <w:pStyle w:val="114"/>
              <w:spacing w:before="9"/>
              <w:ind w:firstLine="0" w:firstLineChars="0"/>
              <w:jc w:val="center"/>
              <w:rPr>
                <w:spacing w:val="-1"/>
                <w:sz w:val="21"/>
                <w:szCs w:val="21"/>
                <w:highlight w:val="none"/>
              </w:rPr>
            </w:pPr>
            <w:r>
              <w:rPr>
                <w:rFonts w:hint="eastAsia"/>
                <w:sz w:val="21"/>
                <w:szCs w:val="21"/>
                <w:highlight w:val="none"/>
              </w:rPr>
              <w:t>★</w:t>
            </w:r>
          </w:p>
        </w:tc>
      </w:tr>
      <w:tr>
        <w:tblPrEx>
          <w:tblCellMar>
            <w:top w:w="0" w:type="dxa"/>
            <w:left w:w="0" w:type="dxa"/>
            <w:bottom w:w="0" w:type="dxa"/>
            <w:right w:w="0" w:type="dxa"/>
          </w:tblCellMar>
        </w:tblPrEx>
        <w:trPr>
          <w:cantSplit/>
          <w:jc w:val="center"/>
        </w:trPr>
        <w:tc>
          <w:tcPr>
            <w:tcW w:w="1896" w:type="dxa"/>
            <w:tcBorders>
              <w:top w:val="single" w:color="000000" w:sz="4" w:space="0"/>
              <w:left w:val="single" w:color="000000" w:sz="4" w:space="0"/>
              <w:bottom w:val="single" w:color="000000" w:sz="4" w:space="0"/>
              <w:right w:val="single" w:color="000000" w:sz="4" w:space="0"/>
            </w:tcBorders>
            <w:vAlign w:val="center"/>
          </w:tcPr>
          <w:p>
            <w:pPr>
              <w:pStyle w:val="114"/>
              <w:spacing w:before="8"/>
              <w:ind w:firstLine="0" w:firstLineChars="0"/>
              <w:jc w:val="center"/>
              <w:rPr>
                <w:sz w:val="21"/>
                <w:szCs w:val="21"/>
                <w:highlight w:val="none"/>
              </w:rPr>
            </w:pPr>
            <w:r>
              <w:rPr>
                <w:rFonts w:hint="eastAsia"/>
                <w:spacing w:val="-1"/>
                <w:sz w:val="21"/>
                <w:szCs w:val="21"/>
                <w:highlight w:val="none"/>
              </w:rPr>
              <w:t>采</w:t>
            </w:r>
            <w:r>
              <w:rPr>
                <w:rFonts w:hint="eastAsia"/>
                <w:spacing w:val="2"/>
                <w:sz w:val="21"/>
                <w:szCs w:val="21"/>
                <w:highlight w:val="none"/>
              </w:rPr>
              <w:t>装</w:t>
            </w:r>
            <w:r>
              <w:rPr>
                <w:rFonts w:hint="eastAsia"/>
                <w:spacing w:val="-1"/>
                <w:sz w:val="21"/>
                <w:szCs w:val="21"/>
                <w:highlight w:val="none"/>
              </w:rPr>
              <w:t>、</w:t>
            </w:r>
            <w:r>
              <w:rPr>
                <w:rFonts w:hint="eastAsia"/>
                <w:spacing w:val="2"/>
                <w:sz w:val="21"/>
                <w:szCs w:val="21"/>
                <w:highlight w:val="none"/>
              </w:rPr>
              <w:t>运</w:t>
            </w:r>
            <w:r>
              <w:rPr>
                <w:rFonts w:hint="eastAsia"/>
                <w:sz w:val="21"/>
                <w:szCs w:val="21"/>
                <w:highlight w:val="none"/>
              </w:rPr>
              <w:t>输</w:t>
            </w:r>
          </w:p>
        </w:tc>
        <w:tc>
          <w:tcPr>
            <w:tcW w:w="1812" w:type="dxa"/>
            <w:tcBorders>
              <w:top w:val="single" w:color="000000" w:sz="4" w:space="0"/>
              <w:left w:val="single" w:color="000000" w:sz="4" w:space="0"/>
              <w:bottom w:val="single" w:color="000000" w:sz="4" w:space="0"/>
              <w:right w:val="single" w:color="000000" w:sz="4" w:space="0"/>
            </w:tcBorders>
            <w:vAlign w:val="center"/>
          </w:tcPr>
          <w:p>
            <w:pPr>
              <w:pStyle w:val="114"/>
              <w:spacing w:before="8"/>
              <w:ind w:right="777" w:firstLine="0" w:firstLineChars="0"/>
              <w:jc w:val="center"/>
              <w:rPr>
                <w:sz w:val="21"/>
                <w:szCs w:val="21"/>
                <w:highlight w:val="none"/>
              </w:rPr>
            </w:pPr>
            <w:r>
              <w:rPr>
                <w:rFonts w:hint="eastAsia"/>
                <w:sz w:val="21"/>
                <w:szCs w:val="21"/>
                <w:highlight w:val="none"/>
                <w:lang w:val="en-US"/>
              </w:rPr>
              <w:t xml:space="preserve">       </w:t>
            </w:r>
            <w:r>
              <w:rPr>
                <w:rFonts w:hint="eastAsia"/>
                <w:sz w:val="21"/>
                <w:szCs w:val="21"/>
                <w:highlight w:val="none"/>
              </w:rPr>
              <w:t>★</w:t>
            </w:r>
          </w:p>
        </w:tc>
        <w:tc>
          <w:tcPr>
            <w:tcW w:w="1453" w:type="dxa"/>
            <w:tcBorders>
              <w:top w:val="single" w:color="000000" w:sz="4" w:space="0"/>
              <w:left w:val="single" w:color="000000" w:sz="4" w:space="0"/>
              <w:bottom w:val="single" w:color="000000" w:sz="4" w:space="0"/>
              <w:right w:val="single" w:color="000000" w:sz="4" w:space="0"/>
            </w:tcBorders>
            <w:vAlign w:val="center"/>
          </w:tcPr>
          <w:p>
            <w:pPr>
              <w:pStyle w:val="114"/>
              <w:spacing w:before="9"/>
              <w:ind w:firstLine="0" w:firstLineChars="0"/>
              <w:jc w:val="center"/>
              <w:rPr>
                <w:spacing w:val="-1"/>
                <w:sz w:val="21"/>
                <w:szCs w:val="21"/>
                <w:highlight w:val="none"/>
              </w:rPr>
            </w:pPr>
            <w:r>
              <w:rPr>
                <w:rFonts w:hint="eastAsia"/>
                <w:spacing w:val="-1"/>
                <w:sz w:val="21"/>
                <w:szCs w:val="21"/>
                <w:highlight w:val="none"/>
              </w:rPr>
              <w:t>-</w:t>
            </w:r>
          </w:p>
        </w:tc>
        <w:tc>
          <w:tcPr>
            <w:tcW w:w="1454" w:type="dxa"/>
            <w:tcBorders>
              <w:top w:val="single" w:color="000000" w:sz="4" w:space="0"/>
              <w:left w:val="single" w:color="000000" w:sz="4" w:space="0"/>
              <w:bottom w:val="single" w:color="000000" w:sz="4" w:space="0"/>
              <w:right w:val="single" w:color="000000" w:sz="4" w:space="0"/>
            </w:tcBorders>
            <w:vAlign w:val="center"/>
          </w:tcPr>
          <w:p>
            <w:pPr>
              <w:pStyle w:val="114"/>
              <w:spacing w:before="9"/>
              <w:ind w:firstLine="0" w:firstLineChars="0"/>
              <w:jc w:val="center"/>
              <w:rPr>
                <w:spacing w:val="-1"/>
                <w:sz w:val="21"/>
                <w:szCs w:val="21"/>
                <w:highlight w:val="none"/>
              </w:rPr>
            </w:pPr>
            <w:r>
              <w:rPr>
                <w:rFonts w:hint="eastAsia"/>
                <w:spacing w:val="-1"/>
                <w:sz w:val="21"/>
                <w:szCs w:val="21"/>
                <w:highlight w:val="none"/>
              </w:rPr>
              <w:t>★</w:t>
            </w:r>
          </w:p>
        </w:tc>
        <w:tc>
          <w:tcPr>
            <w:tcW w:w="1890" w:type="dxa"/>
            <w:tcBorders>
              <w:top w:val="single" w:color="000000" w:sz="4" w:space="0"/>
              <w:left w:val="single" w:color="000000" w:sz="4" w:space="0"/>
              <w:bottom w:val="single" w:color="000000" w:sz="4" w:space="0"/>
              <w:right w:val="single" w:color="000000" w:sz="4" w:space="0"/>
            </w:tcBorders>
            <w:vAlign w:val="center"/>
          </w:tcPr>
          <w:p>
            <w:pPr>
              <w:pStyle w:val="114"/>
              <w:spacing w:before="9"/>
              <w:ind w:firstLine="0" w:firstLineChars="0"/>
              <w:jc w:val="center"/>
              <w:rPr>
                <w:spacing w:val="-1"/>
                <w:sz w:val="21"/>
                <w:szCs w:val="21"/>
                <w:highlight w:val="none"/>
              </w:rPr>
            </w:pPr>
            <w:r>
              <w:rPr>
                <w:rFonts w:hint="eastAsia"/>
                <w:spacing w:val="-1"/>
                <w:sz w:val="21"/>
                <w:szCs w:val="21"/>
                <w:highlight w:val="none"/>
              </w:rPr>
              <w:t>☆</w:t>
            </w:r>
          </w:p>
        </w:tc>
      </w:tr>
      <w:tr>
        <w:tblPrEx>
          <w:tblCellMar>
            <w:top w:w="0" w:type="dxa"/>
            <w:left w:w="0" w:type="dxa"/>
            <w:bottom w:w="0" w:type="dxa"/>
            <w:right w:w="0" w:type="dxa"/>
          </w:tblCellMar>
        </w:tblPrEx>
        <w:trPr>
          <w:cantSplit/>
          <w:jc w:val="center"/>
        </w:trPr>
        <w:tc>
          <w:tcPr>
            <w:tcW w:w="1896" w:type="dxa"/>
            <w:tcBorders>
              <w:top w:val="single" w:color="000000" w:sz="4" w:space="0"/>
              <w:left w:val="single" w:color="000000" w:sz="4" w:space="0"/>
              <w:bottom w:val="single" w:color="000000" w:sz="4" w:space="0"/>
              <w:right w:val="single" w:color="000000" w:sz="4" w:space="0"/>
            </w:tcBorders>
            <w:vAlign w:val="center"/>
          </w:tcPr>
          <w:p>
            <w:pPr>
              <w:pStyle w:val="114"/>
              <w:spacing w:before="8"/>
              <w:ind w:firstLine="0" w:firstLineChars="0"/>
              <w:jc w:val="center"/>
              <w:rPr>
                <w:spacing w:val="-1"/>
                <w:sz w:val="21"/>
                <w:szCs w:val="21"/>
                <w:highlight w:val="none"/>
                <w:lang w:val="en-US"/>
              </w:rPr>
            </w:pPr>
            <w:r>
              <w:rPr>
                <w:rFonts w:hint="eastAsia"/>
                <w:spacing w:val="-1"/>
                <w:sz w:val="21"/>
                <w:szCs w:val="21"/>
                <w:highlight w:val="none"/>
                <w:lang w:val="en-US"/>
              </w:rPr>
              <w:t>破碎</w:t>
            </w:r>
            <w:r>
              <w:rPr>
                <w:rFonts w:hint="eastAsia"/>
                <w:spacing w:val="-1"/>
                <w:sz w:val="21"/>
                <w:szCs w:val="21"/>
                <w:highlight w:val="none"/>
                <w:lang w:val="en-US" w:eastAsia="zh-CN"/>
              </w:rPr>
              <w:t>、筛分</w:t>
            </w:r>
            <w:r>
              <w:rPr>
                <w:rFonts w:hint="eastAsia"/>
                <w:spacing w:val="-1"/>
                <w:sz w:val="21"/>
                <w:szCs w:val="21"/>
                <w:highlight w:val="none"/>
                <w:lang w:val="en-US"/>
              </w:rPr>
              <w:t>、输送</w:t>
            </w:r>
          </w:p>
        </w:tc>
        <w:tc>
          <w:tcPr>
            <w:tcW w:w="1812" w:type="dxa"/>
            <w:tcBorders>
              <w:top w:val="single" w:color="000000" w:sz="4" w:space="0"/>
              <w:left w:val="single" w:color="000000" w:sz="4" w:space="0"/>
              <w:bottom w:val="single" w:color="000000" w:sz="4" w:space="0"/>
              <w:right w:val="single" w:color="000000" w:sz="4" w:space="0"/>
            </w:tcBorders>
            <w:vAlign w:val="center"/>
          </w:tcPr>
          <w:p>
            <w:pPr>
              <w:pStyle w:val="114"/>
              <w:spacing w:before="8"/>
              <w:ind w:right="777" w:firstLine="0" w:firstLineChars="0"/>
              <w:jc w:val="both"/>
              <w:rPr>
                <w:sz w:val="21"/>
                <w:szCs w:val="21"/>
                <w:highlight w:val="none"/>
                <w:lang w:val="en-US"/>
              </w:rPr>
            </w:pPr>
            <w:r>
              <w:rPr>
                <w:rFonts w:hint="eastAsia"/>
                <w:sz w:val="21"/>
                <w:szCs w:val="21"/>
                <w:highlight w:val="none"/>
                <w:lang w:val="en-US"/>
              </w:rPr>
              <w:t xml:space="preserve">       </w:t>
            </w:r>
            <w:r>
              <w:rPr>
                <w:rFonts w:hint="eastAsia"/>
                <w:sz w:val="21"/>
                <w:szCs w:val="21"/>
                <w:highlight w:val="none"/>
              </w:rPr>
              <w:t>★</w:t>
            </w:r>
          </w:p>
        </w:tc>
        <w:tc>
          <w:tcPr>
            <w:tcW w:w="1453" w:type="dxa"/>
            <w:tcBorders>
              <w:top w:val="single" w:color="000000" w:sz="4" w:space="0"/>
              <w:left w:val="single" w:color="000000" w:sz="4" w:space="0"/>
              <w:bottom w:val="single" w:color="000000" w:sz="4" w:space="0"/>
              <w:right w:val="single" w:color="000000" w:sz="4" w:space="0"/>
            </w:tcBorders>
            <w:vAlign w:val="center"/>
          </w:tcPr>
          <w:p>
            <w:pPr>
              <w:pStyle w:val="114"/>
              <w:spacing w:before="9"/>
              <w:ind w:firstLine="0" w:firstLineChars="0"/>
              <w:jc w:val="center"/>
              <w:rPr>
                <w:spacing w:val="-1"/>
                <w:sz w:val="21"/>
                <w:szCs w:val="21"/>
                <w:highlight w:val="none"/>
              </w:rPr>
            </w:pPr>
            <w:r>
              <w:rPr>
                <w:rFonts w:hint="eastAsia"/>
                <w:spacing w:val="-1"/>
                <w:sz w:val="21"/>
                <w:szCs w:val="21"/>
                <w:highlight w:val="none"/>
              </w:rPr>
              <w:t>-</w:t>
            </w:r>
          </w:p>
        </w:tc>
        <w:tc>
          <w:tcPr>
            <w:tcW w:w="1454" w:type="dxa"/>
            <w:tcBorders>
              <w:top w:val="single" w:color="000000" w:sz="4" w:space="0"/>
              <w:left w:val="single" w:color="000000" w:sz="4" w:space="0"/>
              <w:bottom w:val="single" w:color="000000" w:sz="4" w:space="0"/>
              <w:right w:val="single" w:color="000000" w:sz="4" w:space="0"/>
            </w:tcBorders>
            <w:vAlign w:val="center"/>
          </w:tcPr>
          <w:p>
            <w:pPr>
              <w:pStyle w:val="114"/>
              <w:spacing w:before="9"/>
              <w:ind w:firstLine="0" w:firstLineChars="0"/>
              <w:jc w:val="center"/>
              <w:rPr>
                <w:spacing w:val="-1"/>
                <w:sz w:val="21"/>
                <w:szCs w:val="21"/>
                <w:highlight w:val="none"/>
              </w:rPr>
            </w:pPr>
            <w:r>
              <w:rPr>
                <w:rFonts w:hint="eastAsia"/>
                <w:sz w:val="21"/>
                <w:szCs w:val="21"/>
                <w:highlight w:val="none"/>
              </w:rPr>
              <w:t>★</w:t>
            </w:r>
          </w:p>
        </w:tc>
        <w:tc>
          <w:tcPr>
            <w:tcW w:w="1890" w:type="dxa"/>
            <w:tcBorders>
              <w:top w:val="single" w:color="000000" w:sz="4" w:space="0"/>
              <w:left w:val="single" w:color="000000" w:sz="4" w:space="0"/>
              <w:bottom w:val="single" w:color="000000" w:sz="4" w:space="0"/>
              <w:right w:val="single" w:color="000000" w:sz="4" w:space="0"/>
            </w:tcBorders>
            <w:vAlign w:val="center"/>
          </w:tcPr>
          <w:p>
            <w:pPr>
              <w:pStyle w:val="114"/>
              <w:spacing w:before="9"/>
              <w:ind w:firstLine="0" w:firstLineChars="0"/>
              <w:jc w:val="center"/>
              <w:rPr>
                <w:spacing w:val="-1"/>
                <w:sz w:val="21"/>
                <w:szCs w:val="21"/>
                <w:highlight w:val="none"/>
              </w:rPr>
            </w:pPr>
            <w:r>
              <w:rPr>
                <w:rFonts w:hint="eastAsia"/>
                <w:spacing w:val="-1"/>
                <w:sz w:val="21"/>
                <w:szCs w:val="21"/>
                <w:highlight w:val="none"/>
              </w:rPr>
              <w:t>-</w:t>
            </w:r>
          </w:p>
        </w:tc>
      </w:tr>
    </w:tbl>
    <w:p>
      <w:pPr>
        <w:spacing w:before="7" w:line="100" w:lineRule="exact"/>
        <w:ind w:firstLine="200"/>
        <w:rPr>
          <w:sz w:val="10"/>
          <w:szCs w:val="10"/>
          <w:highlight w:val="none"/>
        </w:rPr>
      </w:pPr>
    </w:p>
    <w:p>
      <w:pPr>
        <w:pStyle w:val="8"/>
        <w:adjustRightInd w:val="0"/>
        <w:snapToGrid w:val="0"/>
        <w:ind w:firstLine="480"/>
        <w:rPr>
          <w:highlight w:val="none"/>
        </w:rPr>
      </w:pPr>
      <w:r>
        <w:rPr>
          <w:rFonts w:hint="eastAsia"/>
          <w:highlight w:val="none"/>
        </w:rPr>
        <w:t>注：★为显著影响，☆为轻微影响，-影响很小或无影响。从以上分析可知，矿山对环境影响的主要是开采对大气环境、声环境、生态环境影响。</w:t>
      </w:r>
    </w:p>
    <w:p>
      <w:pPr>
        <w:pStyle w:val="5"/>
        <w:rPr>
          <w:rFonts w:hint="default"/>
          <w:highlight w:val="none"/>
        </w:rPr>
      </w:pPr>
      <w:bookmarkStart w:id="82" w:name="_Toc3349"/>
      <w:r>
        <w:rPr>
          <w:highlight w:val="none"/>
        </w:rPr>
        <w:t xml:space="preserve">1.4.2 </w:t>
      </w:r>
      <w:bookmarkStart w:id="83" w:name="_bookmark4"/>
      <w:bookmarkEnd w:id="83"/>
      <w:r>
        <w:rPr>
          <w:highlight w:val="none"/>
        </w:rPr>
        <w:t>评价因子筛选</w:t>
      </w:r>
      <w:bookmarkEnd w:id="82"/>
    </w:p>
    <w:p>
      <w:pPr>
        <w:pStyle w:val="2"/>
        <w:spacing w:line="332" w:lineRule="auto"/>
        <w:ind w:right="119" w:firstLine="480"/>
        <w:rPr>
          <w:highlight w:val="none"/>
        </w:rPr>
      </w:pPr>
      <w:r>
        <w:rPr>
          <w:rFonts w:hint="eastAsia"/>
          <w:highlight w:val="none"/>
        </w:rPr>
        <w:t>根据我国相应的控制标准，结</w:t>
      </w:r>
      <w:r>
        <w:rPr>
          <w:highlight w:val="none"/>
        </w:rPr>
        <w:t>合项目排放的污染因子的形式和特点以及所在地的环境特征，经过筛选，确定本项目的评价因子为：</w:t>
      </w:r>
    </w:p>
    <w:p>
      <w:pPr>
        <w:pStyle w:val="2"/>
        <w:spacing w:line="332" w:lineRule="auto"/>
        <w:ind w:right="119" w:firstLine="0" w:firstLineChars="0"/>
        <w:jc w:val="center"/>
        <w:rPr>
          <w:b/>
          <w:bCs/>
          <w:sz w:val="21"/>
          <w:szCs w:val="21"/>
          <w:highlight w:val="none"/>
        </w:rPr>
      </w:pPr>
      <w:r>
        <w:rPr>
          <w:b/>
          <w:bCs/>
          <w:sz w:val="21"/>
          <w:szCs w:val="21"/>
          <w:highlight w:val="none"/>
        </w:rPr>
        <w:t>表 1-2  评价因子</w:t>
      </w:r>
    </w:p>
    <w:tbl>
      <w:tblPr>
        <w:tblStyle w:val="29"/>
        <w:tblW w:w="89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38"/>
        <w:gridCol w:w="2081"/>
        <w:gridCol w:w="5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4" w:hRule="atLeast"/>
          <w:jc w:val="center"/>
        </w:trPr>
        <w:tc>
          <w:tcPr>
            <w:tcW w:w="3819" w:type="dxa"/>
            <w:gridSpan w:val="2"/>
            <w:shd w:val="clear" w:color="auto" w:fill="auto"/>
            <w:vAlign w:val="center"/>
          </w:tcPr>
          <w:p>
            <w:pPr>
              <w:pStyle w:val="114"/>
              <w:spacing w:before="9"/>
              <w:ind w:right="4" w:firstLine="0" w:firstLineChars="0"/>
              <w:jc w:val="center"/>
              <w:rPr>
                <w:b/>
                <w:bCs/>
                <w:color w:val="auto"/>
                <w:sz w:val="21"/>
                <w:szCs w:val="21"/>
                <w:highlight w:val="none"/>
              </w:rPr>
            </w:pPr>
            <w:r>
              <w:rPr>
                <w:b/>
                <w:bCs/>
                <w:color w:val="auto"/>
                <w:spacing w:val="-1"/>
                <w:sz w:val="21"/>
                <w:szCs w:val="21"/>
                <w:highlight w:val="none"/>
              </w:rPr>
              <w:t>项</w:t>
            </w:r>
            <w:r>
              <w:rPr>
                <w:b/>
                <w:bCs/>
                <w:color w:val="auto"/>
                <w:sz w:val="21"/>
                <w:szCs w:val="21"/>
                <w:highlight w:val="none"/>
              </w:rPr>
              <w:t>目</w:t>
            </w:r>
          </w:p>
        </w:tc>
        <w:tc>
          <w:tcPr>
            <w:tcW w:w="5101" w:type="dxa"/>
            <w:shd w:val="clear" w:color="auto" w:fill="auto"/>
            <w:vAlign w:val="center"/>
          </w:tcPr>
          <w:p>
            <w:pPr>
              <w:pStyle w:val="114"/>
              <w:spacing w:before="9"/>
              <w:ind w:right="1" w:firstLine="0" w:firstLineChars="0"/>
              <w:jc w:val="center"/>
              <w:rPr>
                <w:b/>
                <w:bCs/>
                <w:color w:val="auto"/>
                <w:sz w:val="21"/>
                <w:szCs w:val="21"/>
                <w:highlight w:val="none"/>
              </w:rPr>
            </w:pPr>
            <w:r>
              <w:rPr>
                <w:b/>
                <w:bCs/>
                <w:color w:val="auto"/>
                <w:spacing w:val="-1"/>
                <w:sz w:val="21"/>
                <w:szCs w:val="21"/>
                <w:highlight w:val="none"/>
              </w:rPr>
              <w:t>评</w:t>
            </w:r>
            <w:r>
              <w:rPr>
                <w:b/>
                <w:bCs/>
                <w:color w:val="auto"/>
                <w:spacing w:val="2"/>
                <w:sz w:val="21"/>
                <w:szCs w:val="21"/>
                <w:highlight w:val="none"/>
              </w:rPr>
              <w:t>价</w:t>
            </w:r>
            <w:r>
              <w:rPr>
                <w:b/>
                <w:bCs/>
                <w:color w:val="auto"/>
                <w:spacing w:val="-1"/>
                <w:sz w:val="21"/>
                <w:szCs w:val="21"/>
                <w:highlight w:val="none"/>
              </w:rPr>
              <w:t>因</w:t>
            </w:r>
            <w:r>
              <w:rPr>
                <w:b/>
                <w:bCs/>
                <w:color w:val="auto"/>
                <w:sz w:val="21"/>
                <w:szCs w:val="21"/>
                <w:highlight w:val="none"/>
              </w:rPr>
              <w:t>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3" w:hRule="atLeast"/>
          <w:jc w:val="center"/>
        </w:trPr>
        <w:tc>
          <w:tcPr>
            <w:tcW w:w="1738" w:type="dxa"/>
            <w:vMerge w:val="restart"/>
            <w:vAlign w:val="center"/>
          </w:tcPr>
          <w:p>
            <w:pPr>
              <w:pStyle w:val="114"/>
              <w:ind w:firstLine="0" w:firstLineChars="0"/>
              <w:jc w:val="center"/>
              <w:rPr>
                <w:color w:val="auto"/>
                <w:sz w:val="21"/>
                <w:szCs w:val="21"/>
                <w:highlight w:val="none"/>
              </w:rPr>
            </w:pPr>
            <w:r>
              <w:rPr>
                <w:color w:val="auto"/>
                <w:spacing w:val="-1"/>
                <w:sz w:val="21"/>
                <w:szCs w:val="21"/>
                <w:highlight w:val="none"/>
              </w:rPr>
              <w:t>环</w:t>
            </w:r>
            <w:r>
              <w:rPr>
                <w:color w:val="auto"/>
                <w:spacing w:val="2"/>
                <w:sz w:val="21"/>
                <w:szCs w:val="21"/>
                <w:highlight w:val="none"/>
              </w:rPr>
              <w:t>境</w:t>
            </w:r>
            <w:r>
              <w:rPr>
                <w:color w:val="auto"/>
                <w:spacing w:val="-1"/>
                <w:sz w:val="21"/>
                <w:szCs w:val="21"/>
                <w:highlight w:val="none"/>
              </w:rPr>
              <w:t>空</w:t>
            </w:r>
            <w:r>
              <w:rPr>
                <w:color w:val="auto"/>
                <w:sz w:val="21"/>
                <w:szCs w:val="21"/>
                <w:highlight w:val="none"/>
              </w:rPr>
              <w:t>气</w:t>
            </w:r>
          </w:p>
        </w:tc>
        <w:tc>
          <w:tcPr>
            <w:tcW w:w="2081" w:type="dxa"/>
            <w:vAlign w:val="center"/>
          </w:tcPr>
          <w:p>
            <w:pPr>
              <w:pStyle w:val="114"/>
              <w:spacing w:before="8"/>
              <w:ind w:firstLine="0" w:firstLineChars="0"/>
              <w:jc w:val="center"/>
              <w:rPr>
                <w:color w:val="auto"/>
                <w:sz w:val="21"/>
                <w:szCs w:val="21"/>
                <w:highlight w:val="none"/>
              </w:rPr>
            </w:pPr>
            <w:r>
              <w:rPr>
                <w:color w:val="auto"/>
                <w:spacing w:val="-1"/>
                <w:sz w:val="21"/>
                <w:szCs w:val="21"/>
                <w:highlight w:val="none"/>
              </w:rPr>
              <w:t>现</w:t>
            </w:r>
            <w:r>
              <w:rPr>
                <w:color w:val="auto"/>
                <w:spacing w:val="2"/>
                <w:sz w:val="21"/>
                <w:szCs w:val="21"/>
                <w:highlight w:val="none"/>
              </w:rPr>
              <w:t>状</w:t>
            </w:r>
            <w:r>
              <w:rPr>
                <w:color w:val="auto"/>
                <w:spacing w:val="-1"/>
                <w:sz w:val="21"/>
                <w:szCs w:val="21"/>
                <w:highlight w:val="none"/>
              </w:rPr>
              <w:t>评</w:t>
            </w:r>
            <w:r>
              <w:rPr>
                <w:color w:val="auto"/>
                <w:sz w:val="21"/>
                <w:szCs w:val="21"/>
                <w:highlight w:val="none"/>
              </w:rPr>
              <w:t>价</w:t>
            </w:r>
          </w:p>
        </w:tc>
        <w:tc>
          <w:tcPr>
            <w:tcW w:w="5101" w:type="dxa"/>
            <w:vAlign w:val="center"/>
          </w:tcPr>
          <w:p>
            <w:pPr>
              <w:pStyle w:val="114"/>
              <w:spacing w:before="5"/>
              <w:ind w:firstLine="0" w:firstLineChars="0"/>
              <w:jc w:val="center"/>
              <w:rPr>
                <w:rFonts w:hint="eastAsia" w:ascii="Times New Roman" w:hAnsi="Times New Roman" w:eastAsia="宋体" w:cs="Times New Roman"/>
                <w:color w:val="auto"/>
                <w:sz w:val="13"/>
                <w:szCs w:val="13"/>
                <w:highlight w:val="none"/>
                <w:vertAlign w:val="baseline"/>
                <w:lang w:val="en-US" w:eastAsia="zh-CN"/>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r>
              <w:rPr>
                <w:rFonts w:hint="eastAsia" w:ascii="Times New Roman" w:hAnsi="Times New Roman" w:cs="Times New Roman"/>
                <w:color w:val="auto"/>
                <w:sz w:val="21"/>
                <w:szCs w:val="21"/>
                <w:highlight w:val="none"/>
                <w:vertAlign w:val="baseline"/>
                <w:lang w:eastAsia="zh-CN"/>
              </w:rPr>
              <w:t>、</w:t>
            </w: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2</w:t>
            </w:r>
            <w:r>
              <w:rPr>
                <w:rFonts w:hint="eastAsia" w:ascii="Times New Roman" w:hAnsi="Times New Roman" w:cs="Times New Roman"/>
                <w:color w:val="auto"/>
                <w:sz w:val="21"/>
                <w:szCs w:val="21"/>
                <w:highlight w:val="none"/>
                <w:vertAlign w:val="baseline"/>
                <w:lang w:eastAsia="zh-CN"/>
              </w:rPr>
              <w:t>、</w:t>
            </w:r>
            <w:r>
              <w:rPr>
                <w:rFonts w:hint="default" w:ascii="Times New Roman" w:hAnsi="Times New Roman" w:eastAsia="宋体" w:cs="Times New Roman"/>
                <w:color w:val="auto"/>
                <w:sz w:val="21"/>
                <w:szCs w:val="21"/>
                <w:highlight w:val="none"/>
              </w:rPr>
              <w:t>CO</w:t>
            </w:r>
            <w:r>
              <w:rPr>
                <w:rFonts w:hint="eastAsia" w:ascii="Times New Roman" w:hAnsi="Times New Roman" w:cs="Times New Roman"/>
                <w:color w:val="auto"/>
                <w:sz w:val="21"/>
                <w:szCs w:val="21"/>
                <w:highlight w:val="none"/>
                <w:lang w:eastAsia="zh-CN"/>
              </w:rPr>
              <w:t>、</w:t>
            </w:r>
            <w:r>
              <w:rPr>
                <w:rFonts w:ascii="Times New Roman" w:hAnsi="Times New Roman" w:eastAsia="Times New Roman" w:cs="Times New Roman"/>
                <w:color w:val="auto"/>
                <w:spacing w:val="-1"/>
                <w:position w:val="2"/>
                <w:sz w:val="21"/>
                <w:szCs w:val="21"/>
                <w:highlight w:val="none"/>
              </w:rPr>
              <w:t>TS</w:t>
            </w:r>
            <w:r>
              <w:rPr>
                <w:rFonts w:ascii="Times New Roman" w:hAnsi="Times New Roman" w:eastAsia="Times New Roman" w:cs="Times New Roman"/>
                <w:color w:val="auto"/>
                <w:spacing w:val="1"/>
                <w:position w:val="2"/>
                <w:sz w:val="21"/>
                <w:szCs w:val="21"/>
                <w:highlight w:val="none"/>
              </w:rPr>
              <w:t>P</w:t>
            </w:r>
            <w:r>
              <w:rPr>
                <w:rFonts w:hint="eastAsia" w:ascii="Times New Roman" w:hAnsi="Times New Roman" w:eastAsia="宋体" w:cs="Times New Roman"/>
                <w:color w:val="auto"/>
                <w:spacing w:val="1"/>
                <w:position w:val="2"/>
                <w:sz w:val="21"/>
                <w:szCs w:val="21"/>
                <w:highlight w:val="none"/>
                <w:lang w:eastAsia="zh-CN"/>
              </w:rPr>
              <w:t>、</w:t>
            </w:r>
            <w:r>
              <w:rPr>
                <w:rFonts w:hint="eastAsia" w:ascii="Times New Roman" w:hAnsi="Times New Roman" w:eastAsia="宋体" w:cs="Times New Roman"/>
                <w:color w:val="auto"/>
                <w:spacing w:val="1"/>
                <w:position w:val="2"/>
                <w:sz w:val="21"/>
                <w:szCs w:val="21"/>
                <w:highlight w:val="none"/>
                <w:lang w:val="en-US" w:eastAsia="zh-CN"/>
              </w:rPr>
              <w:t>PM</w:t>
            </w:r>
            <w:r>
              <w:rPr>
                <w:rFonts w:hint="eastAsia" w:ascii="Times New Roman" w:hAnsi="Times New Roman" w:eastAsia="宋体" w:cs="Times New Roman"/>
                <w:color w:val="auto"/>
                <w:spacing w:val="1"/>
                <w:position w:val="2"/>
                <w:sz w:val="21"/>
                <w:szCs w:val="21"/>
                <w:highlight w:val="none"/>
                <w:vertAlign w:val="subscript"/>
                <w:lang w:val="en-US" w:eastAsia="zh-CN"/>
              </w:rPr>
              <w:t>10</w:t>
            </w:r>
            <w:r>
              <w:rPr>
                <w:rFonts w:hint="eastAsia" w:ascii="Times New Roman" w:hAnsi="Times New Roman" w:cs="Times New Roman"/>
                <w:color w:val="auto"/>
                <w:spacing w:val="1"/>
                <w:position w:val="2"/>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2.5</w:t>
            </w:r>
            <w:r>
              <w:rPr>
                <w:rFonts w:hint="eastAsia" w:ascii="Times New Roman" w:hAnsi="Times New Roman" w:cs="Times New Roman"/>
                <w:color w:val="auto"/>
                <w:sz w:val="21"/>
                <w:szCs w:val="21"/>
                <w:highlight w:val="none"/>
                <w:vertAlign w:val="baseline"/>
                <w:lang w:eastAsia="zh-CN"/>
              </w:rPr>
              <w:t>、</w:t>
            </w:r>
            <w:r>
              <w:rPr>
                <w:rFonts w:hint="eastAsia" w:ascii="Times New Roman" w:hAnsi="Times New Roman" w:eastAsia="宋体" w:cs="Times New Roman"/>
                <w:color w:val="auto"/>
                <w:sz w:val="21"/>
                <w:szCs w:val="21"/>
                <w:highlight w:val="none"/>
                <w:lang w:val="en-US" w:eastAsia="zh-CN"/>
              </w:rPr>
              <w:t>O</w:t>
            </w:r>
            <w:r>
              <w:rPr>
                <w:rFonts w:hint="eastAsia" w:ascii="Times New Roman" w:hAnsi="Times New Roman" w:eastAsia="宋体" w:cs="Times New Roman"/>
                <w:color w:val="auto"/>
                <w:sz w:val="21"/>
                <w:szCs w:val="21"/>
                <w:highlight w:val="none"/>
                <w:vertAlign w:val="sub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4" w:hRule="atLeast"/>
          <w:jc w:val="center"/>
        </w:trPr>
        <w:tc>
          <w:tcPr>
            <w:tcW w:w="1738" w:type="dxa"/>
            <w:vMerge w:val="continue"/>
            <w:vAlign w:val="center"/>
          </w:tcPr>
          <w:p>
            <w:pPr>
              <w:ind w:firstLine="480"/>
              <w:jc w:val="center"/>
              <w:rPr>
                <w:color w:val="auto"/>
                <w:highlight w:val="none"/>
              </w:rPr>
            </w:pPr>
          </w:p>
        </w:tc>
        <w:tc>
          <w:tcPr>
            <w:tcW w:w="2081" w:type="dxa"/>
            <w:vAlign w:val="center"/>
          </w:tcPr>
          <w:p>
            <w:pPr>
              <w:pStyle w:val="114"/>
              <w:spacing w:before="8"/>
              <w:ind w:firstLine="0" w:firstLineChars="0"/>
              <w:jc w:val="center"/>
              <w:rPr>
                <w:color w:val="auto"/>
                <w:sz w:val="21"/>
                <w:szCs w:val="21"/>
                <w:highlight w:val="none"/>
              </w:rPr>
            </w:pPr>
            <w:r>
              <w:rPr>
                <w:rFonts w:hint="eastAsia"/>
                <w:color w:val="auto"/>
                <w:spacing w:val="-1"/>
                <w:sz w:val="21"/>
                <w:szCs w:val="21"/>
                <w:highlight w:val="none"/>
                <w:lang w:eastAsia="zh-CN"/>
              </w:rPr>
              <w:t>预测评价</w:t>
            </w:r>
          </w:p>
        </w:tc>
        <w:tc>
          <w:tcPr>
            <w:tcW w:w="5101" w:type="dxa"/>
            <w:vAlign w:val="center"/>
          </w:tcPr>
          <w:p>
            <w:pPr>
              <w:pStyle w:val="114"/>
              <w:spacing w:before="92"/>
              <w:ind w:firstLine="0" w:firstLineChars="0"/>
              <w:jc w:val="center"/>
              <w:rPr>
                <w:rFonts w:hint="eastAsia" w:ascii="Times New Roman" w:hAnsi="Times New Roman" w:eastAsia="宋体" w:cs="Times New Roman"/>
                <w:color w:val="auto"/>
                <w:sz w:val="21"/>
                <w:szCs w:val="21"/>
                <w:highlight w:val="none"/>
                <w:lang w:eastAsia="zh-CN"/>
              </w:rPr>
            </w:pPr>
            <w:r>
              <w:rPr>
                <w:rFonts w:ascii="Times New Roman" w:hAnsi="Times New Roman" w:eastAsia="Times New Roman" w:cs="Times New Roman"/>
                <w:color w:val="auto"/>
                <w:spacing w:val="-1"/>
                <w:sz w:val="21"/>
                <w:szCs w:val="21"/>
                <w:highlight w:val="none"/>
              </w:rPr>
              <w:t>TS</w:t>
            </w:r>
            <w:r>
              <w:rPr>
                <w:rFonts w:ascii="Times New Roman" w:hAnsi="Times New Roman" w:eastAsia="Times New Roman" w:cs="Times New Roman"/>
                <w:color w:val="auto"/>
                <w:sz w:val="21"/>
                <w:szCs w:val="21"/>
                <w:highlight w:val="none"/>
              </w:rPr>
              <w:t>P</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pacing w:val="1"/>
                <w:position w:val="2"/>
                <w:sz w:val="21"/>
                <w:szCs w:val="21"/>
                <w:highlight w:val="none"/>
                <w:lang w:val="en-US" w:eastAsia="zh-CN"/>
              </w:rPr>
              <w:t>PM</w:t>
            </w:r>
            <w:r>
              <w:rPr>
                <w:rFonts w:hint="eastAsia" w:ascii="Times New Roman" w:hAnsi="Times New Roman" w:eastAsia="宋体" w:cs="Times New Roman"/>
                <w:color w:val="auto"/>
                <w:spacing w:val="1"/>
                <w:position w:val="2"/>
                <w:sz w:val="21"/>
                <w:szCs w:val="21"/>
                <w:highlight w:val="none"/>
                <w:vertAlign w:val="subscript"/>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3" w:hRule="atLeast"/>
          <w:jc w:val="center"/>
        </w:trPr>
        <w:tc>
          <w:tcPr>
            <w:tcW w:w="1738" w:type="dxa"/>
            <w:vAlign w:val="center"/>
          </w:tcPr>
          <w:p>
            <w:pPr>
              <w:pStyle w:val="114"/>
              <w:spacing w:before="8"/>
              <w:ind w:firstLine="0" w:firstLineChars="0"/>
              <w:jc w:val="center"/>
              <w:rPr>
                <w:color w:val="auto"/>
                <w:sz w:val="21"/>
                <w:szCs w:val="21"/>
                <w:highlight w:val="none"/>
              </w:rPr>
            </w:pPr>
            <w:r>
              <w:rPr>
                <w:color w:val="auto"/>
                <w:spacing w:val="-1"/>
                <w:sz w:val="21"/>
                <w:szCs w:val="21"/>
                <w:highlight w:val="none"/>
              </w:rPr>
              <w:t>地</w:t>
            </w:r>
            <w:r>
              <w:rPr>
                <w:color w:val="auto"/>
                <w:spacing w:val="2"/>
                <w:sz w:val="21"/>
                <w:szCs w:val="21"/>
                <w:highlight w:val="none"/>
              </w:rPr>
              <w:t>表</w:t>
            </w:r>
            <w:r>
              <w:rPr>
                <w:color w:val="auto"/>
                <w:spacing w:val="-1"/>
                <w:sz w:val="21"/>
                <w:szCs w:val="21"/>
                <w:highlight w:val="none"/>
              </w:rPr>
              <w:t>水</w:t>
            </w:r>
            <w:r>
              <w:rPr>
                <w:color w:val="auto"/>
                <w:spacing w:val="2"/>
                <w:sz w:val="21"/>
                <w:szCs w:val="21"/>
                <w:highlight w:val="none"/>
              </w:rPr>
              <w:t>环</w:t>
            </w:r>
            <w:r>
              <w:rPr>
                <w:color w:val="auto"/>
                <w:sz w:val="21"/>
                <w:szCs w:val="21"/>
                <w:highlight w:val="none"/>
              </w:rPr>
              <w:t>境</w:t>
            </w:r>
          </w:p>
        </w:tc>
        <w:tc>
          <w:tcPr>
            <w:tcW w:w="2081" w:type="dxa"/>
            <w:vAlign w:val="center"/>
          </w:tcPr>
          <w:p>
            <w:pPr>
              <w:pStyle w:val="114"/>
              <w:spacing w:before="8"/>
              <w:ind w:firstLine="0" w:firstLineChars="0"/>
              <w:jc w:val="center"/>
              <w:rPr>
                <w:color w:val="auto"/>
                <w:sz w:val="21"/>
                <w:szCs w:val="21"/>
                <w:highlight w:val="none"/>
              </w:rPr>
            </w:pPr>
            <w:r>
              <w:rPr>
                <w:color w:val="auto"/>
                <w:spacing w:val="-1"/>
                <w:sz w:val="21"/>
                <w:szCs w:val="21"/>
                <w:highlight w:val="none"/>
              </w:rPr>
              <w:t>现</w:t>
            </w:r>
            <w:r>
              <w:rPr>
                <w:color w:val="auto"/>
                <w:spacing w:val="2"/>
                <w:sz w:val="21"/>
                <w:szCs w:val="21"/>
                <w:highlight w:val="none"/>
              </w:rPr>
              <w:t>状</w:t>
            </w:r>
            <w:r>
              <w:rPr>
                <w:color w:val="auto"/>
                <w:spacing w:val="-1"/>
                <w:sz w:val="21"/>
                <w:szCs w:val="21"/>
                <w:highlight w:val="none"/>
              </w:rPr>
              <w:t>评</w:t>
            </w:r>
            <w:r>
              <w:rPr>
                <w:color w:val="auto"/>
                <w:sz w:val="21"/>
                <w:szCs w:val="21"/>
                <w:highlight w:val="none"/>
              </w:rPr>
              <w:t>价</w:t>
            </w:r>
          </w:p>
        </w:tc>
        <w:tc>
          <w:tcPr>
            <w:tcW w:w="5101" w:type="dxa"/>
            <w:vAlign w:val="center"/>
          </w:tcPr>
          <w:p>
            <w:pPr>
              <w:pStyle w:val="114"/>
              <w:spacing w:before="4"/>
              <w:ind w:firstLine="0" w:firstLineChars="0"/>
              <w:jc w:val="center"/>
              <w:rPr>
                <w:color w:val="auto"/>
                <w:sz w:val="21"/>
                <w:szCs w:val="21"/>
                <w:highlight w:val="none"/>
              </w:rPr>
            </w:pPr>
            <w:r>
              <w:rPr>
                <w:rFonts w:ascii="Times New Roman" w:hAnsi="Times New Roman" w:eastAsia="Times New Roman" w:cs="Times New Roman"/>
                <w:color w:val="auto"/>
                <w:spacing w:val="1"/>
                <w:position w:val="2"/>
                <w:sz w:val="21"/>
                <w:szCs w:val="21"/>
                <w:highlight w:val="none"/>
              </w:rPr>
              <w:t>p</w:t>
            </w:r>
            <w:r>
              <w:rPr>
                <w:rFonts w:ascii="Times New Roman" w:hAnsi="Times New Roman" w:eastAsia="Times New Roman" w:cs="Times New Roman"/>
                <w:color w:val="auto"/>
                <w:position w:val="2"/>
                <w:sz w:val="21"/>
                <w:szCs w:val="21"/>
                <w:highlight w:val="none"/>
              </w:rPr>
              <w:t>H</w:t>
            </w:r>
            <w:r>
              <w:rPr>
                <w:color w:val="auto"/>
                <w:spacing w:val="-1"/>
                <w:position w:val="2"/>
                <w:sz w:val="21"/>
                <w:szCs w:val="21"/>
                <w:highlight w:val="none"/>
              </w:rPr>
              <w:t>、</w:t>
            </w:r>
            <w:r>
              <w:rPr>
                <w:color w:val="auto"/>
                <w:spacing w:val="2"/>
                <w:position w:val="2"/>
                <w:sz w:val="21"/>
                <w:szCs w:val="21"/>
                <w:highlight w:val="none"/>
              </w:rPr>
              <w:t>溶</w:t>
            </w:r>
            <w:r>
              <w:rPr>
                <w:color w:val="auto"/>
                <w:spacing w:val="-1"/>
                <w:position w:val="2"/>
                <w:sz w:val="21"/>
                <w:szCs w:val="21"/>
                <w:highlight w:val="none"/>
              </w:rPr>
              <w:t>解</w:t>
            </w:r>
            <w:r>
              <w:rPr>
                <w:color w:val="auto"/>
                <w:spacing w:val="2"/>
                <w:position w:val="2"/>
                <w:sz w:val="21"/>
                <w:szCs w:val="21"/>
                <w:highlight w:val="none"/>
              </w:rPr>
              <w:t>氧</w:t>
            </w:r>
            <w:r>
              <w:rPr>
                <w:color w:val="auto"/>
                <w:spacing w:val="-1"/>
                <w:position w:val="2"/>
                <w:sz w:val="21"/>
                <w:szCs w:val="21"/>
                <w:highlight w:val="none"/>
              </w:rPr>
              <w:t>、</w:t>
            </w:r>
            <w:r>
              <w:rPr>
                <w:rFonts w:ascii="Times New Roman" w:hAnsi="Times New Roman" w:eastAsia="Times New Roman" w:cs="Times New Roman"/>
                <w:color w:val="auto"/>
                <w:position w:val="2"/>
                <w:sz w:val="21"/>
                <w:szCs w:val="21"/>
                <w:highlight w:val="none"/>
              </w:rPr>
              <w:t>CO</w:t>
            </w:r>
            <w:r>
              <w:rPr>
                <w:rFonts w:ascii="Times New Roman" w:hAnsi="Times New Roman" w:eastAsia="Times New Roman" w:cs="Times New Roman"/>
                <w:color w:val="auto"/>
                <w:spacing w:val="2"/>
                <w:position w:val="2"/>
                <w:sz w:val="21"/>
                <w:szCs w:val="21"/>
                <w:highlight w:val="none"/>
              </w:rPr>
              <w:t>D</w:t>
            </w:r>
            <w:r>
              <w:rPr>
                <w:color w:val="auto"/>
                <w:spacing w:val="2"/>
                <w:position w:val="2"/>
                <w:sz w:val="21"/>
                <w:szCs w:val="21"/>
                <w:highlight w:val="none"/>
              </w:rPr>
              <w:t>、</w:t>
            </w:r>
            <w:r>
              <w:rPr>
                <w:rFonts w:ascii="Times New Roman" w:hAnsi="Times New Roman" w:eastAsia="Times New Roman" w:cs="Times New Roman"/>
                <w:color w:val="auto"/>
                <w:position w:val="2"/>
                <w:sz w:val="21"/>
                <w:szCs w:val="21"/>
                <w:highlight w:val="none"/>
              </w:rPr>
              <w:t>BOD</w:t>
            </w:r>
            <w:r>
              <w:rPr>
                <w:rFonts w:ascii="Times New Roman" w:hAnsi="Times New Roman" w:eastAsia="Times New Roman" w:cs="Times New Roman"/>
                <w:color w:val="auto"/>
                <w:sz w:val="13"/>
                <w:szCs w:val="13"/>
                <w:highlight w:val="none"/>
              </w:rPr>
              <w:t>5</w:t>
            </w:r>
            <w:r>
              <w:rPr>
                <w:color w:val="auto"/>
                <w:spacing w:val="-1"/>
                <w:position w:val="2"/>
                <w:sz w:val="21"/>
                <w:szCs w:val="21"/>
                <w:highlight w:val="none"/>
              </w:rPr>
              <w:t>、</w:t>
            </w:r>
            <w:r>
              <w:rPr>
                <w:color w:val="auto"/>
                <w:spacing w:val="2"/>
                <w:position w:val="2"/>
                <w:sz w:val="21"/>
                <w:szCs w:val="21"/>
                <w:highlight w:val="none"/>
              </w:rPr>
              <w:t>氨</w:t>
            </w:r>
            <w:r>
              <w:rPr>
                <w:color w:val="auto"/>
                <w:spacing w:val="-1"/>
                <w:position w:val="2"/>
                <w:sz w:val="21"/>
                <w:szCs w:val="21"/>
                <w:highlight w:val="none"/>
              </w:rPr>
              <w:t>氮</w:t>
            </w:r>
            <w:r>
              <w:rPr>
                <w:color w:val="auto"/>
                <w:spacing w:val="2"/>
                <w:position w:val="2"/>
                <w:sz w:val="21"/>
                <w:szCs w:val="21"/>
                <w:highlight w:val="none"/>
              </w:rPr>
              <w:t>、</w:t>
            </w:r>
            <w:r>
              <w:rPr>
                <w:color w:val="auto"/>
                <w:spacing w:val="-1"/>
                <w:position w:val="2"/>
                <w:sz w:val="21"/>
                <w:szCs w:val="21"/>
                <w:highlight w:val="none"/>
              </w:rPr>
              <w:t>总</w:t>
            </w:r>
            <w:r>
              <w:rPr>
                <w:color w:val="auto"/>
                <w:spacing w:val="2"/>
                <w:position w:val="2"/>
                <w:sz w:val="21"/>
                <w:szCs w:val="21"/>
                <w:highlight w:val="none"/>
              </w:rPr>
              <w:t>磷</w:t>
            </w:r>
            <w:r>
              <w:rPr>
                <w:color w:val="auto"/>
                <w:spacing w:val="-1"/>
                <w:position w:val="2"/>
                <w:sz w:val="21"/>
                <w:szCs w:val="21"/>
                <w:highlight w:val="none"/>
              </w:rPr>
              <w:t>、</w:t>
            </w:r>
            <w:r>
              <w:rPr>
                <w:color w:val="auto"/>
                <w:spacing w:val="2"/>
                <w:position w:val="2"/>
                <w:sz w:val="21"/>
                <w:szCs w:val="21"/>
                <w:highlight w:val="none"/>
              </w:rPr>
              <w:t>石</w:t>
            </w:r>
            <w:r>
              <w:rPr>
                <w:color w:val="auto"/>
                <w:spacing w:val="-1"/>
                <w:position w:val="2"/>
                <w:sz w:val="21"/>
                <w:szCs w:val="21"/>
                <w:highlight w:val="none"/>
              </w:rPr>
              <w:t>油</w:t>
            </w:r>
            <w:r>
              <w:rPr>
                <w:color w:val="auto"/>
                <w:position w:val="2"/>
                <w:sz w:val="21"/>
                <w:szCs w:val="21"/>
                <w:highlight w:val="none"/>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1" w:hRule="atLeast"/>
          <w:jc w:val="center"/>
        </w:trPr>
        <w:tc>
          <w:tcPr>
            <w:tcW w:w="1738" w:type="dxa"/>
            <w:vMerge w:val="restart"/>
            <w:vAlign w:val="center"/>
          </w:tcPr>
          <w:p>
            <w:pPr>
              <w:pStyle w:val="114"/>
              <w:ind w:firstLine="0" w:firstLineChars="0"/>
              <w:jc w:val="center"/>
              <w:rPr>
                <w:color w:val="auto"/>
                <w:sz w:val="21"/>
                <w:szCs w:val="21"/>
                <w:highlight w:val="none"/>
              </w:rPr>
            </w:pPr>
            <w:r>
              <w:rPr>
                <w:color w:val="auto"/>
                <w:spacing w:val="-1"/>
                <w:sz w:val="21"/>
                <w:szCs w:val="21"/>
                <w:highlight w:val="none"/>
              </w:rPr>
              <w:t>声</w:t>
            </w:r>
            <w:r>
              <w:rPr>
                <w:color w:val="auto"/>
                <w:spacing w:val="2"/>
                <w:sz w:val="21"/>
                <w:szCs w:val="21"/>
                <w:highlight w:val="none"/>
              </w:rPr>
              <w:t>环</w:t>
            </w:r>
            <w:r>
              <w:rPr>
                <w:color w:val="auto"/>
                <w:sz w:val="21"/>
                <w:szCs w:val="21"/>
                <w:highlight w:val="none"/>
              </w:rPr>
              <w:t>境</w:t>
            </w:r>
          </w:p>
        </w:tc>
        <w:tc>
          <w:tcPr>
            <w:tcW w:w="2081" w:type="dxa"/>
            <w:vAlign w:val="center"/>
          </w:tcPr>
          <w:p>
            <w:pPr>
              <w:pStyle w:val="114"/>
              <w:spacing w:before="7"/>
              <w:ind w:firstLine="0" w:firstLineChars="0"/>
              <w:jc w:val="center"/>
              <w:rPr>
                <w:color w:val="auto"/>
                <w:sz w:val="21"/>
                <w:szCs w:val="21"/>
                <w:highlight w:val="none"/>
              </w:rPr>
            </w:pPr>
            <w:r>
              <w:rPr>
                <w:color w:val="auto"/>
                <w:spacing w:val="-1"/>
                <w:sz w:val="21"/>
                <w:szCs w:val="21"/>
                <w:highlight w:val="none"/>
              </w:rPr>
              <w:t>现</w:t>
            </w:r>
            <w:r>
              <w:rPr>
                <w:color w:val="auto"/>
                <w:spacing w:val="2"/>
                <w:sz w:val="21"/>
                <w:szCs w:val="21"/>
                <w:highlight w:val="none"/>
              </w:rPr>
              <w:t>状</w:t>
            </w:r>
            <w:r>
              <w:rPr>
                <w:color w:val="auto"/>
                <w:spacing w:val="-1"/>
                <w:sz w:val="21"/>
                <w:szCs w:val="21"/>
                <w:highlight w:val="none"/>
              </w:rPr>
              <w:t>评</w:t>
            </w:r>
            <w:r>
              <w:rPr>
                <w:color w:val="auto"/>
                <w:sz w:val="21"/>
                <w:szCs w:val="21"/>
                <w:highlight w:val="none"/>
              </w:rPr>
              <w:t>价</w:t>
            </w:r>
          </w:p>
        </w:tc>
        <w:tc>
          <w:tcPr>
            <w:tcW w:w="5101" w:type="dxa"/>
            <w:vMerge w:val="restart"/>
            <w:vAlign w:val="center"/>
          </w:tcPr>
          <w:p>
            <w:pPr>
              <w:pStyle w:val="114"/>
              <w:ind w:right="1"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L</w:t>
            </w:r>
            <w:r>
              <w:rPr>
                <w:rFonts w:ascii="Times New Roman" w:hAnsi="Times New Roman" w:eastAsia="Times New Roman" w:cs="Times New Roman"/>
                <w:color w:val="auto"/>
                <w:spacing w:val="1"/>
                <w:sz w:val="21"/>
                <w:szCs w:val="21"/>
                <w:highlight w:val="none"/>
              </w:rPr>
              <w:t>eq</w:t>
            </w:r>
            <w:r>
              <w:rPr>
                <w:rFonts w:ascii="Times New Roman" w:hAnsi="Times New Roman" w:eastAsia="Times New Roman" w:cs="Times New Roman"/>
                <w:color w:val="auto"/>
                <w:sz w:val="21"/>
                <w:szCs w:val="21"/>
                <w:highlight w:val="non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1" w:hRule="atLeast"/>
          <w:jc w:val="center"/>
        </w:trPr>
        <w:tc>
          <w:tcPr>
            <w:tcW w:w="1738" w:type="dxa"/>
            <w:vMerge w:val="continue"/>
            <w:vAlign w:val="center"/>
          </w:tcPr>
          <w:p>
            <w:pPr>
              <w:ind w:firstLine="480"/>
              <w:jc w:val="center"/>
              <w:rPr>
                <w:color w:val="auto"/>
                <w:highlight w:val="none"/>
              </w:rPr>
            </w:pPr>
          </w:p>
        </w:tc>
        <w:tc>
          <w:tcPr>
            <w:tcW w:w="2081" w:type="dxa"/>
            <w:vAlign w:val="center"/>
          </w:tcPr>
          <w:p>
            <w:pPr>
              <w:pStyle w:val="114"/>
              <w:spacing w:before="7"/>
              <w:ind w:firstLine="0" w:firstLineChars="0"/>
              <w:jc w:val="center"/>
              <w:rPr>
                <w:color w:val="auto"/>
                <w:sz w:val="21"/>
                <w:szCs w:val="21"/>
                <w:highlight w:val="none"/>
              </w:rPr>
            </w:pPr>
            <w:r>
              <w:rPr>
                <w:rFonts w:hint="eastAsia"/>
                <w:color w:val="auto"/>
                <w:spacing w:val="-1"/>
                <w:sz w:val="21"/>
                <w:szCs w:val="21"/>
                <w:highlight w:val="none"/>
                <w:lang w:eastAsia="zh-CN"/>
              </w:rPr>
              <w:t>预测评价</w:t>
            </w:r>
          </w:p>
        </w:tc>
        <w:tc>
          <w:tcPr>
            <w:tcW w:w="5101" w:type="dxa"/>
            <w:vMerge w:val="continue"/>
            <w:vAlign w:val="center"/>
          </w:tcPr>
          <w:p>
            <w:pPr>
              <w:ind w:firstLine="48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4" w:hRule="atLeast"/>
          <w:jc w:val="center"/>
        </w:trPr>
        <w:tc>
          <w:tcPr>
            <w:tcW w:w="1738" w:type="dxa"/>
            <w:vMerge w:val="restart"/>
            <w:vAlign w:val="center"/>
          </w:tcPr>
          <w:p>
            <w:pPr>
              <w:pStyle w:val="114"/>
              <w:spacing w:before="9"/>
              <w:ind w:firstLine="0" w:firstLineChars="0"/>
              <w:jc w:val="center"/>
              <w:rPr>
                <w:rFonts w:hint="eastAsia" w:eastAsia="宋体"/>
                <w:color w:val="auto"/>
                <w:spacing w:val="-1"/>
                <w:sz w:val="21"/>
                <w:szCs w:val="21"/>
                <w:highlight w:val="none"/>
                <w:lang w:eastAsia="zh-CN"/>
              </w:rPr>
            </w:pPr>
            <w:r>
              <w:rPr>
                <w:rFonts w:hint="eastAsia"/>
                <w:color w:val="auto"/>
                <w:spacing w:val="-1"/>
                <w:sz w:val="21"/>
                <w:szCs w:val="21"/>
                <w:highlight w:val="none"/>
                <w:lang w:eastAsia="zh-CN"/>
              </w:rPr>
              <w:t>土壤环境</w:t>
            </w:r>
          </w:p>
        </w:tc>
        <w:tc>
          <w:tcPr>
            <w:tcW w:w="2081" w:type="dxa"/>
            <w:vAlign w:val="center"/>
          </w:tcPr>
          <w:p>
            <w:pPr>
              <w:pStyle w:val="114"/>
              <w:spacing w:before="9"/>
              <w:ind w:firstLine="0" w:firstLineChars="0"/>
              <w:jc w:val="center"/>
              <w:rPr>
                <w:rFonts w:hint="eastAsia" w:eastAsia="宋体"/>
                <w:color w:val="auto"/>
                <w:spacing w:val="-1"/>
                <w:sz w:val="21"/>
                <w:szCs w:val="21"/>
                <w:highlight w:val="none"/>
                <w:lang w:eastAsia="zh-CN"/>
              </w:rPr>
            </w:pPr>
            <w:r>
              <w:rPr>
                <w:rFonts w:hint="eastAsia"/>
                <w:color w:val="auto"/>
                <w:spacing w:val="-1"/>
                <w:sz w:val="21"/>
                <w:szCs w:val="21"/>
                <w:highlight w:val="none"/>
                <w:lang w:eastAsia="zh-CN"/>
              </w:rPr>
              <w:t>现状评价</w:t>
            </w:r>
          </w:p>
        </w:tc>
        <w:tc>
          <w:tcPr>
            <w:tcW w:w="5101" w:type="dxa"/>
            <w:vAlign w:val="center"/>
          </w:tcPr>
          <w:p>
            <w:pPr>
              <w:pStyle w:val="114"/>
              <w:spacing w:before="9"/>
              <w:ind w:firstLine="0" w:firstLineChars="0"/>
              <w:jc w:val="center"/>
              <w:rPr>
                <w:rFonts w:hint="eastAsia"/>
                <w:color w:val="auto"/>
                <w:spacing w:val="-1"/>
                <w:sz w:val="21"/>
                <w:szCs w:val="21"/>
                <w:highlight w:val="none"/>
              </w:rPr>
            </w:pPr>
            <w:r>
              <w:rPr>
                <w:rFonts w:hint="eastAsia"/>
                <w:color w:val="auto"/>
                <w:spacing w:val="-1"/>
                <w:sz w:val="21"/>
                <w:szCs w:val="21"/>
                <w:highlight w:val="none"/>
              </w:rPr>
              <w:t>砷、镉、六价铬、铜、铅、汞、镍、四氯化碳、氯</w:t>
            </w:r>
          </w:p>
          <w:p>
            <w:pPr>
              <w:pStyle w:val="114"/>
              <w:spacing w:before="9"/>
              <w:ind w:firstLine="0" w:firstLineChars="0"/>
              <w:jc w:val="center"/>
              <w:rPr>
                <w:rFonts w:hint="eastAsia"/>
                <w:color w:val="auto"/>
                <w:spacing w:val="-1"/>
                <w:sz w:val="21"/>
                <w:szCs w:val="21"/>
                <w:highlight w:val="none"/>
              </w:rPr>
            </w:pPr>
            <w:r>
              <w:rPr>
                <w:rFonts w:hint="eastAsia"/>
                <w:color w:val="auto"/>
                <w:spacing w:val="-1"/>
                <w:sz w:val="21"/>
                <w:szCs w:val="21"/>
                <w:highlight w:val="none"/>
              </w:rPr>
              <w:t>仿、氯甲烷、1,1-二氯乙烷、1,2-二氯乙烷、1,1 二氯</w:t>
            </w:r>
          </w:p>
          <w:p>
            <w:pPr>
              <w:pStyle w:val="114"/>
              <w:spacing w:before="9"/>
              <w:ind w:firstLine="0" w:firstLineChars="0"/>
              <w:jc w:val="center"/>
              <w:rPr>
                <w:rFonts w:hint="eastAsia"/>
                <w:color w:val="auto"/>
                <w:spacing w:val="-1"/>
                <w:sz w:val="21"/>
                <w:szCs w:val="21"/>
                <w:highlight w:val="none"/>
              </w:rPr>
            </w:pPr>
            <w:r>
              <w:rPr>
                <w:rFonts w:hint="eastAsia"/>
                <w:color w:val="auto"/>
                <w:spacing w:val="-1"/>
                <w:sz w:val="21"/>
                <w:szCs w:val="21"/>
                <w:highlight w:val="none"/>
              </w:rPr>
              <w:t>乙烯，顺-1,2-二氯乙烯，反-1,2-二氯乙烯，二氯甲</w:t>
            </w:r>
          </w:p>
          <w:p>
            <w:pPr>
              <w:pStyle w:val="114"/>
              <w:spacing w:before="9"/>
              <w:ind w:firstLine="0" w:firstLineChars="0"/>
              <w:jc w:val="center"/>
              <w:rPr>
                <w:rFonts w:hint="eastAsia"/>
                <w:color w:val="auto"/>
                <w:spacing w:val="-1"/>
                <w:sz w:val="21"/>
                <w:szCs w:val="21"/>
                <w:highlight w:val="none"/>
              </w:rPr>
            </w:pPr>
            <w:r>
              <w:rPr>
                <w:rFonts w:hint="eastAsia"/>
                <w:color w:val="auto"/>
                <w:spacing w:val="-1"/>
                <w:sz w:val="21"/>
                <w:szCs w:val="21"/>
                <w:highlight w:val="none"/>
              </w:rPr>
              <w:t>烷，1,2-二氯甲烷，1,1,1,2-四氯乙烷，1,1,2,2-四氯</w:t>
            </w:r>
          </w:p>
          <w:p>
            <w:pPr>
              <w:pStyle w:val="114"/>
              <w:spacing w:before="9"/>
              <w:ind w:firstLine="0" w:firstLineChars="0"/>
              <w:jc w:val="center"/>
              <w:rPr>
                <w:rFonts w:hint="eastAsia"/>
                <w:color w:val="auto"/>
                <w:spacing w:val="-1"/>
                <w:sz w:val="21"/>
                <w:szCs w:val="21"/>
                <w:highlight w:val="none"/>
              </w:rPr>
            </w:pPr>
            <w:r>
              <w:rPr>
                <w:rFonts w:hint="eastAsia"/>
                <w:color w:val="auto"/>
                <w:spacing w:val="-1"/>
                <w:sz w:val="21"/>
                <w:szCs w:val="21"/>
                <w:highlight w:val="none"/>
              </w:rPr>
              <w:t>乙烷，四氯乙烯，1,1,1-三氯乙烷，1,1,2-三氯乙烷，</w:t>
            </w:r>
          </w:p>
          <w:p>
            <w:pPr>
              <w:pStyle w:val="114"/>
              <w:spacing w:before="9"/>
              <w:ind w:firstLine="0" w:firstLineChars="0"/>
              <w:jc w:val="center"/>
              <w:rPr>
                <w:rFonts w:hint="eastAsia"/>
                <w:color w:val="auto"/>
                <w:spacing w:val="-1"/>
                <w:sz w:val="21"/>
                <w:szCs w:val="21"/>
                <w:highlight w:val="none"/>
              </w:rPr>
            </w:pPr>
            <w:r>
              <w:rPr>
                <w:rFonts w:hint="eastAsia"/>
                <w:color w:val="auto"/>
                <w:spacing w:val="-1"/>
                <w:sz w:val="21"/>
                <w:szCs w:val="21"/>
                <w:highlight w:val="none"/>
              </w:rPr>
              <w:t>三氯乙烯，1,2,3-三氯丙烷，氯乙烯，苯，氯苯，1,2-</w:t>
            </w:r>
          </w:p>
          <w:p>
            <w:pPr>
              <w:pStyle w:val="114"/>
              <w:spacing w:before="9"/>
              <w:ind w:firstLine="0" w:firstLineChars="0"/>
              <w:jc w:val="center"/>
              <w:rPr>
                <w:rFonts w:hint="eastAsia"/>
                <w:color w:val="auto"/>
                <w:spacing w:val="-1"/>
                <w:sz w:val="21"/>
                <w:szCs w:val="21"/>
                <w:highlight w:val="none"/>
              </w:rPr>
            </w:pPr>
            <w:r>
              <w:rPr>
                <w:rFonts w:hint="eastAsia"/>
                <w:color w:val="auto"/>
                <w:spacing w:val="-1"/>
                <w:sz w:val="21"/>
                <w:szCs w:val="21"/>
                <w:highlight w:val="none"/>
              </w:rPr>
              <w:t>二氯苯，1,4-二氯苯，乙苯、苯乙烯、甲苯、间二甲</w:t>
            </w:r>
          </w:p>
          <w:p>
            <w:pPr>
              <w:pStyle w:val="114"/>
              <w:spacing w:before="9"/>
              <w:ind w:firstLine="0" w:firstLineChars="0"/>
              <w:jc w:val="center"/>
              <w:rPr>
                <w:rFonts w:hint="eastAsia"/>
                <w:color w:val="auto"/>
                <w:spacing w:val="-1"/>
                <w:sz w:val="21"/>
                <w:szCs w:val="21"/>
                <w:highlight w:val="none"/>
              </w:rPr>
            </w:pPr>
            <w:r>
              <w:rPr>
                <w:rFonts w:hint="eastAsia"/>
                <w:color w:val="auto"/>
                <w:spacing w:val="-1"/>
                <w:sz w:val="21"/>
                <w:szCs w:val="21"/>
                <w:highlight w:val="none"/>
              </w:rPr>
              <w:t>苯+对二甲苯、邻二甲苯、硝基苯、苯胺、2-氯酚、</w:t>
            </w:r>
          </w:p>
          <w:p>
            <w:pPr>
              <w:pStyle w:val="114"/>
              <w:spacing w:before="9"/>
              <w:ind w:firstLine="0" w:firstLineChars="0"/>
              <w:jc w:val="center"/>
              <w:rPr>
                <w:rFonts w:hint="eastAsia"/>
                <w:color w:val="auto"/>
                <w:spacing w:val="-1"/>
                <w:sz w:val="21"/>
                <w:szCs w:val="21"/>
                <w:highlight w:val="none"/>
              </w:rPr>
            </w:pPr>
            <w:r>
              <w:rPr>
                <w:rFonts w:hint="eastAsia"/>
                <w:color w:val="auto"/>
                <w:spacing w:val="-1"/>
                <w:sz w:val="21"/>
                <w:szCs w:val="21"/>
                <w:highlight w:val="none"/>
              </w:rPr>
              <w:t>苯并[a]蒽、苯并[a]芘、苯并[b]荧蒽、苯并[k]荧蒽、</w:t>
            </w:r>
          </w:p>
          <w:p>
            <w:pPr>
              <w:pStyle w:val="114"/>
              <w:spacing w:before="9"/>
              <w:ind w:firstLine="0" w:firstLineChars="0"/>
              <w:jc w:val="center"/>
              <w:rPr>
                <w:color w:val="auto"/>
                <w:spacing w:val="-1"/>
                <w:sz w:val="21"/>
                <w:szCs w:val="21"/>
                <w:highlight w:val="none"/>
              </w:rPr>
            </w:pPr>
            <w:r>
              <w:rPr>
                <w:rFonts w:hint="eastAsia"/>
                <w:color w:val="auto"/>
                <w:spacing w:val="-1"/>
                <w:sz w:val="21"/>
                <w:szCs w:val="21"/>
                <w:highlight w:val="none"/>
              </w:rPr>
              <w:t>䓛、二苯并[a,h]蒽、茚并[1,2,3-cd]芘、萘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4" w:hRule="atLeast"/>
          <w:jc w:val="center"/>
        </w:trPr>
        <w:tc>
          <w:tcPr>
            <w:tcW w:w="1738" w:type="dxa"/>
            <w:vMerge w:val="continue"/>
            <w:vAlign w:val="center"/>
          </w:tcPr>
          <w:p>
            <w:pPr>
              <w:pStyle w:val="114"/>
              <w:spacing w:before="9"/>
              <w:ind w:firstLine="0" w:firstLineChars="0"/>
              <w:jc w:val="center"/>
              <w:rPr>
                <w:color w:val="auto"/>
                <w:spacing w:val="-1"/>
                <w:sz w:val="21"/>
                <w:szCs w:val="21"/>
                <w:highlight w:val="none"/>
              </w:rPr>
            </w:pPr>
          </w:p>
        </w:tc>
        <w:tc>
          <w:tcPr>
            <w:tcW w:w="2081" w:type="dxa"/>
            <w:vAlign w:val="center"/>
          </w:tcPr>
          <w:p>
            <w:pPr>
              <w:pStyle w:val="114"/>
              <w:spacing w:before="9"/>
              <w:ind w:firstLine="0" w:firstLineChars="0"/>
              <w:jc w:val="center"/>
              <w:rPr>
                <w:rFonts w:hint="eastAsia" w:eastAsia="宋体"/>
                <w:color w:val="auto"/>
                <w:spacing w:val="-1"/>
                <w:sz w:val="21"/>
                <w:szCs w:val="21"/>
                <w:highlight w:val="none"/>
                <w:lang w:eastAsia="zh-CN"/>
              </w:rPr>
            </w:pPr>
            <w:r>
              <w:rPr>
                <w:rFonts w:hint="eastAsia"/>
                <w:color w:val="auto"/>
                <w:spacing w:val="-1"/>
                <w:sz w:val="21"/>
                <w:szCs w:val="21"/>
                <w:highlight w:val="none"/>
                <w:lang w:eastAsia="zh-CN"/>
              </w:rPr>
              <w:t>影响分析</w:t>
            </w:r>
          </w:p>
        </w:tc>
        <w:tc>
          <w:tcPr>
            <w:tcW w:w="5101" w:type="dxa"/>
            <w:vAlign w:val="center"/>
          </w:tcPr>
          <w:p>
            <w:pPr>
              <w:pStyle w:val="114"/>
              <w:spacing w:before="9"/>
              <w:ind w:firstLine="0" w:firstLineChars="0"/>
              <w:jc w:val="center"/>
              <w:rPr>
                <w:rFonts w:hint="eastAsia" w:eastAsia="宋体"/>
                <w:color w:val="auto"/>
                <w:spacing w:val="-1"/>
                <w:sz w:val="21"/>
                <w:szCs w:val="21"/>
                <w:highlight w:val="none"/>
                <w:lang w:val="en-US" w:eastAsia="zh-CN"/>
              </w:rPr>
            </w:pPr>
            <w:r>
              <w:rPr>
                <w:rFonts w:hint="eastAsia"/>
                <w:color w:val="auto"/>
                <w:spacing w:val="-1"/>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4" w:hRule="atLeast"/>
          <w:jc w:val="center"/>
        </w:trPr>
        <w:tc>
          <w:tcPr>
            <w:tcW w:w="1738" w:type="dxa"/>
            <w:vAlign w:val="center"/>
          </w:tcPr>
          <w:p>
            <w:pPr>
              <w:pStyle w:val="114"/>
              <w:spacing w:before="9"/>
              <w:ind w:firstLine="0" w:firstLineChars="0"/>
              <w:jc w:val="center"/>
              <w:rPr>
                <w:color w:val="auto"/>
                <w:sz w:val="21"/>
                <w:szCs w:val="21"/>
                <w:highlight w:val="none"/>
              </w:rPr>
            </w:pPr>
            <w:r>
              <w:rPr>
                <w:color w:val="auto"/>
                <w:spacing w:val="-1"/>
                <w:sz w:val="21"/>
                <w:szCs w:val="21"/>
                <w:highlight w:val="none"/>
              </w:rPr>
              <w:t>固</w:t>
            </w:r>
            <w:r>
              <w:rPr>
                <w:color w:val="auto"/>
                <w:spacing w:val="2"/>
                <w:sz w:val="21"/>
                <w:szCs w:val="21"/>
                <w:highlight w:val="none"/>
              </w:rPr>
              <w:t>体</w:t>
            </w:r>
            <w:r>
              <w:rPr>
                <w:color w:val="auto"/>
                <w:spacing w:val="-1"/>
                <w:sz w:val="21"/>
                <w:szCs w:val="21"/>
                <w:highlight w:val="none"/>
              </w:rPr>
              <w:t>废</w:t>
            </w:r>
            <w:r>
              <w:rPr>
                <w:color w:val="auto"/>
                <w:sz w:val="21"/>
                <w:szCs w:val="21"/>
                <w:highlight w:val="none"/>
              </w:rPr>
              <w:t>物</w:t>
            </w:r>
          </w:p>
        </w:tc>
        <w:tc>
          <w:tcPr>
            <w:tcW w:w="2081" w:type="dxa"/>
            <w:vAlign w:val="center"/>
          </w:tcPr>
          <w:p>
            <w:pPr>
              <w:pStyle w:val="114"/>
              <w:spacing w:before="9"/>
              <w:ind w:firstLine="0" w:firstLineChars="0"/>
              <w:jc w:val="center"/>
              <w:rPr>
                <w:color w:val="auto"/>
                <w:sz w:val="21"/>
                <w:szCs w:val="21"/>
                <w:highlight w:val="none"/>
              </w:rPr>
            </w:pPr>
            <w:r>
              <w:rPr>
                <w:color w:val="auto"/>
                <w:spacing w:val="-1"/>
                <w:sz w:val="21"/>
                <w:szCs w:val="21"/>
                <w:highlight w:val="none"/>
              </w:rPr>
              <w:t>影</w:t>
            </w:r>
            <w:r>
              <w:rPr>
                <w:color w:val="auto"/>
                <w:spacing w:val="2"/>
                <w:sz w:val="21"/>
                <w:szCs w:val="21"/>
                <w:highlight w:val="none"/>
              </w:rPr>
              <w:t>响</w:t>
            </w:r>
            <w:r>
              <w:rPr>
                <w:color w:val="auto"/>
                <w:spacing w:val="-1"/>
                <w:sz w:val="21"/>
                <w:szCs w:val="21"/>
                <w:highlight w:val="none"/>
              </w:rPr>
              <w:t>分</w:t>
            </w:r>
            <w:r>
              <w:rPr>
                <w:color w:val="auto"/>
                <w:sz w:val="21"/>
                <w:szCs w:val="21"/>
                <w:highlight w:val="none"/>
              </w:rPr>
              <w:t>析</w:t>
            </w:r>
          </w:p>
        </w:tc>
        <w:tc>
          <w:tcPr>
            <w:tcW w:w="5101" w:type="dxa"/>
            <w:vAlign w:val="center"/>
          </w:tcPr>
          <w:p>
            <w:pPr>
              <w:pStyle w:val="114"/>
              <w:spacing w:before="9"/>
              <w:ind w:firstLine="0" w:firstLineChars="0"/>
              <w:jc w:val="center"/>
              <w:rPr>
                <w:color w:val="auto"/>
                <w:sz w:val="21"/>
                <w:szCs w:val="21"/>
                <w:highlight w:val="none"/>
              </w:rPr>
            </w:pPr>
            <w:r>
              <w:rPr>
                <w:color w:val="auto"/>
                <w:spacing w:val="-1"/>
                <w:sz w:val="21"/>
                <w:szCs w:val="21"/>
                <w:highlight w:val="none"/>
              </w:rPr>
              <w:t>废</w:t>
            </w:r>
            <w:r>
              <w:rPr>
                <w:color w:val="auto"/>
                <w:spacing w:val="2"/>
                <w:sz w:val="21"/>
                <w:szCs w:val="21"/>
                <w:highlight w:val="none"/>
              </w:rPr>
              <w:t>土</w:t>
            </w:r>
            <w:r>
              <w:rPr>
                <w:color w:val="auto"/>
                <w:spacing w:val="-1"/>
                <w:sz w:val="21"/>
                <w:szCs w:val="21"/>
                <w:highlight w:val="none"/>
              </w:rPr>
              <w:t>石</w:t>
            </w:r>
            <w:r>
              <w:rPr>
                <w:color w:val="auto"/>
                <w:spacing w:val="2"/>
                <w:sz w:val="21"/>
                <w:szCs w:val="21"/>
                <w:highlight w:val="none"/>
              </w:rPr>
              <w:t>、</w:t>
            </w:r>
            <w:r>
              <w:rPr>
                <w:color w:val="auto"/>
                <w:spacing w:val="-1"/>
                <w:sz w:val="21"/>
                <w:szCs w:val="21"/>
                <w:highlight w:val="none"/>
              </w:rPr>
              <w:t>表</w:t>
            </w:r>
            <w:r>
              <w:rPr>
                <w:color w:val="auto"/>
                <w:spacing w:val="2"/>
                <w:sz w:val="21"/>
                <w:szCs w:val="21"/>
                <w:highlight w:val="none"/>
              </w:rPr>
              <w:t>土</w:t>
            </w:r>
            <w:r>
              <w:rPr>
                <w:color w:val="auto"/>
                <w:spacing w:val="-1"/>
                <w:sz w:val="21"/>
                <w:szCs w:val="21"/>
                <w:highlight w:val="none"/>
              </w:rPr>
              <w:t>、</w:t>
            </w:r>
            <w:r>
              <w:rPr>
                <w:color w:val="auto"/>
                <w:spacing w:val="2"/>
                <w:sz w:val="21"/>
                <w:szCs w:val="21"/>
                <w:highlight w:val="none"/>
              </w:rPr>
              <w:t>生</w:t>
            </w:r>
            <w:r>
              <w:rPr>
                <w:color w:val="auto"/>
                <w:spacing w:val="-1"/>
                <w:sz w:val="21"/>
                <w:szCs w:val="21"/>
                <w:highlight w:val="none"/>
              </w:rPr>
              <w:t>活</w:t>
            </w:r>
            <w:r>
              <w:rPr>
                <w:color w:val="auto"/>
                <w:spacing w:val="2"/>
                <w:sz w:val="21"/>
                <w:szCs w:val="21"/>
                <w:highlight w:val="none"/>
              </w:rPr>
              <w:t>垃</w:t>
            </w:r>
            <w:r>
              <w:rPr>
                <w:color w:val="auto"/>
                <w:sz w:val="21"/>
                <w:szCs w:val="21"/>
                <w:highlight w:val="none"/>
              </w:rPr>
              <w:t>圾</w:t>
            </w:r>
            <w:r>
              <w:rPr>
                <w:rFonts w:hint="eastAsia"/>
                <w:color w:val="auto"/>
                <w:sz w:val="21"/>
                <w:szCs w:val="21"/>
                <w:highlight w:val="none"/>
              </w:rPr>
              <w:t>、污泥、废机油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3" w:hRule="atLeast"/>
          <w:jc w:val="center"/>
        </w:trPr>
        <w:tc>
          <w:tcPr>
            <w:tcW w:w="1738" w:type="dxa"/>
            <w:vMerge w:val="restart"/>
            <w:vAlign w:val="center"/>
          </w:tcPr>
          <w:p>
            <w:pPr>
              <w:pStyle w:val="114"/>
              <w:ind w:firstLine="0" w:firstLineChars="0"/>
              <w:jc w:val="center"/>
              <w:rPr>
                <w:color w:val="auto"/>
                <w:sz w:val="21"/>
                <w:szCs w:val="21"/>
                <w:highlight w:val="none"/>
              </w:rPr>
            </w:pPr>
            <w:r>
              <w:rPr>
                <w:color w:val="auto"/>
                <w:spacing w:val="-1"/>
                <w:sz w:val="21"/>
                <w:szCs w:val="21"/>
                <w:highlight w:val="none"/>
              </w:rPr>
              <w:t>生</w:t>
            </w:r>
            <w:r>
              <w:rPr>
                <w:color w:val="auto"/>
                <w:spacing w:val="2"/>
                <w:sz w:val="21"/>
                <w:szCs w:val="21"/>
                <w:highlight w:val="none"/>
              </w:rPr>
              <w:t>态</w:t>
            </w:r>
            <w:r>
              <w:rPr>
                <w:color w:val="auto"/>
                <w:spacing w:val="-1"/>
                <w:sz w:val="21"/>
                <w:szCs w:val="21"/>
                <w:highlight w:val="none"/>
              </w:rPr>
              <w:t>环</w:t>
            </w:r>
            <w:r>
              <w:rPr>
                <w:color w:val="auto"/>
                <w:sz w:val="21"/>
                <w:szCs w:val="21"/>
                <w:highlight w:val="none"/>
              </w:rPr>
              <w:t>境</w:t>
            </w:r>
          </w:p>
        </w:tc>
        <w:tc>
          <w:tcPr>
            <w:tcW w:w="2081" w:type="dxa"/>
            <w:vAlign w:val="center"/>
          </w:tcPr>
          <w:p>
            <w:pPr>
              <w:pStyle w:val="114"/>
              <w:spacing w:before="8"/>
              <w:ind w:firstLine="0" w:firstLineChars="0"/>
              <w:jc w:val="center"/>
              <w:rPr>
                <w:color w:val="auto"/>
                <w:sz w:val="21"/>
                <w:szCs w:val="21"/>
                <w:highlight w:val="none"/>
              </w:rPr>
            </w:pPr>
            <w:r>
              <w:rPr>
                <w:color w:val="auto"/>
                <w:spacing w:val="-1"/>
                <w:sz w:val="21"/>
                <w:szCs w:val="21"/>
                <w:highlight w:val="none"/>
              </w:rPr>
              <w:t>现</w:t>
            </w:r>
            <w:r>
              <w:rPr>
                <w:color w:val="auto"/>
                <w:spacing w:val="2"/>
                <w:sz w:val="21"/>
                <w:szCs w:val="21"/>
                <w:highlight w:val="none"/>
              </w:rPr>
              <w:t>状</w:t>
            </w:r>
            <w:r>
              <w:rPr>
                <w:color w:val="auto"/>
                <w:spacing w:val="-1"/>
                <w:sz w:val="21"/>
                <w:szCs w:val="21"/>
                <w:highlight w:val="none"/>
              </w:rPr>
              <w:t>评</w:t>
            </w:r>
            <w:r>
              <w:rPr>
                <w:color w:val="auto"/>
                <w:sz w:val="21"/>
                <w:szCs w:val="21"/>
                <w:highlight w:val="none"/>
              </w:rPr>
              <w:t>价</w:t>
            </w:r>
          </w:p>
        </w:tc>
        <w:tc>
          <w:tcPr>
            <w:tcW w:w="5101" w:type="dxa"/>
            <w:vMerge w:val="restart"/>
            <w:vAlign w:val="center"/>
          </w:tcPr>
          <w:p>
            <w:pPr>
              <w:pStyle w:val="114"/>
              <w:spacing w:before="8"/>
              <w:ind w:firstLine="0" w:firstLineChars="0"/>
              <w:jc w:val="center"/>
              <w:rPr>
                <w:rFonts w:hint="eastAsia"/>
                <w:color w:val="auto"/>
                <w:spacing w:val="-1"/>
                <w:sz w:val="21"/>
                <w:szCs w:val="21"/>
                <w:highlight w:val="none"/>
              </w:rPr>
            </w:pPr>
            <w:r>
              <w:rPr>
                <w:rFonts w:hint="eastAsia"/>
                <w:color w:val="auto"/>
                <w:spacing w:val="-1"/>
                <w:sz w:val="21"/>
                <w:szCs w:val="21"/>
                <w:highlight w:val="none"/>
              </w:rPr>
              <w:t>土地利用、植被、动植物种类和数量、景观影响</w:t>
            </w:r>
          </w:p>
          <w:p>
            <w:pPr>
              <w:pStyle w:val="114"/>
              <w:spacing w:before="8"/>
              <w:ind w:firstLine="0" w:firstLineChars="0"/>
              <w:jc w:val="center"/>
              <w:rPr>
                <w:rFonts w:hint="eastAsia" w:eastAsia="宋体"/>
                <w:color w:val="auto"/>
                <w:sz w:val="21"/>
                <w:szCs w:val="21"/>
                <w:highlight w:val="none"/>
                <w:lang w:eastAsia="zh-CN"/>
              </w:rPr>
            </w:pPr>
            <w:r>
              <w:rPr>
                <w:rFonts w:hint="eastAsia"/>
                <w:color w:val="auto"/>
                <w:spacing w:val="-1"/>
                <w:sz w:val="21"/>
                <w:szCs w:val="21"/>
                <w:highlight w:val="none"/>
                <w:lang w:eastAsia="zh-CN"/>
              </w:rPr>
              <w:t>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4" w:hRule="atLeast"/>
          <w:jc w:val="center"/>
        </w:trPr>
        <w:tc>
          <w:tcPr>
            <w:tcW w:w="1738" w:type="dxa"/>
            <w:vMerge w:val="continue"/>
            <w:vAlign w:val="center"/>
          </w:tcPr>
          <w:p>
            <w:pPr>
              <w:ind w:firstLine="480"/>
              <w:jc w:val="center"/>
              <w:rPr>
                <w:color w:val="auto"/>
                <w:highlight w:val="none"/>
              </w:rPr>
            </w:pPr>
          </w:p>
        </w:tc>
        <w:tc>
          <w:tcPr>
            <w:tcW w:w="2081" w:type="dxa"/>
            <w:vAlign w:val="center"/>
          </w:tcPr>
          <w:p>
            <w:pPr>
              <w:pStyle w:val="114"/>
              <w:spacing w:before="8"/>
              <w:ind w:firstLine="0" w:firstLineChars="0"/>
              <w:jc w:val="center"/>
              <w:rPr>
                <w:color w:val="auto"/>
                <w:sz w:val="21"/>
                <w:szCs w:val="21"/>
                <w:highlight w:val="none"/>
              </w:rPr>
            </w:pPr>
            <w:r>
              <w:rPr>
                <w:color w:val="auto"/>
                <w:spacing w:val="-1"/>
                <w:sz w:val="21"/>
                <w:szCs w:val="21"/>
                <w:highlight w:val="none"/>
              </w:rPr>
              <w:t>影</w:t>
            </w:r>
            <w:r>
              <w:rPr>
                <w:color w:val="auto"/>
                <w:spacing w:val="2"/>
                <w:sz w:val="21"/>
                <w:szCs w:val="21"/>
                <w:highlight w:val="none"/>
              </w:rPr>
              <w:t>响</w:t>
            </w:r>
            <w:r>
              <w:rPr>
                <w:color w:val="auto"/>
                <w:spacing w:val="-1"/>
                <w:sz w:val="21"/>
                <w:szCs w:val="21"/>
                <w:highlight w:val="none"/>
              </w:rPr>
              <w:t>分</w:t>
            </w:r>
            <w:r>
              <w:rPr>
                <w:color w:val="auto"/>
                <w:sz w:val="21"/>
                <w:szCs w:val="21"/>
                <w:highlight w:val="none"/>
              </w:rPr>
              <w:t>析</w:t>
            </w:r>
          </w:p>
        </w:tc>
        <w:tc>
          <w:tcPr>
            <w:tcW w:w="5101" w:type="dxa"/>
            <w:vMerge w:val="continue"/>
            <w:vAlign w:val="center"/>
          </w:tcPr>
          <w:p>
            <w:pPr>
              <w:ind w:firstLine="480"/>
              <w:jc w:val="center"/>
              <w:rPr>
                <w:color w:val="auto"/>
                <w:highlight w:val="none"/>
              </w:rPr>
            </w:pPr>
          </w:p>
        </w:tc>
      </w:tr>
    </w:tbl>
    <w:p>
      <w:pPr>
        <w:pStyle w:val="2"/>
        <w:spacing w:line="332" w:lineRule="auto"/>
        <w:ind w:right="119" w:firstLine="0" w:firstLineChars="0"/>
        <w:rPr>
          <w:highlight w:val="none"/>
        </w:rPr>
        <w:sectPr>
          <w:pgSz w:w="11911" w:h="16838"/>
          <w:pgMar w:top="1417" w:right="1417" w:bottom="1417" w:left="1417" w:header="879" w:footer="952" w:gutter="0"/>
          <w:pgBorders>
            <w:top w:val="none" w:sz="0" w:space="0"/>
            <w:left w:val="none" w:sz="0" w:space="0"/>
            <w:bottom w:val="none" w:sz="0" w:space="0"/>
            <w:right w:val="none" w:sz="0" w:space="0"/>
          </w:pgBorders>
          <w:pgNumType w:fmt="decimal"/>
          <w:cols w:space="720" w:num="1"/>
          <w:docGrid w:linePitch="312" w:charSpace="0"/>
        </w:sectPr>
      </w:pPr>
    </w:p>
    <w:p>
      <w:pPr>
        <w:pStyle w:val="4"/>
        <w:rPr>
          <w:highlight w:val="none"/>
        </w:rPr>
      </w:pPr>
      <w:bookmarkStart w:id="84" w:name="_Toc16774"/>
      <w:bookmarkStart w:id="85" w:name="_Toc2405"/>
      <w:bookmarkStart w:id="86" w:name="_Toc29643"/>
      <w:bookmarkStart w:id="87" w:name="_Toc2707"/>
      <w:bookmarkStart w:id="88" w:name="_Toc10109"/>
      <w:r>
        <w:rPr>
          <w:highlight w:val="none"/>
        </w:rPr>
        <w:t>1.</w:t>
      </w:r>
      <w:r>
        <w:rPr>
          <w:rFonts w:hint="eastAsia"/>
          <w:highlight w:val="none"/>
        </w:rPr>
        <w:t>5</w:t>
      </w:r>
      <w:r>
        <w:rPr>
          <w:highlight w:val="none"/>
        </w:rPr>
        <w:t xml:space="preserve"> 评价执行标准</w:t>
      </w:r>
      <w:bookmarkEnd w:id="84"/>
      <w:bookmarkEnd w:id="85"/>
      <w:bookmarkEnd w:id="86"/>
      <w:bookmarkEnd w:id="87"/>
      <w:bookmarkEnd w:id="88"/>
    </w:p>
    <w:p>
      <w:pPr>
        <w:pStyle w:val="5"/>
        <w:rPr>
          <w:rFonts w:hint="default"/>
          <w:highlight w:val="none"/>
        </w:rPr>
      </w:pPr>
      <w:bookmarkStart w:id="89" w:name="_Toc26284"/>
      <w:bookmarkStart w:id="90" w:name="_Toc15675"/>
      <w:bookmarkStart w:id="91" w:name="_Toc10158"/>
      <w:bookmarkStart w:id="92" w:name="_Toc27532"/>
      <w:bookmarkStart w:id="93" w:name="_Toc23313"/>
      <w:r>
        <w:rPr>
          <w:rFonts w:hint="default"/>
          <w:highlight w:val="none"/>
        </w:rPr>
        <w:t>1.</w:t>
      </w:r>
      <w:r>
        <w:rPr>
          <w:highlight w:val="none"/>
        </w:rPr>
        <w:t>5</w:t>
      </w:r>
      <w:r>
        <w:rPr>
          <w:rFonts w:hint="default"/>
          <w:highlight w:val="none"/>
        </w:rPr>
        <w:t>.1环境质量标准</w:t>
      </w:r>
      <w:bookmarkEnd w:id="89"/>
      <w:bookmarkEnd w:id="90"/>
      <w:bookmarkEnd w:id="91"/>
      <w:bookmarkEnd w:id="92"/>
      <w:bookmarkEnd w:id="93"/>
    </w:p>
    <w:p>
      <w:pPr>
        <w:ind w:firstLine="482"/>
        <w:rPr>
          <w:b/>
          <w:highlight w:val="none"/>
        </w:rPr>
      </w:pPr>
      <w:bookmarkStart w:id="94" w:name="_Toc186448867"/>
      <w:bookmarkStart w:id="95" w:name="_Toc162931730"/>
      <w:bookmarkStart w:id="96" w:name="_Toc162230113"/>
      <w:bookmarkStart w:id="97" w:name="_Toc176095840"/>
      <w:bookmarkStart w:id="98" w:name="_Toc183329980"/>
      <w:r>
        <w:rPr>
          <w:b/>
          <w:highlight w:val="none"/>
        </w:rPr>
        <w:t>1、环境空气</w:t>
      </w:r>
    </w:p>
    <w:p>
      <w:pPr>
        <w:ind w:firstLine="480"/>
        <w:rPr>
          <w:highlight w:val="none"/>
        </w:rPr>
      </w:pPr>
      <w:r>
        <w:rPr>
          <w:highlight w:val="none"/>
        </w:rPr>
        <w:t>本项目位于</w:t>
      </w:r>
      <w:r>
        <w:rPr>
          <w:rFonts w:hint="eastAsia"/>
          <w:highlight w:val="none"/>
        </w:rPr>
        <w:t>砚山县</w:t>
      </w:r>
      <w:r>
        <w:rPr>
          <w:rFonts w:hint="eastAsia"/>
          <w:highlight w:val="none"/>
          <w:lang w:eastAsia="zh-CN"/>
        </w:rPr>
        <w:t>阿猛镇卡子村</w:t>
      </w:r>
      <w:r>
        <w:rPr>
          <w:rFonts w:hint="eastAsia"/>
          <w:highlight w:val="none"/>
        </w:rPr>
        <w:t>，所在区域</w:t>
      </w:r>
      <w:r>
        <w:rPr>
          <w:highlight w:val="none"/>
        </w:rPr>
        <w:t>属环境空气功能2类区，执行《环境空气质量标准》（GB3095-2012）中二级标准相关要求。具体标准限值见表</w:t>
      </w:r>
      <w:r>
        <w:rPr>
          <w:rFonts w:hint="eastAsia"/>
          <w:highlight w:val="none"/>
        </w:rPr>
        <w:t>1-3</w:t>
      </w:r>
      <w:r>
        <w:rPr>
          <w:highlight w:val="none"/>
        </w:rPr>
        <w:t>。</w:t>
      </w:r>
    </w:p>
    <w:p>
      <w:pPr>
        <w:pStyle w:val="105"/>
        <w:spacing w:line="360" w:lineRule="auto"/>
        <w:ind w:firstLine="422"/>
        <w:rPr>
          <w:sz w:val="21"/>
          <w:szCs w:val="21"/>
          <w:highlight w:val="none"/>
        </w:rPr>
      </w:pPr>
      <w:r>
        <w:rPr>
          <w:sz w:val="21"/>
          <w:szCs w:val="21"/>
          <w:highlight w:val="none"/>
        </w:rPr>
        <w:t>表</w:t>
      </w:r>
      <w:r>
        <w:rPr>
          <w:rFonts w:hint="eastAsia"/>
          <w:sz w:val="21"/>
          <w:szCs w:val="21"/>
          <w:highlight w:val="none"/>
        </w:rPr>
        <w:t>1-3</w:t>
      </w:r>
      <w:r>
        <w:rPr>
          <w:sz w:val="21"/>
          <w:szCs w:val="21"/>
          <w:highlight w:val="none"/>
        </w:rPr>
        <w:t xml:space="preserve">   环境空气质量标准</w:t>
      </w:r>
    </w:p>
    <w:tbl>
      <w:tblPr>
        <w:tblStyle w:val="29"/>
        <w:tblW w:w="8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1"/>
        <w:gridCol w:w="2252"/>
        <w:gridCol w:w="2582"/>
        <w:gridCol w:w="2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391" w:type="dxa"/>
            <w:shd w:val="clear" w:color="auto" w:fill="auto"/>
            <w:noWrap w:val="0"/>
            <w:vAlign w:val="center"/>
          </w:tcPr>
          <w:p>
            <w:pPr>
              <w:pStyle w:val="158"/>
              <w:adjustRightInd w:val="0"/>
              <w:snapToGrid w:val="0"/>
              <w:spacing w:line="240" w:lineRule="atLeast"/>
              <w:ind w:left="0" w:leftChars="0" w:firstLine="0" w:firstLine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名称</w:t>
            </w:r>
          </w:p>
        </w:tc>
        <w:tc>
          <w:tcPr>
            <w:tcW w:w="2252" w:type="dxa"/>
            <w:shd w:val="clear" w:color="auto" w:fill="auto"/>
            <w:noWrap w:val="0"/>
            <w:vAlign w:val="center"/>
          </w:tcPr>
          <w:p>
            <w:pPr>
              <w:pStyle w:val="158"/>
              <w:adjustRightInd w:val="0"/>
              <w:snapToGrid w:val="0"/>
              <w:spacing w:line="240" w:lineRule="atLeast"/>
              <w:ind w:left="0" w:leftChars="0" w:firstLine="0" w:firstLine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年平均(ug/m</w:t>
            </w:r>
            <w:r>
              <w:rPr>
                <w:rFonts w:hint="default" w:ascii="Times New Roman" w:hAnsi="Times New Roman" w:cs="Times New Roman"/>
                <w:b/>
                <w:bCs/>
                <w:color w:val="auto"/>
                <w:szCs w:val="21"/>
                <w:highlight w:val="none"/>
                <w:vertAlign w:val="superscript"/>
              </w:rPr>
              <w:t>3</w:t>
            </w:r>
            <w:r>
              <w:rPr>
                <w:rFonts w:hint="default" w:ascii="Times New Roman" w:hAnsi="Times New Roman" w:cs="Times New Roman"/>
                <w:b/>
                <w:bCs/>
                <w:color w:val="auto"/>
                <w:szCs w:val="21"/>
                <w:highlight w:val="none"/>
              </w:rPr>
              <w:t>)</w:t>
            </w:r>
          </w:p>
        </w:tc>
        <w:tc>
          <w:tcPr>
            <w:tcW w:w="2582" w:type="dxa"/>
            <w:shd w:val="clear" w:color="auto" w:fill="auto"/>
            <w:noWrap w:val="0"/>
            <w:vAlign w:val="center"/>
          </w:tcPr>
          <w:p>
            <w:pPr>
              <w:pStyle w:val="158"/>
              <w:adjustRightInd w:val="0"/>
              <w:snapToGrid w:val="0"/>
              <w:spacing w:line="240" w:lineRule="atLeast"/>
              <w:ind w:left="0" w:leftChars="0" w:firstLine="0" w:firstLine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24小时平均(ug/m</w:t>
            </w:r>
            <w:r>
              <w:rPr>
                <w:rFonts w:hint="default" w:ascii="Times New Roman" w:hAnsi="Times New Roman" w:cs="Times New Roman"/>
                <w:b/>
                <w:bCs/>
                <w:color w:val="auto"/>
                <w:szCs w:val="21"/>
                <w:highlight w:val="none"/>
                <w:vertAlign w:val="superscript"/>
              </w:rPr>
              <w:t>3</w:t>
            </w:r>
            <w:r>
              <w:rPr>
                <w:rFonts w:hint="default" w:ascii="Times New Roman" w:hAnsi="Times New Roman" w:cs="Times New Roman"/>
                <w:b/>
                <w:bCs/>
                <w:color w:val="auto"/>
                <w:szCs w:val="21"/>
                <w:highlight w:val="none"/>
              </w:rPr>
              <w:t>)</w:t>
            </w:r>
          </w:p>
        </w:tc>
        <w:tc>
          <w:tcPr>
            <w:tcW w:w="2175" w:type="dxa"/>
            <w:shd w:val="clear" w:color="auto" w:fill="auto"/>
            <w:noWrap w:val="0"/>
            <w:vAlign w:val="center"/>
          </w:tcPr>
          <w:p>
            <w:pPr>
              <w:pStyle w:val="158"/>
              <w:adjustRightInd w:val="0"/>
              <w:snapToGrid w:val="0"/>
              <w:spacing w:line="240" w:lineRule="atLeast"/>
              <w:ind w:left="0" w:leftChars="0" w:firstLine="0" w:firstLine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1小时平均(ug/m</w:t>
            </w:r>
            <w:r>
              <w:rPr>
                <w:rFonts w:hint="default" w:ascii="Times New Roman" w:hAnsi="Times New Roman" w:cs="Times New Roman"/>
                <w:b/>
                <w:bCs/>
                <w:color w:val="auto"/>
                <w:szCs w:val="21"/>
                <w:highlight w:val="none"/>
                <w:vertAlign w:val="superscript"/>
              </w:rPr>
              <w:t>3</w:t>
            </w:r>
            <w:r>
              <w:rPr>
                <w:rFonts w:hint="default" w:ascii="Times New Roman" w:hAnsi="Times New Roman" w:cs="Times New Roman"/>
                <w:b/>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391" w:type="dxa"/>
            <w:noWrap w:val="0"/>
            <w:vAlign w:val="center"/>
          </w:tcPr>
          <w:p>
            <w:pPr>
              <w:pStyle w:val="158"/>
              <w:adjustRightInd w:val="0"/>
              <w:snapToGrid w:val="0"/>
              <w:spacing w:line="240" w:lineRule="atLeast"/>
              <w:ind w:left="0" w:leftChars="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SO</w:t>
            </w:r>
            <w:r>
              <w:rPr>
                <w:rFonts w:hint="default" w:ascii="Times New Roman" w:hAnsi="Times New Roman" w:eastAsia="宋体" w:cs="Times New Roman"/>
                <w:color w:val="auto"/>
                <w:szCs w:val="21"/>
                <w:highlight w:val="none"/>
                <w:vertAlign w:val="subscript"/>
              </w:rPr>
              <w:t>2</w:t>
            </w:r>
          </w:p>
        </w:tc>
        <w:tc>
          <w:tcPr>
            <w:tcW w:w="2252" w:type="dxa"/>
            <w:noWrap w:val="0"/>
            <w:vAlign w:val="center"/>
          </w:tcPr>
          <w:p>
            <w:pPr>
              <w:pStyle w:val="158"/>
              <w:adjustRightInd w:val="0"/>
              <w:snapToGrid w:val="0"/>
              <w:spacing w:line="240" w:lineRule="atLeast"/>
              <w:ind w:left="0" w:leftChars="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60</w:t>
            </w:r>
          </w:p>
        </w:tc>
        <w:tc>
          <w:tcPr>
            <w:tcW w:w="2582" w:type="dxa"/>
            <w:noWrap w:val="0"/>
            <w:vAlign w:val="center"/>
          </w:tcPr>
          <w:p>
            <w:pPr>
              <w:pStyle w:val="158"/>
              <w:adjustRightInd w:val="0"/>
              <w:snapToGrid w:val="0"/>
              <w:spacing w:line="240" w:lineRule="atLeast"/>
              <w:ind w:left="0" w:leftChars="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150</w:t>
            </w:r>
          </w:p>
        </w:tc>
        <w:tc>
          <w:tcPr>
            <w:tcW w:w="2175" w:type="dxa"/>
            <w:noWrap w:val="0"/>
            <w:vAlign w:val="center"/>
          </w:tcPr>
          <w:p>
            <w:pPr>
              <w:pStyle w:val="158"/>
              <w:adjustRightInd w:val="0"/>
              <w:snapToGrid w:val="0"/>
              <w:spacing w:line="240" w:lineRule="atLeast"/>
              <w:ind w:left="0" w:leftChars="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391" w:type="dxa"/>
            <w:noWrap w:val="0"/>
            <w:vAlign w:val="center"/>
          </w:tcPr>
          <w:p>
            <w:pPr>
              <w:pStyle w:val="158"/>
              <w:adjustRightInd w:val="0"/>
              <w:snapToGrid w:val="0"/>
              <w:spacing w:line="240" w:lineRule="atLeast"/>
              <w:ind w:left="0" w:leftChars="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NO</w:t>
            </w:r>
            <w:r>
              <w:rPr>
                <w:rFonts w:hint="default" w:ascii="Times New Roman" w:hAnsi="Times New Roman" w:eastAsia="宋体" w:cs="Times New Roman"/>
                <w:color w:val="auto"/>
                <w:szCs w:val="21"/>
                <w:highlight w:val="none"/>
                <w:vertAlign w:val="subscript"/>
              </w:rPr>
              <w:t>2</w:t>
            </w:r>
          </w:p>
        </w:tc>
        <w:tc>
          <w:tcPr>
            <w:tcW w:w="2252" w:type="dxa"/>
            <w:noWrap w:val="0"/>
            <w:vAlign w:val="center"/>
          </w:tcPr>
          <w:p>
            <w:pPr>
              <w:pStyle w:val="158"/>
              <w:adjustRightInd w:val="0"/>
              <w:snapToGrid w:val="0"/>
              <w:spacing w:line="240" w:lineRule="atLeast"/>
              <w:ind w:left="0" w:leftChars="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40</w:t>
            </w:r>
          </w:p>
        </w:tc>
        <w:tc>
          <w:tcPr>
            <w:tcW w:w="2582" w:type="dxa"/>
            <w:noWrap w:val="0"/>
            <w:vAlign w:val="center"/>
          </w:tcPr>
          <w:p>
            <w:pPr>
              <w:pStyle w:val="158"/>
              <w:adjustRightInd w:val="0"/>
              <w:snapToGrid w:val="0"/>
              <w:spacing w:line="240" w:lineRule="atLeast"/>
              <w:ind w:left="0" w:leftChars="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80</w:t>
            </w:r>
          </w:p>
        </w:tc>
        <w:tc>
          <w:tcPr>
            <w:tcW w:w="2175" w:type="dxa"/>
            <w:noWrap w:val="0"/>
            <w:vAlign w:val="center"/>
          </w:tcPr>
          <w:p>
            <w:pPr>
              <w:pStyle w:val="158"/>
              <w:adjustRightInd w:val="0"/>
              <w:snapToGrid w:val="0"/>
              <w:spacing w:line="240" w:lineRule="atLeast"/>
              <w:ind w:left="0" w:leftChars="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391" w:type="dxa"/>
            <w:noWrap w:val="0"/>
            <w:vAlign w:val="center"/>
          </w:tcPr>
          <w:p>
            <w:pPr>
              <w:pStyle w:val="158"/>
              <w:adjustRightInd w:val="0"/>
              <w:snapToGrid w:val="0"/>
              <w:spacing w:line="240" w:lineRule="atLeast"/>
              <w:ind w:left="0" w:leftChars="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CO</w:t>
            </w:r>
          </w:p>
        </w:tc>
        <w:tc>
          <w:tcPr>
            <w:tcW w:w="2252" w:type="dxa"/>
            <w:noWrap w:val="0"/>
            <w:vAlign w:val="center"/>
          </w:tcPr>
          <w:p>
            <w:pPr>
              <w:pStyle w:val="158"/>
              <w:adjustRightInd w:val="0"/>
              <w:snapToGrid w:val="0"/>
              <w:spacing w:line="240" w:lineRule="atLeast"/>
              <w:ind w:left="0" w:leftChars="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2582" w:type="dxa"/>
            <w:noWrap w:val="0"/>
            <w:vAlign w:val="center"/>
          </w:tcPr>
          <w:p>
            <w:pPr>
              <w:pStyle w:val="158"/>
              <w:adjustRightInd w:val="0"/>
              <w:snapToGrid w:val="0"/>
              <w:spacing w:line="240" w:lineRule="atLeast"/>
              <w:ind w:left="0" w:leftChars="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 mg/m</w:t>
            </w:r>
            <w:r>
              <w:rPr>
                <w:rFonts w:hint="default" w:ascii="Times New Roman" w:hAnsi="Times New Roman" w:eastAsia="宋体" w:cs="Times New Roman"/>
                <w:color w:val="auto"/>
                <w:szCs w:val="21"/>
                <w:highlight w:val="none"/>
                <w:vertAlign w:val="superscript"/>
              </w:rPr>
              <w:t>3</w:t>
            </w:r>
          </w:p>
        </w:tc>
        <w:tc>
          <w:tcPr>
            <w:tcW w:w="2175" w:type="dxa"/>
            <w:noWrap w:val="0"/>
            <w:vAlign w:val="center"/>
          </w:tcPr>
          <w:p>
            <w:pPr>
              <w:pStyle w:val="158"/>
              <w:adjustRightInd w:val="0"/>
              <w:snapToGrid w:val="0"/>
              <w:spacing w:line="240" w:lineRule="atLeast"/>
              <w:ind w:left="0" w:leftChars="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 mg/m</w:t>
            </w:r>
            <w:r>
              <w:rPr>
                <w:rFonts w:hint="default" w:ascii="Times New Roman" w:hAnsi="Times New Roman" w:eastAsia="宋体" w:cs="Times New Roman"/>
                <w:color w:val="auto"/>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391" w:type="dxa"/>
            <w:noWrap w:val="0"/>
            <w:vAlign w:val="center"/>
          </w:tcPr>
          <w:p>
            <w:pPr>
              <w:pStyle w:val="158"/>
              <w:adjustRightInd w:val="0"/>
              <w:snapToGrid w:val="0"/>
              <w:spacing w:line="240" w:lineRule="atLeast"/>
              <w:ind w:left="0" w:leftChars="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TSP</w:t>
            </w:r>
          </w:p>
        </w:tc>
        <w:tc>
          <w:tcPr>
            <w:tcW w:w="2252" w:type="dxa"/>
            <w:noWrap w:val="0"/>
            <w:vAlign w:val="center"/>
          </w:tcPr>
          <w:p>
            <w:pPr>
              <w:pStyle w:val="158"/>
              <w:adjustRightInd w:val="0"/>
              <w:snapToGrid w:val="0"/>
              <w:spacing w:line="240" w:lineRule="atLeast"/>
              <w:ind w:left="0" w:leftChars="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200</w:t>
            </w:r>
          </w:p>
        </w:tc>
        <w:tc>
          <w:tcPr>
            <w:tcW w:w="2582" w:type="dxa"/>
            <w:noWrap w:val="0"/>
            <w:vAlign w:val="center"/>
          </w:tcPr>
          <w:p>
            <w:pPr>
              <w:pStyle w:val="158"/>
              <w:adjustRightInd w:val="0"/>
              <w:snapToGrid w:val="0"/>
              <w:spacing w:line="240" w:lineRule="atLeast"/>
              <w:ind w:left="0" w:leftChars="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300</w:t>
            </w:r>
          </w:p>
        </w:tc>
        <w:tc>
          <w:tcPr>
            <w:tcW w:w="2175" w:type="dxa"/>
            <w:noWrap w:val="0"/>
            <w:vAlign w:val="center"/>
          </w:tcPr>
          <w:p>
            <w:pPr>
              <w:pStyle w:val="158"/>
              <w:adjustRightInd w:val="0"/>
              <w:snapToGrid w:val="0"/>
              <w:spacing w:line="240" w:lineRule="atLeast"/>
              <w:ind w:left="0" w:leftChars="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391" w:type="dxa"/>
            <w:noWrap w:val="0"/>
            <w:vAlign w:val="center"/>
          </w:tcPr>
          <w:p>
            <w:pPr>
              <w:pStyle w:val="158"/>
              <w:adjustRightInd w:val="0"/>
              <w:snapToGrid w:val="0"/>
              <w:spacing w:line="240" w:lineRule="atLeast"/>
              <w:ind w:left="0" w:leftChars="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PM</w:t>
            </w:r>
            <w:r>
              <w:rPr>
                <w:rFonts w:hint="default" w:ascii="Times New Roman" w:hAnsi="Times New Roman" w:eastAsia="宋体" w:cs="Times New Roman"/>
                <w:color w:val="auto"/>
                <w:szCs w:val="21"/>
                <w:highlight w:val="none"/>
                <w:vertAlign w:val="subscript"/>
              </w:rPr>
              <w:t>10</w:t>
            </w:r>
          </w:p>
        </w:tc>
        <w:tc>
          <w:tcPr>
            <w:tcW w:w="2252" w:type="dxa"/>
            <w:noWrap w:val="0"/>
            <w:vAlign w:val="center"/>
          </w:tcPr>
          <w:p>
            <w:pPr>
              <w:pStyle w:val="158"/>
              <w:adjustRightInd w:val="0"/>
              <w:snapToGrid w:val="0"/>
              <w:spacing w:line="240" w:lineRule="atLeast"/>
              <w:ind w:left="0" w:leftChars="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70</w:t>
            </w:r>
          </w:p>
        </w:tc>
        <w:tc>
          <w:tcPr>
            <w:tcW w:w="2582" w:type="dxa"/>
            <w:noWrap w:val="0"/>
            <w:vAlign w:val="center"/>
          </w:tcPr>
          <w:p>
            <w:pPr>
              <w:pStyle w:val="158"/>
              <w:adjustRightInd w:val="0"/>
              <w:snapToGrid w:val="0"/>
              <w:spacing w:line="240" w:lineRule="atLeast"/>
              <w:ind w:left="0" w:leftChars="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150</w:t>
            </w:r>
          </w:p>
        </w:tc>
        <w:tc>
          <w:tcPr>
            <w:tcW w:w="2175" w:type="dxa"/>
            <w:noWrap w:val="0"/>
            <w:vAlign w:val="center"/>
          </w:tcPr>
          <w:p>
            <w:pPr>
              <w:pStyle w:val="158"/>
              <w:adjustRightInd w:val="0"/>
              <w:snapToGrid w:val="0"/>
              <w:spacing w:line="240" w:lineRule="atLeast"/>
              <w:ind w:left="0" w:leftChars="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391" w:type="dxa"/>
            <w:noWrap w:val="0"/>
            <w:vAlign w:val="center"/>
          </w:tcPr>
          <w:p>
            <w:pPr>
              <w:pStyle w:val="158"/>
              <w:adjustRightInd w:val="0"/>
              <w:snapToGrid w:val="0"/>
              <w:spacing w:line="240" w:lineRule="atLeast"/>
              <w:ind w:left="0" w:leftChars="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PM</w:t>
            </w:r>
            <w:r>
              <w:rPr>
                <w:rFonts w:hint="default" w:ascii="Times New Roman" w:hAnsi="Times New Roman" w:eastAsia="宋体" w:cs="Times New Roman"/>
                <w:color w:val="auto"/>
                <w:szCs w:val="21"/>
                <w:highlight w:val="none"/>
                <w:vertAlign w:val="subscript"/>
              </w:rPr>
              <w:t>2.5</w:t>
            </w:r>
          </w:p>
        </w:tc>
        <w:tc>
          <w:tcPr>
            <w:tcW w:w="2252" w:type="dxa"/>
            <w:noWrap w:val="0"/>
            <w:vAlign w:val="center"/>
          </w:tcPr>
          <w:p>
            <w:pPr>
              <w:pStyle w:val="158"/>
              <w:adjustRightInd w:val="0"/>
              <w:snapToGrid w:val="0"/>
              <w:spacing w:line="240" w:lineRule="atLeast"/>
              <w:ind w:left="0" w:leftChars="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35</w:t>
            </w:r>
          </w:p>
        </w:tc>
        <w:tc>
          <w:tcPr>
            <w:tcW w:w="2582" w:type="dxa"/>
            <w:noWrap w:val="0"/>
            <w:vAlign w:val="center"/>
          </w:tcPr>
          <w:p>
            <w:pPr>
              <w:pStyle w:val="158"/>
              <w:adjustRightInd w:val="0"/>
              <w:snapToGrid w:val="0"/>
              <w:spacing w:line="240" w:lineRule="atLeast"/>
              <w:ind w:left="0" w:leftChars="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75</w:t>
            </w:r>
          </w:p>
        </w:tc>
        <w:tc>
          <w:tcPr>
            <w:tcW w:w="2175" w:type="dxa"/>
            <w:noWrap w:val="0"/>
            <w:vAlign w:val="center"/>
          </w:tcPr>
          <w:p>
            <w:pPr>
              <w:pStyle w:val="158"/>
              <w:adjustRightInd w:val="0"/>
              <w:snapToGrid w:val="0"/>
              <w:spacing w:line="240" w:lineRule="atLeast"/>
              <w:ind w:left="0" w:leftChars="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391" w:type="dxa"/>
            <w:noWrap w:val="0"/>
            <w:vAlign w:val="center"/>
          </w:tcPr>
          <w:p>
            <w:pPr>
              <w:pStyle w:val="158"/>
              <w:adjustRightInd w:val="0"/>
              <w:snapToGrid w:val="0"/>
              <w:spacing w:line="240" w:lineRule="atLeast"/>
              <w:ind w:left="0" w:leftChars="0" w:firstLine="0" w:firstLineChars="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O</w:t>
            </w:r>
            <w:r>
              <w:rPr>
                <w:rFonts w:hint="eastAsia" w:ascii="Times New Roman" w:hAnsi="Times New Roman" w:eastAsia="宋体" w:cs="Times New Roman"/>
                <w:color w:val="auto"/>
                <w:szCs w:val="21"/>
                <w:highlight w:val="none"/>
                <w:vertAlign w:val="subscript"/>
                <w:lang w:val="en-US" w:eastAsia="zh-CN"/>
              </w:rPr>
              <w:t>3</w:t>
            </w:r>
          </w:p>
        </w:tc>
        <w:tc>
          <w:tcPr>
            <w:tcW w:w="2252" w:type="dxa"/>
            <w:noWrap w:val="0"/>
            <w:vAlign w:val="center"/>
          </w:tcPr>
          <w:p>
            <w:pPr>
              <w:pStyle w:val="158"/>
              <w:adjustRightInd w:val="0"/>
              <w:snapToGrid w:val="0"/>
              <w:spacing w:line="240" w:lineRule="atLeast"/>
              <w:ind w:left="0" w:leftChars="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2582" w:type="dxa"/>
            <w:noWrap w:val="0"/>
            <w:vAlign w:val="center"/>
          </w:tcPr>
          <w:p>
            <w:pPr>
              <w:pStyle w:val="158"/>
              <w:adjustRightInd w:val="0"/>
              <w:snapToGrid w:val="0"/>
              <w:spacing w:line="240" w:lineRule="atLeast"/>
              <w:ind w:left="0" w:leftChars="0" w:firstLine="0" w:firstLine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160（8h）</w:t>
            </w:r>
          </w:p>
        </w:tc>
        <w:tc>
          <w:tcPr>
            <w:tcW w:w="2175" w:type="dxa"/>
            <w:noWrap w:val="0"/>
            <w:vAlign w:val="center"/>
          </w:tcPr>
          <w:p>
            <w:pPr>
              <w:pStyle w:val="158"/>
              <w:adjustRightInd w:val="0"/>
              <w:snapToGrid w:val="0"/>
              <w:spacing w:line="240" w:lineRule="atLeast"/>
              <w:ind w:left="0" w:leftChars="0" w:firstLine="0" w:firstLineChars="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200</w:t>
            </w:r>
          </w:p>
        </w:tc>
      </w:tr>
    </w:tbl>
    <w:p>
      <w:pPr>
        <w:ind w:firstLine="482"/>
        <w:rPr>
          <w:b/>
          <w:highlight w:val="none"/>
        </w:rPr>
      </w:pPr>
      <w:r>
        <w:rPr>
          <w:b/>
          <w:highlight w:val="none"/>
        </w:rPr>
        <w:t>2、地表水环境</w:t>
      </w:r>
    </w:p>
    <w:p>
      <w:pPr>
        <w:ind w:firstLine="480"/>
        <w:rPr>
          <w:highlight w:val="none"/>
        </w:rPr>
      </w:pPr>
      <w:r>
        <w:rPr>
          <w:highlight w:val="none"/>
          <w:lang w:val="zh-CN"/>
        </w:rPr>
        <w:t>项目涉及地表水为</w:t>
      </w:r>
      <w:r>
        <w:rPr>
          <w:rFonts w:hint="eastAsia"/>
          <w:highlight w:val="none"/>
          <w:lang w:val="zh-CN"/>
        </w:rPr>
        <w:t>卡子水库</w:t>
      </w:r>
      <w:r>
        <w:rPr>
          <w:highlight w:val="none"/>
          <w:lang w:val="zh-CN"/>
        </w:rPr>
        <w:t>，</w:t>
      </w:r>
      <w:r>
        <w:rPr>
          <w:rFonts w:hint="eastAsia"/>
          <w:highlight w:val="none"/>
          <w:lang w:val="zh-CN"/>
        </w:rPr>
        <w:t>位于项目区西北面</w:t>
      </w:r>
      <w:r>
        <w:rPr>
          <w:rFonts w:hint="eastAsia"/>
          <w:highlight w:val="none"/>
          <w:lang w:val="en-US" w:eastAsia="zh-CN"/>
        </w:rPr>
        <w:t>1380m处，</w:t>
      </w:r>
      <w:r>
        <w:rPr>
          <w:rFonts w:hint="eastAsia" w:hAnsi="宋体"/>
          <w:sz w:val="24"/>
          <w:highlight w:val="none"/>
        </w:rPr>
        <w:t>根据环评现场踏勘调查，</w:t>
      </w:r>
      <w:r>
        <w:rPr>
          <w:rFonts w:hint="eastAsia" w:hAnsi="宋体"/>
          <w:sz w:val="24"/>
          <w:highlight w:val="none"/>
          <w:lang w:eastAsia="zh-CN"/>
        </w:rPr>
        <w:t>卡子水库</w:t>
      </w:r>
      <w:r>
        <w:rPr>
          <w:rFonts w:hint="eastAsia" w:hAnsi="宋体"/>
          <w:sz w:val="24"/>
          <w:highlight w:val="none"/>
        </w:rPr>
        <w:t>功能</w:t>
      </w:r>
      <w:r>
        <w:rPr>
          <w:rFonts w:hint="eastAsia" w:hAnsi="宋体"/>
          <w:sz w:val="24"/>
          <w:highlight w:val="none"/>
          <w:lang w:eastAsia="zh-CN"/>
        </w:rPr>
        <w:t>主要</w:t>
      </w:r>
      <w:r>
        <w:rPr>
          <w:rFonts w:hint="eastAsia" w:hAnsi="宋体"/>
          <w:sz w:val="24"/>
          <w:highlight w:val="none"/>
        </w:rPr>
        <w:t>为农灌水源，经对照《云南省地表水水环境功能区划（2010-2020）》尚未对其划分水体功能，</w:t>
      </w:r>
      <w:r>
        <w:rPr>
          <w:rFonts w:hAnsi="宋体"/>
          <w:sz w:val="24"/>
          <w:szCs w:val="22"/>
          <w:highlight w:val="none"/>
        </w:rPr>
        <w:t>属一般</w:t>
      </w:r>
      <w:r>
        <w:rPr>
          <w:rFonts w:hint="eastAsia" w:hAnsi="宋体"/>
          <w:sz w:val="24"/>
          <w:szCs w:val="22"/>
          <w:highlight w:val="none"/>
        </w:rPr>
        <w:t>水体</w:t>
      </w:r>
      <w:r>
        <w:rPr>
          <w:rFonts w:hAnsi="宋体"/>
          <w:sz w:val="24"/>
          <w:szCs w:val="22"/>
          <w:highlight w:val="none"/>
        </w:rPr>
        <w:t>，</w:t>
      </w:r>
      <w:r>
        <w:rPr>
          <w:rFonts w:hint="eastAsia" w:hAnsi="宋体"/>
          <w:sz w:val="24"/>
          <w:szCs w:val="22"/>
          <w:highlight w:val="none"/>
          <w:lang w:val="zh-CN"/>
        </w:rPr>
        <w:t>本着保护水体现状功能要求，按Ⅲ类水体进行保护</w:t>
      </w:r>
      <w:r>
        <w:rPr>
          <w:rFonts w:hAnsi="宋体"/>
          <w:sz w:val="24"/>
          <w:szCs w:val="22"/>
          <w:highlight w:val="none"/>
        </w:rPr>
        <w:t>，</w:t>
      </w:r>
      <w:r>
        <w:rPr>
          <w:rFonts w:hint="eastAsia" w:hAnsi="宋体"/>
          <w:sz w:val="24"/>
          <w:highlight w:val="none"/>
        </w:rPr>
        <w:t>因此</w:t>
      </w:r>
      <w:r>
        <w:rPr>
          <w:rFonts w:hint="eastAsia"/>
          <w:highlight w:val="none"/>
          <w:lang w:val="en-US" w:eastAsia="zh-CN"/>
        </w:rPr>
        <w:t>，</w:t>
      </w:r>
      <w:r>
        <w:rPr>
          <w:highlight w:val="none"/>
          <w:lang w:val="zh-CN"/>
        </w:rPr>
        <w:t>地表水执行GB3838-2002《地表水环境质量标准》Ⅲ类标准。</w:t>
      </w:r>
      <w:r>
        <w:rPr>
          <w:highlight w:val="none"/>
        </w:rPr>
        <w:t>具体指标及限值见表</w:t>
      </w:r>
      <w:r>
        <w:rPr>
          <w:rFonts w:hint="eastAsia"/>
          <w:highlight w:val="none"/>
        </w:rPr>
        <w:t>1-4</w:t>
      </w:r>
      <w:r>
        <w:rPr>
          <w:highlight w:val="none"/>
        </w:rPr>
        <w:t>。</w:t>
      </w:r>
    </w:p>
    <w:p>
      <w:pPr>
        <w:ind w:firstLine="422"/>
        <w:jc w:val="center"/>
        <w:rPr>
          <w:b/>
          <w:sz w:val="21"/>
          <w:szCs w:val="21"/>
          <w:highlight w:val="none"/>
        </w:rPr>
      </w:pPr>
      <w:r>
        <w:rPr>
          <w:b/>
          <w:sz w:val="21"/>
          <w:szCs w:val="21"/>
          <w:highlight w:val="none"/>
        </w:rPr>
        <w:t>表</w:t>
      </w:r>
      <w:r>
        <w:rPr>
          <w:rFonts w:hint="eastAsia"/>
          <w:b/>
          <w:sz w:val="21"/>
          <w:szCs w:val="21"/>
          <w:highlight w:val="none"/>
        </w:rPr>
        <w:t>1-4</w:t>
      </w:r>
      <w:r>
        <w:rPr>
          <w:b/>
          <w:sz w:val="21"/>
          <w:szCs w:val="21"/>
          <w:highlight w:val="none"/>
        </w:rPr>
        <w:t xml:space="preserve">   地表水环境质量标准值  单位：mg/L</w:t>
      </w:r>
    </w:p>
    <w:tbl>
      <w:tblPr>
        <w:tblStyle w:val="29"/>
        <w:tblW w:w="88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9"/>
        <w:gridCol w:w="790"/>
        <w:gridCol w:w="1111"/>
        <w:gridCol w:w="951"/>
        <w:gridCol w:w="1065"/>
        <w:gridCol w:w="1472"/>
        <w:gridCol w:w="1110"/>
        <w:gridCol w:w="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429" w:type="dxa"/>
            <w:shd w:val="clear" w:color="auto" w:fill="auto"/>
            <w:vAlign w:val="center"/>
          </w:tcPr>
          <w:p>
            <w:pPr>
              <w:pStyle w:val="109"/>
              <w:spacing w:line="240" w:lineRule="auto"/>
              <w:ind w:firstLine="0" w:firstLineChars="0"/>
              <w:rPr>
                <w:b/>
                <w:bCs/>
                <w:sz w:val="21"/>
                <w:szCs w:val="21"/>
                <w:highlight w:val="none"/>
              </w:rPr>
            </w:pPr>
            <w:bookmarkStart w:id="99" w:name="_Toc224354551"/>
            <w:r>
              <w:rPr>
                <w:b/>
                <w:bCs/>
                <w:sz w:val="21"/>
                <w:szCs w:val="21"/>
                <w:highlight w:val="none"/>
              </w:rPr>
              <w:t>项目</w:t>
            </w:r>
            <w:bookmarkEnd w:id="99"/>
          </w:p>
        </w:tc>
        <w:tc>
          <w:tcPr>
            <w:tcW w:w="790" w:type="dxa"/>
            <w:shd w:val="clear" w:color="auto" w:fill="auto"/>
            <w:vAlign w:val="center"/>
          </w:tcPr>
          <w:p>
            <w:pPr>
              <w:pStyle w:val="109"/>
              <w:spacing w:line="240" w:lineRule="auto"/>
              <w:ind w:firstLine="0" w:firstLineChars="0"/>
              <w:rPr>
                <w:b/>
                <w:bCs/>
                <w:sz w:val="21"/>
                <w:szCs w:val="21"/>
                <w:highlight w:val="none"/>
              </w:rPr>
            </w:pPr>
            <w:bookmarkStart w:id="100" w:name="_Toc224354552"/>
            <w:r>
              <w:rPr>
                <w:b/>
                <w:bCs/>
                <w:sz w:val="21"/>
                <w:szCs w:val="21"/>
                <w:highlight w:val="none"/>
              </w:rPr>
              <w:t>pH</w:t>
            </w:r>
            <w:bookmarkEnd w:id="100"/>
          </w:p>
        </w:tc>
        <w:tc>
          <w:tcPr>
            <w:tcW w:w="1111" w:type="dxa"/>
            <w:shd w:val="clear" w:color="auto" w:fill="auto"/>
            <w:vAlign w:val="center"/>
          </w:tcPr>
          <w:p>
            <w:pPr>
              <w:pStyle w:val="109"/>
              <w:spacing w:line="240" w:lineRule="auto"/>
              <w:ind w:firstLine="0" w:firstLineChars="0"/>
              <w:rPr>
                <w:b/>
                <w:bCs/>
                <w:sz w:val="21"/>
                <w:szCs w:val="21"/>
                <w:highlight w:val="none"/>
                <w:vertAlign w:val="subscript"/>
              </w:rPr>
            </w:pPr>
            <w:bookmarkStart w:id="101" w:name="_Toc224354553"/>
            <w:r>
              <w:rPr>
                <w:b/>
                <w:bCs/>
                <w:sz w:val="21"/>
                <w:szCs w:val="21"/>
                <w:highlight w:val="none"/>
              </w:rPr>
              <w:t>COD</w:t>
            </w:r>
            <w:bookmarkEnd w:id="101"/>
          </w:p>
        </w:tc>
        <w:tc>
          <w:tcPr>
            <w:tcW w:w="951" w:type="dxa"/>
            <w:shd w:val="clear" w:color="auto" w:fill="auto"/>
            <w:vAlign w:val="center"/>
          </w:tcPr>
          <w:p>
            <w:pPr>
              <w:pStyle w:val="109"/>
              <w:spacing w:line="240" w:lineRule="auto"/>
              <w:ind w:firstLine="0" w:firstLineChars="0"/>
              <w:rPr>
                <w:b/>
                <w:bCs/>
                <w:sz w:val="21"/>
                <w:szCs w:val="21"/>
                <w:highlight w:val="none"/>
              </w:rPr>
            </w:pPr>
            <w:r>
              <w:rPr>
                <w:rFonts w:hint="eastAsia"/>
                <w:b/>
                <w:bCs/>
                <w:sz w:val="21"/>
                <w:szCs w:val="21"/>
                <w:highlight w:val="none"/>
              </w:rPr>
              <w:t>BOD</w:t>
            </w:r>
            <w:r>
              <w:rPr>
                <w:rFonts w:hint="eastAsia"/>
                <w:b/>
                <w:bCs/>
                <w:sz w:val="21"/>
                <w:szCs w:val="21"/>
                <w:highlight w:val="none"/>
                <w:vertAlign w:val="subscript"/>
              </w:rPr>
              <w:t>5</w:t>
            </w:r>
          </w:p>
        </w:tc>
        <w:tc>
          <w:tcPr>
            <w:tcW w:w="1065" w:type="dxa"/>
            <w:shd w:val="clear" w:color="auto" w:fill="auto"/>
            <w:vAlign w:val="center"/>
          </w:tcPr>
          <w:p>
            <w:pPr>
              <w:pStyle w:val="109"/>
              <w:spacing w:line="240" w:lineRule="auto"/>
              <w:ind w:firstLine="0" w:firstLineChars="0"/>
              <w:rPr>
                <w:b/>
                <w:bCs/>
                <w:sz w:val="21"/>
                <w:szCs w:val="21"/>
                <w:highlight w:val="none"/>
              </w:rPr>
            </w:pPr>
            <w:bookmarkStart w:id="102" w:name="_Toc224354557"/>
            <w:r>
              <w:rPr>
                <w:b/>
                <w:bCs/>
                <w:sz w:val="21"/>
                <w:szCs w:val="21"/>
                <w:highlight w:val="none"/>
              </w:rPr>
              <w:t>NH</w:t>
            </w:r>
            <w:r>
              <w:rPr>
                <w:b/>
                <w:bCs/>
                <w:sz w:val="21"/>
                <w:szCs w:val="21"/>
                <w:highlight w:val="none"/>
                <w:vertAlign w:val="subscript"/>
              </w:rPr>
              <w:t>3</w:t>
            </w:r>
            <w:r>
              <w:rPr>
                <w:b/>
                <w:bCs/>
                <w:sz w:val="21"/>
                <w:szCs w:val="21"/>
                <w:highlight w:val="none"/>
              </w:rPr>
              <w:t>－N</w:t>
            </w:r>
            <w:bookmarkEnd w:id="102"/>
          </w:p>
        </w:tc>
        <w:tc>
          <w:tcPr>
            <w:tcW w:w="1472" w:type="dxa"/>
            <w:shd w:val="clear" w:color="auto" w:fill="auto"/>
            <w:vAlign w:val="center"/>
          </w:tcPr>
          <w:p>
            <w:pPr>
              <w:pStyle w:val="109"/>
              <w:spacing w:line="240" w:lineRule="auto"/>
              <w:ind w:firstLine="0" w:firstLineChars="0"/>
              <w:rPr>
                <w:b/>
                <w:bCs/>
                <w:sz w:val="21"/>
                <w:szCs w:val="21"/>
                <w:highlight w:val="none"/>
              </w:rPr>
            </w:pPr>
            <w:r>
              <w:rPr>
                <w:rFonts w:hint="eastAsia"/>
                <w:b/>
                <w:bCs/>
                <w:sz w:val="21"/>
                <w:szCs w:val="21"/>
                <w:highlight w:val="none"/>
              </w:rPr>
              <w:t>总磷（以P计）</w:t>
            </w:r>
          </w:p>
        </w:tc>
        <w:tc>
          <w:tcPr>
            <w:tcW w:w="1110" w:type="dxa"/>
            <w:shd w:val="clear" w:color="auto" w:fill="auto"/>
            <w:vAlign w:val="center"/>
          </w:tcPr>
          <w:p>
            <w:pPr>
              <w:pStyle w:val="109"/>
              <w:spacing w:line="240" w:lineRule="auto"/>
              <w:ind w:firstLine="0" w:firstLineChars="0"/>
              <w:rPr>
                <w:b/>
                <w:bCs/>
                <w:sz w:val="21"/>
                <w:szCs w:val="21"/>
                <w:highlight w:val="none"/>
              </w:rPr>
            </w:pPr>
            <w:r>
              <w:rPr>
                <w:rFonts w:hint="eastAsia"/>
                <w:b/>
                <w:bCs/>
                <w:sz w:val="21"/>
                <w:szCs w:val="21"/>
                <w:highlight w:val="none"/>
              </w:rPr>
              <w:t>石油类</w:t>
            </w:r>
          </w:p>
        </w:tc>
        <w:tc>
          <w:tcPr>
            <w:tcW w:w="912" w:type="dxa"/>
            <w:shd w:val="clear" w:color="auto" w:fill="auto"/>
            <w:vAlign w:val="center"/>
          </w:tcPr>
          <w:p>
            <w:pPr>
              <w:pStyle w:val="109"/>
              <w:spacing w:line="240" w:lineRule="auto"/>
              <w:ind w:firstLine="0" w:firstLineChars="0"/>
              <w:rPr>
                <w:b/>
                <w:bCs/>
                <w:sz w:val="21"/>
                <w:szCs w:val="21"/>
                <w:highlight w:val="none"/>
              </w:rPr>
            </w:pPr>
            <w:r>
              <w:rPr>
                <w:rFonts w:hint="eastAsia"/>
                <w:b/>
                <w:bCs/>
                <w:sz w:val="21"/>
                <w:szCs w:val="21"/>
                <w:highlight w:val="none"/>
              </w:rPr>
              <w:t>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429" w:type="dxa"/>
            <w:vAlign w:val="center"/>
          </w:tcPr>
          <w:p>
            <w:pPr>
              <w:pStyle w:val="109"/>
              <w:spacing w:line="240" w:lineRule="auto"/>
              <w:ind w:firstLine="0" w:firstLineChars="0"/>
              <w:rPr>
                <w:sz w:val="21"/>
                <w:szCs w:val="21"/>
                <w:highlight w:val="none"/>
              </w:rPr>
            </w:pPr>
            <w:r>
              <w:rPr>
                <w:rFonts w:hint="eastAsia"/>
                <w:sz w:val="21"/>
                <w:szCs w:val="21"/>
                <w:highlight w:val="none"/>
              </w:rPr>
              <w:t>III</w:t>
            </w:r>
            <w:r>
              <w:rPr>
                <w:sz w:val="21"/>
                <w:szCs w:val="21"/>
                <w:highlight w:val="none"/>
              </w:rPr>
              <w:t>类标准</w:t>
            </w:r>
          </w:p>
        </w:tc>
        <w:tc>
          <w:tcPr>
            <w:tcW w:w="790" w:type="dxa"/>
            <w:vAlign w:val="center"/>
          </w:tcPr>
          <w:p>
            <w:pPr>
              <w:pStyle w:val="109"/>
              <w:spacing w:line="240" w:lineRule="auto"/>
              <w:ind w:firstLine="0" w:firstLineChars="0"/>
              <w:rPr>
                <w:sz w:val="21"/>
                <w:szCs w:val="21"/>
                <w:highlight w:val="none"/>
              </w:rPr>
            </w:pPr>
            <w:r>
              <w:rPr>
                <w:sz w:val="21"/>
                <w:szCs w:val="21"/>
                <w:highlight w:val="none"/>
              </w:rPr>
              <w:t>6～9</w:t>
            </w:r>
          </w:p>
        </w:tc>
        <w:tc>
          <w:tcPr>
            <w:tcW w:w="1111" w:type="dxa"/>
            <w:vAlign w:val="center"/>
          </w:tcPr>
          <w:p>
            <w:pPr>
              <w:pStyle w:val="109"/>
              <w:spacing w:line="240" w:lineRule="auto"/>
              <w:ind w:firstLine="0" w:firstLineChars="0"/>
              <w:rPr>
                <w:sz w:val="21"/>
                <w:szCs w:val="21"/>
                <w:highlight w:val="none"/>
              </w:rPr>
            </w:pPr>
            <w:r>
              <w:rPr>
                <w:rFonts w:hint="eastAsia"/>
                <w:sz w:val="21"/>
                <w:szCs w:val="21"/>
                <w:highlight w:val="none"/>
              </w:rPr>
              <w:t>20</w:t>
            </w:r>
          </w:p>
        </w:tc>
        <w:tc>
          <w:tcPr>
            <w:tcW w:w="951" w:type="dxa"/>
            <w:vAlign w:val="center"/>
          </w:tcPr>
          <w:p>
            <w:pPr>
              <w:pStyle w:val="109"/>
              <w:spacing w:line="240" w:lineRule="auto"/>
              <w:ind w:firstLine="0" w:firstLineChars="0"/>
              <w:rPr>
                <w:sz w:val="21"/>
                <w:szCs w:val="21"/>
                <w:highlight w:val="none"/>
              </w:rPr>
            </w:pPr>
            <w:r>
              <w:rPr>
                <w:rFonts w:hint="eastAsia"/>
                <w:sz w:val="21"/>
                <w:szCs w:val="21"/>
                <w:highlight w:val="none"/>
              </w:rPr>
              <w:t>4</w:t>
            </w:r>
          </w:p>
        </w:tc>
        <w:tc>
          <w:tcPr>
            <w:tcW w:w="1065" w:type="dxa"/>
            <w:vAlign w:val="center"/>
          </w:tcPr>
          <w:p>
            <w:pPr>
              <w:pStyle w:val="109"/>
              <w:spacing w:line="240" w:lineRule="auto"/>
              <w:ind w:firstLine="0" w:firstLineChars="0"/>
              <w:rPr>
                <w:sz w:val="21"/>
                <w:szCs w:val="21"/>
                <w:highlight w:val="none"/>
              </w:rPr>
            </w:pPr>
            <w:r>
              <w:rPr>
                <w:rFonts w:hint="eastAsia"/>
                <w:sz w:val="21"/>
                <w:szCs w:val="21"/>
                <w:highlight w:val="none"/>
              </w:rPr>
              <w:t>1.0</w:t>
            </w:r>
          </w:p>
        </w:tc>
        <w:tc>
          <w:tcPr>
            <w:tcW w:w="1472" w:type="dxa"/>
            <w:vAlign w:val="center"/>
          </w:tcPr>
          <w:p>
            <w:pPr>
              <w:pStyle w:val="109"/>
              <w:spacing w:line="240" w:lineRule="auto"/>
              <w:ind w:firstLine="0" w:firstLineChars="0"/>
              <w:rPr>
                <w:sz w:val="21"/>
                <w:szCs w:val="21"/>
                <w:highlight w:val="none"/>
              </w:rPr>
            </w:pPr>
            <w:r>
              <w:rPr>
                <w:sz w:val="21"/>
                <w:szCs w:val="21"/>
                <w:highlight w:val="none"/>
              </w:rPr>
              <w:t>0.</w:t>
            </w:r>
            <w:r>
              <w:rPr>
                <w:rFonts w:hint="eastAsia"/>
                <w:sz w:val="21"/>
                <w:szCs w:val="21"/>
                <w:highlight w:val="none"/>
              </w:rPr>
              <w:t>2（湖、库0.05）</w:t>
            </w:r>
          </w:p>
        </w:tc>
        <w:tc>
          <w:tcPr>
            <w:tcW w:w="1110" w:type="dxa"/>
            <w:vAlign w:val="center"/>
          </w:tcPr>
          <w:p>
            <w:pPr>
              <w:pStyle w:val="109"/>
              <w:spacing w:line="240" w:lineRule="auto"/>
              <w:ind w:firstLine="0" w:firstLineChars="0"/>
              <w:rPr>
                <w:sz w:val="21"/>
                <w:szCs w:val="21"/>
                <w:highlight w:val="none"/>
              </w:rPr>
            </w:pPr>
            <w:r>
              <w:rPr>
                <w:rFonts w:hint="eastAsia"/>
                <w:sz w:val="21"/>
                <w:szCs w:val="21"/>
                <w:highlight w:val="none"/>
              </w:rPr>
              <w:t>0.05</w:t>
            </w:r>
          </w:p>
        </w:tc>
        <w:tc>
          <w:tcPr>
            <w:tcW w:w="912" w:type="dxa"/>
            <w:vAlign w:val="center"/>
          </w:tcPr>
          <w:p>
            <w:pPr>
              <w:pStyle w:val="109"/>
              <w:spacing w:line="240" w:lineRule="auto"/>
              <w:ind w:firstLine="0" w:firstLineChars="0"/>
              <w:rPr>
                <w:sz w:val="21"/>
                <w:szCs w:val="21"/>
                <w:highlight w:val="none"/>
              </w:rPr>
            </w:pPr>
            <w:r>
              <w:rPr>
                <w:rFonts w:hint="eastAsia"/>
                <w:sz w:val="21"/>
                <w:szCs w:val="21"/>
                <w:highlight w:val="none"/>
              </w:rPr>
              <w:t>1.0</w:t>
            </w:r>
          </w:p>
        </w:tc>
      </w:tr>
    </w:tbl>
    <w:p>
      <w:pPr>
        <w:ind w:firstLine="482"/>
        <w:rPr>
          <w:b/>
          <w:highlight w:val="none"/>
        </w:rPr>
      </w:pPr>
    </w:p>
    <w:p>
      <w:pPr>
        <w:ind w:firstLine="482"/>
        <w:rPr>
          <w:b/>
          <w:highlight w:val="none"/>
        </w:rPr>
      </w:pPr>
      <w:r>
        <w:rPr>
          <w:rFonts w:hint="eastAsia"/>
          <w:b/>
          <w:highlight w:val="none"/>
          <w:lang w:val="en-US" w:eastAsia="zh-CN"/>
        </w:rPr>
        <w:t>3</w:t>
      </w:r>
      <w:r>
        <w:rPr>
          <w:b/>
          <w:highlight w:val="none"/>
        </w:rPr>
        <w:t>、声环境</w:t>
      </w:r>
    </w:p>
    <w:p>
      <w:pPr>
        <w:ind w:firstLine="480"/>
        <w:rPr>
          <w:highlight w:val="none"/>
        </w:rPr>
      </w:pPr>
      <w:r>
        <w:rPr>
          <w:highlight w:val="none"/>
        </w:rPr>
        <w:t>本项目位于</w:t>
      </w:r>
      <w:r>
        <w:rPr>
          <w:rFonts w:hint="eastAsia"/>
          <w:highlight w:val="none"/>
        </w:rPr>
        <w:t>砚山县</w:t>
      </w:r>
      <w:r>
        <w:rPr>
          <w:rFonts w:hint="eastAsia"/>
          <w:highlight w:val="none"/>
          <w:lang w:eastAsia="zh-CN"/>
        </w:rPr>
        <w:t>阿猛镇卡子村</w:t>
      </w:r>
      <w:r>
        <w:rPr>
          <w:highlight w:val="none"/>
        </w:rPr>
        <w:t>，</w:t>
      </w:r>
      <w:r>
        <w:rPr>
          <w:rFonts w:hint="eastAsia"/>
          <w:highlight w:val="none"/>
        </w:rPr>
        <w:t>所在区域属2类声环境功能区，</w:t>
      </w:r>
      <w:r>
        <w:rPr>
          <w:highlight w:val="none"/>
        </w:rPr>
        <w:t>执行《声环境质量标准》（GB3096-2008）中的</w:t>
      </w:r>
      <w:r>
        <w:rPr>
          <w:rFonts w:hint="eastAsia"/>
          <w:highlight w:val="none"/>
        </w:rPr>
        <w:t>2</w:t>
      </w:r>
      <w:r>
        <w:rPr>
          <w:highlight w:val="none"/>
        </w:rPr>
        <w:t>类标准。标准值见表</w:t>
      </w:r>
      <w:r>
        <w:rPr>
          <w:rFonts w:hint="eastAsia"/>
          <w:highlight w:val="none"/>
        </w:rPr>
        <w:t>1-5</w:t>
      </w:r>
      <w:r>
        <w:rPr>
          <w:highlight w:val="none"/>
        </w:rPr>
        <w:t>。</w:t>
      </w:r>
    </w:p>
    <w:p>
      <w:pPr>
        <w:ind w:firstLine="0" w:firstLineChars="0"/>
        <w:jc w:val="center"/>
        <w:rPr>
          <w:b/>
          <w:bCs/>
          <w:sz w:val="21"/>
          <w:szCs w:val="21"/>
          <w:highlight w:val="none"/>
        </w:rPr>
      </w:pPr>
      <w:r>
        <w:rPr>
          <w:b/>
          <w:bCs/>
          <w:sz w:val="21"/>
          <w:szCs w:val="21"/>
          <w:highlight w:val="none"/>
        </w:rPr>
        <w:t>表</w:t>
      </w:r>
      <w:r>
        <w:rPr>
          <w:rFonts w:hint="eastAsia"/>
          <w:b/>
          <w:bCs/>
          <w:sz w:val="21"/>
          <w:szCs w:val="21"/>
          <w:highlight w:val="none"/>
        </w:rPr>
        <w:t>1-5</w:t>
      </w:r>
      <w:r>
        <w:rPr>
          <w:b/>
          <w:bCs/>
          <w:sz w:val="21"/>
          <w:szCs w:val="21"/>
          <w:highlight w:val="none"/>
        </w:rPr>
        <w:t xml:space="preserve">  声环境质量标准   单位：Leq[dB(A)]</w:t>
      </w:r>
    </w:p>
    <w:tbl>
      <w:tblPr>
        <w:tblStyle w:val="29"/>
        <w:tblW w:w="8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7"/>
        <w:gridCol w:w="2887"/>
        <w:gridCol w:w="2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2887" w:type="dxa"/>
            <w:shd w:val="clear" w:color="auto" w:fill="auto"/>
            <w:vAlign w:val="center"/>
          </w:tcPr>
          <w:p>
            <w:pPr>
              <w:pStyle w:val="62"/>
              <w:rPr>
                <w:b/>
                <w:bCs/>
                <w:highlight w:val="none"/>
              </w:rPr>
            </w:pPr>
            <w:r>
              <w:rPr>
                <w:b/>
                <w:bCs/>
                <w:highlight w:val="none"/>
              </w:rPr>
              <w:t>类别</w:t>
            </w:r>
          </w:p>
        </w:tc>
        <w:tc>
          <w:tcPr>
            <w:tcW w:w="2887" w:type="dxa"/>
            <w:shd w:val="clear" w:color="auto" w:fill="auto"/>
            <w:vAlign w:val="center"/>
          </w:tcPr>
          <w:p>
            <w:pPr>
              <w:pStyle w:val="62"/>
              <w:rPr>
                <w:b/>
                <w:bCs/>
                <w:highlight w:val="none"/>
              </w:rPr>
            </w:pPr>
            <w:r>
              <w:rPr>
                <w:b/>
                <w:bCs/>
                <w:highlight w:val="none"/>
              </w:rPr>
              <w:t>昼间</w:t>
            </w:r>
          </w:p>
        </w:tc>
        <w:tc>
          <w:tcPr>
            <w:tcW w:w="2886" w:type="dxa"/>
            <w:shd w:val="clear" w:color="auto" w:fill="auto"/>
            <w:vAlign w:val="center"/>
          </w:tcPr>
          <w:p>
            <w:pPr>
              <w:pStyle w:val="62"/>
              <w:rPr>
                <w:b/>
                <w:bCs/>
                <w:highlight w:val="none"/>
              </w:rPr>
            </w:pPr>
            <w:r>
              <w:rPr>
                <w:b/>
                <w:bCs/>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2887" w:type="dxa"/>
            <w:vAlign w:val="center"/>
          </w:tcPr>
          <w:p>
            <w:pPr>
              <w:pStyle w:val="62"/>
              <w:rPr>
                <w:highlight w:val="none"/>
              </w:rPr>
            </w:pPr>
            <w:r>
              <w:rPr>
                <w:rFonts w:hint="eastAsia"/>
                <w:highlight w:val="none"/>
              </w:rPr>
              <w:t>2</w:t>
            </w:r>
            <w:r>
              <w:rPr>
                <w:highlight w:val="none"/>
              </w:rPr>
              <w:t>类</w:t>
            </w:r>
          </w:p>
        </w:tc>
        <w:tc>
          <w:tcPr>
            <w:tcW w:w="2887" w:type="dxa"/>
            <w:vAlign w:val="center"/>
          </w:tcPr>
          <w:p>
            <w:pPr>
              <w:pStyle w:val="62"/>
              <w:rPr>
                <w:highlight w:val="none"/>
              </w:rPr>
            </w:pPr>
            <w:r>
              <w:rPr>
                <w:highlight w:val="none"/>
              </w:rPr>
              <w:t>6</w:t>
            </w:r>
            <w:r>
              <w:rPr>
                <w:rFonts w:hint="eastAsia"/>
                <w:highlight w:val="none"/>
              </w:rPr>
              <w:t>0</w:t>
            </w:r>
          </w:p>
        </w:tc>
        <w:tc>
          <w:tcPr>
            <w:tcW w:w="2886" w:type="dxa"/>
            <w:vAlign w:val="center"/>
          </w:tcPr>
          <w:p>
            <w:pPr>
              <w:pStyle w:val="62"/>
              <w:rPr>
                <w:highlight w:val="none"/>
              </w:rPr>
            </w:pPr>
            <w:r>
              <w:rPr>
                <w:highlight w:val="none"/>
              </w:rPr>
              <w:t>5</w:t>
            </w:r>
            <w:r>
              <w:rPr>
                <w:rFonts w:hint="eastAsia"/>
                <w:highlight w:val="none"/>
              </w:rPr>
              <w:t>0</w:t>
            </w:r>
          </w:p>
        </w:tc>
      </w:tr>
    </w:tbl>
    <w:p>
      <w:pPr>
        <w:ind w:firstLine="480"/>
        <w:rPr>
          <w:highlight w:val="none"/>
        </w:rPr>
      </w:pPr>
      <w:bookmarkStart w:id="103" w:name="_Toc30592"/>
      <w:bookmarkStart w:id="104" w:name="_Toc3594"/>
      <w:bookmarkStart w:id="105" w:name="_Toc951"/>
      <w:bookmarkStart w:id="106" w:name="_Toc9187"/>
    </w:p>
    <w:p>
      <w:pPr>
        <w:pStyle w:val="12"/>
        <w:spacing w:line="360" w:lineRule="auto"/>
        <w:ind w:firstLine="480"/>
        <w:rPr>
          <w:rFonts w:hint="default" w:ascii="Times New Roman" w:hAnsi="Times New Roman" w:cs="Times New Roman"/>
          <w:b/>
          <w:bCs/>
          <w:highlight w:val="none"/>
          <w:lang w:val="en-US" w:eastAsia="zh-CN"/>
        </w:rPr>
      </w:pPr>
      <w:bookmarkStart w:id="107" w:name="_Toc5291_WPSOffice_Level3"/>
      <w:bookmarkStart w:id="108" w:name="_Toc17363_WPSOffice_Level3"/>
      <w:bookmarkStart w:id="109" w:name="_Toc8348_WPSOffice_Level3"/>
      <w:bookmarkStart w:id="110" w:name="_Toc12927_WPSOffice_Level3"/>
      <w:bookmarkStart w:id="111" w:name="_Toc31271_WPSOffice_Level2"/>
      <w:bookmarkStart w:id="112" w:name="_Toc28576_WPSOffice_Level3"/>
      <w:bookmarkStart w:id="113" w:name="_Toc3881_WPSOffice_Level3"/>
      <w:r>
        <w:rPr>
          <w:rFonts w:hint="eastAsia" w:ascii="Times New Roman" w:hAnsi="Times New Roman" w:cs="Times New Roman"/>
          <w:b/>
          <w:bCs/>
          <w:highlight w:val="none"/>
          <w:lang w:val="en-US" w:eastAsia="zh-CN"/>
        </w:rPr>
        <w:t>4</w:t>
      </w:r>
      <w:r>
        <w:rPr>
          <w:rFonts w:hint="default" w:ascii="Times New Roman" w:hAnsi="Times New Roman" w:cs="Times New Roman"/>
          <w:b/>
          <w:bCs/>
          <w:highlight w:val="none"/>
          <w:lang w:val="en-US" w:eastAsia="zh-CN"/>
        </w:rPr>
        <w:t>、土壤质量标准</w:t>
      </w:r>
      <w:bookmarkEnd w:id="107"/>
      <w:bookmarkEnd w:id="108"/>
      <w:bookmarkEnd w:id="109"/>
      <w:bookmarkEnd w:id="110"/>
      <w:bookmarkEnd w:id="111"/>
      <w:bookmarkEnd w:id="112"/>
      <w:bookmarkEnd w:id="113"/>
    </w:p>
    <w:p>
      <w:pPr>
        <w:pStyle w:val="12"/>
        <w:spacing w:line="360" w:lineRule="auto"/>
        <w:ind w:firstLine="480"/>
        <w:rPr>
          <w:highlight w:val="none"/>
        </w:rPr>
      </w:pPr>
      <w:r>
        <w:rPr>
          <w:rFonts w:hint="eastAsia" w:ascii="Times New Roman" w:hAnsi="Times New Roman" w:cs="Times New Roman"/>
          <w:bCs/>
          <w:highlight w:val="none"/>
          <w:lang w:val="en-US" w:eastAsia="zh-CN"/>
        </w:rPr>
        <w:t>本项目矿界范围内土壤环境质量标准执行</w:t>
      </w:r>
      <w:r>
        <w:rPr>
          <w:rFonts w:hint="default" w:ascii="Times New Roman" w:hAnsi="Times New Roman" w:cs="Times New Roman"/>
          <w:bCs/>
          <w:highlight w:val="none"/>
          <w:lang w:val="en-US" w:eastAsia="zh-CN"/>
        </w:rPr>
        <w:t>《土壤环境质量标准-建设用地土壤污染风险管控标准》（GB36600-2018）</w:t>
      </w:r>
      <w:r>
        <w:rPr>
          <w:rFonts w:hint="eastAsia" w:ascii="Times New Roman" w:hAnsi="Times New Roman" w:cs="Times New Roman"/>
          <w:bCs/>
          <w:highlight w:val="none"/>
          <w:lang w:val="en-US" w:eastAsia="zh-CN"/>
        </w:rPr>
        <w:t>；矿界范围外执行</w:t>
      </w:r>
      <w:r>
        <w:rPr>
          <w:rFonts w:hint="default" w:ascii="Times New Roman" w:hAnsi="Times New Roman" w:cs="Times New Roman"/>
          <w:bCs/>
          <w:highlight w:val="none"/>
          <w:lang w:val="en-US" w:eastAsia="zh-CN"/>
        </w:rPr>
        <w:t>《土壤环境质量-农用地土壤污染风险管控标准》（GB15618-218）</w:t>
      </w:r>
      <w:r>
        <w:rPr>
          <w:rFonts w:hint="eastAsia" w:ascii="Times New Roman" w:hAnsi="Times New Roman" w:cs="Times New Roman"/>
          <w:bCs/>
          <w:highlight w:val="none"/>
          <w:lang w:val="en-US" w:eastAsia="zh-CN"/>
        </w:rPr>
        <w:t>。</w:t>
      </w:r>
    </w:p>
    <w:p>
      <w:pPr>
        <w:pStyle w:val="5"/>
        <w:rPr>
          <w:rFonts w:hint="default"/>
          <w:highlight w:val="none"/>
        </w:rPr>
      </w:pPr>
      <w:bookmarkStart w:id="114" w:name="_Toc8790"/>
      <w:r>
        <w:rPr>
          <w:rFonts w:hint="default"/>
          <w:highlight w:val="none"/>
        </w:rPr>
        <w:t>1.</w:t>
      </w:r>
      <w:r>
        <w:rPr>
          <w:highlight w:val="none"/>
        </w:rPr>
        <w:t>5</w:t>
      </w:r>
      <w:r>
        <w:rPr>
          <w:rFonts w:hint="default"/>
          <w:highlight w:val="none"/>
        </w:rPr>
        <w:t>.2排放标准</w:t>
      </w:r>
      <w:bookmarkEnd w:id="94"/>
      <w:bookmarkEnd w:id="95"/>
      <w:bookmarkEnd w:id="96"/>
      <w:bookmarkEnd w:id="97"/>
      <w:bookmarkEnd w:id="98"/>
      <w:bookmarkEnd w:id="103"/>
      <w:bookmarkEnd w:id="104"/>
      <w:bookmarkEnd w:id="105"/>
      <w:bookmarkEnd w:id="106"/>
      <w:bookmarkEnd w:id="114"/>
    </w:p>
    <w:p>
      <w:pPr>
        <w:ind w:firstLine="482"/>
        <w:rPr>
          <w:b/>
          <w:bCs/>
          <w:highlight w:val="none"/>
        </w:rPr>
      </w:pPr>
      <w:bookmarkStart w:id="115" w:name="_Toc249452651"/>
      <w:bookmarkStart w:id="116" w:name="_Toc192562059"/>
      <w:bookmarkStart w:id="117" w:name="_Toc306367338"/>
      <w:bookmarkStart w:id="118" w:name="_Toc192653874"/>
      <w:bookmarkStart w:id="119" w:name="_Toc307827315"/>
      <w:bookmarkStart w:id="120" w:name="_Toc249541169"/>
      <w:bookmarkStart w:id="121" w:name="_Toc303925196"/>
      <w:bookmarkStart w:id="122" w:name="_Toc230430402"/>
      <w:bookmarkStart w:id="123" w:name="_Toc187145714"/>
      <w:bookmarkStart w:id="124" w:name="_Toc187145969"/>
      <w:bookmarkStart w:id="125" w:name="_Toc181198211"/>
      <w:bookmarkStart w:id="126" w:name="_Toc278484158"/>
      <w:bookmarkStart w:id="127" w:name="_Toc188863705"/>
      <w:bookmarkStart w:id="128" w:name="_Toc212987794"/>
      <w:bookmarkStart w:id="129" w:name="_Toc212807756"/>
      <w:bookmarkStart w:id="130" w:name="_Toc97630565"/>
      <w:bookmarkStart w:id="131" w:name="_Toc430100998"/>
      <w:bookmarkStart w:id="132" w:name="_Toc451778741"/>
      <w:bookmarkStart w:id="133" w:name="_Toc330280112"/>
      <w:bookmarkStart w:id="134" w:name="_Toc20387"/>
      <w:bookmarkStart w:id="135" w:name="_Toc488825480"/>
      <w:bookmarkStart w:id="136" w:name="_Toc1289"/>
      <w:bookmarkStart w:id="137" w:name="_Toc7513"/>
      <w:bookmarkStart w:id="138" w:name="_Toc501887239"/>
      <w:bookmarkStart w:id="139" w:name="_Toc28131"/>
      <w:bookmarkStart w:id="140" w:name="_Toc480560028"/>
      <w:r>
        <w:rPr>
          <w:b/>
          <w:bCs/>
          <w:highlight w:val="none"/>
        </w:rPr>
        <w:t>（1）废气</w:t>
      </w:r>
    </w:p>
    <w:p>
      <w:pPr>
        <w:ind w:firstLine="482"/>
        <w:rPr>
          <w:highlight w:val="none"/>
        </w:rPr>
      </w:pPr>
      <w:r>
        <w:rPr>
          <w:rFonts w:hint="eastAsia"/>
          <w:b w:val="0"/>
          <w:bCs w:val="0"/>
          <w:highlight w:val="none"/>
        </w:rPr>
        <w:t>粉尘：项目施工期执行《大气污染物综合排放标准》（GB16297-1996）表 2 无组织排放监测浓度限值，项目运营期执行《大气污染物综合排放标准》（GB16297-1996）表 2 无组织排放监测浓度限值和有组织二级标准。</w:t>
      </w:r>
      <w:r>
        <w:rPr>
          <w:highlight w:val="none"/>
        </w:rPr>
        <w:t>详见表</w:t>
      </w:r>
      <w:r>
        <w:rPr>
          <w:rFonts w:hint="eastAsia"/>
          <w:highlight w:val="none"/>
        </w:rPr>
        <w:t>1-6</w:t>
      </w:r>
      <w:r>
        <w:rPr>
          <w:highlight w:val="none"/>
        </w:rPr>
        <w:t>。</w:t>
      </w:r>
    </w:p>
    <w:p>
      <w:pPr>
        <w:ind w:firstLine="0" w:firstLineChars="0"/>
        <w:jc w:val="center"/>
        <w:rPr>
          <w:b/>
          <w:bCs/>
          <w:sz w:val="21"/>
          <w:szCs w:val="21"/>
          <w:highlight w:val="none"/>
        </w:rPr>
      </w:pPr>
      <w:r>
        <w:rPr>
          <w:b/>
          <w:bCs/>
          <w:sz w:val="21"/>
          <w:szCs w:val="21"/>
          <w:highlight w:val="none"/>
        </w:rPr>
        <w:t>表</w:t>
      </w:r>
      <w:r>
        <w:rPr>
          <w:rFonts w:hint="eastAsia"/>
          <w:b/>
          <w:bCs/>
          <w:sz w:val="21"/>
          <w:szCs w:val="21"/>
          <w:highlight w:val="none"/>
        </w:rPr>
        <w:t>1-6</w:t>
      </w:r>
      <w:r>
        <w:rPr>
          <w:b/>
          <w:bCs/>
          <w:sz w:val="21"/>
          <w:szCs w:val="21"/>
          <w:highlight w:val="none"/>
        </w:rPr>
        <w:t xml:space="preserve">  </w:t>
      </w:r>
      <w:r>
        <w:rPr>
          <w:rFonts w:hint="eastAsia"/>
          <w:b/>
          <w:bCs/>
          <w:sz w:val="21"/>
          <w:szCs w:val="21"/>
          <w:highlight w:val="none"/>
        </w:rPr>
        <w:t>《大气污染物综合排放标准》（GB16297-1996）</w:t>
      </w:r>
    </w:p>
    <w:tbl>
      <w:tblPr>
        <w:tblStyle w:val="29"/>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9"/>
        <w:gridCol w:w="1972"/>
        <w:gridCol w:w="1571"/>
        <w:gridCol w:w="2273"/>
        <w:gridCol w:w="2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239" w:type="dxa"/>
            <w:vMerge w:val="restart"/>
            <w:shd w:val="clear" w:color="auto" w:fill="auto"/>
            <w:vAlign w:val="center"/>
          </w:tcPr>
          <w:p>
            <w:pPr>
              <w:ind w:firstLine="0" w:firstLineChars="0"/>
              <w:jc w:val="center"/>
              <w:rPr>
                <w:b/>
                <w:bCs/>
                <w:kern w:val="0"/>
                <w:sz w:val="21"/>
                <w:szCs w:val="21"/>
                <w:highlight w:val="none"/>
              </w:rPr>
            </w:pPr>
            <w:r>
              <w:rPr>
                <w:b/>
                <w:bCs/>
                <w:kern w:val="0"/>
                <w:sz w:val="21"/>
                <w:szCs w:val="21"/>
                <w:highlight w:val="none"/>
              </w:rPr>
              <w:t>污染物</w:t>
            </w:r>
          </w:p>
          <w:p>
            <w:pPr>
              <w:ind w:firstLine="0" w:firstLineChars="0"/>
              <w:jc w:val="center"/>
              <w:rPr>
                <w:b/>
                <w:bCs/>
                <w:kern w:val="0"/>
                <w:sz w:val="21"/>
                <w:szCs w:val="21"/>
                <w:highlight w:val="none"/>
              </w:rPr>
            </w:pPr>
            <w:r>
              <w:rPr>
                <w:b/>
                <w:bCs/>
                <w:kern w:val="0"/>
                <w:sz w:val="21"/>
                <w:szCs w:val="21"/>
                <w:highlight w:val="none"/>
              </w:rPr>
              <w:t>名称</w:t>
            </w:r>
          </w:p>
        </w:tc>
        <w:tc>
          <w:tcPr>
            <w:tcW w:w="5816" w:type="dxa"/>
            <w:gridSpan w:val="3"/>
            <w:shd w:val="clear" w:color="auto" w:fill="auto"/>
            <w:vAlign w:val="center"/>
          </w:tcPr>
          <w:p>
            <w:pPr>
              <w:ind w:firstLine="422"/>
              <w:jc w:val="center"/>
              <w:rPr>
                <w:b/>
                <w:bCs/>
                <w:kern w:val="0"/>
                <w:sz w:val="21"/>
                <w:szCs w:val="21"/>
                <w:highlight w:val="none"/>
              </w:rPr>
            </w:pPr>
            <w:r>
              <w:rPr>
                <w:b/>
                <w:bCs/>
                <w:kern w:val="0"/>
                <w:sz w:val="21"/>
                <w:szCs w:val="21"/>
                <w:highlight w:val="none"/>
              </w:rPr>
              <w:t>有组织</w:t>
            </w:r>
          </w:p>
        </w:tc>
        <w:tc>
          <w:tcPr>
            <w:tcW w:w="2234" w:type="dxa"/>
            <w:shd w:val="clear" w:color="auto" w:fill="auto"/>
            <w:vAlign w:val="center"/>
          </w:tcPr>
          <w:p>
            <w:pPr>
              <w:ind w:firstLine="0" w:firstLineChars="0"/>
              <w:jc w:val="center"/>
              <w:rPr>
                <w:b/>
                <w:bCs/>
                <w:kern w:val="0"/>
                <w:sz w:val="21"/>
                <w:szCs w:val="21"/>
                <w:highlight w:val="none"/>
              </w:rPr>
            </w:pPr>
            <w:r>
              <w:rPr>
                <w:b/>
                <w:bCs/>
                <w:kern w:val="0"/>
                <w:sz w:val="21"/>
                <w:szCs w:val="21"/>
                <w:highlight w:val="none"/>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239" w:type="dxa"/>
            <w:vMerge w:val="continue"/>
            <w:shd w:val="clear" w:color="auto" w:fill="auto"/>
            <w:vAlign w:val="center"/>
          </w:tcPr>
          <w:p>
            <w:pPr>
              <w:ind w:firstLine="422"/>
              <w:jc w:val="center"/>
              <w:rPr>
                <w:b/>
                <w:bCs/>
                <w:sz w:val="21"/>
                <w:szCs w:val="21"/>
                <w:highlight w:val="none"/>
              </w:rPr>
            </w:pPr>
          </w:p>
        </w:tc>
        <w:tc>
          <w:tcPr>
            <w:tcW w:w="1972" w:type="dxa"/>
            <w:shd w:val="clear" w:color="auto" w:fill="auto"/>
            <w:vAlign w:val="center"/>
          </w:tcPr>
          <w:p>
            <w:pPr>
              <w:ind w:firstLine="0" w:firstLineChars="0"/>
              <w:jc w:val="center"/>
              <w:rPr>
                <w:b/>
                <w:bCs/>
                <w:sz w:val="21"/>
                <w:szCs w:val="21"/>
                <w:highlight w:val="none"/>
              </w:rPr>
            </w:pPr>
            <w:r>
              <w:rPr>
                <w:b/>
                <w:bCs/>
                <w:kern w:val="0"/>
                <w:sz w:val="21"/>
                <w:szCs w:val="21"/>
                <w:highlight w:val="none"/>
              </w:rPr>
              <w:t>最高允许排放浓度</w:t>
            </w:r>
          </w:p>
        </w:tc>
        <w:tc>
          <w:tcPr>
            <w:tcW w:w="1571" w:type="dxa"/>
            <w:shd w:val="clear" w:color="auto" w:fill="auto"/>
            <w:vAlign w:val="center"/>
          </w:tcPr>
          <w:p>
            <w:pPr>
              <w:ind w:firstLine="0" w:firstLineChars="0"/>
              <w:jc w:val="center"/>
              <w:rPr>
                <w:b/>
                <w:bCs/>
                <w:kern w:val="0"/>
                <w:sz w:val="21"/>
                <w:szCs w:val="21"/>
                <w:highlight w:val="none"/>
              </w:rPr>
            </w:pPr>
            <w:r>
              <w:rPr>
                <w:b/>
                <w:bCs/>
                <w:kern w:val="0"/>
                <w:sz w:val="21"/>
                <w:szCs w:val="21"/>
                <w:highlight w:val="none"/>
              </w:rPr>
              <w:t>排气筒高度</w:t>
            </w:r>
          </w:p>
        </w:tc>
        <w:tc>
          <w:tcPr>
            <w:tcW w:w="2273" w:type="dxa"/>
            <w:shd w:val="clear" w:color="auto" w:fill="auto"/>
            <w:vAlign w:val="center"/>
          </w:tcPr>
          <w:p>
            <w:pPr>
              <w:ind w:firstLine="0" w:firstLineChars="0"/>
              <w:jc w:val="center"/>
              <w:rPr>
                <w:rFonts w:hint="default" w:eastAsia="宋体"/>
                <w:b/>
                <w:bCs/>
                <w:kern w:val="0"/>
                <w:sz w:val="21"/>
                <w:szCs w:val="21"/>
                <w:highlight w:val="none"/>
                <w:lang w:val="en-US" w:eastAsia="zh-CN"/>
              </w:rPr>
            </w:pPr>
            <w:r>
              <w:rPr>
                <w:b/>
                <w:bCs/>
                <w:kern w:val="0"/>
                <w:sz w:val="21"/>
                <w:szCs w:val="21"/>
                <w:highlight w:val="none"/>
              </w:rPr>
              <w:t>最高允许排放</w:t>
            </w:r>
            <w:r>
              <w:rPr>
                <w:rFonts w:hint="eastAsia"/>
                <w:b/>
                <w:bCs/>
                <w:kern w:val="0"/>
                <w:sz w:val="21"/>
                <w:szCs w:val="21"/>
                <w:highlight w:val="none"/>
                <w:lang w:eastAsia="zh-CN"/>
              </w:rPr>
              <w:t>速率，</w:t>
            </w:r>
            <w:r>
              <w:rPr>
                <w:rFonts w:hint="eastAsia"/>
                <w:b/>
                <w:bCs/>
                <w:kern w:val="0"/>
                <w:sz w:val="21"/>
                <w:szCs w:val="21"/>
                <w:highlight w:val="none"/>
                <w:lang w:val="en-US" w:eastAsia="zh-CN"/>
              </w:rPr>
              <w:t>kg/h</w:t>
            </w:r>
          </w:p>
        </w:tc>
        <w:tc>
          <w:tcPr>
            <w:tcW w:w="2234" w:type="dxa"/>
            <w:shd w:val="clear" w:color="auto" w:fill="auto"/>
            <w:vAlign w:val="center"/>
          </w:tcPr>
          <w:p>
            <w:pPr>
              <w:ind w:firstLine="0" w:firstLineChars="0"/>
              <w:jc w:val="center"/>
              <w:rPr>
                <w:b/>
                <w:bCs/>
                <w:kern w:val="0"/>
                <w:sz w:val="21"/>
                <w:szCs w:val="21"/>
                <w:highlight w:val="none"/>
              </w:rPr>
            </w:pPr>
            <w:r>
              <w:rPr>
                <w:b/>
                <w:bCs/>
                <w:kern w:val="0"/>
                <w:sz w:val="21"/>
                <w:szCs w:val="21"/>
                <w:highlight w:val="none"/>
              </w:rPr>
              <w:t>周界外浓度最高点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1239" w:type="dxa"/>
            <w:shd w:val="clear" w:color="auto" w:fill="auto"/>
            <w:vAlign w:val="center"/>
          </w:tcPr>
          <w:p>
            <w:pPr>
              <w:ind w:firstLine="0" w:firstLineChars="0"/>
              <w:jc w:val="center"/>
              <w:rPr>
                <w:kern w:val="0"/>
                <w:sz w:val="21"/>
                <w:szCs w:val="21"/>
                <w:highlight w:val="none"/>
              </w:rPr>
            </w:pPr>
            <w:r>
              <w:rPr>
                <w:rFonts w:hint="eastAsia"/>
                <w:kern w:val="0"/>
                <w:sz w:val="21"/>
                <w:szCs w:val="21"/>
                <w:highlight w:val="none"/>
              </w:rPr>
              <w:t>颗粒物</w:t>
            </w:r>
          </w:p>
        </w:tc>
        <w:tc>
          <w:tcPr>
            <w:tcW w:w="1972" w:type="dxa"/>
            <w:shd w:val="clear" w:color="auto" w:fill="auto"/>
            <w:vAlign w:val="center"/>
          </w:tcPr>
          <w:p>
            <w:pPr>
              <w:ind w:firstLine="0" w:firstLineChars="0"/>
              <w:jc w:val="center"/>
              <w:rPr>
                <w:kern w:val="0"/>
                <w:sz w:val="21"/>
                <w:szCs w:val="21"/>
                <w:highlight w:val="none"/>
              </w:rPr>
            </w:pPr>
            <w:r>
              <w:rPr>
                <w:rFonts w:hint="eastAsia"/>
                <w:kern w:val="0"/>
                <w:sz w:val="21"/>
                <w:szCs w:val="21"/>
                <w:highlight w:val="none"/>
                <w:lang w:val="en-US" w:eastAsia="zh-CN"/>
              </w:rPr>
              <w:t>1</w:t>
            </w:r>
            <w:r>
              <w:rPr>
                <w:rFonts w:hint="eastAsia"/>
                <w:kern w:val="0"/>
                <w:sz w:val="21"/>
                <w:szCs w:val="21"/>
                <w:highlight w:val="none"/>
              </w:rPr>
              <w:t>20</w:t>
            </w:r>
            <w:r>
              <w:rPr>
                <w:rFonts w:hint="eastAsia"/>
                <w:kern w:val="0"/>
                <w:szCs w:val="21"/>
                <w:highlight w:val="none"/>
              </w:rPr>
              <w:t>mg/m</w:t>
            </w:r>
            <w:r>
              <w:rPr>
                <w:rFonts w:hint="eastAsia"/>
                <w:kern w:val="0"/>
                <w:szCs w:val="21"/>
                <w:highlight w:val="none"/>
                <w:vertAlign w:val="superscript"/>
              </w:rPr>
              <w:t>3</w:t>
            </w:r>
          </w:p>
        </w:tc>
        <w:tc>
          <w:tcPr>
            <w:tcW w:w="1571" w:type="dxa"/>
            <w:shd w:val="clear" w:color="auto" w:fill="auto"/>
            <w:vAlign w:val="center"/>
          </w:tcPr>
          <w:p>
            <w:pPr>
              <w:ind w:firstLine="0" w:firstLineChars="0"/>
              <w:jc w:val="center"/>
              <w:rPr>
                <w:kern w:val="0"/>
                <w:sz w:val="21"/>
                <w:szCs w:val="21"/>
                <w:highlight w:val="none"/>
              </w:rPr>
            </w:pPr>
            <w:r>
              <w:rPr>
                <w:rFonts w:hint="eastAsia"/>
                <w:kern w:val="0"/>
                <w:sz w:val="21"/>
                <w:szCs w:val="21"/>
                <w:highlight w:val="none"/>
              </w:rPr>
              <w:t>不低于</w:t>
            </w:r>
            <w:r>
              <w:rPr>
                <w:kern w:val="0"/>
                <w:sz w:val="21"/>
                <w:szCs w:val="21"/>
                <w:highlight w:val="none"/>
              </w:rPr>
              <w:t>15m</w:t>
            </w:r>
          </w:p>
        </w:tc>
        <w:tc>
          <w:tcPr>
            <w:tcW w:w="2273" w:type="dxa"/>
            <w:shd w:val="clear" w:color="auto" w:fill="auto"/>
            <w:vAlign w:val="center"/>
          </w:tcPr>
          <w:p>
            <w:pPr>
              <w:ind w:firstLine="0" w:firstLineChars="0"/>
              <w:jc w:val="center"/>
              <w:rPr>
                <w:rFonts w:hint="default"/>
                <w:kern w:val="0"/>
                <w:sz w:val="21"/>
                <w:szCs w:val="21"/>
                <w:highlight w:val="none"/>
                <w:lang w:val="en-US"/>
              </w:rPr>
            </w:pPr>
            <w:r>
              <w:rPr>
                <w:rFonts w:hint="eastAsia"/>
                <w:kern w:val="0"/>
                <w:sz w:val="21"/>
                <w:szCs w:val="21"/>
                <w:highlight w:val="none"/>
                <w:lang w:val="en-US" w:eastAsia="zh-CN"/>
              </w:rPr>
              <w:t>3.5</w:t>
            </w:r>
          </w:p>
        </w:tc>
        <w:tc>
          <w:tcPr>
            <w:tcW w:w="2234" w:type="dxa"/>
            <w:shd w:val="clear" w:color="auto" w:fill="auto"/>
            <w:vAlign w:val="center"/>
          </w:tcPr>
          <w:p>
            <w:pPr>
              <w:ind w:firstLine="0" w:firstLineChars="0"/>
              <w:jc w:val="center"/>
              <w:rPr>
                <w:kern w:val="0"/>
                <w:sz w:val="21"/>
                <w:szCs w:val="21"/>
                <w:highlight w:val="none"/>
              </w:rPr>
            </w:pPr>
            <w:r>
              <w:rPr>
                <w:rFonts w:hint="eastAsia"/>
                <w:kern w:val="0"/>
                <w:sz w:val="21"/>
                <w:szCs w:val="21"/>
                <w:highlight w:val="none"/>
                <w:lang w:val="en-US" w:eastAsia="zh-CN"/>
              </w:rPr>
              <w:t>1.0</w:t>
            </w:r>
            <w:r>
              <w:rPr>
                <w:rFonts w:hint="eastAsia"/>
                <w:kern w:val="0"/>
                <w:szCs w:val="21"/>
                <w:highlight w:val="none"/>
              </w:rPr>
              <w:t>mg/m</w:t>
            </w:r>
            <w:r>
              <w:rPr>
                <w:rFonts w:hint="eastAsia"/>
                <w:kern w:val="0"/>
                <w:szCs w:val="21"/>
                <w:highlight w:val="none"/>
                <w:vertAlign w:val="superscript"/>
              </w:rPr>
              <w:t>3</w:t>
            </w:r>
          </w:p>
        </w:tc>
      </w:tr>
    </w:tbl>
    <w:p>
      <w:pPr>
        <w:ind w:left="0" w:leftChars="0" w:firstLine="0" w:firstLineChars="0"/>
        <w:jc w:val="both"/>
        <w:rPr>
          <w:highlight w:val="none"/>
        </w:rPr>
      </w:pPr>
    </w:p>
    <w:p>
      <w:pPr>
        <w:numPr>
          <w:ilvl w:val="0"/>
          <w:numId w:val="7"/>
        </w:numPr>
        <w:ind w:firstLine="482"/>
        <w:rPr>
          <w:b/>
          <w:bCs/>
          <w:highlight w:val="none"/>
        </w:rPr>
      </w:pPr>
      <w:r>
        <w:rPr>
          <w:rFonts w:hint="eastAsia"/>
          <w:b/>
          <w:bCs/>
          <w:highlight w:val="none"/>
        </w:rPr>
        <w:t>废水</w:t>
      </w:r>
    </w:p>
    <w:p>
      <w:pPr>
        <w:ind w:firstLine="482"/>
        <w:rPr>
          <w:rFonts w:hint="eastAsia"/>
          <w:color w:val="auto"/>
          <w:highlight w:val="none"/>
        </w:rPr>
      </w:pPr>
      <w:r>
        <w:rPr>
          <w:rFonts w:hint="eastAsia"/>
          <w:b/>
          <w:bCs/>
          <w:color w:val="auto"/>
          <w:highlight w:val="none"/>
        </w:rPr>
        <w:t>生产废水：</w:t>
      </w:r>
      <w:r>
        <w:rPr>
          <w:rFonts w:hint="eastAsia"/>
          <w:color w:val="auto"/>
          <w:highlight w:val="none"/>
        </w:rPr>
        <w:t>本项</w:t>
      </w:r>
      <w:r>
        <w:rPr>
          <w:rFonts w:hint="eastAsia"/>
          <w:color w:val="auto"/>
          <w:highlight w:val="none"/>
          <w:lang w:eastAsia="zh-CN"/>
        </w:rPr>
        <w:t>目</w:t>
      </w:r>
      <w:r>
        <w:rPr>
          <w:rFonts w:hint="eastAsia"/>
          <w:color w:val="auto"/>
          <w:highlight w:val="none"/>
        </w:rPr>
        <w:t>生产用水在使用过程中全部蒸发损耗，无外排废水。</w:t>
      </w:r>
    </w:p>
    <w:p>
      <w:pPr>
        <w:ind w:firstLine="482"/>
        <w:rPr>
          <w:rFonts w:hint="eastAsia"/>
          <w:color w:val="auto"/>
          <w:highlight w:val="none"/>
        </w:rPr>
      </w:pPr>
      <w:r>
        <w:rPr>
          <w:rFonts w:hint="eastAsia" w:ascii="宋体" w:hAnsi="宋体" w:cs="宋体"/>
          <w:b/>
          <w:bCs/>
          <w:color w:val="auto"/>
          <w:kern w:val="0"/>
          <w:highlight w:val="none"/>
          <w:lang w:eastAsia="zh-CN"/>
        </w:rPr>
        <w:t>降雨径流：</w:t>
      </w:r>
      <w:r>
        <w:rPr>
          <w:rFonts w:hint="default" w:ascii="Times New Roman" w:hAnsi="Times New Roman" w:cs="Times New Roman"/>
          <w:color w:val="auto"/>
          <w:kern w:val="0"/>
          <w:highlight w:val="none"/>
          <w:lang w:eastAsia="zh-CN"/>
        </w:rPr>
        <w:t>本项目</w:t>
      </w:r>
      <w:r>
        <w:rPr>
          <w:rFonts w:hint="eastAsia" w:cs="Times New Roman"/>
          <w:color w:val="auto"/>
          <w:kern w:val="0"/>
          <w:highlight w:val="none"/>
          <w:lang w:eastAsia="zh-CN"/>
        </w:rPr>
        <w:t>初期雨水</w:t>
      </w:r>
      <w:r>
        <w:rPr>
          <w:rFonts w:hint="default" w:ascii="Times New Roman" w:hAnsi="Times New Roman" w:cs="Times New Roman"/>
          <w:color w:val="auto"/>
          <w:kern w:val="0"/>
          <w:highlight w:val="none"/>
          <w:lang w:eastAsia="zh-CN"/>
        </w:rPr>
        <w:t>收集进入矿区内设置的</w:t>
      </w:r>
      <w:r>
        <w:rPr>
          <w:rFonts w:hint="eastAsia" w:cs="Times New Roman"/>
          <w:color w:val="auto"/>
          <w:kern w:val="0"/>
          <w:highlight w:val="none"/>
          <w:lang w:val="en-US" w:eastAsia="zh-CN"/>
        </w:rPr>
        <w:t>沉淀池</w:t>
      </w:r>
      <w:r>
        <w:rPr>
          <w:rFonts w:hint="default" w:ascii="Times New Roman" w:hAnsi="Times New Roman" w:cs="Times New Roman"/>
          <w:color w:val="auto"/>
          <w:kern w:val="0"/>
          <w:highlight w:val="none"/>
          <w:lang w:val="en-US" w:eastAsia="zh-CN"/>
        </w:rPr>
        <w:t>，经沉淀后回用于矿区洒水降尘、绿化用水，不外排。</w:t>
      </w:r>
    </w:p>
    <w:p>
      <w:pPr>
        <w:ind w:firstLine="482"/>
        <w:rPr>
          <w:highlight w:val="none"/>
        </w:rPr>
      </w:pPr>
      <w:r>
        <w:rPr>
          <w:rFonts w:hint="eastAsia"/>
          <w:b/>
          <w:bCs/>
          <w:highlight w:val="none"/>
          <w:lang w:eastAsia="zh-CN"/>
        </w:rPr>
        <w:t>生活污水</w:t>
      </w:r>
      <w:r>
        <w:rPr>
          <w:rFonts w:hint="eastAsia"/>
          <w:b/>
          <w:bCs/>
          <w:highlight w:val="none"/>
        </w:rPr>
        <w:t>：</w:t>
      </w:r>
      <w:r>
        <w:rPr>
          <w:rFonts w:hint="eastAsia"/>
          <w:highlight w:val="none"/>
        </w:rPr>
        <w:t>本项目办公生活产生的废水经</w:t>
      </w:r>
      <w:r>
        <w:rPr>
          <w:rFonts w:hint="eastAsia"/>
          <w:highlight w:val="none"/>
          <w:lang w:eastAsia="zh-CN"/>
        </w:rPr>
        <w:t>沉淀池</w:t>
      </w:r>
      <w:r>
        <w:rPr>
          <w:rFonts w:hint="eastAsia"/>
          <w:highlight w:val="none"/>
        </w:rPr>
        <w:t>处理后</w:t>
      </w:r>
      <w:r>
        <w:rPr>
          <w:rFonts w:hint="eastAsia"/>
          <w:highlight w:val="none"/>
          <w:lang w:eastAsia="zh-CN"/>
        </w:rPr>
        <w:t>回用于场地洒水降尘</w:t>
      </w:r>
      <w:r>
        <w:rPr>
          <w:rFonts w:hint="eastAsia"/>
          <w:highlight w:val="none"/>
        </w:rPr>
        <w:t>。</w:t>
      </w:r>
    </w:p>
    <w:p>
      <w:pPr>
        <w:ind w:firstLine="482"/>
        <w:rPr>
          <w:rFonts w:ascii="宋体" w:hAnsi="宋体" w:cs="宋体"/>
          <w:b/>
          <w:bCs/>
          <w:kern w:val="0"/>
          <w:highlight w:val="none"/>
        </w:rPr>
      </w:pPr>
      <w:r>
        <w:rPr>
          <w:rFonts w:hint="eastAsia"/>
          <w:b/>
          <w:bCs/>
          <w:highlight w:val="none"/>
        </w:rPr>
        <w:t>（3）噪声</w:t>
      </w:r>
    </w:p>
    <w:p>
      <w:pPr>
        <w:spacing w:line="360" w:lineRule="auto"/>
        <w:ind w:firstLine="470" w:firstLineChars="196"/>
        <w:rPr>
          <w:highlight w:val="none"/>
        </w:rPr>
      </w:pPr>
      <w:r>
        <w:rPr>
          <w:sz w:val="24"/>
          <w:highlight w:val="none"/>
        </w:rPr>
        <w:t>施工期噪声执行《建筑施工场界环境噪声排放标准》（GB12523-2011），具体见表</w:t>
      </w:r>
      <w:r>
        <w:rPr>
          <w:rFonts w:hint="eastAsia"/>
          <w:sz w:val="24"/>
          <w:highlight w:val="none"/>
          <w:lang w:val="en-US" w:eastAsia="zh-CN"/>
        </w:rPr>
        <w:t>1-7</w:t>
      </w:r>
      <w:r>
        <w:rPr>
          <w:rFonts w:hint="eastAsia"/>
          <w:sz w:val="24"/>
          <w:highlight w:val="none"/>
          <w:lang w:eastAsia="zh-CN"/>
        </w:rPr>
        <w:t>。</w:t>
      </w:r>
    </w:p>
    <w:p>
      <w:pPr>
        <w:spacing w:line="360" w:lineRule="auto"/>
        <w:ind w:firstLine="413" w:firstLineChars="196"/>
        <w:jc w:val="center"/>
        <w:rPr>
          <w:sz w:val="24"/>
          <w:highlight w:val="none"/>
        </w:rPr>
      </w:pPr>
      <w:r>
        <w:rPr>
          <w:b/>
          <w:sz w:val="21"/>
          <w:szCs w:val="21"/>
          <w:highlight w:val="none"/>
        </w:rPr>
        <w:t>表</w:t>
      </w:r>
      <w:r>
        <w:rPr>
          <w:rFonts w:hint="eastAsia"/>
          <w:b/>
          <w:sz w:val="21"/>
          <w:szCs w:val="21"/>
          <w:highlight w:val="none"/>
          <w:lang w:val="en-US" w:eastAsia="zh-CN"/>
        </w:rPr>
        <w:t>1-7</w:t>
      </w:r>
      <w:r>
        <w:rPr>
          <w:rFonts w:hint="eastAsia"/>
          <w:b/>
          <w:sz w:val="21"/>
          <w:szCs w:val="21"/>
          <w:highlight w:val="none"/>
        </w:rPr>
        <w:t xml:space="preserve"> </w:t>
      </w:r>
      <w:r>
        <w:rPr>
          <w:b/>
          <w:sz w:val="21"/>
          <w:szCs w:val="21"/>
          <w:highlight w:val="none"/>
        </w:rPr>
        <w:t>《建筑施工场界环境噪声排放标准》（GB12523-2011） 单位：</w:t>
      </w:r>
      <w:r>
        <w:rPr>
          <w:b/>
          <w:snapToGrid w:val="0"/>
          <w:sz w:val="21"/>
          <w:szCs w:val="21"/>
          <w:highlight w:val="none"/>
        </w:rPr>
        <w:t>dB（A）</w:t>
      </w:r>
    </w:p>
    <w:tbl>
      <w:tblPr>
        <w:tblStyle w:val="29"/>
        <w:tblW w:w="929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88"/>
        <w:gridCol w:w="45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jc w:val="center"/>
        </w:trPr>
        <w:tc>
          <w:tcPr>
            <w:tcW w:w="4788" w:type="dxa"/>
            <w:tcBorders>
              <w:top w:val="single" w:color="000000" w:sz="4" w:space="0"/>
              <w:left w:val="single" w:color="000000" w:sz="4" w:space="0"/>
              <w:right w:val="single" w:color="000000" w:sz="4" w:space="0"/>
            </w:tcBorders>
            <w:vAlign w:val="center"/>
          </w:tcPr>
          <w:p>
            <w:pPr>
              <w:snapToGrid w:val="0"/>
              <w:jc w:val="center"/>
              <w:rPr>
                <w:szCs w:val="21"/>
                <w:highlight w:val="none"/>
              </w:rPr>
            </w:pPr>
            <w:r>
              <w:rPr>
                <w:szCs w:val="21"/>
                <w:highlight w:val="none"/>
              </w:rPr>
              <w:t>昼间</w:t>
            </w:r>
          </w:p>
        </w:tc>
        <w:tc>
          <w:tcPr>
            <w:tcW w:w="4503" w:type="dxa"/>
            <w:tcBorders>
              <w:top w:val="single" w:color="000000" w:sz="4" w:space="0"/>
              <w:left w:val="single" w:color="000000" w:sz="4" w:space="0"/>
              <w:right w:val="single" w:color="000000" w:sz="4" w:space="0"/>
            </w:tcBorders>
            <w:vAlign w:val="center"/>
          </w:tcPr>
          <w:p>
            <w:pPr>
              <w:snapToGrid w:val="0"/>
              <w:jc w:val="center"/>
              <w:rPr>
                <w:szCs w:val="21"/>
                <w:highlight w:val="none"/>
              </w:rPr>
            </w:pPr>
            <w:r>
              <w:rPr>
                <w:szCs w:val="21"/>
                <w:highlight w:val="none"/>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4788" w:type="dxa"/>
            <w:tcBorders>
              <w:top w:val="single" w:color="000000" w:sz="4" w:space="0"/>
              <w:left w:val="single" w:color="000000" w:sz="4" w:space="0"/>
              <w:right w:val="single" w:color="000000" w:sz="4" w:space="0"/>
            </w:tcBorders>
            <w:vAlign w:val="center"/>
          </w:tcPr>
          <w:p>
            <w:pPr>
              <w:snapToGrid w:val="0"/>
              <w:jc w:val="center"/>
              <w:rPr>
                <w:szCs w:val="21"/>
                <w:highlight w:val="none"/>
              </w:rPr>
            </w:pPr>
            <w:r>
              <w:rPr>
                <w:szCs w:val="21"/>
                <w:highlight w:val="none"/>
              </w:rPr>
              <w:t>70</w:t>
            </w:r>
          </w:p>
        </w:tc>
        <w:tc>
          <w:tcPr>
            <w:tcW w:w="4503" w:type="dxa"/>
            <w:tcBorders>
              <w:top w:val="single" w:color="000000" w:sz="4" w:space="0"/>
              <w:left w:val="single" w:color="000000" w:sz="4" w:space="0"/>
              <w:right w:val="single" w:color="000000" w:sz="4" w:space="0"/>
            </w:tcBorders>
            <w:vAlign w:val="center"/>
          </w:tcPr>
          <w:p>
            <w:pPr>
              <w:snapToGrid w:val="0"/>
              <w:jc w:val="center"/>
              <w:rPr>
                <w:szCs w:val="21"/>
                <w:highlight w:val="none"/>
              </w:rPr>
            </w:pPr>
            <w:r>
              <w:rPr>
                <w:szCs w:val="21"/>
                <w:highlight w:val="none"/>
              </w:rPr>
              <w:t>55</w:t>
            </w:r>
          </w:p>
        </w:tc>
      </w:tr>
    </w:tbl>
    <w:p>
      <w:pPr>
        <w:ind w:firstLine="480"/>
        <w:rPr>
          <w:kern w:val="0"/>
          <w:highlight w:val="none"/>
        </w:rPr>
      </w:pPr>
    </w:p>
    <w:p>
      <w:pPr>
        <w:ind w:firstLine="480"/>
        <w:rPr>
          <w:kern w:val="0"/>
          <w:highlight w:val="none"/>
        </w:rPr>
      </w:pPr>
      <w:r>
        <w:rPr>
          <w:kern w:val="0"/>
          <w:highlight w:val="none"/>
        </w:rPr>
        <w:t>运行期噪声排放执行《工业企业厂界环境噪声排放标准》</w:t>
      </w:r>
      <w:r>
        <w:rPr>
          <w:rFonts w:hint="eastAsia"/>
          <w:kern w:val="0"/>
          <w:highlight w:val="none"/>
          <w:lang w:eastAsia="zh-CN"/>
        </w:rPr>
        <w:t>（</w:t>
      </w:r>
      <w:r>
        <w:rPr>
          <w:kern w:val="0"/>
          <w:highlight w:val="none"/>
        </w:rPr>
        <w:t>GB12348-2008</w:t>
      </w:r>
      <w:r>
        <w:rPr>
          <w:rFonts w:hint="eastAsia"/>
          <w:kern w:val="0"/>
          <w:highlight w:val="none"/>
          <w:lang w:eastAsia="zh-CN"/>
        </w:rPr>
        <w:t>）</w:t>
      </w:r>
      <w:r>
        <w:rPr>
          <w:kern w:val="0"/>
          <w:highlight w:val="none"/>
        </w:rPr>
        <w:t>中2类标准限值，详见表</w:t>
      </w:r>
      <w:r>
        <w:rPr>
          <w:rFonts w:hint="eastAsia"/>
          <w:kern w:val="0"/>
          <w:highlight w:val="none"/>
        </w:rPr>
        <w:t>1-8</w:t>
      </w:r>
      <w:r>
        <w:rPr>
          <w:kern w:val="0"/>
          <w:highlight w:val="none"/>
        </w:rPr>
        <w:t>：</w:t>
      </w:r>
    </w:p>
    <w:p>
      <w:pPr>
        <w:ind w:firstLine="0" w:firstLineChars="0"/>
        <w:jc w:val="center"/>
        <w:rPr>
          <w:b/>
          <w:bCs/>
          <w:kern w:val="0"/>
          <w:sz w:val="21"/>
          <w:szCs w:val="21"/>
          <w:highlight w:val="none"/>
        </w:rPr>
      </w:pPr>
      <w:r>
        <w:rPr>
          <w:b/>
          <w:bCs/>
          <w:kern w:val="0"/>
          <w:sz w:val="21"/>
          <w:szCs w:val="21"/>
          <w:highlight w:val="none"/>
        </w:rPr>
        <w:t>表</w:t>
      </w:r>
      <w:r>
        <w:rPr>
          <w:rFonts w:hint="eastAsia"/>
          <w:b/>
          <w:bCs/>
          <w:kern w:val="0"/>
          <w:sz w:val="21"/>
          <w:szCs w:val="21"/>
          <w:highlight w:val="none"/>
        </w:rPr>
        <w:t>1-8</w:t>
      </w:r>
      <w:r>
        <w:rPr>
          <w:b/>
          <w:bCs/>
          <w:kern w:val="0"/>
          <w:sz w:val="21"/>
          <w:szCs w:val="21"/>
          <w:highlight w:val="none"/>
        </w:rPr>
        <w:t xml:space="preserve">    工业企业厂界环境噪声排放标准   单位：Leq〔dB(A)〕</w:t>
      </w:r>
    </w:p>
    <w:tbl>
      <w:tblPr>
        <w:tblStyle w:val="29"/>
        <w:tblW w:w="8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6"/>
        <w:gridCol w:w="2847"/>
        <w:gridCol w:w="2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2846" w:type="dxa"/>
            <w:shd w:val="clear" w:color="auto" w:fill="auto"/>
            <w:vAlign w:val="center"/>
          </w:tcPr>
          <w:p>
            <w:pPr>
              <w:widowControl/>
              <w:ind w:firstLine="0" w:firstLineChars="0"/>
              <w:jc w:val="center"/>
              <w:rPr>
                <w:b/>
                <w:spacing w:val="20"/>
                <w:sz w:val="21"/>
                <w:szCs w:val="21"/>
                <w:highlight w:val="none"/>
              </w:rPr>
            </w:pPr>
            <w:r>
              <w:rPr>
                <w:b/>
                <w:spacing w:val="20"/>
                <w:sz w:val="21"/>
                <w:szCs w:val="21"/>
                <w:highlight w:val="none"/>
              </w:rPr>
              <w:t>类别</w:t>
            </w:r>
          </w:p>
        </w:tc>
        <w:tc>
          <w:tcPr>
            <w:tcW w:w="2847" w:type="dxa"/>
            <w:shd w:val="clear" w:color="auto" w:fill="auto"/>
            <w:vAlign w:val="center"/>
          </w:tcPr>
          <w:p>
            <w:pPr>
              <w:widowControl/>
              <w:ind w:firstLine="0" w:firstLineChars="0"/>
              <w:jc w:val="center"/>
              <w:rPr>
                <w:b/>
                <w:sz w:val="21"/>
                <w:szCs w:val="21"/>
                <w:highlight w:val="none"/>
              </w:rPr>
            </w:pPr>
            <w:r>
              <w:rPr>
                <w:b/>
                <w:sz w:val="21"/>
                <w:szCs w:val="21"/>
                <w:highlight w:val="none"/>
              </w:rPr>
              <w:t>昼间</w:t>
            </w:r>
          </w:p>
        </w:tc>
        <w:tc>
          <w:tcPr>
            <w:tcW w:w="2847" w:type="dxa"/>
            <w:shd w:val="clear" w:color="auto" w:fill="auto"/>
            <w:vAlign w:val="center"/>
          </w:tcPr>
          <w:p>
            <w:pPr>
              <w:widowControl/>
              <w:ind w:firstLine="0" w:firstLineChars="0"/>
              <w:jc w:val="center"/>
              <w:rPr>
                <w:b/>
                <w:sz w:val="21"/>
                <w:szCs w:val="21"/>
                <w:highlight w:val="none"/>
              </w:rPr>
            </w:pPr>
            <w:r>
              <w:rPr>
                <w:b/>
                <w:sz w:val="21"/>
                <w:szCs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2846" w:type="dxa"/>
            <w:vAlign w:val="center"/>
          </w:tcPr>
          <w:p>
            <w:pPr>
              <w:widowControl/>
              <w:ind w:firstLine="0" w:firstLineChars="0"/>
              <w:jc w:val="center"/>
              <w:rPr>
                <w:bCs/>
                <w:sz w:val="21"/>
                <w:szCs w:val="21"/>
                <w:highlight w:val="none"/>
              </w:rPr>
            </w:pPr>
            <w:r>
              <w:rPr>
                <w:bCs/>
                <w:sz w:val="21"/>
                <w:szCs w:val="21"/>
                <w:highlight w:val="none"/>
              </w:rPr>
              <w:t>2类</w:t>
            </w:r>
          </w:p>
        </w:tc>
        <w:tc>
          <w:tcPr>
            <w:tcW w:w="2847" w:type="dxa"/>
            <w:vAlign w:val="center"/>
          </w:tcPr>
          <w:p>
            <w:pPr>
              <w:widowControl/>
              <w:ind w:firstLine="0" w:firstLineChars="0"/>
              <w:jc w:val="center"/>
              <w:rPr>
                <w:bCs/>
                <w:sz w:val="21"/>
                <w:szCs w:val="21"/>
                <w:highlight w:val="none"/>
              </w:rPr>
            </w:pPr>
            <w:r>
              <w:rPr>
                <w:bCs/>
                <w:sz w:val="21"/>
                <w:szCs w:val="21"/>
                <w:highlight w:val="none"/>
              </w:rPr>
              <w:t>60</w:t>
            </w:r>
          </w:p>
        </w:tc>
        <w:tc>
          <w:tcPr>
            <w:tcW w:w="2847" w:type="dxa"/>
            <w:vAlign w:val="center"/>
          </w:tcPr>
          <w:p>
            <w:pPr>
              <w:widowControl/>
              <w:ind w:firstLine="0" w:firstLineChars="0"/>
              <w:jc w:val="center"/>
              <w:rPr>
                <w:bCs/>
                <w:sz w:val="21"/>
                <w:szCs w:val="21"/>
                <w:highlight w:val="none"/>
              </w:rPr>
            </w:pPr>
            <w:r>
              <w:rPr>
                <w:bCs/>
                <w:sz w:val="21"/>
                <w:szCs w:val="21"/>
                <w:highlight w:val="none"/>
              </w:rPr>
              <w:t>50</w:t>
            </w:r>
          </w:p>
        </w:tc>
      </w:tr>
    </w:tbl>
    <w:p>
      <w:pPr>
        <w:ind w:firstLine="482"/>
        <w:rPr>
          <w:b/>
          <w:bCs/>
          <w:kern w:val="0"/>
          <w:highlight w:val="none"/>
        </w:rPr>
      </w:pPr>
    </w:p>
    <w:p>
      <w:pPr>
        <w:ind w:firstLine="482"/>
        <w:rPr>
          <w:b/>
          <w:bCs/>
          <w:kern w:val="0"/>
          <w:highlight w:val="none"/>
        </w:rPr>
      </w:pPr>
      <w:r>
        <w:rPr>
          <w:b/>
          <w:bCs/>
          <w:kern w:val="0"/>
          <w:highlight w:val="none"/>
        </w:rPr>
        <w:t>（4）固体废物</w:t>
      </w:r>
    </w:p>
    <w:p>
      <w:pPr>
        <w:ind w:firstLine="480"/>
        <w:rPr>
          <w:kern w:val="0"/>
          <w:highlight w:val="none"/>
        </w:rPr>
      </w:pPr>
      <w:r>
        <w:rPr>
          <w:kern w:val="0"/>
          <w:highlight w:val="none"/>
        </w:rPr>
        <w:t>一般固废：执行《一般工业固体废物贮存、处置场污染物控制标准》</w:t>
      </w:r>
      <w:r>
        <w:rPr>
          <w:rFonts w:hint="eastAsia"/>
          <w:kern w:val="0"/>
          <w:highlight w:val="none"/>
          <w:lang w:eastAsia="zh-CN"/>
        </w:rPr>
        <w:t>（</w:t>
      </w:r>
      <w:r>
        <w:rPr>
          <w:kern w:val="0"/>
          <w:highlight w:val="none"/>
        </w:rPr>
        <w:t>GB18599-2001</w:t>
      </w:r>
      <w:r>
        <w:rPr>
          <w:rFonts w:hint="eastAsia"/>
          <w:kern w:val="0"/>
          <w:highlight w:val="none"/>
          <w:lang w:eastAsia="zh-CN"/>
        </w:rPr>
        <w:t>）及其修改单</w:t>
      </w:r>
    </w:p>
    <w:p>
      <w:pPr>
        <w:ind w:firstLine="480"/>
        <w:rPr>
          <w:highlight w:val="none"/>
        </w:rPr>
      </w:pPr>
      <w:r>
        <w:rPr>
          <w:kern w:val="0"/>
          <w:highlight w:val="none"/>
        </w:rPr>
        <w:t>危险废物：设备检修过程中产生的废机油等</w:t>
      </w:r>
      <w:r>
        <w:rPr>
          <w:highlight w:val="none"/>
        </w:rPr>
        <w:t>执行《危险废物贮存污染物控制标准》</w:t>
      </w:r>
      <w:r>
        <w:rPr>
          <w:rFonts w:hint="eastAsia"/>
          <w:highlight w:val="none"/>
          <w:lang w:eastAsia="zh-CN"/>
        </w:rPr>
        <w:t>（</w:t>
      </w:r>
      <w:r>
        <w:rPr>
          <w:highlight w:val="none"/>
        </w:rPr>
        <w:t>GB18597-2001</w:t>
      </w:r>
      <w:r>
        <w:rPr>
          <w:rFonts w:hint="eastAsia"/>
          <w:highlight w:val="none"/>
          <w:lang w:eastAsia="zh-CN"/>
        </w:rPr>
        <w:t>）</w:t>
      </w:r>
      <w:r>
        <w:rPr>
          <w:highlight w:val="none"/>
        </w:rPr>
        <w:t>及2013年修改单。</w:t>
      </w:r>
    </w:p>
    <w:p>
      <w:pPr>
        <w:pStyle w:val="5"/>
        <w:rPr>
          <w:rFonts w:hint="default"/>
          <w:highlight w:val="none"/>
        </w:rPr>
      </w:pPr>
      <w:bookmarkStart w:id="141" w:name="_Toc362529917"/>
      <w:bookmarkStart w:id="142" w:name="_Toc362529549"/>
      <w:bookmarkStart w:id="143" w:name="_Toc369958428"/>
      <w:bookmarkStart w:id="144" w:name="_Toc362529412"/>
      <w:bookmarkStart w:id="145" w:name="_Toc17479"/>
      <w:r>
        <w:rPr>
          <w:highlight w:val="none"/>
        </w:rPr>
        <w:t>1.5.3水土流失评价标准</w:t>
      </w:r>
      <w:bookmarkEnd w:id="141"/>
      <w:bookmarkEnd w:id="142"/>
      <w:bookmarkEnd w:id="143"/>
      <w:bookmarkEnd w:id="144"/>
      <w:bookmarkEnd w:id="145"/>
    </w:p>
    <w:p>
      <w:pPr>
        <w:ind w:firstLine="480"/>
        <w:rPr>
          <w:kern w:val="0"/>
          <w:highlight w:val="none"/>
        </w:rPr>
      </w:pPr>
      <w:r>
        <w:rPr>
          <w:kern w:val="0"/>
          <w:highlight w:val="none"/>
        </w:rPr>
        <w:t>水土流失评价标淮</w:t>
      </w:r>
      <w:r>
        <w:rPr>
          <w:rFonts w:hint="eastAsia"/>
          <w:kern w:val="0"/>
          <w:highlight w:val="none"/>
        </w:rPr>
        <w:t>执行《土壤侵蚀分类分级标准》</w:t>
      </w:r>
      <w:r>
        <w:rPr>
          <w:rFonts w:hint="eastAsia"/>
          <w:kern w:val="0"/>
          <w:highlight w:val="none"/>
          <w:lang w:eastAsia="zh-CN"/>
        </w:rPr>
        <w:t>（</w:t>
      </w:r>
      <w:r>
        <w:rPr>
          <w:rFonts w:hint="eastAsia"/>
          <w:kern w:val="0"/>
          <w:highlight w:val="none"/>
        </w:rPr>
        <w:t>SL190-2007</w:t>
      </w:r>
      <w:r>
        <w:rPr>
          <w:rFonts w:hint="eastAsia"/>
          <w:kern w:val="0"/>
          <w:highlight w:val="none"/>
          <w:lang w:eastAsia="zh-CN"/>
        </w:rPr>
        <w:t>）</w:t>
      </w:r>
      <w:r>
        <w:rPr>
          <w:kern w:val="0"/>
          <w:highlight w:val="none"/>
        </w:rPr>
        <w:t>。</w:t>
      </w:r>
    </w:p>
    <w:p>
      <w:pPr>
        <w:ind w:firstLine="422"/>
        <w:jc w:val="center"/>
        <w:rPr>
          <w:b/>
          <w:kern w:val="44"/>
          <w:sz w:val="21"/>
          <w:szCs w:val="21"/>
          <w:highlight w:val="none"/>
        </w:rPr>
      </w:pPr>
      <w:r>
        <w:rPr>
          <w:b/>
          <w:kern w:val="44"/>
          <w:sz w:val="21"/>
          <w:szCs w:val="21"/>
          <w:highlight w:val="none"/>
        </w:rPr>
        <w:t>表</w:t>
      </w:r>
      <w:r>
        <w:rPr>
          <w:rFonts w:hint="eastAsia"/>
          <w:b/>
          <w:kern w:val="44"/>
          <w:sz w:val="21"/>
          <w:szCs w:val="21"/>
          <w:highlight w:val="none"/>
        </w:rPr>
        <w:t>1-9</w:t>
      </w:r>
      <w:r>
        <w:rPr>
          <w:b/>
          <w:kern w:val="44"/>
          <w:sz w:val="21"/>
          <w:szCs w:val="21"/>
          <w:highlight w:val="none"/>
        </w:rPr>
        <w:t xml:space="preserve">   水力侵蚀强度分级指标</w:t>
      </w:r>
    </w:p>
    <w:tbl>
      <w:tblPr>
        <w:tblStyle w:val="2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3"/>
        <w:gridCol w:w="2868"/>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3" w:type="dxa"/>
            <w:shd w:val="clear" w:color="auto" w:fill="auto"/>
            <w:vAlign w:val="center"/>
          </w:tcPr>
          <w:p>
            <w:pPr>
              <w:ind w:firstLine="0" w:firstLineChars="0"/>
              <w:jc w:val="center"/>
              <w:rPr>
                <w:b/>
                <w:bCs/>
                <w:sz w:val="21"/>
                <w:szCs w:val="21"/>
                <w:highlight w:val="none"/>
              </w:rPr>
            </w:pPr>
            <w:r>
              <w:rPr>
                <w:b/>
                <w:bCs/>
                <w:sz w:val="21"/>
                <w:szCs w:val="21"/>
                <w:highlight w:val="none"/>
              </w:rPr>
              <w:t>级别</w:t>
            </w:r>
          </w:p>
        </w:tc>
        <w:tc>
          <w:tcPr>
            <w:tcW w:w="2868" w:type="dxa"/>
            <w:shd w:val="clear" w:color="auto" w:fill="auto"/>
            <w:vAlign w:val="center"/>
          </w:tcPr>
          <w:p>
            <w:pPr>
              <w:ind w:firstLine="0" w:firstLineChars="0"/>
              <w:jc w:val="center"/>
              <w:rPr>
                <w:b/>
                <w:bCs/>
                <w:sz w:val="21"/>
                <w:szCs w:val="21"/>
                <w:highlight w:val="none"/>
              </w:rPr>
            </w:pPr>
            <w:r>
              <w:rPr>
                <w:b/>
                <w:bCs/>
                <w:sz w:val="21"/>
                <w:szCs w:val="21"/>
                <w:highlight w:val="none"/>
              </w:rPr>
              <w:t>平均侵蚀模数t/（km</w:t>
            </w:r>
            <w:r>
              <w:rPr>
                <w:b/>
                <w:bCs/>
                <w:sz w:val="21"/>
                <w:szCs w:val="21"/>
                <w:highlight w:val="none"/>
                <w:vertAlign w:val="superscript"/>
              </w:rPr>
              <w:t>2</w:t>
            </w:r>
            <w:r>
              <w:rPr>
                <w:b/>
                <w:bCs/>
                <w:sz w:val="21"/>
                <w:szCs w:val="21"/>
                <w:highlight w:val="none"/>
              </w:rPr>
              <w:t>.a）</w:t>
            </w:r>
          </w:p>
        </w:tc>
        <w:tc>
          <w:tcPr>
            <w:tcW w:w="2851" w:type="dxa"/>
            <w:shd w:val="clear" w:color="auto" w:fill="auto"/>
            <w:vAlign w:val="center"/>
          </w:tcPr>
          <w:p>
            <w:pPr>
              <w:ind w:firstLine="0" w:firstLineChars="0"/>
              <w:jc w:val="center"/>
              <w:rPr>
                <w:b/>
                <w:bCs/>
                <w:sz w:val="21"/>
                <w:szCs w:val="21"/>
                <w:highlight w:val="none"/>
              </w:rPr>
            </w:pPr>
            <w:r>
              <w:rPr>
                <w:b/>
                <w:bCs/>
                <w:sz w:val="21"/>
                <w:szCs w:val="21"/>
                <w:highlight w:val="none"/>
              </w:rPr>
              <w:t>平均流失厚度（mm/a）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3" w:type="dxa"/>
            <w:vAlign w:val="center"/>
          </w:tcPr>
          <w:p>
            <w:pPr>
              <w:ind w:firstLine="0" w:firstLineChars="0"/>
              <w:jc w:val="center"/>
              <w:rPr>
                <w:sz w:val="21"/>
                <w:szCs w:val="21"/>
                <w:highlight w:val="none"/>
              </w:rPr>
            </w:pPr>
            <w:r>
              <w:rPr>
                <w:sz w:val="21"/>
                <w:szCs w:val="21"/>
                <w:highlight w:val="none"/>
              </w:rPr>
              <w:t>微度</w:t>
            </w:r>
          </w:p>
        </w:tc>
        <w:tc>
          <w:tcPr>
            <w:tcW w:w="2868" w:type="dxa"/>
            <w:vAlign w:val="center"/>
          </w:tcPr>
          <w:p>
            <w:pPr>
              <w:ind w:firstLine="0" w:firstLineChars="0"/>
              <w:jc w:val="center"/>
              <w:rPr>
                <w:sz w:val="21"/>
                <w:szCs w:val="21"/>
                <w:highlight w:val="none"/>
              </w:rPr>
            </w:pPr>
            <w:r>
              <w:rPr>
                <w:sz w:val="21"/>
                <w:szCs w:val="21"/>
                <w:highlight w:val="none"/>
              </w:rPr>
              <w:t>＜500</w:t>
            </w:r>
          </w:p>
        </w:tc>
        <w:tc>
          <w:tcPr>
            <w:tcW w:w="2851" w:type="dxa"/>
            <w:vAlign w:val="center"/>
          </w:tcPr>
          <w:p>
            <w:pPr>
              <w:ind w:firstLine="0" w:firstLineChars="0"/>
              <w:jc w:val="center"/>
              <w:rPr>
                <w:sz w:val="21"/>
                <w:szCs w:val="21"/>
                <w:highlight w:val="none"/>
              </w:rPr>
            </w:pPr>
            <w:r>
              <w:rPr>
                <w:sz w:val="21"/>
                <w:szCs w:val="21"/>
                <w:highlight w:val="none"/>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3" w:type="dxa"/>
            <w:vAlign w:val="center"/>
          </w:tcPr>
          <w:p>
            <w:pPr>
              <w:ind w:firstLine="0" w:firstLineChars="0"/>
              <w:jc w:val="center"/>
              <w:rPr>
                <w:sz w:val="21"/>
                <w:szCs w:val="21"/>
                <w:highlight w:val="none"/>
              </w:rPr>
            </w:pPr>
            <w:r>
              <w:rPr>
                <w:sz w:val="21"/>
                <w:szCs w:val="21"/>
                <w:highlight w:val="none"/>
              </w:rPr>
              <w:t>轻度</w:t>
            </w:r>
          </w:p>
        </w:tc>
        <w:tc>
          <w:tcPr>
            <w:tcW w:w="2868" w:type="dxa"/>
            <w:vAlign w:val="center"/>
          </w:tcPr>
          <w:p>
            <w:pPr>
              <w:ind w:firstLine="0" w:firstLineChars="0"/>
              <w:jc w:val="center"/>
              <w:rPr>
                <w:sz w:val="21"/>
                <w:szCs w:val="21"/>
                <w:highlight w:val="none"/>
              </w:rPr>
            </w:pPr>
            <w:r>
              <w:rPr>
                <w:sz w:val="21"/>
                <w:szCs w:val="21"/>
                <w:highlight w:val="none"/>
              </w:rPr>
              <w:t>500~2500</w:t>
            </w:r>
          </w:p>
        </w:tc>
        <w:tc>
          <w:tcPr>
            <w:tcW w:w="2851" w:type="dxa"/>
            <w:vAlign w:val="center"/>
          </w:tcPr>
          <w:p>
            <w:pPr>
              <w:ind w:firstLine="0" w:firstLineChars="0"/>
              <w:jc w:val="center"/>
              <w:rPr>
                <w:sz w:val="21"/>
                <w:szCs w:val="21"/>
                <w:highlight w:val="none"/>
              </w:rPr>
            </w:pPr>
            <w:r>
              <w:rPr>
                <w:sz w:val="21"/>
                <w:szCs w:val="21"/>
                <w:highlight w:val="none"/>
              </w:rPr>
              <w:t>0.37~1.9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3" w:type="dxa"/>
            <w:vAlign w:val="center"/>
          </w:tcPr>
          <w:p>
            <w:pPr>
              <w:ind w:firstLine="0" w:firstLineChars="0"/>
              <w:jc w:val="center"/>
              <w:rPr>
                <w:sz w:val="21"/>
                <w:szCs w:val="21"/>
                <w:highlight w:val="none"/>
              </w:rPr>
            </w:pPr>
            <w:r>
              <w:rPr>
                <w:sz w:val="21"/>
                <w:szCs w:val="21"/>
                <w:highlight w:val="none"/>
              </w:rPr>
              <w:t>中度</w:t>
            </w:r>
          </w:p>
        </w:tc>
        <w:tc>
          <w:tcPr>
            <w:tcW w:w="2868" w:type="dxa"/>
            <w:vAlign w:val="center"/>
          </w:tcPr>
          <w:p>
            <w:pPr>
              <w:ind w:firstLine="0" w:firstLineChars="0"/>
              <w:jc w:val="center"/>
              <w:rPr>
                <w:sz w:val="21"/>
                <w:szCs w:val="21"/>
                <w:highlight w:val="none"/>
              </w:rPr>
            </w:pPr>
            <w:r>
              <w:rPr>
                <w:sz w:val="21"/>
                <w:szCs w:val="21"/>
                <w:highlight w:val="none"/>
              </w:rPr>
              <w:t>2500~5000</w:t>
            </w:r>
          </w:p>
        </w:tc>
        <w:tc>
          <w:tcPr>
            <w:tcW w:w="2851" w:type="dxa"/>
            <w:vAlign w:val="center"/>
          </w:tcPr>
          <w:p>
            <w:pPr>
              <w:ind w:firstLine="0" w:firstLineChars="0"/>
              <w:jc w:val="center"/>
              <w:rPr>
                <w:sz w:val="21"/>
                <w:szCs w:val="21"/>
                <w:highlight w:val="none"/>
              </w:rPr>
            </w:pPr>
            <w:r>
              <w:rPr>
                <w:sz w:val="21"/>
                <w:szCs w:val="21"/>
                <w:highlight w:val="none"/>
              </w:rPr>
              <w:t>1.9~3.7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3" w:type="dxa"/>
            <w:vAlign w:val="center"/>
          </w:tcPr>
          <w:p>
            <w:pPr>
              <w:ind w:firstLine="0" w:firstLineChars="0"/>
              <w:jc w:val="center"/>
              <w:rPr>
                <w:sz w:val="21"/>
                <w:szCs w:val="21"/>
                <w:highlight w:val="none"/>
              </w:rPr>
            </w:pPr>
            <w:r>
              <w:rPr>
                <w:sz w:val="21"/>
                <w:szCs w:val="21"/>
                <w:highlight w:val="none"/>
              </w:rPr>
              <w:t>强烈</w:t>
            </w:r>
          </w:p>
        </w:tc>
        <w:tc>
          <w:tcPr>
            <w:tcW w:w="2868" w:type="dxa"/>
            <w:vAlign w:val="center"/>
          </w:tcPr>
          <w:p>
            <w:pPr>
              <w:ind w:firstLine="0" w:firstLineChars="0"/>
              <w:jc w:val="center"/>
              <w:rPr>
                <w:sz w:val="21"/>
                <w:szCs w:val="21"/>
                <w:highlight w:val="none"/>
              </w:rPr>
            </w:pPr>
            <w:r>
              <w:rPr>
                <w:sz w:val="21"/>
                <w:szCs w:val="21"/>
                <w:highlight w:val="none"/>
              </w:rPr>
              <w:t>5000~8000</w:t>
            </w:r>
          </w:p>
        </w:tc>
        <w:tc>
          <w:tcPr>
            <w:tcW w:w="2851" w:type="dxa"/>
            <w:vAlign w:val="center"/>
          </w:tcPr>
          <w:p>
            <w:pPr>
              <w:ind w:firstLine="0" w:firstLineChars="0"/>
              <w:jc w:val="center"/>
              <w:rPr>
                <w:sz w:val="21"/>
                <w:szCs w:val="21"/>
                <w:highlight w:val="none"/>
              </w:rPr>
            </w:pPr>
            <w:r>
              <w:rPr>
                <w:sz w:val="21"/>
                <w:szCs w:val="21"/>
                <w:highlight w:val="none"/>
              </w:rPr>
              <w:t>3.7~5.9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3" w:type="dxa"/>
            <w:vAlign w:val="center"/>
          </w:tcPr>
          <w:p>
            <w:pPr>
              <w:ind w:firstLine="0" w:firstLineChars="0"/>
              <w:jc w:val="center"/>
              <w:rPr>
                <w:sz w:val="21"/>
                <w:szCs w:val="21"/>
                <w:highlight w:val="none"/>
              </w:rPr>
            </w:pPr>
            <w:r>
              <w:rPr>
                <w:sz w:val="21"/>
                <w:szCs w:val="21"/>
                <w:highlight w:val="none"/>
              </w:rPr>
              <w:t>极强烈</w:t>
            </w:r>
          </w:p>
        </w:tc>
        <w:tc>
          <w:tcPr>
            <w:tcW w:w="2868" w:type="dxa"/>
            <w:vAlign w:val="center"/>
          </w:tcPr>
          <w:p>
            <w:pPr>
              <w:ind w:firstLine="0" w:firstLineChars="0"/>
              <w:jc w:val="center"/>
              <w:rPr>
                <w:sz w:val="21"/>
                <w:szCs w:val="21"/>
                <w:highlight w:val="none"/>
              </w:rPr>
            </w:pPr>
            <w:r>
              <w:rPr>
                <w:sz w:val="21"/>
                <w:szCs w:val="21"/>
                <w:highlight w:val="none"/>
              </w:rPr>
              <w:t>8000~15000</w:t>
            </w:r>
          </w:p>
        </w:tc>
        <w:tc>
          <w:tcPr>
            <w:tcW w:w="2851" w:type="dxa"/>
            <w:vAlign w:val="center"/>
          </w:tcPr>
          <w:p>
            <w:pPr>
              <w:ind w:firstLine="0" w:firstLineChars="0"/>
              <w:jc w:val="center"/>
              <w:rPr>
                <w:sz w:val="21"/>
                <w:szCs w:val="21"/>
                <w:highlight w:val="none"/>
              </w:rPr>
            </w:pPr>
            <w:r>
              <w:rPr>
                <w:sz w:val="21"/>
                <w:szCs w:val="21"/>
                <w:highlight w:val="none"/>
              </w:rPr>
              <w:t>5.9~11.1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3" w:type="dxa"/>
            <w:vAlign w:val="center"/>
          </w:tcPr>
          <w:p>
            <w:pPr>
              <w:ind w:firstLine="0" w:firstLineChars="0"/>
              <w:jc w:val="center"/>
              <w:rPr>
                <w:sz w:val="21"/>
                <w:szCs w:val="21"/>
                <w:highlight w:val="none"/>
              </w:rPr>
            </w:pPr>
            <w:r>
              <w:rPr>
                <w:sz w:val="21"/>
                <w:szCs w:val="21"/>
                <w:highlight w:val="none"/>
              </w:rPr>
              <w:t>剧烈</w:t>
            </w:r>
          </w:p>
        </w:tc>
        <w:tc>
          <w:tcPr>
            <w:tcW w:w="2868" w:type="dxa"/>
            <w:vAlign w:val="center"/>
          </w:tcPr>
          <w:p>
            <w:pPr>
              <w:ind w:firstLine="0" w:firstLineChars="0"/>
              <w:jc w:val="center"/>
              <w:rPr>
                <w:sz w:val="21"/>
                <w:szCs w:val="21"/>
                <w:highlight w:val="none"/>
              </w:rPr>
            </w:pPr>
            <w:r>
              <w:rPr>
                <w:sz w:val="21"/>
                <w:szCs w:val="21"/>
                <w:highlight w:val="none"/>
              </w:rPr>
              <w:t>＞15000</w:t>
            </w:r>
          </w:p>
        </w:tc>
        <w:tc>
          <w:tcPr>
            <w:tcW w:w="2851" w:type="dxa"/>
            <w:vAlign w:val="center"/>
          </w:tcPr>
          <w:p>
            <w:pPr>
              <w:ind w:firstLine="0" w:firstLineChars="0"/>
              <w:jc w:val="center"/>
              <w:rPr>
                <w:sz w:val="21"/>
                <w:szCs w:val="21"/>
                <w:highlight w:val="none"/>
              </w:rPr>
            </w:pPr>
            <w:r>
              <w:rPr>
                <w:sz w:val="21"/>
                <w:szCs w:val="21"/>
                <w:highlight w:val="none"/>
              </w:rPr>
              <w:t>＞11.1</w:t>
            </w:r>
          </w:p>
        </w:tc>
      </w:tr>
    </w:tbl>
    <w:p>
      <w:pPr>
        <w:ind w:firstLine="422"/>
        <w:jc w:val="center"/>
        <w:rPr>
          <w:b/>
          <w:kern w:val="44"/>
          <w:sz w:val="21"/>
          <w:szCs w:val="21"/>
          <w:highlight w:val="none"/>
        </w:rPr>
      </w:pPr>
    </w:p>
    <w:p>
      <w:pPr>
        <w:pStyle w:val="17"/>
        <w:ind w:firstLine="480"/>
        <w:rPr>
          <w:highlight w:val="none"/>
        </w:rPr>
        <w:sectPr>
          <w:pgSz w:w="11911" w:h="16838"/>
          <w:pgMar w:top="1417" w:right="1417" w:bottom="1417" w:left="1417" w:header="879" w:footer="952" w:gutter="0"/>
          <w:pgBorders>
            <w:top w:val="none" w:sz="0" w:space="0"/>
            <w:left w:val="none" w:sz="0" w:space="0"/>
            <w:bottom w:val="none" w:sz="0" w:space="0"/>
            <w:right w:val="none" w:sz="0" w:space="0"/>
          </w:pgBorders>
          <w:pgNumType w:fmt="decimal"/>
          <w:cols w:space="720" w:num="1"/>
          <w:docGrid w:linePitch="312" w:charSpace="0"/>
        </w:sectPr>
      </w:pPr>
    </w:p>
    <w:p>
      <w:pPr>
        <w:pStyle w:val="4"/>
        <w:rPr>
          <w:highlight w:val="none"/>
        </w:rPr>
      </w:pPr>
      <w:bookmarkStart w:id="146" w:name="_Toc12647"/>
      <w:r>
        <w:rPr>
          <w:highlight w:val="none"/>
        </w:rPr>
        <w:t>1.</w:t>
      </w:r>
      <w:r>
        <w:rPr>
          <w:rFonts w:hint="eastAsia"/>
          <w:highlight w:val="none"/>
        </w:rPr>
        <w:t>6</w:t>
      </w:r>
      <w:r>
        <w:rPr>
          <w:highlight w:val="none"/>
        </w:rPr>
        <w:t xml:space="preserve"> 评价工作等级</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Pr>
          <w:highlight w:val="none"/>
        </w:rPr>
        <w:t>和评价</w:t>
      </w:r>
      <w:bookmarkEnd w:id="131"/>
      <w:bookmarkEnd w:id="132"/>
      <w:bookmarkEnd w:id="133"/>
      <w:r>
        <w:rPr>
          <w:highlight w:val="none"/>
        </w:rPr>
        <w:t>范围</w:t>
      </w:r>
      <w:bookmarkEnd w:id="134"/>
      <w:bookmarkEnd w:id="135"/>
      <w:bookmarkEnd w:id="136"/>
      <w:bookmarkEnd w:id="137"/>
      <w:bookmarkEnd w:id="138"/>
      <w:bookmarkEnd w:id="139"/>
      <w:bookmarkEnd w:id="140"/>
      <w:bookmarkEnd w:id="146"/>
    </w:p>
    <w:p>
      <w:pPr>
        <w:pStyle w:val="5"/>
        <w:rPr>
          <w:rFonts w:hint="default"/>
          <w:highlight w:val="none"/>
        </w:rPr>
      </w:pPr>
      <w:bookmarkStart w:id="147" w:name="_Toc430100999"/>
      <w:bookmarkStart w:id="148" w:name="_Toc451778742"/>
      <w:bookmarkStart w:id="149" w:name="_Toc488825481"/>
      <w:bookmarkStart w:id="150" w:name="_Toc501887240"/>
      <w:bookmarkStart w:id="151" w:name="_Toc7556"/>
      <w:bookmarkStart w:id="152" w:name="_Toc5924"/>
      <w:bookmarkStart w:id="153" w:name="_Toc3814"/>
      <w:bookmarkStart w:id="154" w:name="_Toc5145"/>
      <w:bookmarkStart w:id="155" w:name="_Toc480560029"/>
      <w:bookmarkStart w:id="156" w:name="_Toc330280113"/>
      <w:bookmarkStart w:id="157" w:name="_Toc31466"/>
      <w:r>
        <w:rPr>
          <w:rFonts w:hint="default"/>
          <w:highlight w:val="none"/>
        </w:rPr>
        <w:t>1.</w:t>
      </w:r>
      <w:r>
        <w:rPr>
          <w:highlight w:val="none"/>
        </w:rPr>
        <w:t>6</w:t>
      </w:r>
      <w:r>
        <w:rPr>
          <w:rFonts w:hint="default"/>
          <w:highlight w:val="none"/>
        </w:rPr>
        <w:t>.1 环境空气</w:t>
      </w:r>
      <w:bookmarkEnd w:id="147"/>
      <w:bookmarkEnd w:id="148"/>
      <w:bookmarkEnd w:id="149"/>
      <w:bookmarkEnd w:id="150"/>
      <w:bookmarkEnd w:id="151"/>
      <w:bookmarkEnd w:id="152"/>
      <w:bookmarkEnd w:id="153"/>
      <w:bookmarkEnd w:id="154"/>
      <w:bookmarkEnd w:id="155"/>
      <w:bookmarkEnd w:id="156"/>
      <w:bookmarkEnd w:id="157"/>
    </w:p>
    <w:p>
      <w:pPr>
        <w:ind w:firstLine="482"/>
        <w:rPr>
          <w:b/>
          <w:bCs/>
          <w:color w:val="auto"/>
          <w:highlight w:val="none"/>
        </w:rPr>
      </w:pPr>
      <w:r>
        <w:rPr>
          <w:rFonts w:hint="eastAsia"/>
          <w:b/>
          <w:bCs/>
          <w:color w:val="auto"/>
          <w:highlight w:val="none"/>
        </w:rPr>
        <w:t>（1）评价工作等级分级方法</w:t>
      </w:r>
    </w:p>
    <w:p>
      <w:pPr>
        <w:ind w:firstLine="480"/>
        <w:rPr>
          <w:rFonts w:ascii="宋体" w:hAnsi="宋体" w:cs="宋体"/>
          <w:color w:val="auto"/>
          <w:highlight w:val="none"/>
        </w:rPr>
      </w:pPr>
      <w:r>
        <w:rPr>
          <w:rFonts w:hint="eastAsia"/>
          <w:sz w:val="26"/>
          <w:szCs w:val="26"/>
        </w:rPr>
        <w:t>依据《环境影响评价技术导则一大气环境》</w:t>
      </w:r>
      <w:r>
        <w:rPr>
          <w:sz w:val="26"/>
          <w:szCs w:val="26"/>
        </w:rPr>
        <w:t>(HJ2.2-2018)</w:t>
      </w:r>
      <w:r>
        <w:rPr>
          <w:rFonts w:hint="eastAsia"/>
          <w:sz w:val="26"/>
          <w:szCs w:val="26"/>
        </w:rPr>
        <w:t>中</w:t>
      </w:r>
      <w:r>
        <w:rPr>
          <w:sz w:val="26"/>
          <w:szCs w:val="26"/>
        </w:rPr>
        <w:t>5.3</w:t>
      </w:r>
      <w:r>
        <w:rPr>
          <w:rFonts w:hint="eastAsia"/>
          <w:sz w:val="26"/>
          <w:szCs w:val="26"/>
        </w:rPr>
        <w:t>节工作等级的确定方法，结合项目工程分析结果，选择正常排放的主要污染物及排放参数，采用附录</w:t>
      </w:r>
      <w:r>
        <w:rPr>
          <w:sz w:val="26"/>
          <w:szCs w:val="26"/>
        </w:rPr>
        <w:t>A</w:t>
      </w:r>
      <w:r>
        <w:rPr>
          <w:rFonts w:hint="eastAsia"/>
          <w:sz w:val="26"/>
          <w:szCs w:val="26"/>
        </w:rPr>
        <w:t>推荐模型中的</w:t>
      </w:r>
      <w:r>
        <w:rPr>
          <w:sz w:val="26"/>
          <w:szCs w:val="26"/>
        </w:rPr>
        <w:t>AERSCREEN</w:t>
      </w:r>
      <w:r>
        <w:rPr>
          <w:rFonts w:hint="eastAsia"/>
          <w:sz w:val="26"/>
          <w:szCs w:val="26"/>
        </w:rPr>
        <w:t>模式计算项目污染源的最大环境影响，然后按评价工作分级判据进行分级</w:t>
      </w:r>
      <w:r>
        <w:rPr>
          <w:rFonts w:hint="eastAsia" w:ascii="宋体" w:hAnsi="宋体" w:cs="宋体"/>
          <w:color w:val="auto"/>
          <w:highlight w:val="none"/>
        </w:rPr>
        <w:t>。</w:t>
      </w:r>
    </w:p>
    <w:p>
      <w:pPr>
        <w:pStyle w:val="17"/>
        <w:ind w:firstLine="482"/>
        <w:rPr>
          <w:rFonts w:ascii="Times New Roman" w:hAnsi="Times New Roman"/>
          <w:b/>
          <w:bCs/>
          <w:color w:val="auto"/>
          <w:highlight w:val="none"/>
        </w:rPr>
      </w:pPr>
      <w:r>
        <w:rPr>
          <w:rFonts w:ascii="Times New Roman" w:hAnsi="Times New Roman"/>
          <w:b/>
          <w:bCs/>
          <w:color w:val="auto"/>
          <w:highlight w:val="none"/>
        </w:rPr>
        <w:t>（2）评价工作等级划分</w:t>
      </w:r>
    </w:p>
    <w:p>
      <w:pPr>
        <w:ind w:firstLine="482"/>
        <w:rPr>
          <w:b/>
          <w:bCs/>
          <w:color w:val="auto"/>
          <w:highlight w:val="none"/>
        </w:rPr>
      </w:pPr>
      <w:r>
        <w:rPr>
          <w:rFonts w:hint="eastAsia"/>
          <w:b/>
          <w:bCs/>
          <w:color w:val="auto"/>
          <w:highlight w:val="none"/>
        </w:rPr>
        <w:t>1）评价工作等级表</w:t>
      </w:r>
    </w:p>
    <w:p>
      <w:pPr>
        <w:pStyle w:val="17"/>
        <w:ind w:firstLine="480"/>
        <w:rPr>
          <w:rFonts w:ascii="Times New Roman" w:hAnsi="Times New Roman"/>
          <w:color w:val="auto"/>
          <w:highlight w:val="none"/>
        </w:rPr>
      </w:pPr>
      <w:r>
        <w:rPr>
          <w:rFonts w:hint="eastAsia" w:ascii="Times New Roman" w:hAnsi="Times New Roman"/>
          <w:color w:val="auto"/>
          <w:highlight w:val="none"/>
        </w:rPr>
        <w:t>评价工作等级按《环境影响评价技术导则—大气环境》（HJ2.2-2018）评价等级判别表进行判别。</w:t>
      </w:r>
    </w:p>
    <w:p>
      <w:pPr>
        <w:pStyle w:val="17"/>
        <w:ind w:firstLine="0"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表</w:t>
      </w:r>
      <w:r>
        <w:rPr>
          <w:rFonts w:hint="eastAsia" w:ascii="Times New Roman" w:hAnsi="Times New Roman"/>
          <w:b/>
          <w:bCs/>
          <w:color w:val="auto"/>
          <w:sz w:val="21"/>
          <w:szCs w:val="21"/>
          <w:highlight w:val="none"/>
          <w:lang w:val="en-US" w:eastAsia="zh-CN"/>
        </w:rPr>
        <w:t>1.6</w:t>
      </w:r>
      <w:r>
        <w:rPr>
          <w:rFonts w:hint="eastAsia" w:ascii="Times New Roman" w:hAnsi="Times New Roman"/>
          <w:b/>
          <w:bCs/>
          <w:color w:val="auto"/>
          <w:sz w:val="21"/>
          <w:szCs w:val="21"/>
          <w:highlight w:val="none"/>
        </w:rPr>
        <w:t>-1  评价等级判别表</w:t>
      </w:r>
    </w:p>
    <w:tbl>
      <w:tblPr>
        <w:tblStyle w:val="29"/>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0"/>
        <w:gridCol w:w="4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4250" w:type="dxa"/>
            <w:shd w:val="clear" w:color="auto" w:fill="auto"/>
            <w:vAlign w:val="center"/>
          </w:tcPr>
          <w:p>
            <w:pPr>
              <w:pStyle w:val="17"/>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评价工作等级</w:t>
            </w:r>
          </w:p>
        </w:tc>
        <w:tc>
          <w:tcPr>
            <w:tcW w:w="4250" w:type="dxa"/>
            <w:shd w:val="clear" w:color="auto" w:fill="auto"/>
            <w:vAlign w:val="center"/>
          </w:tcPr>
          <w:p>
            <w:pPr>
              <w:pStyle w:val="17"/>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4250"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一级评价</w:t>
            </w:r>
          </w:p>
        </w:tc>
        <w:tc>
          <w:tcPr>
            <w:tcW w:w="4250"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Pmax≥10％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4250"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二级评价</w:t>
            </w:r>
          </w:p>
        </w:tc>
        <w:tc>
          <w:tcPr>
            <w:tcW w:w="4250"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1％≤Pmax＜10％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4250"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三级评价</w:t>
            </w:r>
          </w:p>
        </w:tc>
        <w:tc>
          <w:tcPr>
            <w:tcW w:w="4250"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Pmax</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1％</w:t>
            </w:r>
          </w:p>
        </w:tc>
      </w:tr>
    </w:tbl>
    <w:p>
      <w:pPr>
        <w:pStyle w:val="17"/>
        <w:ind w:firstLine="0" w:firstLineChars="0"/>
        <w:rPr>
          <w:rFonts w:ascii="Times New Roman" w:hAnsi="Times New Roman"/>
          <w:color w:val="auto"/>
          <w:highlight w:val="none"/>
        </w:rPr>
      </w:pPr>
    </w:p>
    <w:p>
      <w:pPr>
        <w:pStyle w:val="17"/>
        <w:ind w:firstLine="482"/>
        <w:rPr>
          <w:rFonts w:ascii="Times New Roman" w:hAnsi="Times New Roman"/>
          <w:b/>
          <w:bCs/>
          <w:color w:val="auto"/>
          <w:highlight w:val="none"/>
        </w:rPr>
      </w:pPr>
      <w:r>
        <w:rPr>
          <w:rFonts w:hint="eastAsia" w:ascii="Times New Roman" w:hAnsi="Times New Roman"/>
          <w:b/>
          <w:bCs/>
          <w:color w:val="auto"/>
          <w:highlight w:val="none"/>
        </w:rPr>
        <w:t>2）评价工作等级确定</w:t>
      </w:r>
    </w:p>
    <w:p>
      <w:pPr>
        <w:ind w:firstLine="480"/>
        <w:rPr>
          <w:color w:val="auto"/>
          <w:highlight w:val="none"/>
        </w:rPr>
      </w:pPr>
      <w:r>
        <w:rPr>
          <w:rFonts w:hint="eastAsia"/>
          <w:color w:val="auto"/>
          <w:highlight w:val="none"/>
        </w:rPr>
        <w:t>根据《环境影响评价技术导则—大气环境》（HJ2.2-2018），有多个排放源排放同一种污染物时，按各污染物分别确定其评价等级，并取评价等级最高者作为项目的评价等级。</w:t>
      </w:r>
    </w:p>
    <w:p>
      <w:pPr>
        <w:pStyle w:val="17"/>
        <w:ind w:firstLine="482"/>
        <w:rPr>
          <w:rFonts w:ascii="Times New Roman" w:hAnsi="Times New Roman"/>
          <w:b/>
          <w:bCs/>
          <w:color w:val="auto"/>
          <w:highlight w:val="none"/>
        </w:rPr>
      </w:pPr>
      <w:r>
        <w:rPr>
          <w:rFonts w:hint="eastAsia" w:ascii="Times New Roman" w:hAnsi="Times New Roman"/>
          <w:b/>
          <w:bCs/>
          <w:color w:val="auto"/>
          <w:highlight w:val="none"/>
        </w:rPr>
        <w:t>（3）预测结果</w:t>
      </w:r>
    </w:p>
    <w:p>
      <w:pPr>
        <w:pStyle w:val="17"/>
        <w:ind w:firstLine="482"/>
        <w:rPr>
          <w:rFonts w:ascii="Times New Roman" w:hAnsi="Times New Roman"/>
          <w:b/>
          <w:bCs/>
          <w:color w:val="auto"/>
          <w:highlight w:val="none"/>
        </w:rPr>
      </w:pPr>
      <w:r>
        <w:rPr>
          <w:rFonts w:hint="eastAsia" w:ascii="Times New Roman" w:hAnsi="Times New Roman"/>
          <w:b/>
          <w:bCs/>
          <w:color w:val="auto"/>
          <w:highlight w:val="none"/>
        </w:rPr>
        <w:t>1）污染源强</w:t>
      </w:r>
    </w:p>
    <w:p>
      <w:pPr>
        <w:pStyle w:val="17"/>
        <w:ind w:firstLine="480"/>
        <w:rPr>
          <w:rFonts w:ascii="Times New Roman" w:hAnsi="Times New Roman"/>
          <w:color w:val="auto"/>
          <w:highlight w:val="none"/>
        </w:rPr>
      </w:pPr>
      <w:r>
        <w:rPr>
          <w:rFonts w:hint="eastAsia" w:ascii="Times New Roman" w:hAnsi="Times New Roman"/>
          <w:color w:val="auto"/>
          <w:highlight w:val="none"/>
        </w:rPr>
        <w:t>根据工程分析，本项目废气主要选取</w:t>
      </w:r>
      <w:r>
        <w:rPr>
          <w:rFonts w:hint="eastAsia" w:ascii="Times New Roman" w:hAnsi="Times New Roman"/>
          <w:color w:val="auto"/>
          <w:highlight w:val="none"/>
          <w:lang w:eastAsia="zh-CN"/>
        </w:rPr>
        <w:t>筛分</w:t>
      </w:r>
      <w:r>
        <w:rPr>
          <w:rFonts w:hint="eastAsia" w:ascii="Times New Roman" w:hAnsi="Times New Roman"/>
          <w:color w:val="auto"/>
          <w:highlight w:val="none"/>
        </w:rPr>
        <w:t>车间排气筒（1</w:t>
      </w:r>
      <w:r>
        <w:rPr>
          <w:rFonts w:hint="eastAsia" w:hAnsi="宋体" w:cs="宋体"/>
          <w:color w:val="auto"/>
          <w:highlight w:val="none"/>
        </w:rPr>
        <w:t>＃</w:t>
      </w:r>
      <w:r>
        <w:rPr>
          <w:rFonts w:hint="eastAsia" w:hAnsi="宋体" w:cs="宋体"/>
          <w:color w:val="auto"/>
          <w:highlight w:val="none"/>
          <w:lang w:eastAsia="zh-CN"/>
        </w:rPr>
        <w:t>）</w:t>
      </w:r>
      <w:r>
        <w:rPr>
          <w:rFonts w:hint="eastAsia" w:ascii="Times New Roman" w:hAnsi="Times New Roman"/>
          <w:color w:val="auto"/>
          <w:highlight w:val="none"/>
        </w:rPr>
        <w:t>排放的</w:t>
      </w:r>
      <w:r>
        <w:rPr>
          <w:rFonts w:hint="eastAsia" w:ascii="Times New Roman" w:hAnsi="Times New Roman"/>
          <w:color w:val="auto"/>
          <w:highlight w:val="yellow"/>
          <w:lang w:eastAsia="zh-CN"/>
        </w:rPr>
        <w:t>颗粒物</w:t>
      </w:r>
      <w:r>
        <w:rPr>
          <w:rFonts w:hint="eastAsia" w:ascii="Times New Roman" w:hAnsi="Times New Roman"/>
          <w:color w:val="auto"/>
          <w:highlight w:val="none"/>
        </w:rPr>
        <w:t>和</w:t>
      </w:r>
      <w:r>
        <w:rPr>
          <w:rFonts w:hint="eastAsia" w:ascii="Times New Roman" w:hAnsi="Times New Roman"/>
          <w:color w:val="auto"/>
          <w:highlight w:val="none"/>
          <w:lang w:eastAsia="zh-CN"/>
        </w:rPr>
        <w:t>破碎加工区、</w:t>
      </w:r>
      <w:r>
        <w:rPr>
          <w:rFonts w:hint="eastAsia" w:ascii="Times New Roman" w:hAnsi="Times New Roman"/>
          <w:color w:val="auto"/>
          <w:highlight w:val="none"/>
        </w:rPr>
        <w:t>采区排放的无组织</w:t>
      </w:r>
      <w:r>
        <w:rPr>
          <w:rFonts w:hint="eastAsia" w:ascii="Times New Roman" w:hAnsi="Times New Roman"/>
          <w:color w:val="auto"/>
          <w:highlight w:val="yellow"/>
          <w:lang w:eastAsia="zh-CN"/>
        </w:rPr>
        <w:t>颗粒物</w:t>
      </w:r>
      <w:r>
        <w:rPr>
          <w:rFonts w:hint="eastAsia" w:ascii="Times New Roman" w:hAnsi="Times New Roman"/>
          <w:color w:val="auto"/>
          <w:highlight w:val="none"/>
        </w:rPr>
        <w:t>作为判定大气环境影响评价工作等级的目标污染物。</w:t>
      </w:r>
    </w:p>
    <w:p>
      <w:pPr>
        <w:pStyle w:val="17"/>
        <w:ind w:firstLine="480"/>
        <w:rPr>
          <w:rFonts w:ascii="Times New Roman" w:hAnsi="Times New Roman"/>
          <w:color w:val="auto"/>
          <w:highlight w:val="none"/>
        </w:rPr>
      </w:pPr>
      <w:r>
        <w:rPr>
          <w:rFonts w:hint="eastAsia" w:ascii="Times New Roman" w:hAnsi="Times New Roman"/>
          <w:color w:val="auto"/>
          <w:highlight w:val="none"/>
        </w:rPr>
        <w:t>有组织排放计算参数见表</w:t>
      </w:r>
      <w:r>
        <w:rPr>
          <w:rFonts w:hint="eastAsia" w:ascii="Times New Roman" w:hAnsi="Times New Roman"/>
          <w:color w:val="auto"/>
          <w:highlight w:val="none"/>
          <w:lang w:val="en-US" w:eastAsia="zh-CN"/>
        </w:rPr>
        <w:t>1.6</w:t>
      </w:r>
      <w:r>
        <w:rPr>
          <w:rFonts w:hint="eastAsia" w:ascii="Times New Roman" w:hAnsi="Times New Roman"/>
          <w:color w:val="auto"/>
          <w:highlight w:val="none"/>
        </w:rPr>
        <w:t>-2；无组织排放计算参数见表</w:t>
      </w:r>
      <w:r>
        <w:rPr>
          <w:rFonts w:hint="eastAsia" w:ascii="Times New Roman" w:hAnsi="Times New Roman"/>
          <w:color w:val="auto"/>
          <w:highlight w:val="none"/>
          <w:lang w:val="en-US" w:eastAsia="zh-CN"/>
        </w:rPr>
        <w:t>1.6</w:t>
      </w:r>
      <w:r>
        <w:rPr>
          <w:rFonts w:hint="eastAsia" w:ascii="Times New Roman" w:hAnsi="Times New Roman"/>
          <w:color w:val="auto"/>
          <w:highlight w:val="none"/>
        </w:rPr>
        <w:t>-3。</w:t>
      </w:r>
    </w:p>
    <w:p>
      <w:pPr>
        <w:pStyle w:val="17"/>
        <w:ind w:firstLine="0" w:firstLineChars="0"/>
        <w:jc w:val="center"/>
        <w:rPr>
          <w:rFonts w:hint="eastAsia" w:ascii="Times New Roman" w:hAnsi="Times New Roman" w:eastAsia="宋体"/>
          <w:b/>
          <w:bCs/>
          <w:color w:val="auto"/>
          <w:sz w:val="21"/>
          <w:szCs w:val="21"/>
          <w:highlight w:val="none"/>
          <w:lang w:eastAsia="zh-CN"/>
        </w:rPr>
      </w:pPr>
      <w:r>
        <w:rPr>
          <w:rFonts w:hint="eastAsia" w:ascii="Times New Roman" w:hAnsi="Times New Roman"/>
          <w:b/>
          <w:bCs/>
          <w:color w:val="auto"/>
          <w:sz w:val="21"/>
          <w:szCs w:val="21"/>
          <w:highlight w:val="none"/>
        </w:rPr>
        <w:t>表</w:t>
      </w:r>
      <w:r>
        <w:rPr>
          <w:rFonts w:hint="eastAsia" w:ascii="Times New Roman" w:hAnsi="Times New Roman"/>
          <w:b/>
          <w:bCs/>
          <w:color w:val="auto"/>
          <w:sz w:val="21"/>
          <w:szCs w:val="21"/>
          <w:highlight w:val="none"/>
          <w:lang w:val="en-US" w:eastAsia="zh-CN"/>
        </w:rPr>
        <w:t>1.6</w:t>
      </w:r>
      <w:r>
        <w:rPr>
          <w:rFonts w:hint="eastAsia" w:ascii="Times New Roman" w:hAnsi="Times New Roman"/>
          <w:b/>
          <w:bCs/>
          <w:color w:val="auto"/>
          <w:sz w:val="21"/>
          <w:szCs w:val="21"/>
          <w:highlight w:val="none"/>
        </w:rPr>
        <w:t>-2  有组织排放计算参数一览表</w:t>
      </w:r>
      <w:r>
        <w:rPr>
          <w:rFonts w:hint="eastAsia" w:ascii="Times New Roman" w:hAnsi="Times New Roman"/>
          <w:b/>
          <w:bCs/>
          <w:color w:val="auto"/>
          <w:sz w:val="21"/>
          <w:szCs w:val="21"/>
          <w:highlight w:val="none"/>
          <w:lang w:eastAsia="zh-CN"/>
        </w:rPr>
        <w:t>（</w:t>
      </w:r>
      <w:r>
        <w:rPr>
          <w:rFonts w:hint="eastAsia" w:ascii="Times New Roman" w:hAnsi="Times New Roman"/>
          <w:b/>
          <w:bCs/>
          <w:color w:val="auto"/>
          <w:sz w:val="21"/>
          <w:szCs w:val="21"/>
          <w:highlight w:val="none"/>
          <w:lang w:val="en-US" w:eastAsia="zh-CN"/>
        </w:rPr>
        <w:t>PM</w:t>
      </w:r>
      <w:r>
        <w:rPr>
          <w:rFonts w:hint="eastAsia" w:ascii="Times New Roman" w:hAnsi="Times New Roman"/>
          <w:b/>
          <w:bCs/>
          <w:color w:val="auto"/>
          <w:sz w:val="21"/>
          <w:szCs w:val="21"/>
          <w:highlight w:val="none"/>
          <w:vertAlign w:val="subscript"/>
          <w:lang w:val="en-US" w:eastAsia="zh-CN"/>
        </w:rPr>
        <w:t>10</w:t>
      </w:r>
      <w:r>
        <w:rPr>
          <w:rFonts w:hint="eastAsia" w:ascii="Times New Roman" w:hAnsi="Times New Roman"/>
          <w:b/>
          <w:bCs/>
          <w:color w:val="auto"/>
          <w:sz w:val="21"/>
          <w:szCs w:val="21"/>
          <w:highlight w:val="none"/>
          <w:lang w:eastAsia="zh-CN"/>
        </w:rPr>
        <w:t>）</w:t>
      </w:r>
    </w:p>
    <w:tbl>
      <w:tblPr>
        <w:tblStyle w:val="29"/>
        <w:tblW w:w="89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1"/>
        <w:gridCol w:w="1140"/>
        <w:gridCol w:w="915"/>
        <w:gridCol w:w="973"/>
        <w:gridCol w:w="1120"/>
        <w:gridCol w:w="1120"/>
        <w:gridCol w:w="1121"/>
        <w:gridCol w:w="1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1451" w:type="dxa"/>
            <w:shd w:val="clear" w:color="auto" w:fill="auto"/>
            <w:vAlign w:val="center"/>
          </w:tcPr>
          <w:p>
            <w:pPr>
              <w:pStyle w:val="17"/>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排气筒编号</w:t>
            </w:r>
          </w:p>
        </w:tc>
        <w:tc>
          <w:tcPr>
            <w:tcW w:w="1140" w:type="dxa"/>
            <w:shd w:val="clear" w:color="auto" w:fill="auto"/>
            <w:vAlign w:val="center"/>
          </w:tcPr>
          <w:p>
            <w:pPr>
              <w:pStyle w:val="17"/>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污染物</w:t>
            </w:r>
          </w:p>
          <w:p>
            <w:pPr>
              <w:pStyle w:val="17"/>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名称</w:t>
            </w:r>
          </w:p>
        </w:tc>
        <w:tc>
          <w:tcPr>
            <w:tcW w:w="915" w:type="dxa"/>
            <w:shd w:val="clear" w:color="auto" w:fill="auto"/>
            <w:vAlign w:val="center"/>
          </w:tcPr>
          <w:p>
            <w:pPr>
              <w:pStyle w:val="17"/>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排气筒</w:t>
            </w:r>
          </w:p>
          <w:p>
            <w:pPr>
              <w:pStyle w:val="17"/>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高度</w:t>
            </w:r>
          </w:p>
          <w:p>
            <w:pPr>
              <w:pStyle w:val="17"/>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（m）</w:t>
            </w:r>
          </w:p>
        </w:tc>
        <w:tc>
          <w:tcPr>
            <w:tcW w:w="973" w:type="dxa"/>
            <w:shd w:val="clear" w:color="auto" w:fill="auto"/>
            <w:vAlign w:val="center"/>
          </w:tcPr>
          <w:p>
            <w:pPr>
              <w:pStyle w:val="17"/>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排气筒</w:t>
            </w:r>
          </w:p>
          <w:p>
            <w:pPr>
              <w:pStyle w:val="17"/>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内径</w:t>
            </w:r>
          </w:p>
          <w:p>
            <w:pPr>
              <w:pStyle w:val="17"/>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（m）</w:t>
            </w:r>
          </w:p>
        </w:tc>
        <w:tc>
          <w:tcPr>
            <w:tcW w:w="1120" w:type="dxa"/>
            <w:shd w:val="clear" w:color="auto" w:fill="auto"/>
            <w:vAlign w:val="center"/>
          </w:tcPr>
          <w:p>
            <w:pPr>
              <w:pStyle w:val="17"/>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烟气速率（m/s）</w:t>
            </w:r>
          </w:p>
        </w:tc>
        <w:tc>
          <w:tcPr>
            <w:tcW w:w="1120" w:type="dxa"/>
            <w:shd w:val="clear" w:color="auto" w:fill="auto"/>
            <w:vAlign w:val="center"/>
          </w:tcPr>
          <w:p>
            <w:pPr>
              <w:pStyle w:val="17"/>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排放速率（kg/h）</w:t>
            </w:r>
          </w:p>
        </w:tc>
        <w:tc>
          <w:tcPr>
            <w:tcW w:w="1121" w:type="dxa"/>
            <w:shd w:val="clear" w:color="auto" w:fill="auto"/>
            <w:vAlign w:val="center"/>
          </w:tcPr>
          <w:p>
            <w:pPr>
              <w:pStyle w:val="17"/>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烟气温度（℃）</w:t>
            </w:r>
          </w:p>
        </w:tc>
        <w:tc>
          <w:tcPr>
            <w:tcW w:w="1120" w:type="dxa"/>
            <w:shd w:val="clear" w:color="auto" w:fill="auto"/>
            <w:vAlign w:val="center"/>
          </w:tcPr>
          <w:p>
            <w:pPr>
              <w:pStyle w:val="17"/>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标准（μg/m</w:t>
            </w:r>
            <w:r>
              <w:rPr>
                <w:rFonts w:ascii="Times New Roman" w:hAnsi="Times New Roman"/>
                <w:b/>
                <w:bCs/>
                <w:color w:val="auto"/>
                <w:sz w:val="21"/>
                <w:szCs w:val="21"/>
                <w:highlight w:val="none"/>
                <w:vertAlign w:val="superscript"/>
              </w:rPr>
              <w:t>3</w:t>
            </w:r>
            <w:r>
              <w:rPr>
                <w:rFonts w:ascii="Times New Roman" w:hAnsi="Times New Roman"/>
                <w:b/>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451"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1#</w:t>
            </w:r>
            <w:r>
              <w:rPr>
                <w:rFonts w:ascii="Times New Roman" w:hAnsi="Times New Roman"/>
                <w:color w:val="auto"/>
                <w:sz w:val="21"/>
                <w:szCs w:val="21"/>
                <w:highlight w:val="none"/>
              </w:rPr>
              <w:t>（</w:t>
            </w:r>
            <w:r>
              <w:rPr>
                <w:rFonts w:hint="eastAsia" w:ascii="Times New Roman" w:hAnsi="Times New Roman"/>
                <w:color w:val="auto"/>
                <w:sz w:val="21"/>
                <w:szCs w:val="21"/>
                <w:highlight w:val="none"/>
                <w:lang w:eastAsia="zh-CN"/>
              </w:rPr>
              <w:t>筛分</w:t>
            </w:r>
            <w:r>
              <w:rPr>
                <w:rFonts w:ascii="Times New Roman" w:hAnsi="Times New Roman"/>
                <w:color w:val="auto"/>
                <w:sz w:val="21"/>
                <w:szCs w:val="21"/>
                <w:highlight w:val="none"/>
              </w:rPr>
              <w:t>）</w:t>
            </w:r>
          </w:p>
        </w:tc>
        <w:tc>
          <w:tcPr>
            <w:tcW w:w="1140" w:type="dxa"/>
            <w:shd w:val="clear" w:color="auto" w:fill="auto"/>
            <w:vAlign w:val="center"/>
          </w:tcPr>
          <w:p>
            <w:pPr>
              <w:ind w:left="0" w:leftChars="0" w:firstLine="0" w:firstLineChars="0"/>
              <w:jc w:val="center"/>
              <w:rPr>
                <w:rFonts w:ascii="Times New Roman" w:hAnsi="Times New Roman"/>
                <w:b w:val="0"/>
                <w:bCs w:val="0"/>
                <w:color w:val="auto"/>
                <w:sz w:val="21"/>
                <w:szCs w:val="21"/>
                <w:highlight w:val="none"/>
              </w:rPr>
            </w:pPr>
            <w:r>
              <w:rPr>
                <w:rFonts w:hint="eastAsia" w:ascii="Times New Roman" w:hAnsi="Times New Roman"/>
                <w:b w:val="0"/>
                <w:bCs w:val="0"/>
                <w:color w:val="auto"/>
                <w:sz w:val="21"/>
                <w:szCs w:val="21"/>
                <w:highlight w:val="none"/>
                <w:lang w:val="en-US" w:eastAsia="zh-CN"/>
              </w:rPr>
              <w:t>PM</w:t>
            </w:r>
            <w:r>
              <w:rPr>
                <w:rFonts w:hint="eastAsia" w:ascii="Times New Roman" w:hAnsi="Times New Roman"/>
                <w:b w:val="0"/>
                <w:bCs w:val="0"/>
                <w:color w:val="auto"/>
                <w:sz w:val="21"/>
                <w:szCs w:val="21"/>
                <w:highlight w:val="none"/>
                <w:vertAlign w:val="subscript"/>
                <w:lang w:val="en-US" w:eastAsia="zh-CN"/>
              </w:rPr>
              <w:t>10</w:t>
            </w:r>
          </w:p>
        </w:tc>
        <w:tc>
          <w:tcPr>
            <w:tcW w:w="915"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15</w:t>
            </w:r>
          </w:p>
        </w:tc>
        <w:tc>
          <w:tcPr>
            <w:tcW w:w="973" w:type="dxa"/>
            <w:shd w:val="clear" w:color="auto" w:fill="auto"/>
            <w:vAlign w:val="center"/>
          </w:tcPr>
          <w:p>
            <w:pPr>
              <w:pStyle w:val="17"/>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0.25</w:t>
            </w:r>
          </w:p>
        </w:tc>
        <w:tc>
          <w:tcPr>
            <w:tcW w:w="1120"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21.9</w:t>
            </w:r>
          </w:p>
        </w:tc>
        <w:tc>
          <w:tcPr>
            <w:tcW w:w="1120" w:type="dxa"/>
            <w:shd w:val="clear" w:color="auto" w:fill="auto"/>
            <w:vAlign w:val="center"/>
          </w:tcPr>
          <w:p>
            <w:pPr>
              <w:pStyle w:val="17"/>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0.006</w:t>
            </w:r>
          </w:p>
        </w:tc>
        <w:tc>
          <w:tcPr>
            <w:tcW w:w="1121"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20</w:t>
            </w:r>
          </w:p>
        </w:tc>
        <w:tc>
          <w:tcPr>
            <w:tcW w:w="1120" w:type="dxa"/>
            <w:shd w:val="clear" w:color="auto" w:fill="auto"/>
            <w:vAlign w:val="center"/>
          </w:tcPr>
          <w:p>
            <w:pPr>
              <w:pStyle w:val="17"/>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1451"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备注</w:t>
            </w:r>
          </w:p>
        </w:tc>
        <w:tc>
          <w:tcPr>
            <w:tcW w:w="7509" w:type="dxa"/>
            <w:gridSpan w:val="7"/>
            <w:shd w:val="clear" w:color="auto" w:fill="auto"/>
            <w:vAlign w:val="center"/>
          </w:tcPr>
          <w:p>
            <w:pPr>
              <w:ind w:firstLine="0" w:firstLineChars="0"/>
              <w:jc w:val="center"/>
              <w:rPr>
                <w:color w:val="auto"/>
                <w:sz w:val="21"/>
                <w:szCs w:val="21"/>
                <w:highlight w:val="none"/>
              </w:rPr>
            </w:pPr>
            <w:r>
              <w:rPr>
                <w:rFonts w:hint="eastAsia"/>
                <w:color w:val="auto"/>
                <w:sz w:val="21"/>
                <w:szCs w:val="21"/>
                <w:highlight w:val="none"/>
                <w:lang w:val="en-US" w:eastAsia="zh-CN"/>
              </w:rPr>
              <w:t>PM</w:t>
            </w:r>
            <w:r>
              <w:rPr>
                <w:rFonts w:hint="eastAsia"/>
                <w:color w:val="auto"/>
                <w:sz w:val="21"/>
                <w:szCs w:val="21"/>
                <w:highlight w:val="none"/>
                <w:vertAlign w:val="subscript"/>
                <w:lang w:val="en-US" w:eastAsia="zh-CN"/>
              </w:rPr>
              <w:t xml:space="preserve">10 </w:t>
            </w:r>
            <w:r>
              <w:rPr>
                <w:rFonts w:hint="eastAsia"/>
                <w:color w:val="auto"/>
                <w:sz w:val="21"/>
                <w:szCs w:val="21"/>
                <w:highlight w:val="none"/>
              </w:rPr>
              <w:t>1小时浓度标准值按24小时浓度标准值</w:t>
            </w:r>
            <w:r>
              <w:rPr>
                <w:rFonts w:hint="eastAsia"/>
                <w:color w:val="auto"/>
                <w:sz w:val="21"/>
                <w:szCs w:val="21"/>
                <w:highlight w:val="none"/>
                <w:lang w:val="en-US" w:eastAsia="zh-CN"/>
              </w:rPr>
              <w:t>150</w:t>
            </w:r>
            <w:r>
              <w:rPr>
                <w:color w:val="auto"/>
                <w:sz w:val="21"/>
                <w:szCs w:val="21"/>
                <w:highlight w:val="none"/>
              </w:rPr>
              <w:t>μg/m</w:t>
            </w:r>
            <w:r>
              <w:rPr>
                <w:color w:val="auto"/>
                <w:sz w:val="21"/>
                <w:szCs w:val="21"/>
                <w:highlight w:val="none"/>
                <w:vertAlign w:val="superscript"/>
              </w:rPr>
              <w:t>3</w:t>
            </w:r>
            <w:r>
              <w:rPr>
                <w:rFonts w:hint="eastAsia"/>
                <w:color w:val="auto"/>
                <w:sz w:val="21"/>
                <w:szCs w:val="21"/>
                <w:highlight w:val="none"/>
              </w:rPr>
              <w:t>的3倍计</w:t>
            </w:r>
          </w:p>
        </w:tc>
      </w:tr>
    </w:tbl>
    <w:p>
      <w:pPr>
        <w:pStyle w:val="17"/>
        <w:ind w:firstLine="0" w:firstLineChars="0"/>
        <w:rPr>
          <w:rFonts w:ascii="Times New Roman" w:hAnsi="Times New Roman"/>
          <w:color w:val="auto"/>
          <w:highlight w:val="none"/>
        </w:rPr>
      </w:pPr>
    </w:p>
    <w:p>
      <w:pPr>
        <w:pStyle w:val="17"/>
        <w:ind w:firstLine="0"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表</w:t>
      </w:r>
      <w:r>
        <w:rPr>
          <w:rFonts w:hint="eastAsia" w:ascii="Times New Roman" w:hAnsi="Times New Roman"/>
          <w:b/>
          <w:bCs/>
          <w:color w:val="auto"/>
          <w:sz w:val="21"/>
          <w:szCs w:val="21"/>
          <w:highlight w:val="none"/>
          <w:lang w:val="en-US" w:eastAsia="zh-CN"/>
        </w:rPr>
        <w:t>1.6-</w:t>
      </w:r>
      <w:r>
        <w:rPr>
          <w:rFonts w:hint="eastAsia" w:ascii="Times New Roman" w:hAnsi="Times New Roman"/>
          <w:b/>
          <w:bCs/>
          <w:color w:val="auto"/>
          <w:sz w:val="21"/>
          <w:szCs w:val="21"/>
          <w:highlight w:val="none"/>
        </w:rPr>
        <w:t>3  无组织排放TSP计算参数一览表</w:t>
      </w:r>
    </w:p>
    <w:tbl>
      <w:tblPr>
        <w:tblStyle w:val="29"/>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2"/>
        <w:gridCol w:w="853"/>
        <w:gridCol w:w="1176"/>
        <w:gridCol w:w="1107"/>
        <w:gridCol w:w="1078"/>
        <w:gridCol w:w="1135"/>
        <w:gridCol w:w="921"/>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012" w:type="dxa"/>
            <w:noWrap w:val="0"/>
            <w:vAlign w:val="center"/>
          </w:tcPr>
          <w:p>
            <w:pPr>
              <w:ind w:firstLine="0" w:firstLineChars="0"/>
              <w:jc w:val="center"/>
              <w:rPr>
                <w:rFonts w:hint="eastAsia" w:cs="宋体"/>
                <w:sz w:val="21"/>
                <w:szCs w:val="21"/>
                <w:highlight w:val="none"/>
              </w:rPr>
            </w:pPr>
            <w:r>
              <w:rPr>
                <w:rFonts w:hint="eastAsia" w:cs="宋体"/>
                <w:sz w:val="21"/>
                <w:szCs w:val="21"/>
                <w:highlight w:val="none"/>
              </w:rPr>
              <w:t>污染源</w:t>
            </w:r>
          </w:p>
        </w:tc>
        <w:tc>
          <w:tcPr>
            <w:tcW w:w="853" w:type="dxa"/>
            <w:noWrap w:val="0"/>
            <w:vAlign w:val="center"/>
          </w:tcPr>
          <w:p>
            <w:pPr>
              <w:ind w:firstLine="0" w:firstLineChars="0"/>
              <w:jc w:val="center"/>
              <w:rPr>
                <w:rFonts w:hint="eastAsia" w:cs="宋体"/>
                <w:sz w:val="21"/>
                <w:szCs w:val="21"/>
                <w:highlight w:val="none"/>
              </w:rPr>
            </w:pPr>
            <w:r>
              <w:rPr>
                <w:rFonts w:hint="eastAsia" w:cs="宋体"/>
                <w:sz w:val="21"/>
                <w:szCs w:val="21"/>
                <w:highlight w:val="none"/>
              </w:rPr>
              <w:t>污染物</w:t>
            </w:r>
          </w:p>
        </w:tc>
        <w:tc>
          <w:tcPr>
            <w:tcW w:w="1176" w:type="dxa"/>
            <w:noWrap w:val="0"/>
            <w:vAlign w:val="center"/>
          </w:tcPr>
          <w:p>
            <w:pPr>
              <w:ind w:firstLine="0" w:firstLineChars="0"/>
              <w:jc w:val="center"/>
              <w:rPr>
                <w:rFonts w:hint="eastAsia" w:cs="宋体"/>
                <w:sz w:val="21"/>
                <w:szCs w:val="21"/>
                <w:highlight w:val="none"/>
              </w:rPr>
            </w:pPr>
            <w:r>
              <w:rPr>
                <w:rFonts w:hint="eastAsia" w:cs="宋体"/>
                <w:sz w:val="21"/>
                <w:szCs w:val="21"/>
                <w:highlight w:val="none"/>
              </w:rPr>
              <w:t>面源面积（m</w:t>
            </w:r>
            <w:r>
              <w:rPr>
                <w:rFonts w:hint="eastAsia" w:cs="宋体"/>
                <w:sz w:val="21"/>
                <w:szCs w:val="21"/>
                <w:highlight w:val="none"/>
                <w:vertAlign w:val="superscript"/>
              </w:rPr>
              <w:t>2</w:t>
            </w:r>
            <w:r>
              <w:rPr>
                <w:rFonts w:hint="eastAsia" w:cs="宋体"/>
                <w:sz w:val="21"/>
                <w:szCs w:val="21"/>
                <w:highlight w:val="none"/>
              </w:rPr>
              <w:t>）</w:t>
            </w:r>
          </w:p>
        </w:tc>
        <w:tc>
          <w:tcPr>
            <w:tcW w:w="1107" w:type="dxa"/>
            <w:noWrap w:val="0"/>
            <w:vAlign w:val="center"/>
          </w:tcPr>
          <w:p>
            <w:pPr>
              <w:ind w:firstLine="0" w:firstLineChars="0"/>
              <w:jc w:val="center"/>
              <w:rPr>
                <w:rFonts w:hint="eastAsia" w:cs="宋体"/>
                <w:sz w:val="21"/>
                <w:szCs w:val="21"/>
                <w:highlight w:val="none"/>
              </w:rPr>
            </w:pPr>
            <w:r>
              <w:rPr>
                <w:rFonts w:hint="eastAsia" w:cs="宋体"/>
                <w:sz w:val="21"/>
                <w:szCs w:val="21"/>
                <w:highlight w:val="none"/>
              </w:rPr>
              <w:t>面源长度（m）</w:t>
            </w:r>
          </w:p>
        </w:tc>
        <w:tc>
          <w:tcPr>
            <w:tcW w:w="1078" w:type="dxa"/>
            <w:noWrap w:val="0"/>
            <w:vAlign w:val="center"/>
          </w:tcPr>
          <w:p>
            <w:pPr>
              <w:ind w:firstLine="0" w:firstLineChars="0"/>
              <w:jc w:val="center"/>
              <w:rPr>
                <w:rFonts w:hint="eastAsia" w:cs="宋体"/>
                <w:sz w:val="21"/>
                <w:szCs w:val="21"/>
                <w:highlight w:val="none"/>
              </w:rPr>
            </w:pPr>
            <w:r>
              <w:rPr>
                <w:rFonts w:hint="eastAsia" w:cs="宋体"/>
                <w:sz w:val="21"/>
                <w:szCs w:val="21"/>
                <w:highlight w:val="none"/>
              </w:rPr>
              <w:t>面源宽度（m）</w:t>
            </w:r>
          </w:p>
        </w:tc>
        <w:tc>
          <w:tcPr>
            <w:tcW w:w="1135" w:type="dxa"/>
            <w:noWrap w:val="0"/>
            <w:vAlign w:val="center"/>
          </w:tcPr>
          <w:p>
            <w:pPr>
              <w:ind w:firstLine="0" w:firstLineChars="0"/>
              <w:jc w:val="center"/>
              <w:rPr>
                <w:rFonts w:hint="eastAsia" w:cs="宋体"/>
                <w:sz w:val="21"/>
                <w:szCs w:val="21"/>
                <w:highlight w:val="none"/>
              </w:rPr>
            </w:pPr>
            <w:r>
              <w:rPr>
                <w:rFonts w:hint="eastAsia" w:cs="宋体"/>
                <w:sz w:val="21"/>
                <w:szCs w:val="21"/>
                <w:highlight w:val="none"/>
              </w:rPr>
              <w:t>排放高度（m）</w:t>
            </w:r>
          </w:p>
        </w:tc>
        <w:tc>
          <w:tcPr>
            <w:tcW w:w="921" w:type="dxa"/>
            <w:noWrap w:val="0"/>
            <w:vAlign w:val="center"/>
          </w:tcPr>
          <w:p>
            <w:pPr>
              <w:ind w:firstLine="0" w:firstLineChars="0"/>
              <w:jc w:val="center"/>
              <w:rPr>
                <w:rFonts w:hint="eastAsia" w:cs="宋体"/>
                <w:sz w:val="21"/>
                <w:szCs w:val="21"/>
                <w:highlight w:val="none"/>
              </w:rPr>
            </w:pPr>
            <w:r>
              <w:rPr>
                <w:rFonts w:hint="eastAsia" w:cs="宋体"/>
                <w:sz w:val="21"/>
                <w:szCs w:val="21"/>
                <w:highlight w:val="none"/>
              </w:rPr>
              <w:t>排放量（t/a）</w:t>
            </w:r>
          </w:p>
        </w:tc>
        <w:tc>
          <w:tcPr>
            <w:tcW w:w="1246" w:type="dxa"/>
            <w:noWrap w:val="0"/>
            <w:vAlign w:val="center"/>
          </w:tcPr>
          <w:p>
            <w:pPr>
              <w:ind w:firstLine="0" w:firstLineChars="0"/>
              <w:jc w:val="center"/>
              <w:rPr>
                <w:rFonts w:hint="eastAsia" w:cs="宋体"/>
                <w:sz w:val="21"/>
                <w:szCs w:val="21"/>
                <w:highlight w:val="none"/>
              </w:rPr>
            </w:pPr>
            <w:r>
              <w:rPr>
                <w:rFonts w:hint="eastAsia" w:cs="宋体"/>
                <w:sz w:val="21"/>
                <w:szCs w:val="21"/>
                <w:highlight w:val="none"/>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 w:hRule="atLeast"/>
          <w:jc w:val="center"/>
        </w:trPr>
        <w:tc>
          <w:tcPr>
            <w:tcW w:w="1012" w:type="dxa"/>
            <w:noWrap w:val="0"/>
            <w:vAlign w:val="center"/>
          </w:tcPr>
          <w:p>
            <w:pPr>
              <w:ind w:firstLine="0" w:firstLineChars="0"/>
              <w:jc w:val="center"/>
              <w:rPr>
                <w:rFonts w:hint="eastAsia" w:cs="宋体"/>
                <w:sz w:val="21"/>
                <w:szCs w:val="21"/>
                <w:highlight w:val="none"/>
              </w:rPr>
            </w:pPr>
            <w:r>
              <w:rPr>
                <w:rFonts w:hint="eastAsia" w:cs="宋体"/>
                <w:sz w:val="21"/>
                <w:szCs w:val="21"/>
                <w:highlight w:val="none"/>
              </w:rPr>
              <w:t>项目区范围内</w:t>
            </w:r>
          </w:p>
        </w:tc>
        <w:tc>
          <w:tcPr>
            <w:tcW w:w="853" w:type="dxa"/>
            <w:noWrap w:val="0"/>
            <w:vAlign w:val="center"/>
          </w:tcPr>
          <w:p>
            <w:pPr>
              <w:ind w:firstLine="0" w:firstLineChars="0"/>
              <w:jc w:val="center"/>
              <w:rPr>
                <w:rFonts w:hint="eastAsia" w:cs="宋体"/>
                <w:sz w:val="21"/>
                <w:szCs w:val="21"/>
                <w:highlight w:val="none"/>
              </w:rPr>
            </w:pPr>
            <w:r>
              <w:rPr>
                <w:rFonts w:hint="eastAsia" w:cs="宋体"/>
                <w:sz w:val="21"/>
                <w:szCs w:val="21"/>
                <w:highlight w:val="none"/>
              </w:rPr>
              <w:t>TSP</w:t>
            </w:r>
          </w:p>
        </w:tc>
        <w:tc>
          <w:tcPr>
            <w:tcW w:w="1176" w:type="dxa"/>
            <w:noWrap w:val="0"/>
            <w:vAlign w:val="center"/>
          </w:tcPr>
          <w:p>
            <w:pPr>
              <w:ind w:firstLine="0" w:firstLineChars="0"/>
              <w:jc w:val="center"/>
              <w:rPr>
                <w:rFonts w:hint="default" w:eastAsia="宋体" w:cs="宋体"/>
                <w:sz w:val="21"/>
                <w:szCs w:val="21"/>
                <w:highlight w:val="none"/>
                <w:lang w:val="en-US" w:eastAsia="zh-CN"/>
              </w:rPr>
            </w:pPr>
            <w:r>
              <w:rPr>
                <w:rFonts w:hint="eastAsia" w:cs="宋体"/>
                <w:sz w:val="21"/>
                <w:szCs w:val="21"/>
                <w:highlight w:val="none"/>
                <w:lang w:val="en-US" w:eastAsia="zh-CN"/>
              </w:rPr>
              <w:t>96600</w:t>
            </w:r>
          </w:p>
        </w:tc>
        <w:tc>
          <w:tcPr>
            <w:tcW w:w="1107" w:type="dxa"/>
            <w:noWrap w:val="0"/>
            <w:vAlign w:val="center"/>
          </w:tcPr>
          <w:p>
            <w:pPr>
              <w:ind w:firstLine="0" w:firstLineChars="0"/>
              <w:jc w:val="center"/>
              <w:rPr>
                <w:rFonts w:hint="default" w:eastAsia="宋体" w:cs="宋体"/>
                <w:sz w:val="21"/>
                <w:szCs w:val="21"/>
                <w:highlight w:val="none"/>
                <w:lang w:val="en-US" w:eastAsia="zh-CN"/>
              </w:rPr>
            </w:pPr>
            <w:r>
              <w:rPr>
                <w:rFonts w:hint="eastAsia" w:cs="宋体"/>
                <w:sz w:val="21"/>
                <w:szCs w:val="21"/>
                <w:highlight w:val="none"/>
                <w:lang w:val="en-US" w:eastAsia="zh-CN"/>
              </w:rPr>
              <w:t>420</w:t>
            </w:r>
          </w:p>
        </w:tc>
        <w:tc>
          <w:tcPr>
            <w:tcW w:w="1078" w:type="dxa"/>
            <w:noWrap w:val="0"/>
            <w:vAlign w:val="center"/>
          </w:tcPr>
          <w:p>
            <w:pPr>
              <w:ind w:firstLine="0" w:firstLineChars="0"/>
              <w:jc w:val="center"/>
              <w:rPr>
                <w:rFonts w:hint="default" w:eastAsia="宋体" w:cs="宋体"/>
                <w:sz w:val="21"/>
                <w:szCs w:val="21"/>
                <w:highlight w:val="none"/>
                <w:lang w:val="en-US" w:eastAsia="zh-CN"/>
              </w:rPr>
            </w:pPr>
            <w:r>
              <w:rPr>
                <w:rFonts w:hint="eastAsia" w:cs="宋体"/>
                <w:sz w:val="21"/>
                <w:szCs w:val="21"/>
                <w:highlight w:val="none"/>
                <w:lang w:val="en-US" w:eastAsia="zh-CN"/>
              </w:rPr>
              <w:t>230</w:t>
            </w:r>
          </w:p>
        </w:tc>
        <w:tc>
          <w:tcPr>
            <w:tcW w:w="1135" w:type="dxa"/>
            <w:noWrap w:val="0"/>
            <w:vAlign w:val="center"/>
          </w:tcPr>
          <w:p>
            <w:pPr>
              <w:ind w:firstLine="0" w:firstLineChars="0"/>
              <w:jc w:val="center"/>
              <w:rPr>
                <w:rFonts w:hint="default" w:eastAsia="宋体" w:cs="宋体"/>
                <w:sz w:val="21"/>
                <w:szCs w:val="21"/>
                <w:highlight w:val="none"/>
                <w:lang w:val="en-US" w:eastAsia="zh-CN"/>
              </w:rPr>
            </w:pPr>
            <w:r>
              <w:rPr>
                <w:rFonts w:hint="eastAsia" w:cs="宋体"/>
                <w:sz w:val="21"/>
                <w:szCs w:val="21"/>
                <w:highlight w:val="none"/>
                <w:lang w:val="en-US" w:eastAsia="zh-CN"/>
              </w:rPr>
              <w:t>10</w:t>
            </w:r>
          </w:p>
        </w:tc>
        <w:tc>
          <w:tcPr>
            <w:tcW w:w="921" w:type="dxa"/>
            <w:noWrap w:val="0"/>
            <w:vAlign w:val="center"/>
          </w:tcPr>
          <w:p>
            <w:pPr>
              <w:ind w:firstLine="0" w:firstLineChars="0"/>
              <w:jc w:val="center"/>
              <w:rPr>
                <w:rFonts w:hint="default" w:eastAsia="宋体" w:cs="宋体"/>
                <w:sz w:val="21"/>
                <w:szCs w:val="21"/>
                <w:highlight w:val="none"/>
                <w:lang w:val="en-US" w:eastAsia="zh-CN"/>
              </w:rPr>
            </w:pPr>
            <w:r>
              <w:rPr>
                <w:rFonts w:hint="eastAsia" w:cs="宋体"/>
                <w:sz w:val="21"/>
                <w:szCs w:val="21"/>
                <w:highlight w:val="none"/>
                <w:lang w:val="en-US" w:eastAsia="zh-CN"/>
              </w:rPr>
              <w:t>1.25</w:t>
            </w:r>
          </w:p>
        </w:tc>
        <w:tc>
          <w:tcPr>
            <w:tcW w:w="1246" w:type="dxa"/>
            <w:noWrap w:val="0"/>
            <w:vAlign w:val="center"/>
          </w:tcPr>
          <w:p>
            <w:pPr>
              <w:ind w:firstLine="0" w:firstLineChars="0"/>
              <w:jc w:val="center"/>
              <w:rPr>
                <w:rFonts w:hint="default" w:eastAsia="宋体" w:cs="宋体"/>
                <w:sz w:val="21"/>
                <w:szCs w:val="21"/>
                <w:highlight w:val="none"/>
                <w:lang w:val="en-US" w:eastAsia="zh-CN"/>
              </w:rPr>
            </w:pPr>
            <w:r>
              <w:rPr>
                <w:rFonts w:hint="eastAsia" w:cs="宋体"/>
                <w:sz w:val="21"/>
                <w:szCs w:val="21"/>
                <w:highlight w:val="none"/>
                <w:lang w:val="en-US" w:eastAsia="zh-CN"/>
              </w:rPr>
              <w:t>0.52</w:t>
            </w:r>
          </w:p>
        </w:tc>
      </w:tr>
    </w:tbl>
    <w:p>
      <w:pPr>
        <w:pStyle w:val="17"/>
        <w:ind w:firstLine="0" w:firstLineChars="0"/>
        <w:rPr>
          <w:rFonts w:ascii="Times New Roman" w:hAnsi="Times New Roman"/>
          <w:color w:val="auto"/>
          <w:highlight w:val="none"/>
        </w:rPr>
      </w:pPr>
    </w:p>
    <w:p>
      <w:pPr>
        <w:pStyle w:val="17"/>
        <w:ind w:firstLine="482"/>
        <w:rPr>
          <w:rFonts w:ascii="Times New Roman" w:hAnsi="Times New Roman"/>
          <w:b/>
          <w:bCs/>
          <w:color w:val="auto"/>
          <w:highlight w:val="none"/>
        </w:rPr>
      </w:pPr>
      <w:r>
        <w:rPr>
          <w:rFonts w:hint="eastAsia" w:ascii="Times New Roman" w:hAnsi="Times New Roman"/>
          <w:b/>
          <w:bCs/>
          <w:color w:val="auto"/>
          <w:highlight w:val="none"/>
        </w:rPr>
        <w:t>2）评价等级筛选计算结果</w:t>
      </w:r>
    </w:p>
    <w:p>
      <w:pPr>
        <w:pStyle w:val="17"/>
        <w:ind w:firstLine="480"/>
        <w:rPr>
          <w:rFonts w:ascii="Times New Roman" w:hAnsi="Times New Roman"/>
          <w:color w:val="auto"/>
          <w:highlight w:val="none"/>
        </w:rPr>
      </w:pPr>
      <w:r>
        <w:rPr>
          <w:rFonts w:hint="eastAsia" w:ascii="Times New Roman" w:hAnsi="Times New Roman"/>
          <w:color w:val="auto"/>
          <w:highlight w:val="none"/>
        </w:rPr>
        <w:t>a估算模式及参数</w:t>
      </w:r>
    </w:p>
    <w:p>
      <w:pPr>
        <w:pStyle w:val="17"/>
        <w:ind w:firstLine="480"/>
        <w:rPr>
          <w:rFonts w:ascii="Times New Roman" w:hAnsi="Times New Roman"/>
          <w:color w:val="auto"/>
          <w:highlight w:val="none"/>
        </w:rPr>
      </w:pPr>
      <w:r>
        <w:rPr>
          <w:rFonts w:hint="eastAsia" w:ascii="Times New Roman" w:hAnsi="Times New Roman"/>
          <w:color w:val="auto"/>
          <w:highlight w:val="none"/>
        </w:rPr>
        <w:t>本项目废气预测采用《环境影响评价技术导则—大气环境》（HJ2.2-2018）推荐的AERSCREEN估算模式，计算参数见表</w:t>
      </w:r>
      <w:r>
        <w:rPr>
          <w:rFonts w:hint="eastAsia" w:ascii="Times New Roman" w:hAnsi="Times New Roman"/>
          <w:color w:val="auto"/>
          <w:highlight w:val="none"/>
          <w:lang w:val="en-US" w:eastAsia="zh-CN"/>
        </w:rPr>
        <w:t>1.6</w:t>
      </w:r>
      <w:r>
        <w:rPr>
          <w:rFonts w:hint="eastAsia" w:ascii="Times New Roman" w:hAnsi="Times New Roman"/>
          <w:color w:val="auto"/>
          <w:highlight w:val="none"/>
        </w:rPr>
        <w:t>-4。</w:t>
      </w:r>
    </w:p>
    <w:p>
      <w:pPr>
        <w:pStyle w:val="17"/>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表</w:t>
      </w:r>
      <w:r>
        <w:rPr>
          <w:rFonts w:hint="eastAsia" w:ascii="Times New Roman" w:hAnsi="Times New Roman"/>
          <w:b/>
          <w:bCs/>
          <w:color w:val="auto"/>
          <w:sz w:val="21"/>
          <w:szCs w:val="21"/>
          <w:highlight w:val="none"/>
          <w:lang w:val="en-US" w:eastAsia="zh-CN"/>
        </w:rPr>
        <w:t>1.6</w:t>
      </w:r>
      <w:r>
        <w:rPr>
          <w:rFonts w:ascii="Times New Roman" w:hAnsi="Times New Roman"/>
          <w:b/>
          <w:bCs/>
          <w:color w:val="auto"/>
          <w:sz w:val="21"/>
          <w:szCs w:val="21"/>
          <w:highlight w:val="none"/>
        </w:rPr>
        <w:t>-</w:t>
      </w:r>
      <w:r>
        <w:rPr>
          <w:rFonts w:hint="eastAsia" w:ascii="Times New Roman" w:hAnsi="Times New Roman"/>
          <w:b/>
          <w:bCs/>
          <w:color w:val="auto"/>
          <w:sz w:val="21"/>
          <w:szCs w:val="21"/>
          <w:highlight w:val="none"/>
        </w:rPr>
        <w:t>4</w:t>
      </w:r>
      <w:r>
        <w:rPr>
          <w:rFonts w:ascii="Times New Roman" w:hAnsi="Times New Roman"/>
          <w:b/>
          <w:bCs/>
          <w:color w:val="auto"/>
          <w:sz w:val="21"/>
          <w:szCs w:val="21"/>
          <w:highlight w:val="none"/>
        </w:rPr>
        <w:t xml:space="preserve">  估算模型参数表</w:t>
      </w:r>
    </w:p>
    <w:tbl>
      <w:tblPr>
        <w:tblStyle w:val="29"/>
        <w:tblW w:w="89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3"/>
        <w:gridCol w:w="2973"/>
        <w:gridCol w:w="2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5946" w:type="dxa"/>
            <w:gridSpan w:val="2"/>
            <w:shd w:val="clear" w:color="auto" w:fill="auto"/>
            <w:vAlign w:val="center"/>
          </w:tcPr>
          <w:p>
            <w:pPr>
              <w:pStyle w:val="17"/>
              <w:ind w:firstLine="0"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参数</w:t>
            </w:r>
          </w:p>
        </w:tc>
        <w:tc>
          <w:tcPr>
            <w:tcW w:w="2974" w:type="dxa"/>
            <w:shd w:val="clear" w:color="auto" w:fill="auto"/>
            <w:vAlign w:val="center"/>
          </w:tcPr>
          <w:p>
            <w:pPr>
              <w:pStyle w:val="17"/>
              <w:ind w:firstLine="0"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2973"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城市/农村选项</w:t>
            </w:r>
          </w:p>
        </w:tc>
        <w:tc>
          <w:tcPr>
            <w:tcW w:w="2973"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城市/农村</w:t>
            </w:r>
          </w:p>
        </w:tc>
        <w:tc>
          <w:tcPr>
            <w:tcW w:w="2974"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5946" w:type="dxa"/>
            <w:gridSpan w:val="2"/>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最高环境温度℃</w:t>
            </w:r>
          </w:p>
        </w:tc>
        <w:tc>
          <w:tcPr>
            <w:tcW w:w="2974"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5946" w:type="dxa"/>
            <w:gridSpan w:val="2"/>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最低环境温度℃</w:t>
            </w:r>
          </w:p>
        </w:tc>
        <w:tc>
          <w:tcPr>
            <w:tcW w:w="2974"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5946" w:type="dxa"/>
            <w:gridSpan w:val="2"/>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最小风速m/s</w:t>
            </w:r>
          </w:p>
        </w:tc>
        <w:tc>
          <w:tcPr>
            <w:tcW w:w="2974"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5946" w:type="dxa"/>
            <w:gridSpan w:val="2"/>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土地利用类型</w:t>
            </w:r>
          </w:p>
        </w:tc>
        <w:tc>
          <w:tcPr>
            <w:tcW w:w="2974" w:type="dxa"/>
            <w:shd w:val="clear" w:color="auto" w:fill="auto"/>
            <w:vAlign w:val="center"/>
          </w:tcPr>
          <w:p>
            <w:pPr>
              <w:pStyle w:val="17"/>
              <w:ind w:firstLine="0" w:firstLineChars="0"/>
              <w:jc w:val="center"/>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lang w:eastAsia="zh-CN"/>
              </w:rPr>
              <w:t>农田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5946" w:type="dxa"/>
            <w:gridSpan w:val="2"/>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区域湿度条件</w:t>
            </w:r>
          </w:p>
        </w:tc>
        <w:tc>
          <w:tcPr>
            <w:tcW w:w="2974" w:type="dxa"/>
            <w:shd w:val="clear" w:color="auto" w:fill="auto"/>
            <w:vAlign w:val="center"/>
          </w:tcPr>
          <w:p>
            <w:pPr>
              <w:pStyle w:val="17"/>
              <w:ind w:firstLine="0" w:firstLineChars="0"/>
              <w:jc w:val="center"/>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lang w:eastAsia="zh-CN"/>
              </w:rPr>
              <w:t>湿润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2973"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是否考虑地形</w:t>
            </w:r>
          </w:p>
        </w:tc>
        <w:tc>
          <w:tcPr>
            <w:tcW w:w="2973"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考虑地形</w:t>
            </w:r>
          </w:p>
        </w:tc>
        <w:tc>
          <w:tcPr>
            <w:tcW w:w="2974"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2973"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是否考虑岸线熏烟</w:t>
            </w:r>
          </w:p>
        </w:tc>
        <w:tc>
          <w:tcPr>
            <w:tcW w:w="2973"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考虑岸线熏烟</w:t>
            </w:r>
          </w:p>
        </w:tc>
        <w:tc>
          <w:tcPr>
            <w:tcW w:w="2974"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否</w:t>
            </w:r>
          </w:p>
        </w:tc>
      </w:tr>
    </w:tbl>
    <w:p>
      <w:pPr>
        <w:pStyle w:val="17"/>
        <w:ind w:firstLine="0" w:firstLineChars="0"/>
        <w:rPr>
          <w:rFonts w:ascii="Times New Roman" w:hAnsi="Times New Roman"/>
          <w:color w:val="auto"/>
          <w:highlight w:val="none"/>
        </w:rPr>
      </w:pPr>
    </w:p>
    <w:p>
      <w:pPr>
        <w:ind w:firstLine="480"/>
        <w:rPr>
          <w:color w:val="auto"/>
          <w:highlight w:val="none"/>
        </w:rPr>
      </w:pPr>
      <w:r>
        <w:rPr>
          <w:rFonts w:hint="eastAsia"/>
          <w:color w:val="auto"/>
          <w:highlight w:val="none"/>
        </w:rPr>
        <w:t>b落地浓度Ci、最大地面浓度占标率Pi计算结果</w:t>
      </w:r>
    </w:p>
    <w:p>
      <w:pPr>
        <w:pStyle w:val="17"/>
        <w:ind w:firstLine="480"/>
        <w:jc w:val="center"/>
        <w:rPr>
          <w:rFonts w:ascii="Times New Roman" w:hAnsi="Times New Roman"/>
          <w:color w:val="auto"/>
          <w:highlight w:val="none"/>
        </w:rPr>
      </w:pPr>
      <w:r>
        <w:rPr>
          <w:rFonts w:hint="eastAsia" w:ascii="Times New Roman" w:hAnsi="Times New Roman"/>
          <w:color w:val="auto"/>
          <w:highlight w:val="none"/>
        </w:rPr>
        <w:t>Pi=Ci/Coi</w:t>
      </w:r>
      <w:r>
        <w:rPr>
          <w:rFonts w:ascii="Arial" w:hAnsi="Arial" w:cs="Arial"/>
          <w:color w:val="auto"/>
          <w:highlight w:val="none"/>
        </w:rPr>
        <w:t>×</w:t>
      </w:r>
      <w:r>
        <w:rPr>
          <w:rFonts w:hint="eastAsia" w:ascii="Times New Roman" w:hAnsi="Times New Roman"/>
          <w:color w:val="auto"/>
          <w:highlight w:val="none"/>
        </w:rPr>
        <w:t>100</w:t>
      </w:r>
      <w:r>
        <w:rPr>
          <w:rFonts w:hint="eastAsia" w:hAnsi="宋体" w:cs="宋体"/>
          <w:color w:val="auto"/>
          <w:highlight w:val="none"/>
        </w:rPr>
        <w:t>％</w:t>
      </w:r>
    </w:p>
    <w:p>
      <w:pPr>
        <w:pStyle w:val="17"/>
        <w:ind w:firstLine="480"/>
        <w:rPr>
          <w:rFonts w:ascii="Times New Roman" w:hAnsi="Times New Roman"/>
          <w:color w:val="auto"/>
          <w:highlight w:val="none"/>
        </w:rPr>
      </w:pPr>
      <w:r>
        <w:rPr>
          <w:rFonts w:hint="eastAsia" w:ascii="Times New Roman" w:hAnsi="Times New Roman"/>
          <w:color w:val="auto"/>
          <w:highlight w:val="none"/>
        </w:rPr>
        <w:t>式中：Pi——第i个污染物的最大地面浓度占标率，</w:t>
      </w:r>
      <w:r>
        <w:rPr>
          <w:rFonts w:hint="eastAsia" w:hAnsi="宋体" w:cs="宋体"/>
          <w:color w:val="auto"/>
          <w:highlight w:val="none"/>
        </w:rPr>
        <w:t>％</w:t>
      </w:r>
    </w:p>
    <w:p>
      <w:pPr>
        <w:pStyle w:val="17"/>
        <w:ind w:firstLine="480"/>
        <w:rPr>
          <w:rFonts w:ascii="Times New Roman" w:hAnsi="Times New Roman"/>
          <w:color w:val="auto"/>
          <w:highlight w:val="none"/>
          <w:vertAlign w:val="superscript"/>
        </w:rPr>
      </w:pPr>
      <w:r>
        <w:rPr>
          <w:rFonts w:hint="eastAsia" w:ascii="Times New Roman" w:hAnsi="Times New Roman"/>
          <w:color w:val="auto"/>
          <w:highlight w:val="none"/>
        </w:rPr>
        <w:t>Ci——采用估算模式计算出第i个污染物的最大地面浓度值，</w:t>
      </w:r>
      <w:r>
        <w:rPr>
          <w:rFonts w:ascii="Times New Roman" w:hAnsi="Times New Roman"/>
          <w:color w:val="auto"/>
          <w:sz w:val="21"/>
          <w:szCs w:val="22"/>
          <w:highlight w:val="none"/>
        </w:rPr>
        <w:t>μg/m</w:t>
      </w:r>
      <w:r>
        <w:rPr>
          <w:rFonts w:ascii="Times New Roman" w:hAnsi="Times New Roman"/>
          <w:color w:val="auto"/>
          <w:sz w:val="21"/>
          <w:szCs w:val="22"/>
          <w:highlight w:val="none"/>
          <w:vertAlign w:val="superscript"/>
        </w:rPr>
        <w:t>3</w:t>
      </w:r>
    </w:p>
    <w:p>
      <w:pPr>
        <w:pStyle w:val="17"/>
        <w:ind w:firstLine="480"/>
        <w:rPr>
          <w:rFonts w:ascii="Times New Roman" w:hAnsi="Times New Roman"/>
          <w:color w:val="auto"/>
          <w:highlight w:val="none"/>
          <w:vertAlign w:val="superscript"/>
        </w:rPr>
      </w:pPr>
      <w:r>
        <w:rPr>
          <w:rFonts w:hint="eastAsia" w:ascii="Times New Roman" w:hAnsi="Times New Roman"/>
          <w:color w:val="auto"/>
          <w:highlight w:val="none"/>
        </w:rPr>
        <w:t>Coi——第i个污染物的环境空气质量标准，</w:t>
      </w:r>
      <w:r>
        <w:rPr>
          <w:rFonts w:ascii="Times New Roman" w:hAnsi="Times New Roman"/>
          <w:color w:val="auto"/>
          <w:highlight w:val="none"/>
        </w:rPr>
        <w:t>μg/m</w:t>
      </w:r>
      <w:r>
        <w:rPr>
          <w:rFonts w:ascii="Times New Roman" w:hAnsi="Times New Roman"/>
          <w:color w:val="auto"/>
          <w:highlight w:val="none"/>
          <w:vertAlign w:val="superscript"/>
        </w:rPr>
        <w:t>3</w:t>
      </w:r>
    </w:p>
    <w:p>
      <w:pPr>
        <w:pStyle w:val="17"/>
        <w:ind w:firstLine="480"/>
        <w:rPr>
          <w:rFonts w:ascii="Times New Roman" w:hAnsi="Times New Roman"/>
          <w:color w:val="auto"/>
          <w:highlight w:val="none"/>
        </w:rPr>
      </w:pPr>
      <w:r>
        <w:rPr>
          <w:rFonts w:hint="eastAsia" w:ascii="Times New Roman" w:hAnsi="Times New Roman"/>
          <w:color w:val="auto"/>
          <w:highlight w:val="none"/>
        </w:rPr>
        <w:t>运行软件，计算结果见表</w:t>
      </w:r>
      <w:r>
        <w:rPr>
          <w:rFonts w:hint="eastAsia" w:ascii="Times New Roman" w:hAnsi="Times New Roman"/>
          <w:color w:val="auto"/>
          <w:highlight w:val="none"/>
          <w:lang w:val="en-US" w:eastAsia="zh-CN"/>
        </w:rPr>
        <w:t>1.6</w:t>
      </w:r>
      <w:r>
        <w:rPr>
          <w:rFonts w:hint="eastAsia" w:ascii="Times New Roman" w:hAnsi="Times New Roman"/>
          <w:color w:val="auto"/>
          <w:highlight w:val="none"/>
        </w:rPr>
        <w:t>-5、表</w:t>
      </w:r>
      <w:r>
        <w:rPr>
          <w:rFonts w:hint="eastAsia" w:ascii="Times New Roman" w:hAnsi="Times New Roman"/>
          <w:color w:val="auto"/>
          <w:highlight w:val="none"/>
          <w:lang w:val="en-US" w:eastAsia="zh-CN"/>
        </w:rPr>
        <w:t>1.6</w:t>
      </w:r>
      <w:r>
        <w:rPr>
          <w:rFonts w:hint="eastAsia" w:ascii="Times New Roman" w:hAnsi="Times New Roman"/>
          <w:color w:val="auto"/>
          <w:highlight w:val="none"/>
        </w:rPr>
        <w:t>-6。</w:t>
      </w:r>
    </w:p>
    <w:p>
      <w:pPr>
        <w:pStyle w:val="17"/>
        <w:ind w:firstLine="0"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表</w:t>
      </w:r>
      <w:r>
        <w:rPr>
          <w:rFonts w:hint="eastAsia" w:ascii="Times New Roman" w:hAnsi="Times New Roman"/>
          <w:b/>
          <w:bCs/>
          <w:color w:val="auto"/>
          <w:sz w:val="21"/>
          <w:szCs w:val="21"/>
          <w:highlight w:val="none"/>
          <w:lang w:val="en-US" w:eastAsia="zh-CN"/>
        </w:rPr>
        <w:t>1.6</w:t>
      </w:r>
      <w:r>
        <w:rPr>
          <w:rFonts w:hint="eastAsia" w:ascii="Times New Roman" w:hAnsi="Times New Roman"/>
          <w:b/>
          <w:bCs/>
          <w:color w:val="auto"/>
          <w:sz w:val="21"/>
          <w:szCs w:val="21"/>
          <w:highlight w:val="none"/>
        </w:rPr>
        <w:t>-5  有组织排放污染物最大地面质量浓度及占标率一览表</w:t>
      </w:r>
    </w:p>
    <w:tbl>
      <w:tblPr>
        <w:tblStyle w:val="29"/>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1320"/>
        <w:gridCol w:w="1320"/>
        <w:gridCol w:w="1320"/>
        <w:gridCol w:w="1320"/>
        <w:gridCol w:w="1320"/>
        <w:gridCol w:w="1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0" w:type="dxa"/>
            <w:shd w:val="clear" w:color="auto" w:fill="auto"/>
            <w:vAlign w:val="center"/>
          </w:tcPr>
          <w:p>
            <w:pPr>
              <w:pStyle w:val="17"/>
              <w:ind w:firstLine="0"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排气筒编号</w:t>
            </w:r>
          </w:p>
        </w:tc>
        <w:tc>
          <w:tcPr>
            <w:tcW w:w="1320" w:type="dxa"/>
            <w:shd w:val="clear" w:color="auto" w:fill="auto"/>
            <w:vAlign w:val="center"/>
          </w:tcPr>
          <w:p>
            <w:pPr>
              <w:pStyle w:val="17"/>
              <w:ind w:firstLine="0"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污染物名称</w:t>
            </w:r>
          </w:p>
        </w:tc>
        <w:tc>
          <w:tcPr>
            <w:tcW w:w="1320" w:type="dxa"/>
            <w:shd w:val="clear" w:color="auto" w:fill="auto"/>
            <w:vAlign w:val="center"/>
          </w:tcPr>
          <w:p>
            <w:pPr>
              <w:pStyle w:val="17"/>
              <w:ind w:firstLine="0"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距离（m）</w:t>
            </w:r>
          </w:p>
        </w:tc>
        <w:tc>
          <w:tcPr>
            <w:tcW w:w="1320" w:type="dxa"/>
            <w:shd w:val="clear" w:color="auto" w:fill="auto"/>
            <w:vAlign w:val="center"/>
          </w:tcPr>
          <w:p>
            <w:pPr>
              <w:pStyle w:val="17"/>
              <w:ind w:firstLine="0"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最大落地浓度</w:t>
            </w:r>
            <w:r>
              <w:rPr>
                <w:rFonts w:ascii="Times New Roman" w:hAnsi="Times New Roman"/>
                <w:b/>
                <w:bCs/>
                <w:color w:val="auto"/>
                <w:sz w:val="21"/>
                <w:szCs w:val="21"/>
                <w:highlight w:val="none"/>
              </w:rPr>
              <w:t>（μg/m</w:t>
            </w:r>
            <w:r>
              <w:rPr>
                <w:rFonts w:ascii="Times New Roman" w:hAnsi="Times New Roman"/>
                <w:b/>
                <w:bCs/>
                <w:color w:val="auto"/>
                <w:sz w:val="21"/>
                <w:szCs w:val="21"/>
                <w:highlight w:val="none"/>
                <w:vertAlign w:val="superscript"/>
              </w:rPr>
              <w:t>3</w:t>
            </w:r>
            <w:r>
              <w:rPr>
                <w:rFonts w:ascii="Times New Roman" w:hAnsi="Times New Roman"/>
                <w:b/>
                <w:bCs/>
                <w:color w:val="auto"/>
                <w:sz w:val="21"/>
                <w:szCs w:val="21"/>
                <w:highlight w:val="none"/>
              </w:rPr>
              <w:t>）</w:t>
            </w:r>
          </w:p>
        </w:tc>
        <w:tc>
          <w:tcPr>
            <w:tcW w:w="1320" w:type="dxa"/>
            <w:shd w:val="clear" w:color="auto" w:fill="auto"/>
            <w:vAlign w:val="center"/>
          </w:tcPr>
          <w:p>
            <w:pPr>
              <w:pStyle w:val="17"/>
              <w:ind w:firstLine="0"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占标率（</w:t>
            </w:r>
            <w:r>
              <w:rPr>
                <w:rFonts w:hint="eastAsia" w:hAnsi="宋体" w:cs="宋体"/>
                <w:b/>
                <w:bCs/>
                <w:color w:val="auto"/>
                <w:sz w:val="21"/>
                <w:szCs w:val="21"/>
                <w:highlight w:val="none"/>
              </w:rPr>
              <w:t>％</w:t>
            </w:r>
            <w:r>
              <w:rPr>
                <w:rFonts w:hint="eastAsia" w:ascii="Times New Roman" w:hAnsi="Times New Roman"/>
                <w:b/>
                <w:bCs/>
                <w:color w:val="auto"/>
                <w:sz w:val="21"/>
                <w:szCs w:val="21"/>
                <w:highlight w:val="none"/>
              </w:rPr>
              <w:t>）</w:t>
            </w:r>
          </w:p>
        </w:tc>
        <w:tc>
          <w:tcPr>
            <w:tcW w:w="1320" w:type="dxa"/>
            <w:shd w:val="clear" w:color="auto" w:fill="auto"/>
            <w:vAlign w:val="center"/>
          </w:tcPr>
          <w:p>
            <w:pPr>
              <w:pStyle w:val="17"/>
              <w:ind w:firstLine="0"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标准</w:t>
            </w:r>
            <w:r>
              <w:rPr>
                <w:rFonts w:ascii="Times New Roman" w:hAnsi="Times New Roman"/>
                <w:b/>
                <w:bCs/>
                <w:color w:val="auto"/>
                <w:sz w:val="21"/>
                <w:szCs w:val="21"/>
                <w:highlight w:val="none"/>
              </w:rPr>
              <w:t>（μg/m</w:t>
            </w:r>
            <w:r>
              <w:rPr>
                <w:rFonts w:ascii="Times New Roman" w:hAnsi="Times New Roman"/>
                <w:b/>
                <w:bCs/>
                <w:color w:val="auto"/>
                <w:sz w:val="21"/>
                <w:szCs w:val="21"/>
                <w:highlight w:val="none"/>
                <w:vertAlign w:val="superscript"/>
              </w:rPr>
              <w:t>3</w:t>
            </w:r>
            <w:r>
              <w:rPr>
                <w:rFonts w:ascii="Times New Roman" w:hAnsi="Times New Roman"/>
                <w:b/>
                <w:bCs/>
                <w:color w:val="auto"/>
                <w:sz w:val="21"/>
                <w:szCs w:val="21"/>
                <w:highlight w:val="none"/>
              </w:rPr>
              <w:t>）</w:t>
            </w:r>
          </w:p>
        </w:tc>
        <w:tc>
          <w:tcPr>
            <w:tcW w:w="1320" w:type="dxa"/>
            <w:shd w:val="clear" w:color="auto" w:fill="auto"/>
            <w:vAlign w:val="center"/>
          </w:tcPr>
          <w:p>
            <w:pPr>
              <w:pStyle w:val="17"/>
              <w:ind w:firstLine="0" w:firstLineChars="0"/>
              <w:jc w:val="center"/>
              <w:rPr>
                <w:rFonts w:hint="default" w:ascii="Times New Roman" w:hAnsi="Times New Roman" w:eastAsia="宋体"/>
                <w:b/>
                <w:bCs/>
                <w:color w:val="auto"/>
                <w:sz w:val="21"/>
                <w:szCs w:val="21"/>
                <w:highlight w:val="none"/>
                <w:lang w:val="en-US" w:eastAsia="zh-CN"/>
              </w:rPr>
            </w:pPr>
            <w:r>
              <w:rPr>
                <w:rFonts w:hint="eastAsia" w:ascii="Times New Roman" w:hAnsi="Times New Roman"/>
                <w:b/>
                <w:bCs/>
                <w:color w:val="auto"/>
                <w:sz w:val="21"/>
                <w:szCs w:val="21"/>
                <w:highlight w:val="none"/>
                <w:lang w:val="en-US" w:eastAsia="zh-CN"/>
              </w:rPr>
              <w:t>D</w:t>
            </w:r>
            <w:r>
              <w:rPr>
                <w:rFonts w:hint="eastAsia" w:ascii="Times New Roman" w:hAnsi="Times New Roman"/>
                <w:b/>
                <w:bCs/>
                <w:color w:val="auto"/>
                <w:sz w:val="21"/>
                <w:szCs w:val="21"/>
                <w:highlight w:val="none"/>
                <w:vertAlign w:val="subscript"/>
                <w:lang w:val="en-US" w:eastAsia="zh-CN"/>
              </w:rPr>
              <w:t>10</w:t>
            </w:r>
            <w:r>
              <w:rPr>
                <w:rFonts w:hint="eastAsia" w:ascii="宋体" w:hAnsi="宋体" w:eastAsia="宋体" w:cs="宋体"/>
                <w:b/>
                <w:bCs/>
                <w:color w:val="auto"/>
                <w:sz w:val="21"/>
                <w:szCs w:val="21"/>
                <w:highlight w:val="none"/>
                <w:lang w:val="en-US"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0"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eastAsia="zh-CN"/>
              </w:rPr>
              <w:t>破碎筛分排气筒</w:t>
            </w:r>
          </w:p>
        </w:tc>
        <w:tc>
          <w:tcPr>
            <w:tcW w:w="1320" w:type="dxa"/>
            <w:shd w:val="clear" w:color="auto" w:fill="auto"/>
            <w:vAlign w:val="center"/>
          </w:tcPr>
          <w:p>
            <w:pPr>
              <w:pStyle w:val="17"/>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PM</w:t>
            </w:r>
            <w:r>
              <w:rPr>
                <w:rFonts w:hint="eastAsia" w:ascii="Times New Roman" w:hAnsi="Times New Roman"/>
                <w:color w:val="auto"/>
                <w:sz w:val="21"/>
                <w:szCs w:val="21"/>
                <w:highlight w:val="none"/>
                <w:vertAlign w:val="subscript"/>
                <w:lang w:val="en-US" w:eastAsia="zh-CN"/>
              </w:rPr>
              <w:t>10</w:t>
            </w:r>
          </w:p>
        </w:tc>
        <w:tc>
          <w:tcPr>
            <w:tcW w:w="1320" w:type="dxa"/>
            <w:shd w:val="clear" w:color="auto" w:fill="auto"/>
            <w:vAlign w:val="center"/>
          </w:tcPr>
          <w:p>
            <w:pPr>
              <w:pStyle w:val="17"/>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152</w:t>
            </w:r>
          </w:p>
        </w:tc>
        <w:tc>
          <w:tcPr>
            <w:tcW w:w="1320" w:type="dxa"/>
            <w:shd w:val="clear" w:color="auto" w:fill="auto"/>
            <w:vAlign w:val="center"/>
          </w:tcPr>
          <w:p>
            <w:pPr>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sz w:val="21"/>
                <w:szCs w:val="21"/>
              </w:rPr>
              <w:t>18.7780</w:t>
            </w:r>
          </w:p>
        </w:tc>
        <w:tc>
          <w:tcPr>
            <w:tcW w:w="1320" w:type="dxa"/>
            <w:shd w:val="clear" w:color="auto" w:fill="auto"/>
            <w:vAlign w:val="center"/>
          </w:tcPr>
          <w:p>
            <w:pPr>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sz w:val="21"/>
                <w:szCs w:val="21"/>
              </w:rPr>
              <w:t>4.1729</w:t>
            </w:r>
          </w:p>
        </w:tc>
        <w:tc>
          <w:tcPr>
            <w:tcW w:w="1320" w:type="dxa"/>
            <w:shd w:val="clear" w:color="auto" w:fill="auto"/>
            <w:vAlign w:val="center"/>
          </w:tcPr>
          <w:p>
            <w:pPr>
              <w:pStyle w:val="17"/>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450</w:t>
            </w:r>
          </w:p>
        </w:tc>
        <w:tc>
          <w:tcPr>
            <w:tcW w:w="1320" w:type="dxa"/>
            <w:shd w:val="clear" w:color="auto" w:fill="auto"/>
            <w:vAlign w:val="center"/>
          </w:tcPr>
          <w:p>
            <w:pPr>
              <w:pStyle w:val="17"/>
              <w:ind w:firstLine="0" w:firstLineChars="0"/>
              <w:jc w:val="center"/>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w:t>
            </w:r>
          </w:p>
        </w:tc>
      </w:tr>
    </w:tbl>
    <w:p>
      <w:pPr>
        <w:pStyle w:val="17"/>
        <w:ind w:firstLine="0" w:firstLineChars="0"/>
        <w:rPr>
          <w:rFonts w:ascii="Times New Roman" w:hAnsi="Times New Roman"/>
          <w:color w:val="auto"/>
          <w:highlight w:val="none"/>
        </w:rPr>
      </w:pPr>
    </w:p>
    <w:p>
      <w:pPr>
        <w:pStyle w:val="17"/>
        <w:ind w:firstLine="0"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表</w:t>
      </w:r>
      <w:r>
        <w:rPr>
          <w:rFonts w:hint="eastAsia" w:ascii="Times New Roman" w:hAnsi="Times New Roman"/>
          <w:b/>
          <w:bCs/>
          <w:color w:val="auto"/>
          <w:sz w:val="21"/>
          <w:szCs w:val="21"/>
          <w:highlight w:val="none"/>
          <w:lang w:val="en-US" w:eastAsia="zh-CN"/>
        </w:rPr>
        <w:t>1.6</w:t>
      </w:r>
      <w:r>
        <w:rPr>
          <w:rFonts w:hint="eastAsia" w:ascii="Times New Roman" w:hAnsi="Times New Roman"/>
          <w:b/>
          <w:bCs/>
          <w:color w:val="auto"/>
          <w:sz w:val="21"/>
          <w:szCs w:val="21"/>
          <w:highlight w:val="none"/>
        </w:rPr>
        <w:t>-6  无组织排放污染物最大地面质量浓度及占标率一览表</w:t>
      </w:r>
    </w:p>
    <w:tbl>
      <w:tblPr>
        <w:tblStyle w:val="29"/>
        <w:tblW w:w="9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2"/>
        <w:gridCol w:w="1331"/>
        <w:gridCol w:w="1332"/>
        <w:gridCol w:w="1330"/>
        <w:gridCol w:w="1332"/>
        <w:gridCol w:w="1331"/>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7" w:hRule="atLeast"/>
          <w:jc w:val="center"/>
        </w:trPr>
        <w:tc>
          <w:tcPr>
            <w:tcW w:w="1332" w:type="dxa"/>
            <w:shd w:val="clear" w:color="auto" w:fill="auto"/>
            <w:vAlign w:val="center"/>
          </w:tcPr>
          <w:p>
            <w:pPr>
              <w:pStyle w:val="17"/>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污染源</w:t>
            </w:r>
          </w:p>
        </w:tc>
        <w:tc>
          <w:tcPr>
            <w:tcW w:w="1331" w:type="dxa"/>
            <w:shd w:val="clear" w:color="auto" w:fill="auto"/>
            <w:vAlign w:val="center"/>
          </w:tcPr>
          <w:p>
            <w:pPr>
              <w:pStyle w:val="17"/>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污染物名称</w:t>
            </w:r>
          </w:p>
        </w:tc>
        <w:tc>
          <w:tcPr>
            <w:tcW w:w="1332" w:type="dxa"/>
            <w:shd w:val="clear" w:color="auto" w:fill="auto"/>
            <w:vAlign w:val="center"/>
          </w:tcPr>
          <w:p>
            <w:pPr>
              <w:pStyle w:val="17"/>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距离（m）</w:t>
            </w:r>
          </w:p>
        </w:tc>
        <w:tc>
          <w:tcPr>
            <w:tcW w:w="1330" w:type="dxa"/>
            <w:shd w:val="clear" w:color="auto" w:fill="auto"/>
            <w:vAlign w:val="center"/>
          </w:tcPr>
          <w:p>
            <w:pPr>
              <w:pStyle w:val="17"/>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最大落地浓度（μg/m</w:t>
            </w:r>
            <w:r>
              <w:rPr>
                <w:rFonts w:ascii="Times New Roman" w:hAnsi="Times New Roman"/>
                <w:b/>
                <w:bCs/>
                <w:color w:val="auto"/>
                <w:sz w:val="21"/>
                <w:szCs w:val="21"/>
                <w:highlight w:val="none"/>
                <w:vertAlign w:val="superscript"/>
              </w:rPr>
              <w:t>3</w:t>
            </w:r>
            <w:r>
              <w:rPr>
                <w:rFonts w:ascii="Times New Roman" w:hAnsi="Times New Roman"/>
                <w:b/>
                <w:bCs/>
                <w:color w:val="auto"/>
                <w:sz w:val="21"/>
                <w:szCs w:val="21"/>
                <w:highlight w:val="none"/>
              </w:rPr>
              <w:t>）</w:t>
            </w:r>
          </w:p>
        </w:tc>
        <w:tc>
          <w:tcPr>
            <w:tcW w:w="1332" w:type="dxa"/>
            <w:shd w:val="clear" w:color="auto" w:fill="auto"/>
            <w:vAlign w:val="center"/>
          </w:tcPr>
          <w:p>
            <w:pPr>
              <w:pStyle w:val="17"/>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占标率（％）</w:t>
            </w:r>
          </w:p>
        </w:tc>
        <w:tc>
          <w:tcPr>
            <w:tcW w:w="1331" w:type="dxa"/>
            <w:shd w:val="clear" w:color="auto" w:fill="auto"/>
            <w:vAlign w:val="center"/>
          </w:tcPr>
          <w:p>
            <w:pPr>
              <w:pStyle w:val="17"/>
              <w:ind w:firstLine="0"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lang w:val="en-US" w:eastAsia="zh-CN"/>
              </w:rPr>
              <w:t>D</w:t>
            </w:r>
            <w:r>
              <w:rPr>
                <w:rFonts w:hint="eastAsia" w:ascii="Times New Roman" w:hAnsi="Times New Roman"/>
                <w:b/>
                <w:bCs/>
                <w:color w:val="auto"/>
                <w:sz w:val="21"/>
                <w:szCs w:val="21"/>
                <w:highlight w:val="none"/>
                <w:vertAlign w:val="subscript"/>
                <w:lang w:val="en-US" w:eastAsia="zh-CN"/>
              </w:rPr>
              <w:t>10</w:t>
            </w:r>
            <w:r>
              <w:rPr>
                <w:rFonts w:hint="eastAsia" w:ascii="宋体" w:hAnsi="宋体" w:eastAsia="宋体" w:cs="宋体"/>
                <w:b/>
                <w:bCs/>
                <w:color w:val="auto"/>
                <w:sz w:val="21"/>
                <w:szCs w:val="21"/>
                <w:highlight w:val="none"/>
                <w:lang w:val="en-US" w:eastAsia="zh-CN"/>
              </w:rPr>
              <w:t>％（m）</w:t>
            </w:r>
          </w:p>
        </w:tc>
        <w:tc>
          <w:tcPr>
            <w:tcW w:w="1332" w:type="dxa"/>
            <w:shd w:val="clear" w:color="auto" w:fill="auto"/>
            <w:vAlign w:val="center"/>
          </w:tcPr>
          <w:p>
            <w:pPr>
              <w:pStyle w:val="17"/>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标准（μg/m</w:t>
            </w:r>
            <w:r>
              <w:rPr>
                <w:rFonts w:ascii="Times New Roman" w:hAnsi="Times New Roman"/>
                <w:b/>
                <w:bCs/>
                <w:color w:val="auto"/>
                <w:sz w:val="21"/>
                <w:szCs w:val="21"/>
                <w:highlight w:val="none"/>
                <w:vertAlign w:val="superscript"/>
              </w:rPr>
              <w:t>3</w:t>
            </w:r>
            <w:r>
              <w:rPr>
                <w:rFonts w:ascii="Times New Roman" w:hAnsi="Times New Roman"/>
                <w:b/>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1332" w:type="dxa"/>
            <w:shd w:val="clear" w:color="auto" w:fill="auto"/>
            <w:vAlign w:val="center"/>
          </w:tcPr>
          <w:p>
            <w:pPr>
              <w:pStyle w:val="17"/>
              <w:ind w:firstLine="0" w:firstLineChars="0"/>
              <w:jc w:val="center"/>
              <w:rPr>
                <w:rFonts w:hint="eastAsia" w:ascii="Times New Roman" w:hAnsi="Times New Roman" w:eastAsia="宋体"/>
                <w:color w:val="auto"/>
                <w:sz w:val="21"/>
                <w:szCs w:val="22"/>
                <w:highlight w:val="none"/>
                <w:lang w:eastAsia="zh-CN"/>
              </w:rPr>
            </w:pPr>
            <w:r>
              <w:rPr>
                <w:rFonts w:hint="eastAsia" w:ascii="Times New Roman" w:hAnsi="Times New Roman"/>
                <w:color w:val="auto"/>
                <w:sz w:val="21"/>
                <w:szCs w:val="22"/>
                <w:highlight w:val="none"/>
                <w:lang w:eastAsia="zh-CN"/>
              </w:rPr>
              <w:t>项目区</w:t>
            </w:r>
          </w:p>
        </w:tc>
        <w:tc>
          <w:tcPr>
            <w:tcW w:w="1331" w:type="dxa"/>
            <w:shd w:val="clear" w:color="auto" w:fill="auto"/>
            <w:vAlign w:val="center"/>
          </w:tcPr>
          <w:p>
            <w:pPr>
              <w:pStyle w:val="17"/>
              <w:ind w:firstLine="0" w:firstLineChars="0"/>
              <w:jc w:val="center"/>
              <w:rPr>
                <w:rFonts w:ascii="Times New Roman" w:hAnsi="Times New Roman"/>
                <w:color w:val="auto"/>
                <w:sz w:val="21"/>
                <w:szCs w:val="22"/>
                <w:highlight w:val="none"/>
              </w:rPr>
            </w:pPr>
            <w:r>
              <w:rPr>
                <w:rFonts w:hint="eastAsia" w:ascii="Times New Roman" w:hAnsi="Times New Roman"/>
                <w:color w:val="auto"/>
                <w:sz w:val="21"/>
                <w:szCs w:val="22"/>
                <w:highlight w:val="none"/>
              </w:rPr>
              <w:t>TSP</w:t>
            </w:r>
          </w:p>
        </w:tc>
        <w:tc>
          <w:tcPr>
            <w:tcW w:w="1332" w:type="dxa"/>
            <w:shd w:val="clear" w:color="auto" w:fill="auto"/>
            <w:vAlign w:val="center"/>
          </w:tcPr>
          <w:p>
            <w:pPr>
              <w:pStyle w:val="17"/>
              <w:ind w:firstLine="0" w:firstLineChars="0"/>
              <w:jc w:val="center"/>
              <w:rPr>
                <w:rFonts w:hint="default" w:ascii="Times New Roman" w:hAnsi="Times New Roman" w:eastAsia="宋体"/>
                <w:color w:val="auto"/>
                <w:sz w:val="21"/>
                <w:szCs w:val="22"/>
                <w:highlight w:val="none"/>
                <w:lang w:val="en-US" w:eastAsia="zh-CN"/>
              </w:rPr>
            </w:pPr>
            <w:r>
              <w:rPr>
                <w:rFonts w:hint="eastAsia" w:ascii="Times New Roman" w:hAnsi="Times New Roman"/>
                <w:color w:val="auto"/>
                <w:sz w:val="21"/>
                <w:szCs w:val="22"/>
                <w:highlight w:val="none"/>
                <w:lang w:val="en-US" w:eastAsia="zh-CN"/>
              </w:rPr>
              <w:t>363</w:t>
            </w:r>
          </w:p>
        </w:tc>
        <w:tc>
          <w:tcPr>
            <w:tcW w:w="1330" w:type="dxa"/>
            <w:shd w:val="clear" w:color="auto" w:fill="auto"/>
            <w:vAlign w:val="center"/>
          </w:tcPr>
          <w:p>
            <w:pPr>
              <w:ind w:left="0" w:leftChars="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s="Times New Roman"/>
                <w:color w:val="auto"/>
                <w:kern w:val="2"/>
                <w:sz w:val="21"/>
                <w:szCs w:val="22"/>
                <w:highlight w:val="none"/>
                <w:lang w:val="en-US" w:eastAsia="zh-CN" w:bidi="ar-SA"/>
              </w:rPr>
              <w:t>61.5710</w:t>
            </w:r>
          </w:p>
        </w:tc>
        <w:tc>
          <w:tcPr>
            <w:tcW w:w="1332" w:type="dxa"/>
            <w:shd w:val="clear" w:color="auto" w:fill="auto"/>
            <w:vAlign w:val="center"/>
          </w:tcPr>
          <w:p>
            <w:pPr>
              <w:ind w:left="0" w:leftChars="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s="Times New Roman"/>
                <w:color w:val="auto"/>
                <w:kern w:val="2"/>
                <w:sz w:val="21"/>
                <w:szCs w:val="22"/>
                <w:highlight w:val="none"/>
                <w:lang w:val="en-US" w:eastAsia="zh-CN" w:bidi="ar-SA"/>
              </w:rPr>
              <w:t>6.8412</w:t>
            </w:r>
          </w:p>
        </w:tc>
        <w:tc>
          <w:tcPr>
            <w:tcW w:w="1331" w:type="dxa"/>
            <w:shd w:val="clear" w:color="auto" w:fill="auto"/>
            <w:vAlign w:val="center"/>
          </w:tcPr>
          <w:p>
            <w:pPr>
              <w:pStyle w:val="17"/>
              <w:ind w:firstLine="0" w:firstLineChars="0"/>
              <w:jc w:val="center"/>
              <w:rPr>
                <w:rFonts w:hint="default" w:ascii="Times New Roman" w:hAnsi="Times New Roman"/>
                <w:color w:val="auto"/>
                <w:sz w:val="21"/>
                <w:szCs w:val="22"/>
                <w:highlight w:val="none"/>
                <w:lang w:val="en-US" w:eastAsia="zh-CN"/>
              </w:rPr>
            </w:pPr>
            <w:r>
              <w:rPr>
                <w:rFonts w:hint="eastAsia" w:ascii="Times New Roman" w:hAnsi="Times New Roman"/>
                <w:color w:val="auto"/>
                <w:sz w:val="21"/>
                <w:szCs w:val="22"/>
                <w:highlight w:val="none"/>
                <w:lang w:val="en-US" w:eastAsia="zh-CN"/>
              </w:rPr>
              <w:t>/</w:t>
            </w:r>
          </w:p>
        </w:tc>
        <w:tc>
          <w:tcPr>
            <w:tcW w:w="1332" w:type="dxa"/>
            <w:shd w:val="clear" w:color="auto" w:fill="auto"/>
            <w:vAlign w:val="center"/>
          </w:tcPr>
          <w:p>
            <w:pPr>
              <w:pStyle w:val="17"/>
              <w:ind w:firstLine="0" w:firstLineChars="0"/>
              <w:jc w:val="center"/>
              <w:rPr>
                <w:rFonts w:ascii="Times New Roman" w:hAnsi="Times New Roman"/>
                <w:color w:val="auto"/>
                <w:sz w:val="21"/>
                <w:szCs w:val="22"/>
                <w:highlight w:val="none"/>
              </w:rPr>
            </w:pPr>
            <w:r>
              <w:rPr>
                <w:rFonts w:hint="eastAsia" w:ascii="Times New Roman" w:hAnsi="Times New Roman"/>
                <w:color w:val="auto"/>
                <w:sz w:val="21"/>
                <w:szCs w:val="22"/>
                <w:highlight w:val="none"/>
              </w:rPr>
              <w:t>900</w:t>
            </w:r>
          </w:p>
        </w:tc>
      </w:tr>
    </w:tbl>
    <w:p>
      <w:pPr>
        <w:pStyle w:val="17"/>
        <w:ind w:firstLine="480"/>
        <w:rPr>
          <w:rFonts w:ascii="Times New Roman" w:hAnsi="Times New Roman"/>
          <w:color w:val="auto"/>
          <w:highlight w:val="none"/>
        </w:rPr>
      </w:pPr>
    </w:p>
    <w:p>
      <w:pPr>
        <w:pStyle w:val="17"/>
        <w:ind w:firstLine="482"/>
        <w:rPr>
          <w:rFonts w:ascii="Times New Roman" w:hAnsi="Times New Roman"/>
          <w:b/>
          <w:bCs/>
          <w:color w:val="auto"/>
          <w:highlight w:val="none"/>
        </w:rPr>
      </w:pPr>
      <w:r>
        <w:rPr>
          <w:rFonts w:hint="eastAsia" w:ascii="Times New Roman" w:hAnsi="Times New Roman"/>
          <w:b/>
          <w:bCs/>
          <w:color w:val="auto"/>
          <w:highlight w:val="none"/>
        </w:rPr>
        <w:t>（4）预测结果分析</w:t>
      </w:r>
    </w:p>
    <w:p>
      <w:pPr>
        <w:pStyle w:val="17"/>
        <w:ind w:firstLine="480"/>
        <w:rPr>
          <w:rFonts w:ascii="Times New Roman" w:hAnsi="Times New Roman"/>
          <w:color w:val="auto"/>
          <w:highlight w:val="none"/>
        </w:rPr>
      </w:pPr>
      <w:r>
        <w:rPr>
          <w:rFonts w:hint="eastAsia" w:ascii="Times New Roman" w:hAnsi="Times New Roman"/>
          <w:color w:val="auto"/>
          <w:highlight w:val="none"/>
        </w:rPr>
        <w:t>根据表</w:t>
      </w:r>
      <w:r>
        <w:rPr>
          <w:rFonts w:hint="eastAsia" w:ascii="Times New Roman" w:hAnsi="Times New Roman"/>
          <w:color w:val="auto"/>
          <w:highlight w:val="none"/>
          <w:lang w:val="en-US" w:eastAsia="zh-CN"/>
        </w:rPr>
        <w:t>1.6</w:t>
      </w:r>
      <w:r>
        <w:rPr>
          <w:rFonts w:hint="eastAsia" w:ascii="Times New Roman" w:hAnsi="Times New Roman"/>
          <w:color w:val="auto"/>
          <w:highlight w:val="none"/>
        </w:rPr>
        <w:t>-5的预测结果可知：本项目有组织排气筒排放污染物（</w:t>
      </w:r>
      <w:r>
        <w:rPr>
          <w:rFonts w:hint="eastAsia" w:ascii="Times New Roman" w:hAnsi="Times New Roman"/>
          <w:color w:val="auto"/>
          <w:highlight w:val="none"/>
          <w:lang w:val="en-US" w:eastAsia="zh-CN"/>
        </w:rPr>
        <w:t>颗粒物</w:t>
      </w:r>
      <w:r>
        <w:rPr>
          <w:rFonts w:hint="eastAsia" w:ascii="Times New Roman" w:hAnsi="Times New Roman"/>
          <w:color w:val="auto"/>
          <w:highlight w:val="none"/>
        </w:rPr>
        <w:t>）最大落地浓度占标率为</w:t>
      </w:r>
      <w:r>
        <w:rPr>
          <w:rFonts w:hint="eastAsia" w:ascii="Times New Roman" w:hAnsi="Times New Roman"/>
          <w:color w:val="auto"/>
          <w:highlight w:val="none"/>
          <w:lang w:val="en-US" w:eastAsia="zh-CN"/>
        </w:rPr>
        <w:t>4.1729%</w:t>
      </w:r>
      <w:r>
        <w:rPr>
          <w:rFonts w:hint="eastAsia" w:ascii="Times New Roman" w:hAnsi="Times New Roman"/>
          <w:color w:val="auto"/>
          <w:highlight w:val="none"/>
        </w:rPr>
        <w:t>，</w:t>
      </w:r>
      <w:r>
        <w:rPr>
          <w:rFonts w:hint="eastAsia" w:ascii="Times New Roman" w:hAnsi="Times New Roman"/>
          <w:color w:val="auto"/>
          <w:highlight w:val="none"/>
          <w:lang w:val="en-US" w:eastAsia="zh-CN"/>
        </w:rPr>
        <w:t>PM</w:t>
      </w:r>
      <w:r>
        <w:rPr>
          <w:rFonts w:hint="eastAsia" w:ascii="Times New Roman" w:hAnsi="Times New Roman"/>
          <w:color w:val="auto"/>
          <w:highlight w:val="none"/>
          <w:vertAlign w:val="subscript"/>
          <w:lang w:val="en-US" w:eastAsia="zh-CN"/>
        </w:rPr>
        <w:t>10</w:t>
      </w:r>
      <w:r>
        <w:rPr>
          <w:rFonts w:hint="eastAsia" w:ascii="Times New Roman" w:hAnsi="Times New Roman"/>
          <w:color w:val="auto"/>
          <w:highlight w:val="none"/>
        </w:rPr>
        <w:t>占标率</w:t>
      </w:r>
      <w:r>
        <w:rPr>
          <w:rFonts w:hint="eastAsia" w:ascii="Times New Roman" w:hAnsi="Times New Roman"/>
          <w:color w:val="auto"/>
          <w:highlight w:val="none"/>
          <w:lang w:eastAsia="zh-CN"/>
        </w:rPr>
        <w:t>小于</w:t>
      </w:r>
      <w:r>
        <w:rPr>
          <w:rFonts w:hint="eastAsia" w:ascii="Times New Roman" w:hAnsi="Times New Roman"/>
          <w:color w:val="auto"/>
          <w:highlight w:val="none"/>
        </w:rPr>
        <w:t>10</w:t>
      </w:r>
      <w:r>
        <w:rPr>
          <w:rFonts w:hint="eastAsia" w:hAnsi="宋体" w:cs="宋体"/>
          <w:color w:val="auto"/>
          <w:highlight w:val="none"/>
        </w:rPr>
        <w:t>％。</w:t>
      </w:r>
    </w:p>
    <w:p>
      <w:pPr>
        <w:pStyle w:val="17"/>
        <w:ind w:firstLine="480"/>
        <w:rPr>
          <w:rFonts w:ascii="Times New Roman" w:hAnsi="Times New Roman"/>
          <w:color w:val="auto"/>
          <w:highlight w:val="none"/>
        </w:rPr>
      </w:pPr>
      <w:r>
        <w:rPr>
          <w:rFonts w:hint="eastAsia" w:ascii="Times New Roman" w:hAnsi="Times New Roman"/>
          <w:color w:val="auto"/>
          <w:highlight w:val="none"/>
        </w:rPr>
        <w:t>根据表</w:t>
      </w:r>
      <w:r>
        <w:rPr>
          <w:rFonts w:hint="eastAsia" w:ascii="Times New Roman" w:hAnsi="Times New Roman"/>
          <w:color w:val="auto"/>
          <w:highlight w:val="none"/>
          <w:lang w:val="en-US" w:eastAsia="zh-CN"/>
        </w:rPr>
        <w:t>1.6</w:t>
      </w:r>
      <w:r>
        <w:rPr>
          <w:rFonts w:hint="eastAsia" w:ascii="Times New Roman" w:hAnsi="Times New Roman"/>
          <w:color w:val="auto"/>
          <w:highlight w:val="none"/>
        </w:rPr>
        <w:t>-6预测结果可知：本项目在采取洒水</w:t>
      </w:r>
      <w:r>
        <w:rPr>
          <w:rFonts w:hint="eastAsia" w:ascii="Times New Roman" w:hAnsi="Times New Roman"/>
          <w:color w:val="auto"/>
          <w:highlight w:val="none"/>
          <w:lang w:eastAsia="zh-CN"/>
        </w:rPr>
        <w:t>、喷雾</w:t>
      </w:r>
      <w:r>
        <w:rPr>
          <w:rFonts w:hint="eastAsia" w:ascii="Times New Roman" w:hAnsi="Times New Roman"/>
          <w:color w:val="auto"/>
          <w:highlight w:val="none"/>
        </w:rPr>
        <w:t>抑尘等措施情况下，</w:t>
      </w:r>
      <w:r>
        <w:rPr>
          <w:rFonts w:hint="eastAsia" w:ascii="Times New Roman" w:hAnsi="Times New Roman"/>
          <w:color w:val="auto"/>
          <w:highlight w:val="none"/>
          <w:lang w:eastAsia="zh-CN"/>
        </w:rPr>
        <w:t>无组织颗粒物</w:t>
      </w:r>
      <w:r>
        <w:rPr>
          <w:rFonts w:hint="eastAsia" w:ascii="Times New Roman" w:hAnsi="Times New Roman"/>
          <w:color w:val="auto"/>
          <w:highlight w:val="none"/>
        </w:rPr>
        <w:t>最大落地浓度占标率为</w:t>
      </w:r>
      <w:r>
        <w:rPr>
          <w:rFonts w:hint="eastAsia" w:ascii="Times New Roman" w:hAnsi="Times New Roman"/>
          <w:color w:val="auto"/>
          <w:highlight w:val="none"/>
          <w:lang w:val="en-US" w:eastAsia="zh-CN"/>
        </w:rPr>
        <w:t>6.8412%</w:t>
      </w:r>
      <w:r>
        <w:rPr>
          <w:rFonts w:hint="eastAsia" w:ascii="Times New Roman" w:hAnsi="Times New Roman"/>
          <w:color w:val="auto"/>
          <w:highlight w:val="none"/>
        </w:rPr>
        <w:t>，占标率</w:t>
      </w:r>
      <w:r>
        <w:rPr>
          <w:rFonts w:hint="eastAsia" w:ascii="Times New Roman" w:hAnsi="Times New Roman"/>
          <w:color w:val="auto"/>
          <w:highlight w:val="none"/>
          <w:lang w:eastAsia="zh-CN"/>
        </w:rPr>
        <w:t>小于</w:t>
      </w:r>
      <w:r>
        <w:rPr>
          <w:rFonts w:hint="eastAsia" w:ascii="Times New Roman" w:hAnsi="Times New Roman"/>
          <w:color w:val="auto"/>
          <w:highlight w:val="none"/>
        </w:rPr>
        <w:t>10</w:t>
      </w:r>
      <w:r>
        <w:rPr>
          <w:rFonts w:hint="eastAsia" w:hAnsi="宋体" w:cs="宋体"/>
          <w:color w:val="auto"/>
          <w:highlight w:val="none"/>
        </w:rPr>
        <w:t>％。</w:t>
      </w:r>
    </w:p>
    <w:p>
      <w:pPr>
        <w:pStyle w:val="17"/>
        <w:ind w:firstLine="482"/>
        <w:rPr>
          <w:rFonts w:ascii="Times New Roman" w:hAnsi="Times New Roman"/>
          <w:b/>
          <w:bCs/>
          <w:color w:val="auto"/>
          <w:highlight w:val="none"/>
        </w:rPr>
      </w:pPr>
      <w:r>
        <w:rPr>
          <w:rFonts w:hint="eastAsia" w:ascii="Times New Roman" w:hAnsi="Times New Roman"/>
          <w:b/>
          <w:bCs/>
          <w:color w:val="auto"/>
          <w:highlight w:val="none"/>
        </w:rPr>
        <w:t>（</w:t>
      </w:r>
      <w:r>
        <w:rPr>
          <w:rFonts w:hint="eastAsia" w:ascii="Times New Roman" w:hAnsi="Times New Roman"/>
          <w:b/>
          <w:bCs/>
          <w:color w:val="auto"/>
          <w:highlight w:val="none"/>
          <w:lang w:val="en-US" w:eastAsia="zh-CN"/>
        </w:rPr>
        <w:t>5</w:t>
      </w:r>
      <w:r>
        <w:rPr>
          <w:rFonts w:hint="eastAsia" w:ascii="Times New Roman" w:hAnsi="Times New Roman"/>
          <w:b/>
          <w:bCs/>
          <w:color w:val="auto"/>
          <w:highlight w:val="none"/>
        </w:rPr>
        <w:t>）评价等级</w:t>
      </w:r>
    </w:p>
    <w:p>
      <w:pPr>
        <w:adjustRightInd w:val="0"/>
        <w:snapToGrid w:val="0"/>
        <w:ind w:firstLine="480"/>
        <w:rPr>
          <w:color w:val="auto"/>
          <w:highlight w:val="none"/>
        </w:rPr>
      </w:pPr>
      <w:r>
        <w:rPr>
          <w:rFonts w:hint="eastAsia"/>
          <w:color w:val="auto"/>
          <w:highlight w:val="none"/>
        </w:rPr>
        <w:t>根据《环境影响评价技术导则—大气环境》（HJ2.2-2018）评价工作的分级依据，本项目大气评价等级为</w:t>
      </w:r>
      <w:r>
        <w:rPr>
          <w:rFonts w:hint="eastAsia"/>
          <w:color w:val="auto"/>
          <w:highlight w:val="none"/>
          <w:lang w:eastAsia="zh-CN"/>
        </w:rPr>
        <w:t>二级</w:t>
      </w:r>
      <w:r>
        <w:rPr>
          <w:rFonts w:hint="eastAsia"/>
          <w:color w:val="auto"/>
          <w:highlight w:val="none"/>
        </w:rPr>
        <w:t>。</w:t>
      </w:r>
    </w:p>
    <w:p>
      <w:pPr>
        <w:pStyle w:val="17"/>
        <w:ind w:firstLine="482"/>
        <w:rPr>
          <w:rFonts w:ascii="Times New Roman" w:hAnsi="Times New Roman"/>
          <w:b/>
          <w:bCs/>
          <w:color w:val="auto"/>
          <w:highlight w:val="none"/>
        </w:rPr>
      </w:pPr>
      <w:r>
        <w:rPr>
          <w:rFonts w:hint="eastAsia" w:ascii="Times New Roman" w:hAnsi="Times New Roman"/>
          <w:b/>
          <w:bCs/>
          <w:color w:val="auto"/>
          <w:highlight w:val="none"/>
        </w:rPr>
        <w:t>（</w:t>
      </w:r>
      <w:r>
        <w:rPr>
          <w:rFonts w:hint="eastAsia" w:ascii="Times New Roman" w:hAnsi="Times New Roman"/>
          <w:b/>
          <w:bCs/>
          <w:color w:val="auto"/>
          <w:highlight w:val="none"/>
          <w:lang w:val="en-US" w:eastAsia="zh-CN"/>
        </w:rPr>
        <w:t>6</w:t>
      </w:r>
      <w:r>
        <w:rPr>
          <w:rFonts w:hint="eastAsia" w:ascii="Times New Roman" w:hAnsi="Times New Roman"/>
          <w:b/>
          <w:bCs/>
          <w:color w:val="auto"/>
          <w:highlight w:val="none"/>
        </w:rPr>
        <w:t>）评价范围</w:t>
      </w:r>
    </w:p>
    <w:p>
      <w:pPr>
        <w:pStyle w:val="17"/>
        <w:ind w:firstLine="480"/>
        <w:rPr>
          <w:rFonts w:ascii="Times New Roman" w:hAnsi="Times New Roman"/>
          <w:highlight w:val="none"/>
        </w:rPr>
      </w:pPr>
      <w:r>
        <w:rPr>
          <w:rFonts w:hint="eastAsia" w:ascii="Times New Roman" w:hAnsi="Times New Roman"/>
          <w:color w:val="auto"/>
          <w:highlight w:val="none"/>
          <w:lang w:eastAsia="zh-CN"/>
        </w:rPr>
        <w:t>根据《环境影响评价技术导则</w:t>
      </w:r>
      <w:r>
        <w:rPr>
          <w:rFonts w:hint="eastAsia" w:ascii="Times New Roman" w:hAnsi="Times New Roman"/>
          <w:color w:val="auto"/>
          <w:highlight w:val="none"/>
          <w:lang w:val="en-US" w:eastAsia="zh-CN"/>
        </w:rPr>
        <w:t xml:space="preserve"> 大气环境</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HJ2.2-2018</w:t>
      </w:r>
      <w:r>
        <w:rPr>
          <w:rFonts w:hint="eastAsia" w:ascii="Times New Roman" w:hAnsi="Times New Roman"/>
          <w:color w:val="auto"/>
          <w:highlight w:val="none"/>
          <w:lang w:eastAsia="zh-CN"/>
        </w:rPr>
        <w:t>），大气评价等级为二级，确定评价范围为以厂址为中心区域，厂界外延</w:t>
      </w:r>
      <w:r>
        <w:rPr>
          <w:rFonts w:hint="eastAsia" w:ascii="Times New Roman" w:hAnsi="Times New Roman"/>
          <w:color w:val="auto"/>
          <w:highlight w:val="none"/>
          <w:lang w:val="en-US" w:eastAsia="zh-CN"/>
        </w:rPr>
        <w:t>5km</w:t>
      </w:r>
      <w:r>
        <w:rPr>
          <w:rFonts w:hint="eastAsia" w:ascii="Times New Roman" w:hAnsi="Times New Roman"/>
          <w:color w:val="auto"/>
          <w:highlight w:val="none"/>
        </w:rPr>
        <w:t>的矩形区域</w:t>
      </w:r>
      <w:r>
        <w:rPr>
          <w:rFonts w:hint="eastAsia" w:ascii="Times New Roman" w:hAnsi="Times New Roman"/>
          <w:color w:val="auto"/>
          <w:highlight w:val="none"/>
          <w:lang w:eastAsia="zh-CN"/>
        </w:rPr>
        <w:t>。</w:t>
      </w:r>
      <w:r>
        <w:rPr>
          <w:sz w:val="24"/>
          <w:highlight w:val="none"/>
        </w:rPr>
        <mc:AlternateContent>
          <mc:Choice Requires="wps">
            <w:drawing>
              <wp:anchor distT="0" distB="0" distL="114300" distR="114300" simplePos="0" relativeHeight="276265984" behindDoc="0" locked="0" layoutInCell="1" allowOverlap="1">
                <wp:simplePos x="0" y="0"/>
                <wp:positionH relativeFrom="column">
                  <wp:posOffset>1634490</wp:posOffset>
                </wp:positionH>
                <wp:positionV relativeFrom="paragraph">
                  <wp:posOffset>3947160</wp:posOffset>
                </wp:positionV>
                <wp:extent cx="2486025" cy="371475"/>
                <wp:effectExtent l="0" t="0" r="0" b="0"/>
                <wp:wrapNone/>
                <wp:docPr id="78" name="文本框 78"/>
                <wp:cNvGraphicFramePr/>
                <a:graphic xmlns:a="http://schemas.openxmlformats.org/drawingml/2006/main">
                  <a:graphicData uri="http://schemas.microsoft.com/office/word/2010/wordprocessingShape">
                    <wps:wsp>
                      <wps:cNvSpPr txBox="1"/>
                      <wps:spPr>
                        <a:xfrm>
                          <a:off x="2334260" y="5237480"/>
                          <a:ext cx="2486025" cy="371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color w:val="FFFF00"/>
                                <w:lang w:eastAsia="zh-CN"/>
                              </w:rPr>
                            </w:pPr>
                            <w:r>
                              <w:rPr>
                                <w:rFonts w:hint="eastAsia"/>
                                <w:color w:val="FFFF00"/>
                                <w:lang w:eastAsia="zh-CN"/>
                              </w:rPr>
                              <w:t>黄色线框表示评价范围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8.7pt;margin-top:310.8pt;height:29.25pt;width:195.75pt;z-index:276265984;mso-width-relative:page;mso-height-relative:page;" filled="f" stroked="f" coordsize="21600,21600" o:gfxdata="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clbULcAAAACwEAAA8AAAAA&#10;AAAAAQAgAAAAIgAAAGRycy9kb3ducmV2LnhtbFBLAQIUABQAAAAIAIdO4kDS+IP7SQIAAHQEAAAO&#10;AAAAAAAAAAEAIAAAACsBAABkcnMvZTJvRG9jLnhtbFBLBQYAAAAABgAGAFkBAADmBQAAAAA=&#10;">
                <v:fill on="f" focussize="0,0"/>
                <v:stroke on="f" weight="0.5pt"/>
                <v:imagedata o:title=""/>
                <o:lock v:ext="edit" aspectratio="f"/>
                <v:textbox>
                  <w:txbxContent>
                    <w:p>
                      <w:pPr>
                        <w:jc w:val="center"/>
                        <w:rPr>
                          <w:rFonts w:hint="eastAsia" w:eastAsia="宋体"/>
                          <w:color w:val="FFFF00"/>
                          <w:lang w:eastAsia="zh-CN"/>
                        </w:rPr>
                      </w:pPr>
                      <w:r>
                        <w:rPr>
                          <w:rFonts w:hint="eastAsia"/>
                          <w:color w:val="FFFF00"/>
                          <w:lang w:eastAsia="zh-CN"/>
                        </w:rPr>
                        <w:t>黄色线框表示评价范围</w:t>
                      </w:r>
                    </w:p>
                  </w:txbxContent>
                </v:textbox>
              </v:shape>
            </w:pict>
          </mc:Fallback>
        </mc:AlternateContent>
      </w:r>
    </w:p>
    <w:p>
      <w:pPr>
        <w:pStyle w:val="5"/>
        <w:adjustRightInd w:val="0"/>
        <w:snapToGrid w:val="0"/>
        <w:rPr>
          <w:rFonts w:hint="default"/>
          <w:highlight w:val="none"/>
        </w:rPr>
      </w:pPr>
      <w:bookmarkStart w:id="158" w:name="_Toc488825482"/>
      <w:bookmarkStart w:id="159" w:name="_Toc4646"/>
      <w:bookmarkStart w:id="160" w:name="_Toc480560030"/>
      <w:bookmarkStart w:id="161" w:name="_Toc501887241"/>
      <w:bookmarkStart w:id="162" w:name="_Toc11"/>
      <w:bookmarkStart w:id="163" w:name="_Toc11459"/>
      <w:bookmarkStart w:id="164" w:name="_Toc3272"/>
      <w:bookmarkStart w:id="165" w:name="_Toc824"/>
      <w:r>
        <w:rPr>
          <w:rFonts w:hint="default"/>
          <w:highlight w:val="none"/>
        </w:rPr>
        <w:t>1.</w:t>
      </w:r>
      <w:r>
        <w:rPr>
          <w:highlight w:val="none"/>
        </w:rPr>
        <w:t>6</w:t>
      </w:r>
      <w:r>
        <w:rPr>
          <w:rFonts w:hint="default"/>
          <w:highlight w:val="none"/>
        </w:rPr>
        <w:t>.2 地表水</w:t>
      </w:r>
      <w:bookmarkEnd w:id="158"/>
      <w:bookmarkEnd w:id="159"/>
      <w:bookmarkEnd w:id="160"/>
      <w:bookmarkEnd w:id="161"/>
      <w:bookmarkEnd w:id="162"/>
      <w:bookmarkEnd w:id="163"/>
      <w:bookmarkEnd w:id="164"/>
      <w:bookmarkEnd w:id="165"/>
    </w:p>
    <w:p>
      <w:pPr>
        <w:ind w:firstLine="482"/>
        <w:rPr>
          <w:highlight w:val="none"/>
        </w:rPr>
      </w:pPr>
      <w:r>
        <w:rPr>
          <w:rFonts w:hint="eastAsia"/>
          <w:b/>
          <w:bCs/>
          <w:highlight w:val="none"/>
        </w:rPr>
        <w:t>生产废水：</w:t>
      </w:r>
      <w:r>
        <w:rPr>
          <w:rFonts w:hint="eastAsia"/>
          <w:highlight w:val="none"/>
        </w:rPr>
        <w:t>本项生产用水在使用过程中全部蒸发损耗，无外排废水。</w:t>
      </w:r>
    </w:p>
    <w:p>
      <w:pPr>
        <w:ind w:firstLine="482"/>
        <w:rPr>
          <w:rFonts w:hint="eastAsia" w:ascii="宋体" w:hAnsi="宋体" w:cs="宋体"/>
          <w:kern w:val="0"/>
          <w:highlight w:val="none"/>
        </w:rPr>
      </w:pPr>
      <w:r>
        <w:rPr>
          <w:rFonts w:hint="eastAsia"/>
          <w:b/>
          <w:bCs/>
          <w:highlight w:val="none"/>
          <w:lang w:eastAsia="zh-CN"/>
        </w:rPr>
        <w:t>生活污水</w:t>
      </w:r>
      <w:r>
        <w:rPr>
          <w:rFonts w:hint="eastAsia"/>
          <w:b/>
          <w:bCs/>
          <w:highlight w:val="none"/>
        </w:rPr>
        <w:t>：</w:t>
      </w:r>
      <w:r>
        <w:rPr>
          <w:rFonts w:hint="eastAsia"/>
          <w:highlight w:val="none"/>
        </w:rPr>
        <w:t>本项目</w:t>
      </w:r>
      <w:r>
        <w:rPr>
          <w:rFonts w:hint="eastAsia"/>
          <w:highlight w:val="none"/>
          <w:lang w:eastAsia="zh-CN"/>
        </w:rPr>
        <w:t>设置旱厕，生活废水主要为洗手等清洗废水，</w:t>
      </w:r>
      <w:r>
        <w:rPr>
          <w:rFonts w:hint="eastAsia"/>
          <w:highlight w:val="none"/>
        </w:rPr>
        <w:t>经</w:t>
      </w:r>
      <w:r>
        <w:rPr>
          <w:rFonts w:hint="eastAsia"/>
          <w:highlight w:val="none"/>
          <w:lang w:eastAsia="zh-CN"/>
        </w:rPr>
        <w:t>沉淀池</w:t>
      </w:r>
      <w:r>
        <w:rPr>
          <w:rFonts w:hint="eastAsia"/>
          <w:highlight w:val="none"/>
        </w:rPr>
        <w:t>处理后</w:t>
      </w:r>
      <w:r>
        <w:rPr>
          <w:rFonts w:hint="eastAsia"/>
          <w:highlight w:val="none"/>
          <w:lang w:eastAsia="zh-CN"/>
        </w:rPr>
        <w:t>回用于场地洒水降尘</w:t>
      </w:r>
      <w:r>
        <w:rPr>
          <w:rFonts w:hint="eastAsia"/>
          <w:highlight w:val="none"/>
        </w:rPr>
        <w:t>，不外排。</w:t>
      </w:r>
    </w:p>
    <w:p>
      <w:pPr>
        <w:ind w:firstLine="482"/>
        <w:rPr>
          <w:rFonts w:hint="eastAsia" w:ascii="宋体" w:hAnsi="宋体" w:cs="宋体"/>
          <w:kern w:val="0"/>
          <w:highlight w:val="none"/>
        </w:rPr>
      </w:pPr>
      <w:r>
        <w:rPr>
          <w:rFonts w:hint="eastAsia" w:ascii="宋体" w:hAnsi="宋体" w:cs="宋体"/>
          <w:b/>
          <w:bCs/>
          <w:kern w:val="0"/>
          <w:highlight w:val="none"/>
          <w:lang w:eastAsia="zh-CN"/>
        </w:rPr>
        <w:t>降雨径流：</w:t>
      </w:r>
      <w:r>
        <w:rPr>
          <w:rFonts w:hint="default" w:ascii="Times New Roman" w:hAnsi="Times New Roman" w:cs="Times New Roman"/>
          <w:kern w:val="0"/>
          <w:highlight w:val="none"/>
          <w:lang w:eastAsia="zh-CN"/>
        </w:rPr>
        <w:t>本项目</w:t>
      </w:r>
      <w:r>
        <w:rPr>
          <w:rFonts w:hint="eastAsia" w:cs="Times New Roman"/>
          <w:kern w:val="0"/>
          <w:highlight w:val="none"/>
          <w:lang w:eastAsia="zh-CN"/>
        </w:rPr>
        <w:t>矿区降雨径流</w:t>
      </w:r>
      <w:r>
        <w:rPr>
          <w:rFonts w:hint="default" w:ascii="Times New Roman" w:hAnsi="Times New Roman" w:cs="Times New Roman"/>
          <w:kern w:val="0"/>
          <w:highlight w:val="none"/>
          <w:lang w:eastAsia="zh-CN"/>
        </w:rPr>
        <w:t>收集进入矿区内设置的</w:t>
      </w:r>
      <w:r>
        <w:rPr>
          <w:rFonts w:hint="eastAsia" w:cs="Times New Roman"/>
          <w:kern w:val="0"/>
          <w:highlight w:val="none"/>
          <w:lang w:val="en-US" w:eastAsia="zh-CN"/>
        </w:rPr>
        <w:t>沉淀池</w:t>
      </w:r>
      <w:r>
        <w:rPr>
          <w:rFonts w:hint="default" w:ascii="Times New Roman" w:hAnsi="Times New Roman" w:cs="Times New Roman"/>
          <w:kern w:val="0"/>
          <w:highlight w:val="none"/>
          <w:lang w:val="en-US" w:eastAsia="zh-CN"/>
        </w:rPr>
        <w:t>，经沉淀后回用于矿区洒水降尘、绿化</w:t>
      </w:r>
      <w:r>
        <w:rPr>
          <w:rFonts w:hint="eastAsia" w:cs="Times New Roman"/>
          <w:kern w:val="0"/>
          <w:highlight w:val="none"/>
          <w:lang w:val="en-US" w:eastAsia="zh-CN"/>
        </w:rPr>
        <w:t>等</w:t>
      </w:r>
      <w:r>
        <w:rPr>
          <w:rFonts w:hint="default" w:ascii="Times New Roman" w:hAnsi="Times New Roman" w:cs="Times New Roman"/>
          <w:kern w:val="0"/>
          <w:highlight w:val="none"/>
          <w:lang w:val="en-US" w:eastAsia="zh-CN"/>
        </w:rPr>
        <w:t>用水，不外排。</w:t>
      </w:r>
    </w:p>
    <w:p>
      <w:pPr>
        <w:ind w:firstLine="482"/>
        <w:rPr>
          <w:highlight w:val="none"/>
        </w:rPr>
      </w:pPr>
      <w:r>
        <w:rPr>
          <w:rFonts w:hint="eastAsia"/>
          <w:b/>
          <w:bCs/>
          <w:highlight w:val="none"/>
        </w:rPr>
        <w:t>评价等级：</w:t>
      </w:r>
      <w:r>
        <w:rPr>
          <w:highlight w:val="none"/>
        </w:rPr>
        <w:t>按照《环境影响评价技术导则 地表水环境》（HJ</w:t>
      </w:r>
      <w:r>
        <w:rPr>
          <w:rFonts w:hint="eastAsia"/>
          <w:highlight w:val="none"/>
          <w:lang w:val="en-US" w:eastAsia="zh-CN"/>
        </w:rPr>
        <w:t xml:space="preserve"> </w:t>
      </w:r>
      <w:r>
        <w:rPr>
          <w:highlight w:val="none"/>
        </w:rPr>
        <w:t>2.3-</w:t>
      </w:r>
      <w:r>
        <w:rPr>
          <w:rFonts w:hint="eastAsia"/>
          <w:highlight w:val="none"/>
        </w:rPr>
        <w:t>2018</w:t>
      </w:r>
      <w:r>
        <w:rPr>
          <w:highlight w:val="none"/>
        </w:rPr>
        <w:t>）中</w:t>
      </w:r>
      <w:r>
        <w:rPr>
          <w:rFonts w:hint="eastAsia"/>
          <w:highlight w:val="none"/>
        </w:rPr>
        <w:t>5.2</w:t>
      </w:r>
      <w:r>
        <w:rPr>
          <w:highlight w:val="none"/>
        </w:rPr>
        <w:t xml:space="preserve"> 条评价级别的规定，本次地表水环境影响评价</w:t>
      </w:r>
      <w:r>
        <w:rPr>
          <w:rFonts w:hint="eastAsia"/>
          <w:highlight w:val="none"/>
        </w:rPr>
        <w:t>等级为三级B</w:t>
      </w:r>
      <w:r>
        <w:rPr>
          <w:highlight w:val="none"/>
        </w:rPr>
        <w:t>。</w:t>
      </w:r>
    </w:p>
    <w:p>
      <w:pPr>
        <w:pStyle w:val="17"/>
        <w:ind w:firstLine="482"/>
        <w:rPr>
          <w:rFonts w:ascii="Times New Roman" w:hAnsi="Times New Roman"/>
          <w:highlight w:val="none"/>
        </w:rPr>
      </w:pPr>
      <w:r>
        <w:rPr>
          <w:rFonts w:hint="eastAsia" w:ascii="Times New Roman" w:hAnsi="Times New Roman"/>
          <w:b/>
          <w:bCs/>
          <w:highlight w:val="none"/>
        </w:rPr>
        <w:t>评价范围：</w:t>
      </w:r>
      <w:r>
        <w:rPr>
          <w:rFonts w:hint="eastAsia" w:ascii="Times New Roman" w:hAnsi="Times New Roman"/>
          <w:highlight w:val="none"/>
          <w:lang w:eastAsia="zh-CN"/>
        </w:rPr>
        <w:t>该项目评价等级为三级</w:t>
      </w:r>
      <w:r>
        <w:rPr>
          <w:rFonts w:hint="eastAsia" w:ascii="Times New Roman" w:hAnsi="Times New Roman"/>
          <w:highlight w:val="none"/>
          <w:lang w:val="en-US" w:eastAsia="zh-CN"/>
        </w:rPr>
        <w:t>B，重点分析项目废水处理回用的可行性、可靠性</w:t>
      </w:r>
      <w:r>
        <w:rPr>
          <w:rFonts w:hint="eastAsia" w:ascii="Times New Roman" w:hAnsi="Times New Roman"/>
          <w:highlight w:val="none"/>
        </w:rPr>
        <w:t>。</w:t>
      </w:r>
    </w:p>
    <w:p>
      <w:pPr>
        <w:pStyle w:val="5"/>
        <w:adjustRightInd w:val="0"/>
        <w:snapToGrid w:val="0"/>
        <w:rPr>
          <w:rFonts w:hint="default"/>
          <w:highlight w:val="none"/>
        </w:rPr>
      </w:pPr>
      <w:bookmarkStart w:id="166" w:name="_Toc32733"/>
      <w:bookmarkStart w:id="167" w:name="_Toc480560031"/>
      <w:bookmarkStart w:id="168" w:name="_Toc488825483"/>
      <w:bookmarkStart w:id="169" w:name="_Toc18613"/>
      <w:bookmarkStart w:id="170" w:name="_Toc28779"/>
      <w:bookmarkStart w:id="171" w:name="_Toc27858"/>
      <w:bookmarkStart w:id="172" w:name="_Toc501887242"/>
      <w:bookmarkStart w:id="173" w:name="_Toc19113"/>
      <w:r>
        <w:rPr>
          <w:rFonts w:hint="default"/>
          <w:highlight w:val="none"/>
        </w:rPr>
        <w:t>1.</w:t>
      </w:r>
      <w:r>
        <w:rPr>
          <w:highlight w:val="none"/>
        </w:rPr>
        <w:t>6</w:t>
      </w:r>
      <w:r>
        <w:rPr>
          <w:rFonts w:hint="default"/>
          <w:highlight w:val="none"/>
        </w:rPr>
        <w:t>.3 地下水</w:t>
      </w:r>
      <w:bookmarkEnd w:id="166"/>
      <w:bookmarkEnd w:id="167"/>
      <w:bookmarkEnd w:id="168"/>
      <w:bookmarkEnd w:id="169"/>
      <w:bookmarkEnd w:id="170"/>
      <w:bookmarkEnd w:id="171"/>
      <w:bookmarkEnd w:id="172"/>
      <w:bookmarkEnd w:id="173"/>
    </w:p>
    <w:p>
      <w:pPr>
        <w:ind w:firstLine="480"/>
        <w:rPr>
          <w:highlight w:val="none"/>
        </w:rPr>
      </w:pPr>
      <w:r>
        <w:rPr>
          <w:kern w:val="0"/>
          <w:highlight w:val="none"/>
        </w:rPr>
        <w:t>本项目行业类别属非金属矿采选及制品制造-土砂石开采，查询 《环境影响评价技术导则 地下水环境》</w:t>
      </w:r>
      <w:r>
        <w:rPr>
          <w:rFonts w:hint="eastAsia"/>
          <w:kern w:val="0"/>
          <w:highlight w:val="none"/>
          <w:lang w:eastAsia="zh-CN"/>
        </w:rPr>
        <w:t>（</w:t>
      </w:r>
      <w:r>
        <w:rPr>
          <w:kern w:val="0"/>
          <w:highlight w:val="none"/>
        </w:rPr>
        <w:t>HJ610-2016</w:t>
      </w:r>
      <w:r>
        <w:rPr>
          <w:rFonts w:hint="eastAsia"/>
          <w:kern w:val="0"/>
          <w:highlight w:val="none"/>
          <w:lang w:eastAsia="zh-CN"/>
        </w:rPr>
        <w:t>）</w:t>
      </w:r>
      <w:r>
        <w:rPr>
          <w:kern w:val="0"/>
          <w:highlight w:val="none"/>
        </w:rPr>
        <w:t>附录 A</w:t>
      </w:r>
      <w:r>
        <w:rPr>
          <w:color w:val="auto"/>
          <w:kern w:val="0"/>
          <w:highlight w:val="none"/>
        </w:rPr>
        <w:t>，判定本项目地下水环境影响评价类别为Ⅳ类。</w:t>
      </w:r>
      <w:r>
        <w:rPr>
          <w:kern w:val="0"/>
          <w:highlight w:val="none"/>
        </w:rPr>
        <w:t>根据 HJ610-2016《环境影响评价技术导则 地下水环境》4.1 章节，Ⅳ类建设项目不开展地下水环境影响评价。</w:t>
      </w:r>
    </w:p>
    <w:p>
      <w:pPr>
        <w:pStyle w:val="5"/>
        <w:adjustRightInd w:val="0"/>
        <w:snapToGrid w:val="0"/>
        <w:rPr>
          <w:rFonts w:hint="default"/>
          <w:highlight w:val="none"/>
        </w:rPr>
      </w:pPr>
      <w:bookmarkStart w:id="174" w:name="_Toc480560032"/>
      <w:bookmarkStart w:id="175" w:name="_Toc21208"/>
      <w:bookmarkStart w:id="176" w:name="_Toc14518"/>
      <w:bookmarkStart w:id="177" w:name="_Toc488825484"/>
      <w:bookmarkStart w:id="178" w:name="_Toc11428"/>
      <w:bookmarkStart w:id="179" w:name="_Toc501887243"/>
      <w:bookmarkStart w:id="180" w:name="_Toc24726"/>
      <w:bookmarkStart w:id="181" w:name="_Toc27025"/>
      <w:r>
        <w:rPr>
          <w:rFonts w:hint="default"/>
          <w:highlight w:val="none"/>
        </w:rPr>
        <w:t>1.</w:t>
      </w:r>
      <w:r>
        <w:rPr>
          <w:highlight w:val="none"/>
        </w:rPr>
        <w:t>6</w:t>
      </w:r>
      <w:r>
        <w:rPr>
          <w:rFonts w:hint="default"/>
          <w:highlight w:val="none"/>
        </w:rPr>
        <w:t>.4 声环境</w:t>
      </w:r>
      <w:bookmarkEnd w:id="174"/>
      <w:bookmarkEnd w:id="175"/>
      <w:bookmarkEnd w:id="176"/>
      <w:bookmarkEnd w:id="177"/>
      <w:bookmarkEnd w:id="178"/>
      <w:bookmarkEnd w:id="179"/>
      <w:bookmarkEnd w:id="180"/>
      <w:bookmarkEnd w:id="181"/>
    </w:p>
    <w:p>
      <w:pPr>
        <w:ind w:firstLine="480"/>
        <w:rPr>
          <w:kern w:val="0"/>
          <w:highlight w:val="none"/>
        </w:rPr>
      </w:pPr>
      <w:r>
        <w:rPr>
          <w:rFonts w:hint="eastAsia"/>
          <w:kern w:val="0"/>
          <w:highlight w:val="none"/>
        </w:rPr>
        <w:t>评价主要以厂界噪声为评价对象，噪声源主要是破碎机、</w:t>
      </w:r>
      <w:r>
        <w:rPr>
          <w:rFonts w:hint="eastAsia"/>
          <w:kern w:val="0"/>
          <w:highlight w:val="none"/>
          <w:lang w:eastAsia="zh-CN"/>
        </w:rPr>
        <w:t>筛分设备、</w:t>
      </w:r>
      <w:r>
        <w:rPr>
          <w:rFonts w:hint="eastAsia"/>
          <w:kern w:val="0"/>
          <w:highlight w:val="none"/>
        </w:rPr>
        <w:t>挖掘机及爆破噪声等，本项目厂界200m范围内无敏感点，主要关心点均在距离厂界1km左右，根据《环境影响评价技术导则  声环境》</w:t>
      </w:r>
      <w:r>
        <w:rPr>
          <w:rFonts w:hint="eastAsia"/>
          <w:kern w:val="0"/>
          <w:highlight w:val="none"/>
          <w:lang w:eastAsia="zh-CN"/>
        </w:rPr>
        <w:t>（</w:t>
      </w:r>
      <w:r>
        <w:rPr>
          <w:rFonts w:hint="eastAsia"/>
          <w:kern w:val="0"/>
          <w:highlight w:val="none"/>
        </w:rPr>
        <w:t>HJ2.4-2009</w:t>
      </w:r>
      <w:r>
        <w:rPr>
          <w:rFonts w:hint="eastAsia"/>
          <w:kern w:val="0"/>
          <w:highlight w:val="none"/>
          <w:lang w:eastAsia="zh-CN"/>
        </w:rPr>
        <w:t>）</w:t>
      </w:r>
      <w:r>
        <w:rPr>
          <w:rFonts w:hint="eastAsia"/>
          <w:kern w:val="0"/>
          <w:highlight w:val="none"/>
        </w:rPr>
        <w:t>的有关规定</w:t>
      </w:r>
      <w:r>
        <w:rPr>
          <w:rFonts w:hint="eastAsia"/>
          <w:kern w:val="0"/>
          <w:highlight w:val="none"/>
          <w:lang w:val="en-US" w:eastAsia="zh-CN"/>
        </w:rPr>
        <w:t>，项目处于</w:t>
      </w:r>
      <w:r>
        <w:rPr>
          <w:rFonts w:hint="eastAsia"/>
          <w:highlight w:val="none"/>
        </w:rPr>
        <w:t>2类声环境功能区</w:t>
      </w:r>
      <w:r>
        <w:rPr>
          <w:rFonts w:hint="eastAsia"/>
          <w:highlight w:val="none"/>
          <w:lang w:eastAsia="zh-CN"/>
        </w:rPr>
        <w:t>，</w:t>
      </w:r>
      <w:r>
        <w:rPr>
          <w:rFonts w:hint="eastAsia"/>
          <w:kern w:val="0"/>
          <w:highlight w:val="none"/>
        </w:rPr>
        <w:t>确定噪声评价做</w:t>
      </w:r>
      <w:r>
        <w:rPr>
          <w:rFonts w:hint="eastAsia"/>
          <w:kern w:val="0"/>
          <w:highlight w:val="none"/>
          <w:lang w:eastAsia="zh-CN"/>
        </w:rPr>
        <w:t>二</w:t>
      </w:r>
      <w:r>
        <w:rPr>
          <w:rFonts w:hint="eastAsia"/>
          <w:kern w:val="0"/>
          <w:highlight w:val="none"/>
        </w:rPr>
        <w:t>级评价。</w:t>
      </w:r>
    </w:p>
    <w:p>
      <w:pPr>
        <w:pStyle w:val="17"/>
        <w:ind w:firstLine="480"/>
        <w:rPr>
          <w:rFonts w:ascii="Times New Roman" w:hAnsi="Times New Roman"/>
          <w:kern w:val="0"/>
          <w:highlight w:val="none"/>
        </w:rPr>
      </w:pPr>
      <w:r>
        <w:rPr>
          <w:rFonts w:hint="eastAsia" w:ascii="Times New Roman" w:hAnsi="Times New Roman"/>
          <w:kern w:val="0"/>
          <w:highlight w:val="none"/>
        </w:rPr>
        <w:t>评价范围：厂界外延200m的范围。</w:t>
      </w:r>
    </w:p>
    <w:p>
      <w:pPr>
        <w:pStyle w:val="5"/>
        <w:adjustRightInd w:val="0"/>
        <w:snapToGrid w:val="0"/>
        <w:rPr>
          <w:rFonts w:hint="default"/>
          <w:highlight w:val="none"/>
        </w:rPr>
      </w:pPr>
      <w:bookmarkStart w:id="182" w:name="_Toc488825485"/>
      <w:bookmarkStart w:id="183" w:name="_Toc501887244"/>
      <w:bookmarkStart w:id="184" w:name="_Toc12577"/>
      <w:bookmarkStart w:id="185" w:name="_Toc15746"/>
      <w:bookmarkStart w:id="186" w:name="_Toc23234"/>
      <w:bookmarkStart w:id="187" w:name="_Toc24664"/>
      <w:bookmarkStart w:id="188" w:name="_Toc20579"/>
      <w:bookmarkStart w:id="189" w:name="_Toc480560033"/>
      <w:bookmarkStart w:id="190" w:name="_Toc212807757"/>
      <w:bookmarkStart w:id="191" w:name="_Toc192562060"/>
      <w:bookmarkStart w:id="192" w:name="_Toc97630566"/>
      <w:bookmarkStart w:id="193" w:name="_Toc230430403"/>
      <w:bookmarkStart w:id="194" w:name="_Toc187145715"/>
      <w:bookmarkStart w:id="195" w:name="_Toc188863706"/>
      <w:bookmarkStart w:id="196" w:name="_Toc192653875"/>
      <w:bookmarkStart w:id="197" w:name="_Toc212987795"/>
      <w:bookmarkStart w:id="198" w:name="_Toc187145970"/>
      <w:bookmarkStart w:id="199" w:name="_Toc181198212"/>
      <w:r>
        <w:rPr>
          <w:rFonts w:hint="default"/>
          <w:highlight w:val="none"/>
        </w:rPr>
        <w:t>1.</w:t>
      </w:r>
      <w:r>
        <w:rPr>
          <w:highlight w:val="none"/>
        </w:rPr>
        <w:t>6</w:t>
      </w:r>
      <w:r>
        <w:rPr>
          <w:rFonts w:hint="default"/>
          <w:highlight w:val="none"/>
        </w:rPr>
        <w:t>.5 环境风险</w:t>
      </w:r>
      <w:bookmarkEnd w:id="182"/>
      <w:bookmarkEnd w:id="183"/>
      <w:bookmarkEnd w:id="184"/>
      <w:bookmarkEnd w:id="185"/>
      <w:bookmarkEnd w:id="186"/>
      <w:bookmarkEnd w:id="187"/>
      <w:bookmarkEnd w:id="188"/>
      <w:bookmarkEnd w:id="189"/>
    </w:p>
    <w:p>
      <w:pPr>
        <w:pStyle w:val="17"/>
        <w:ind w:firstLine="480"/>
        <w:rPr>
          <w:rFonts w:ascii="Times New Roman"/>
          <w:color w:val="auto"/>
          <w:highlight w:val="none"/>
        </w:rPr>
      </w:pPr>
      <w:r>
        <w:rPr>
          <w:rFonts w:hint="eastAsia" w:ascii="Times New Roman" w:hAnsi="Times New Roman"/>
          <w:b/>
          <w:bCs/>
          <w:color w:val="auto"/>
          <w:kern w:val="0"/>
          <w:highlight w:val="none"/>
          <w:lang w:eastAsia="zh-CN"/>
        </w:rPr>
        <w:t>评价等级：</w:t>
      </w:r>
      <w:r>
        <w:rPr>
          <w:rFonts w:hint="eastAsia" w:ascii="Times New Roman" w:hAnsi="Times New Roman"/>
          <w:color w:val="auto"/>
          <w:kern w:val="0"/>
          <w:highlight w:val="none"/>
        </w:rPr>
        <w:t>本项目</w:t>
      </w:r>
      <w:r>
        <w:rPr>
          <w:rFonts w:hint="eastAsia"/>
          <w:color w:val="auto"/>
          <w:kern w:val="0"/>
          <w:highlight w:val="none"/>
        </w:rPr>
        <w:t>涉及的危险物质主要为柴油、炸药、雷管</w:t>
      </w:r>
      <w:r>
        <w:rPr>
          <w:rFonts w:hint="eastAsia"/>
          <w:color w:val="auto"/>
          <w:kern w:val="0"/>
          <w:highlight w:val="none"/>
          <w:lang w:eastAsia="zh-CN"/>
        </w:rPr>
        <w:t>、润滑油</w:t>
      </w:r>
      <w:r>
        <w:rPr>
          <w:rFonts w:hint="eastAsia" w:ascii="Times New Roman" w:hAnsi="Times New Roman"/>
          <w:color w:val="auto"/>
          <w:kern w:val="0"/>
          <w:highlight w:val="none"/>
        </w:rPr>
        <w:t>，</w:t>
      </w:r>
      <w:bookmarkStart w:id="200" w:name="_Toc29291"/>
      <w:bookmarkStart w:id="201" w:name="_Toc2408"/>
      <w:bookmarkStart w:id="202" w:name="_Toc480560034"/>
      <w:bookmarkStart w:id="203" w:name="_Toc501887245"/>
      <w:bookmarkStart w:id="204" w:name="_Toc488825486"/>
      <w:bookmarkStart w:id="205" w:name="_Toc27437"/>
      <w:bookmarkStart w:id="206" w:name="_Toc4384"/>
      <w:r>
        <w:rPr>
          <w:rFonts w:hint="eastAsia" w:ascii="Times New Roman"/>
          <w:color w:val="auto"/>
          <w:highlight w:val="none"/>
        </w:rPr>
        <w:t>根据《建设项目环境风险评价技术导则》（HJ169-2018），环境风险评价工作等级划分为一级、二级、三级，评价工作等级划分表见表1-14。</w:t>
      </w:r>
    </w:p>
    <w:p>
      <w:pPr>
        <w:pStyle w:val="17"/>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表</w:t>
      </w:r>
      <w:r>
        <w:rPr>
          <w:rFonts w:hint="eastAsia" w:ascii="Times New Roman" w:hAnsi="Times New Roman"/>
          <w:b/>
          <w:bCs/>
          <w:color w:val="auto"/>
          <w:sz w:val="21"/>
          <w:szCs w:val="21"/>
          <w:highlight w:val="none"/>
        </w:rPr>
        <w:t>1-14</w:t>
      </w:r>
      <w:r>
        <w:rPr>
          <w:rFonts w:ascii="Times New Roman" w:hAnsi="Times New Roman"/>
          <w:b/>
          <w:bCs/>
          <w:color w:val="auto"/>
          <w:sz w:val="21"/>
          <w:szCs w:val="21"/>
          <w:highlight w:val="none"/>
        </w:rPr>
        <w:t xml:space="preserve">  评价工作等级划分表</w:t>
      </w:r>
    </w:p>
    <w:tbl>
      <w:tblPr>
        <w:tblStyle w:val="29"/>
        <w:tblW w:w="89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3"/>
        <w:gridCol w:w="1784"/>
        <w:gridCol w:w="1784"/>
        <w:gridCol w:w="1785"/>
        <w:gridCol w:w="1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783" w:type="dxa"/>
            <w:shd w:val="clear" w:color="auto" w:fill="auto"/>
            <w:vAlign w:val="center"/>
          </w:tcPr>
          <w:p>
            <w:pPr>
              <w:pStyle w:val="17"/>
              <w:ind w:firstLine="0" w:firstLineChars="0"/>
              <w:jc w:val="center"/>
              <w:rPr>
                <w:rFonts w:ascii="Times New Roman"/>
                <w:b/>
                <w:bCs/>
                <w:color w:val="auto"/>
                <w:sz w:val="21"/>
                <w:szCs w:val="21"/>
                <w:highlight w:val="none"/>
              </w:rPr>
            </w:pPr>
            <w:r>
              <w:rPr>
                <w:rFonts w:hint="eastAsia" w:ascii="Times New Roman"/>
                <w:b/>
                <w:bCs/>
                <w:color w:val="auto"/>
                <w:sz w:val="21"/>
                <w:szCs w:val="21"/>
                <w:highlight w:val="none"/>
              </w:rPr>
              <w:t>环境风险潜势</w:t>
            </w:r>
          </w:p>
        </w:tc>
        <w:tc>
          <w:tcPr>
            <w:tcW w:w="1784" w:type="dxa"/>
            <w:shd w:val="clear" w:color="auto" w:fill="auto"/>
            <w:vAlign w:val="center"/>
          </w:tcPr>
          <w:p>
            <w:pPr>
              <w:pStyle w:val="17"/>
              <w:ind w:firstLine="0" w:firstLineChars="0"/>
              <w:jc w:val="center"/>
              <w:rPr>
                <w:rFonts w:ascii="Times New Roman"/>
                <w:b/>
                <w:bCs/>
                <w:color w:val="auto"/>
                <w:sz w:val="21"/>
                <w:szCs w:val="21"/>
                <w:highlight w:val="none"/>
              </w:rPr>
            </w:pPr>
            <w:r>
              <w:rPr>
                <w:rFonts w:hint="eastAsia" w:ascii="Times New Roman"/>
                <w:b/>
                <w:bCs/>
                <w:color w:val="auto"/>
                <w:sz w:val="21"/>
                <w:szCs w:val="21"/>
                <w:highlight w:val="none"/>
              </w:rPr>
              <w:t>IV、IV</w:t>
            </w:r>
            <w:r>
              <w:rPr>
                <w:rFonts w:hint="eastAsia" w:ascii="Times New Roman"/>
                <w:b/>
                <w:bCs/>
                <w:color w:val="auto"/>
                <w:sz w:val="21"/>
                <w:szCs w:val="21"/>
                <w:highlight w:val="none"/>
                <w:vertAlign w:val="superscript"/>
              </w:rPr>
              <w:t>+</w:t>
            </w:r>
          </w:p>
        </w:tc>
        <w:tc>
          <w:tcPr>
            <w:tcW w:w="1784" w:type="dxa"/>
            <w:shd w:val="clear" w:color="auto" w:fill="auto"/>
            <w:vAlign w:val="center"/>
          </w:tcPr>
          <w:p>
            <w:pPr>
              <w:pStyle w:val="17"/>
              <w:ind w:firstLine="0" w:firstLineChars="0"/>
              <w:jc w:val="center"/>
              <w:rPr>
                <w:rFonts w:ascii="Times New Roman"/>
                <w:b/>
                <w:bCs/>
                <w:color w:val="auto"/>
                <w:sz w:val="21"/>
                <w:szCs w:val="21"/>
                <w:highlight w:val="none"/>
              </w:rPr>
            </w:pPr>
            <w:r>
              <w:rPr>
                <w:rFonts w:hint="eastAsia" w:ascii="Times New Roman"/>
                <w:b/>
                <w:bCs/>
                <w:color w:val="auto"/>
                <w:sz w:val="21"/>
                <w:szCs w:val="21"/>
                <w:highlight w:val="none"/>
              </w:rPr>
              <w:t>III</w:t>
            </w:r>
          </w:p>
        </w:tc>
        <w:tc>
          <w:tcPr>
            <w:tcW w:w="1785" w:type="dxa"/>
            <w:shd w:val="clear" w:color="auto" w:fill="auto"/>
            <w:vAlign w:val="center"/>
          </w:tcPr>
          <w:p>
            <w:pPr>
              <w:pStyle w:val="17"/>
              <w:ind w:firstLine="0" w:firstLineChars="0"/>
              <w:jc w:val="center"/>
              <w:rPr>
                <w:rFonts w:ascii="Times New Roman"/>
                <w:b/>
                <w:bCs/>
                <w:color w:val="auto"/>
                <w:sz w:val="21"/>
                <w:szCs w:val="21"/>
                <w:highlight w:val="none"/>
              </w:rPr>
            </w:pPr>
            <w:r>
              <w:rPr>
                <w:rFonts w:hint="eastAsia" w:ascii="Times New Roman"/>
                <w:b/>
                <w:bCs/>
                <w:color w:val="auto"/>
                <w:sz w:val="21"/>
                <w:szCs w:val="21"/>
                <w:highlight w:val="none"/>
              </w:rPr>
              <w:t>II</w:t>
            </w:r>
          </w:p>
        </w:tc>
        <w:tc>
          <w:tcPr>
            <w:tcW w:w="1784" w:type="dxa"/>
            <w:shd w:val="clear" w:color="auto" w:fill="auto"/>
            <w:vAlign w:val="center"/>
          </w:tcPr>
          <w:p>
            <w:pPr>
              <w:pStyle w:val="17"/>
              <w:ind w:firstLine="0" w:firstLineChars="0"/>
              <w:jc w:val="center"/>
              <w:rPr>
                <w:rFonts w:ascii="Times New Roman"/>
                <w:b/>
                <w:bCs/>
                <w:color w:val="auto"/>
                <w:sz w:val="21"/>
                <w:szCs w:val="21"/>
                <w:highlight w:val="none"/>
              </w:rPr>
            </w:pPr>
            <w:r>
              <w:rPr>
                <w:rFonts w:hint="eastAsia" w:ascii="Times New Roman"/>
                <w:b/>
                <w:bCs/>
                <w:color w:val="auto"/>
                <w:sz w:val="21"/>
                <w:szCs w:val="21"/>
                <w:highlight w:val="none"/>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783" w:type="dxa"/>
            <w:shd w:val="clear" w:color="auto" w:fill="auto"/>
            <w:vAlign w:val="center"/>
          </w:tcPr>
          <w:p>
            <w:pPr>
              <w:pStyle w:val="17"/>
              <w:ind w:firstLine="0" w:firstLineChars="0"/>
              <w:jc w:val="center"/>
              <w:rPr>
                <w:rFonts w:ascii="Times New Roman"/>
                <w:color w:val="auto"/>
                <w:sz w:val="21"/>
                <w:szCs w:val="21"/>
                <w:highlight w:val="none"/>
              </w:rPr>
            </w:pPr>
            <w:r>
              <w:rPr>
                <w:rFonts w:hint="eastAsia" w:ascii="Times New Roman"/>
                <w:color w:val="auto"/>
                <w:sz w:val="21"/>
                <w:szCs w:val="21"/>
                <w:highlight w:val="none"/>
              </w:rPr>
              <w:t>评价工作等级</w:t>
            </w:r>
          </w:p>
        </w:tc>
        <w:tc>
          <w:tcPr>
            <w:tcW w:w="1784" w:type="dxa"/>
            <w:shd w:val="clear" w:color="auto" w:fill="auto"/>
            <w:vAlign w:val="center"/>
          </w:tcPr>
          <w:p>
            <w:pPr>
              <w:pStyle w:val="17"/>
              <w:ind w:firstLine="0" w:firstLineChars="0"/>
              <w:jc w:val="center"/>
              <w:rPr>
                <w:rFonts w:ascii="Times New Roman"/>
                <w:color w:val="auto"/>
                <w:sz w:val="21"/>
                <w:szCs w:val="21"/>
                <w:highlight w:val="none"/>
              </w:rPr>
            </w:pPr>
            <w:r>
              <w:rPr>
                <w:rFonts w:hint="eastAsia" w:ascii="Times New Roman"/>
                <w:color w:val="auto"/>
                <w:sz w:val="21"/>
                <w:szCs w:val="21"/>
                <w:highlight w:val="none"/>
              </w:rPr>
              <w:t>一</w:t>
            </w:r>
          </w:p>
        </w:tc>
        <w:tc>
          <w:tcPr>
            <w:tcW w:w="1784" w:type="dxa"/>
            <w:shd w:val="clear" w:color="auto" w:fill="auto"/>
            <w:vAlign w:val="center"/>
          </w:tcPr>
          <w:p>
            <w:pPr>
              <w:pStyle w:val="17"/>
              <w:ind w:firstLine="0" w:firstLineChars="0"/>
              <w:jc w:val="center"/>
              <w:rPr>
                <w:rFonts w:ascii="Times New Roman"/>
                <w:color w:val="auto"/>
                <w:sz w:val="21"/>
                <w:szCs w:val="21"/>
                <w:highlight w:val="none"/>
              </w:rPr>
            </w:pPr>
            <w:r>
              <w:rPr>
                <w:rFonts w:hint="eastAsia" w:ascii="Times New Roman"/>
                <w:color w:val="auto"/>
                <w:sz w:val="21"/>
                <w:szCs w:val="21"/>
                <w:highlight w:val="none"/>
              </w:rPr>
              <w:t>二</w:t>
            </w:r>
          </w:p>
        </w:tc>
        <w:tc>
          <w:tcPr>
            <w:tcW w:w="1785" w:type="dxa"/>
            <w:shd w:val="clear" w:color="auto" w:fill="auto"/>
            <w:vAlign w:val="center"/>
          </w:tcPr>
          <w:p>
            <w:pPr>
              <w:pStyle w:val="17"/>
              <w:ind w:firstLine="0" w:firstLineChars="0"/>
              <w:jc w:val="center"/>
              <w:rPr>
                <w:rFonts w:ascii="Times New Roman"/>
                <w:color w:val="auto"/>
                <w:sz w:val="21"/>
                <w:szCs w:val="21"/>
                <w:highlight w:val="none"/>
              </w:rPr>
            </w:pPr>
            <w:r>
              <w:rPr>
                <w:rFonts w:hint="eastAsia" w:ascii="Times New Roman"/>
                <w:color w:val="auto"/>
                <w:sz w:val="21"/>
                <w:szCs w:val="21"/>
                <w:highlight w:val="none"/>
              </w:rPr>
              <w:t>三</w:t>
            </w:r>
          </w:p>
        </w:tc>
        <w:tc>
          <w:tcPr>
            <w:tcW w:w="1784" w:type="dxa"/>
            <w:shd w:val="clear" w:color="auto" w:fill="FFC000"/>
            <w:vAlign w:val="center"/>
          </w:tcPr>
          <w:p>
            <w:pPr>
              <w:pStyle w:val="17"/>
              <w:ind w:firstLine="0" w:firstLineChars="0"/>
              <w:jc w:val="center"/>
              <w:rPr>
                <w:rFonts w:ascii="Times New Roman"/>
                <w:color w:val="auto"/>
                <w:sz w:val="21"/>
                <w:szCs w:val="21"/>
                <w:highlight w:val="none"/>
              </w:rPr>
            </w:pPr>
            <w:r>
              <w:rPr>
                <w:rFonts w:hint="eastAsia" w:ascii="Times New Roman"/>
                <w:color w:val="auto"/>
                <w:sz w:val="21"/>
                <w:szCs w:val="21"/>
                <w:highlight w:val="none"/>
              </w:rPr>
              <w:t>简单分析</w:t>
            </w:r>
            <w:r>
              <w:rPr>
                <w:rFonts w:hint="eastAsia" w:ascii="Times New Roman"/>
                <w:color w:val="auto"/>
                <w:sz w:val="21"/>
                <w:szCs w:val="21"/>
                <w:highlight w:val="none"/>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8920" w:type="dxa"/>
            <w:gridSpan w:val="5"/>
            <w:shd w:val="clear" w:color="auto" w:fill="auto"/>
            <w:vAlign w:val="center"/>
          </w:tcPr>
          <w:p>
            <w:pPr>
              <w:pStyle w:val="17"/>
              <w:ind w:firstLine="0" w:firstLineChars="0"/>
              <w:rPr>
                <w:rFonts w:ascii="Times New Roman"/>
                <w:color w:val="auto"/>
                <w:sz w:val="21"/>
                <w:szCs w:val="21"/>
                <w:highlight w:val="none"/>
              </w:rPr>
            </w:pPr>
            <w:r>
              <w:rPr>
                <w:rFonts w:hint="eastAsia" w:ascii="Times New Roman"/>
                <w:color w:val="auto"/>
                <w:sz w:val="21"/>
                <w:szCs w:val="21"/>
                <w:highlight w:val="none"/>
              </w:rPr>
              <w:t>a是相对于详细评价工作内容而言，在描述危险物质、环境影响途径、环境危害后果、风险防范措施等方面给出定性说明。</w:t>
            </w:r>
          </w:p>
        </w:tc>
      </w:tr>
    </w:tbl>
    <w:p>
      <w:pPr>
        <w:pStyle w:val="17"/>
        <w:ind w:firstLine="0" w:firstLineChars="0"/>
        <w:rPr>
          <w:rFonts w:ascii="Times New Roman"/>
          <w:color w:val="auto"/>
          <w:highlight w:val="none"/>
        </w:rPr>
      </w:pPr>
    </w:p>
    <w:p>
      <w:pPr>
        <w:pStyle w:val="17"/>
        <w:ind w:firstLine="480"/>
        <w:rPr>
          <w:rFonts w:hint="eastAsia" w:ascii="Times New Roman"/>
          <w:color w:val="auto"/>
          <w:highlight w:val="none"/>
        </w:rPr>
      </w:pPr>
      <w:r>
        <w:rPr>
          <w:rFonts w:hint="eastAsia" w:ascii="Times New Roman"/>
          <w:color w:val="auto"/>
          <w:highlight w:val="none"/>
        </w:rPr>
        <w:t>根据对本项目环境风险潜势进行判断，</w:t>
      </w:r>
      <w:r>
        <w:rPr>
          <w:rFonts w:hint="eastAsia"/>
          <w:color w:val="auto"/>
          <w:highlight w:val="none"/>
          <w:lang w:val="zh-CN"/>
        </w:rPr>
        <w:t>本项目涉及的危险物质为</w:t>
      </w:r>
      <w:r>
        <w:rPr>
          <w:rFonts w:hint="eastAsia"/>
          <w:color w:val="auto"/>
          <w:highlight w:val="none"/>
        </w:rPr>
        <w:t>柴油（0</w:t>
      </w:r>
      <w:r>
        <w:rPr>
          <w:rFonts w:hint="eastAsia" w:ascii="宋体" w:hAnsi="宋体" w:cs="宋体"/>
          <w:color w:val="auto"/>
          <w:highlight w:val="none"/>
        </w:rPr>
        <w:t>＃</w:t>
      </w:r>
      <w:r>
        <w:rPr>
          <w:rFonts w:hint="eastAsia"/>
          <w:color w:val="auto"/>
          <w:highlight w:val="none"/>
        </w:rPr>
        <w:t>）</w:t>
      </w:r>
      <w:r>
        <w:rPr>
          <w:rFonts w:hint="eastAsia"/>
          <w:color w:val="auto"/>
          <w:highlight w:val="none"/>
          <w:lang w:eastAsia="zh-CN"/>
        </w:rPr>
        <w:t>、润滑油，经计算，本项目内</w:t>
      </w:r>
      <w:r>
        <w:rPr>
          <w:rFonts w:hint="eastAsia"/>
          <w:color w:val="auto"/>
          <w:highlight w:val="none"/>
          <w:lang w:val="en-US" w:eastAsia="zh-CN"/>
        </w:rPr>
        <w:t>危险物质数量与临界量比值</w:t>
      </w:r>
      <w:r>
        <w:rPr>
          <w:rFonts w:hint="default" w:ascii="Times New Roman" w:hAnsi="Times New Roman" w:cs="Times New Roman"/>
          <w:color w:val="auto"/>
          <w:highlight w:val="none"/>
          <w:lang w:val="en-US" w:eastAsia="zh-CN"/>
        </w:rPr>
        <w:t>Q=</w:t>
      </w:r>
      <w:r>
        <w:rPr>
          <w:rFonts w:hint="eastAsia" w:ascii="Times New Roman" w:hAnsi="Times New Roman" w:cs="Times New Roman"/>
          <w:color w:val="auto"/>
          <w:highlight w:val="none"/>
          <w:lang w:val="en-US" w:eastAsia="zh-CN"/>
        </w:rPr>
        <w:t>10</w:t>
      </w:r>
      <w:r>
        <w:rPr>
          <w:rFonts w:hint="default" w:ascii="Times New Roman" w:hAnsi="Times New Roman" w:cs="Times New Roman"/>
          <w:color w:val="auto"/>
          <w:highlight w:val="none"/>
          <w:lang w:val="en-US" w:eastAsia="zh-CN"/>
        </w:rPr>
        <w:t>/2500+1/2500=</w:t>
      </w:r>
      <w:r>
        <w:rPr>
          <w:rFonts w:hint="eastAsia" w:ascii="Times New Roman" w:hAnsi="Times New Roman" w:cs="Times New Roman"/>
          <w:color w:val="auto"/>
          <w:highlight w:val="none"/>
          <w:lang w:val="en-US" w:eastAsia="zh-CN"/>
        </w:rPr>
        <w:t>0.004</w:t>
      </w:r>
      <w:r>
        <w:rPr>
          <w:rFonts w:hint="default" w:ascii="Times New Roman" w:hAnsi="Times New Roman" w:cs="Times New Roman"/>
          <w:color w:val="auto"/>
          <w:highlight w:val="none"/>
          <w:lang w:val="en-US" w:eastAsia="zh-CN"/>
        </w:rPr>
        <w:t>+0.0004=0</w:t>
      </w:r>
      <w:r>
        <w:rPr>
          <w:rFonts w:hint="eastAsia" w:ascii="Times New Roman" w:hAnsi="Times New Roman" w:cs="Times New Roman"/>
          <w:color w:val="auto"/>
          <w:highlight w:val="none"/>
          <w:lang w:val="en-US" w:eastAsia="zh-CN"/>
        </w:rPr>
        <w:t>.0044</w:t>
      </w:r>
      <w:r>
        <w:rPr>
          <w:rFonts w:hint="default" w:ascii="Times New Roman" w:hAnsi="Times New Roman" w:cs="Times New Roman"/>
          <w:color w:val="auto"/>
          <w:highlight w:val="none"/>
          <w:lang w:val="en-US" w:eastAsia="zh-CN"/>
        </w:rPr>
        <w:t>，Q＜1</w:t>
      </w:r>
      <w:r>
        <w:rPr>
          <w:rFonts w:hint="eastAsia" w:ascii="Times New Roman" w:hAnsi="Times New Roman" w:cs="Times New Roman"/>
          <w:color w:val="auto"/>
          <w:highlight w:val="none"/>
          <w:lang w:val="en-US" w:eastAsia="zh-CN"/>
        </w:rPr>
        <w:t>，</w:t>
      </w:r>
      <w:r>
        <w:rPr>
          <w:rFonts w:hint="eastAsia" w:ascii="Times New Roman"/>
          <w:color w:val="auto"/>
          <w:highlight w:val="none"/>
        </w:rPr>
        <w:t>环境风险潜势为I，环境风险评价工作等级按导则划分为简单分析。</w:t>
      </w:r>
    </w:p>
    <w:p>
      <w:pPr>
        <w:pStyle w:val="17"/>
        <w:ind w:firstLine="480"/>
        <w:rPr>
          <w:rFonts w:hint="eastAsia" w:ascii="Times New Roman"/>
          <w:color w:val="auto"/>
          <w:highlight w:val="none"/>
        </w:rPr>
      </w:pPr>
      <w:r>
        <w:rPr>
          <w:rFonts w:hint="eastAsia" w:ascii="Times New Roman"/>
          <w:b/>
          <w:bCs/>
          <w:color w:val="auto"/>
          <w:highlight w:val="none"/>
          <w:lang w:eastAsia="zh-CN"/>
        </w:rPr>
        <w:t>评价范围：</w:t>
      </w:r>
      <w:r>
        <w:rPr>
          <w:rFonts w:hint="eastAsia" w:ascii="Times New Roman"/>
          <w:color w:val="auto"/>
          <w:highlight w:val="none"/>
        </w:rPr>
        <w:t>根据《建设项目环境风险评价技术导则》（HJ169-2018）</w:t>
      </w:r>
      <w:r>
        <w:rPr>
          <w:rFonts w:hint="eastAsia" w:ascii="Times New Roman"/>
          <w:color w:val="auto"/>
          <w:highlight w:val="none"/>
          <w:lang w:eastAsia="zh-CN"/>
        </w:rPr>
        <w:t>，本项目为简单分析，不设置评价范围。</w:t>
      </w:r>
    </w:p>
    <w:p>
      <w:pPr>
        <w:pStyle w:val="5"/>
        <w:adjustRightInd w:val="0"/>
        <w:snapToGrid w:val="0"/>
        <w:rPr>
          <w:rFonts w:hint="default"/>
          <w:highlight w:val="none"/>
        </w:rPr>
      </w:pPr>
      <w:bookmarkStart w:id="207" w:name="_Toc8277"/>
      <w:r>
        <w:rPr>
          <w:rFonts w:hint="default"/>
          <w:highlight w:val="none"/>
        </w:rPr>
        <w:t>1.</w:t>
      </w:r>
      <w:r>
        <w:rPr>
          <w:highlight w:val="none"/>
        </w:rPr>
        <w:t>6</w:t>
      </w:r>
      <w:r>
        <w:rPr>
          <w:rFonts w:hint="default"/>
          <w:highlight w:val="none"/>
        </w:rPr>
        <w:t>.6 生态环境</w:t>
      </w:r>
      <w:bookmarkEnd w:id="200"/>
      <w:bookmarkEnd w:id="201"/>
      <w:bookmarkEnd w:id="202"/>
      <w:bookmarkEnd w:id="203"/>
      <w:bookmarkEnd w:id="204"/>
      <w:bookmarkEnd w:id="205"/>
      <w:bookmarkEnd w:id="206"/>
      <w:bookmarkEnd w:id="207"/>
    </w:p>
    <w:bookmarkEnd w:id="190"/>
    <w:bookmarkEnd w:id="191"/>
    <w:bookmarkEnd w:id="192"/>
    <w:bookmarkEnd w:id="193"/>
    <w:bookmarkEnd w:id="194"/>
    <w:bookmarkEnd w:id="195"/>
    <w:bookmarkEnd w:id="196"/>
    <w:bookmarkEnd w:id="197"/>
    <w:bookmarkEnd w:id="198"/>
    <w:bookmarkEnd w:id="199"/>
    <w:p>
      <w:pPr>
        <w:ind w:firstLine="480"/>
        <w:rPr>
          <w:kern w:val="0"/>
          <w:highlight w:val="none"/>
        </w:rPr>
      </w:pPr>
      <w:bookmarkStart w:id="208" w:name="_Toc31646"/>
      <w:bookmarkStart w:id="209" w:name="_Toc187145973"/>
      <w:bookmarkStart w:id="210" w:name="_Toc212807760"/>
      <w:bookmarkStart w:id="211" w:name="_Toc187145718"/>
      <w:bookmarkStart w:id="212" w:name="_Toc249452655"/>
      <w:bookmarkStart w:id="213" w:name="_Toc230430406"/>
      <w:bookmarkStart w:id="214" w:name="_Toc3941"/>
      <w:bookmarkStart w:id="215" w:name="_Toc278484162"/>
      <w:bookmarkStart w:id="216" w:name="_Toc501887246"/>
      <w:bookmarkStart w:id="217" w:name="_Toc188863709"/>
      <w:bookmarkStart w:id="218" w:name="_Toc430101002"/>
      <w:bookmarkStart w:id="219" w:name="_Toc192653878"/>
      <w:bookmarkStart w:id="220" w:name="_Toc212987798"/>
      <w:bookmarkStart w:id="221" w:name="_Toc8846"/>
      <w:bookmarkStart w:id="222" w:name="_Toc249541173"/>
      <w:bookmarkStart w:id="223" w:name="_Toc192562063"/>
      <w:bookmarkStart w:id="224" w:name="_Toc451778745"/>
      <w:bookmarkStart w:id="225" w:name="_Toc330280116"/>
      <w:bookmarkStart w:id="226" w:name="_Toc480560035"/>
      <w:bookmarkStart w:id="227" w:name="_Toc181198215"/>
      <w:bookmarkStart w:id="228" w:name="_Toc303925200"/>
      <w:bookmarkStart w:id="229" w:name="_Toc97630569"/>
      <w:bookmarkStart w:id="230" w:name="_Toc488825487"/>
      <w:bookmarkStart w:id="231" w:name="_Toc12468"/>
      <w:bookmarkStart w:id="232" w:name="_Toc307827319"/>
      <w:bookmarkStart w:id="233" w:name="_Toc306367342"/>
      <w:r>
        <w:rPr>
          <w:rFonts w:hint="eastAsia"/>
          <w:kern w:val="0"/>
          <w:highlight w:val="none"/>
        </w:rPr>
        <w:t>（1）评价等级</w:t>
      </w:r>
    </w:p>
    <w:p>
      <w:pPr>
        <w:ind w:firstLine="480"/>
        <w:rPr>
          <w:kern w:val="0"/>
          <w:highlight w:val="none"/>
        </w:rPr>
      </w:pPr>
      <w:r>
        <w:rPr>
          <w:rFonts w:hint="eastAsia"/>
          <w:kern w:val="0"/>
          <w:highlight w:val="none"/>
        </w:rPr>
        <w:t>根据《环境影响评价技术导则 生态影响》（HJ19-2011）规定：依据影响区域的生态敏感性和评价项目的工程占地范围，包括永久占地和临时占地，将生态影响评价工作等级划分为一级、二级和三级，如下表所示。</w:t>
      </w:r>
    </w:p>
    <w:p>
      <w:pPr>
        <w:ind w:firstLine="0" w:firstLineChars="0"/>
        <w:jc w:val="center"/>
        <w:rPr>
          <w:b/>
          <w:bCs/>
          <w:kern w:val="0"/>
          <w:sz w:val="21"/>
          <w:szCs w:val="21"/>
          <w:highlight w:val="none"/>
        </w:rPr>
      </w:pPr>
      <w:r>
        <w:rPr>
          <w:b/>
          <w:bCs/>
          <w:kern w:val="0"/>
          <w:sz w:val="21"/>
          <w:szCs w:val="21"/>
          <w:highlight w:val="none"/>
        </w:rPr>
        <w:t>表 1-1</w:t>
      </w:r>
      <w:r>
        <w:rPr>
          <w:rFonts w:hint="eastAsia"/>
          <w:b/>
          <w:bCs/>
          <w:kern w:val="0"/>
          <w:sz w:val="21"/>
          <w:szCs w:val="21"/>
          <w:highlight w:val="none"/>
        </w:rPr>
        <w:t>5</w:t>
      </w:r>
      <w:r>
        <w:rPr>
          <w:b/>
          <w:bCs/>
          <w:kern w:val="0"/>
          <w:sz w:val="21"/>
          <w:szCs w:val="21"/>
          <w:highlight w:val="none"/>
        </w:rPr>
        <w:t xml:space="preserve">    生态影响评价工作等级划分表</w:t>
      </w:r>
    </w:p>
    <w:tbl>
      <w:tblPr>
        <w:tblStyle w:val="29"/>
        <w:tblW w:w="8960" w:type="dxa"/>
        <w:jc w:val="center"/>
        <w:tblLayout w:type="fixed"/>
        <w:tblCellMar>
          <w:top w:w="0" w:type="dxa"/>
          <w:left w:w="0" w:type="dxa"/>
          <w:bottom w:w="0" w:type="dxa"/>
          <w:right w:w="0" w:type="dxa"/>
        </w:tblCellMar>
      </w:tblPr>
      <w:tblGrid>
        <w:gridCol w:w="2241"/>
        <w:gridCol w:w="2240"/>
        <w:gridCol w:w="2239"/>
        <w:gridCol w:w="2240"/>
      </w:tblGrid>
      <w:tr>
        <w:tblPrEx>
          <w:tblCellMar>
            <w:top w:w="0" w:type="dxa"/>
            <w:left w:w="0" w:type="dxa"/>
            <w:bottom w:w="0" w:type="dxa"/>
            <w:right w:w="0" w:type="dxa"/>
          </w:tblCellMar>
        </w:tblPrEx>
        <w:trPr>
          <w:trHeight w:val="555" w:hRule="atLeast"/>
          <w:jc w:val="center"/>
        </w:trPr>
        <w:tc>
          <w:tcPr>
            <w:tcW w:w="2241" w:type="dxa"/>
            <w:vMerge w:val="restart"/>
            <w:tcBorders>
              <w:top w:val="single" w:color="000000" w:sz="4" w:space="0"/>
              <w:left w:val="single" w:color="000000" w:sz="4" w:space="0"/>
              <w:right w:val="single" w:color="000000" w:sz="4" w:space="0"/>
            </w:tcBorders>
            <w:shd w:val="clear" w:color="auto" w:fill="auto"/>
            <w:vAlign w:val="center"/>
          </w:tcPr>
          <w:p>
            <w:pPr>
              <w:ind w:firstLine="0" w:firstLineChars="0"/>
              <w:jc w:val="center"/>
              <w:rPr>
                <w:b/>
                <w:bCs/>
                <w:kern w:val="0"/>
                <w:sz w:val="21"/>
                <w:szCs w:val="21"/>
                <w:highlight w:val="none"/>
              </w:rPr>
            </w:pPr>
            <w:r>
              <w:rPr>
                <w:rFonts w:hint="eastAsia"/>
                <w:b/>
                <w:bCs/>
                <w:kern w:val="0"/>
                <w:sz w:val="21"/>
                <w:szCs w:val="21"/>
                <w:highlight w:val="none"/>
              </w:rPr>
              <w:t>影响区域生态敏感性</w:t>
            </w:r>
          </w:p>
        </w:tc>
        <w:tc>
          <w:tcPr>
            <w:tcW w:w="6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center"/>
              <w:rPr>
                <w:b/>
                <w:bCs/>
                <w:kern w:val="0"/>
                <w:sz w:val="21"/>
                <w:szCs w:val="21"/>
                <w:highlight w:val="none"/>
              </w:rPr>
            </w:pPr>
            <w:r>
              <w:rPr>
                <w:rFonts w:hint="eastAsia"/>
                <w:b/>
                <w:bCs/>
                <w:kern w:val="0"/>
                <w:sz w:val="21"/>
                <w:szCs w:val="21"/>
                <w:highlight w:val="none"/>
              </w:rPr>
              <w:t>工程占地范围</w:t>
            </w:r>
          </w:p>
        </w:tc>
      </w:tr>
      <w:tr>
        <w:tblPrEx>
          <w:tblCellMar>
            <w:top w:w="0" w:type="dxa"/>
            <w:left w:w="0" w:type="dxa"/>
            <w:bottom w:w="0" w:type="dxa"/>
            <w:right w:w="0" w:type="dxa"/>
          </w:tblCellMar>
        </w:tblPrEx>
        <w:trPr>
          <w:trHeight w:val="1098" w:hRule="atLeast"/>
          <w:jc w:val="center"/>
        </w:trPr>
        <w:tc>
          <w:tcPr>
            <w:tcW w:w="2241" w:type="dxa"/>
            <w:vMerge w:val="continue"/>
            <w:tcBorders>
              <w:left w:val="single" w:color="000000" w:sz="4" w:space="0"/>
              <w:bottom w:val="single" w:color="000000" w:sz="4" w:space="0"/>
              <w:right w:val="single" w:color="000000" w:sz="4" w:space="0"/>
            </w:tcBorders>
            <w:shd w:val="clear" w:color="auto" w:fill="auto"/>
            <w:vAlign w:val="center"/>
          </w:tcPr>
          <w:p>
            <w:pPr>
              <w:ind w:firstLine="422"/>
              <w:jc w:val="center"/>
              <w:rPr>
                <w:b/>
                <w:bCs/>
                <w:kern w:val="0"/>
                <w:sz w:val="21"/>
                <w:szCs w:val="21"/>
                <w:highlight w:val="none"/>
              </w:rPr>
            </w:pPr>
          </w:p>
        </w:tc>
        <w:tc>
          <w:tcPr>
            <w:tcW w:w="224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center"/>
              <w:rPr>
                <w:b/>
                <w:bCs/>
                <w:kern w:val="0"/>
                <w:sz w:val="21"/>
                <w:szCs w:val="21"/>
                <w:highlight w:val="none"/>
              </w:rPr>
            </w:pPr>
            <w:r>
              <w:rPr>
                <w:rFonts w:hint="eastAsia"/>
                <w:b/>
                <w:bCs/>
                <w:kern w:val="0"/>
                <w:sz w:val="21"/>
                <w:szCs w:val="21"/>
                <w:highlight w:val="none"/>
              </w:rPr>
              <w:t>面积≥20km</w:t>
            </w:r>
            <w:r>
              <w:rPr>
                <w:rFonts w:hint="eastAsia"/>
                <w:b/>
                <w:bCs/>
                <w:kern w:val="0"/>
                <w:sz w:val="21"/>
                <w:szCs w:val="21"/>
                <w:highlight w:val="none"/>
                <w:vertAlign w:val="superscript"/>
              </w:rPr>
              <w:t>2</w:t>
            </w:r>
            <w:r>
              <w:rPr>
                <w:rFonts w:hint="eastAsia"/>
                <w:b/>
                <w:bCs/>
                <w:kern w:val="0"/>
                <w:sz w:val="21"/>
                <w:szCs w:val="21"/>
                <w:highlight w:val="none"/>
              </w:rPr>
              <w:t>或长度</w:t>
            </w:r>
          </w:p>
          <w:p>
            <w:pPr>
              <w:ind w:firstLine="0" w:firstLineChars="0"/>
              <w:jc w:val="center"/>
              <w:rPr>
                <w:b/>
                <w:bCs/>
                <w:kern w:val="0"/>
                <w:sz w:val="21"/>
                <w:szCs w:val="21"/>
                <w:highlight w:val="none"/>
              </w:rPr>
            </w:pPr>
            <w:r>
              <w:rPr>
                <w:rFonts w:hint="eastAsia"/>
                <w:b/>
                <w:bCs/>
                <w:kern w:val="0"/>
                <w:sz w:val="21"/>
                <w:szCs w:val="21"/>
                <w:highlight w:val="none"/>
              </w:rPr>
              <w:t>≥100km</w:t>
            </w:r>
          </w:p>
        </w:tc>
        <w:tc>
          <w:tcPr>
            <w:tcW w:w="2239"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center"/>
              <w:rPr>
                <w:b/>
                <w:bCs/>
                <w:kern w:val="0"/>
                <w:sz w:val="21"/>
                <w:szCs w:val="21"/>
                <w:highlight w:val="none"/>
              </w:rPr>
            </w:pPr>
            <w:r>
              <w:rPr>
                <w:rFonts w:hint="eastAsia"/>
                <w:b/>
                <w:bCs/>
                <w:kern w:val="0"/>
                <w:sz w:val="21"/>
                <w:szCs w:val="21"/>
                <w:highlight w:val="none"/>
              </w:rPr>
              <w:t>面积 2km</w:t>
            </w:r>
            <w:r>
              <w:rPr>
                <w:rFonts w:hint="eastAsia"/>
                <w:b/>
                <w:bCs/>
                <w:kern w:val="0"/>
                <w:sz w:val="21"/>
                <w:szCs w:val="21"/>
                <w:highlight w:val="none"/>
                <w:vertAlign w:val="superscript"/>
              </w:rPr>
              <w:t>2</w:t>
            </w:r>
            <w:r>
              <w:rPr>
                <w:rFonts w:hint="eastAsia"/>
                <w:b/>
                <w:bCs/>
                <w:kern w:val="0"/>
                <w:sz w:val="21"/>
                <w:szCs w:val="21"/>
                <w:highlight w:val="none"/>
              </w:rPr>
              <w:t>~20km</w:t>
            </w:r>
            <w:r>
              <w:rPr>
                <w:rFonts w:hint="eastAsia"/>
                <w:b/>
                <w:bCs/>
                <w:kern w:val="0"/>
                <w:sz w:val="21"/>
                <w:szCs w:val="21"/>
                <w:highlight w:val="none"/>
                <w:vertAlign w:val="superscript"/>
              </w:rPr>
              <w:t>2</w:t>
            </w:r>
            <w:r>
              <w:rPr>
                <w:rFonts w:hint="eastAsia"/>
                <w:b/>
                <w:bCs/>
                <w:kern w:val="0"/>
                <w:sz w:val="21"/>
                <w:szCs w:val="21"/>
                <w:highlight w:val="none"/>
              </w:rPr>
              <w:t xml:space="preserve"> 或 长度 50km~100km</w:t>
            </w:r>
          </w:p>
        </w:tc>
        <w:tc>
          <w:tcPr>
            <w:tcW w:w="224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center"/>
              <w:rPr>
                <w:b/>
                <w:bCs/>
                <w:kern w:val="0"/>
                <w:sz w:val="21"/>
                <w:szCs w:val="21"/>
                <w:highlight w:val="none"/>
              </w:rPr>
            </w:pPr>
            <w:r>
              <w:rPr>
                <w:rFonts w:hint="eastAsia"/>
                <w:b/>
                <w:bCs/>
                <w:kern w:val="0"/>
                <w:sz w:val="21"/>
                <w:szCs w:val="21"/>
                <w:highlight w:val="none"/>
              </w:rPr>
              <w:t>面积≤2km</w:t>
            </w:r>
            <w:r>
              <w:rPr>
                <w:rFonts w:hint="eastAsia"/>
                <w:b/>
                <w:bCs/>
                <w:kern w:val="0"/>
                <w:sz w:val="21"/>
                <w:szCs w:val="21"/>
                <w:highlight w:val="none"/>
                <w:vertAlign w:val="superscript"/>
              </w:rPr>
              <w:t>2</w:t>
            </w:r>
            <w:r>
              <w:rPr>
                <w:rFonts w:hint="eastAsia"/>
                <w:b/>
                <w:bCs/>
                <w:kern w:val="0"/>
                <w:sz w:val="21"/>
                <w:szCs w:val="21"/>
                <w:highlight w:val="none"/>
              </w:rPr>
              <w:t xml:space="preserve"> 或长度</w:t>
            </w:r>
          </w:p>
          <w:p>
            <w:pPr>
              <w:ind w:firstLine="0" w:firstLineChars="0"/>
              <w:jc w:val="center"/>
              <w:rPr>
                <w:b/>
                <w:bCs/>
                <w:kern w:val="0"/>
                <w:sz w:val="21"/>
                <w:szCs w:val="21"/>
                <w:highlight w:val="none"/>
              </w:rPr>
            </w:pPr>
            <w:r>
              <w:rPr>
                <w:rFonts w:hint="eastAsia"/>
                <w:b/>
                <w:bCs/>
                <w:kern w:val="0"/>
                <w:sz w:val="21"/>
                <w:szCs w:val="21"/>
                <w:highlight w:val="none"/>
              </w:rPr>
              <w:t>≤50km</w:t>
            </w:r>
          </w:p>
        </w:tc>
      </w:tr>
      <w:tr>
        <w:tblPrEx>
          <w:tblCellMar>
            <w:top w:w="0" w:type="dxa"/>
            <w:left w:w="0" w:type="dxa"/>
            <w:bottom w:w="0" w:type="dxa"/>
            <w:right w:w="0" w:type="dxa"/>
          </w:tblCellMar>
        </w:tblPrEx>
        <w:trPr>
          <w:trHeight w:val="555" w:hRule="atLeast"/>
          <w:jc w:val="center"/>
        </w:trPr>
        <w:tc>
          <w:tcPr>
            <w:tcW w:w="2241" w:type="dxa"/>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kern w:val="0"/>
                <w:sz w:val="21"/>
                <w:szCs w:val="21"/>
                <w:highlight w:val="none"/>
              </w:rPr>
            </w:pPr>
            <w:r>
              <w:rPr>
                <w:rFonts w:hint="eastAsia"/>
                <w:kern w:val="0"/>
                <w:sz w:val="21"/>
                <w:szCs w:val="21"/>
                <w:highlight w:val="none"/>
              </w:rPr>
              <w:t>特殊生态敏感区</w:t>
            </w:r>
          </w:p>
        </w:tc>
        <w:tc>
          <w:tcPr>
            <w:tcW w:w="2240" w:type="dxa"/>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kern w:val="0"/>
                <w:sz w:val="21"/>
                <w:szCs w:val="21"/>
                <w:highlight w:val="none"/>
              </w:rPr>
            </w:pPr>
            <w:r>
              <w:rPr>
                <w:rFonts w:hint="eastAsia"/>
                <w:kern w:val="0"/>
                <w:sz w:val="21"/>
                <w:szCs w:val="21"/>
                <w:highlight w:val="none"/>
              </w:rPr>
              <w:t>一级</w:t>
            </w:r>
          </w:p>
        </w:tc>
        <w:tc>
          <w:tcPr>
            <w:tcW w:w="2239" w:type="dxa"/>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kern w:val="0"/>
                <w:sz w:val="21"/>
                <w:szCs w:val="21"/>
                <w:highlight w:val="none"/>
              </w:rPr>
            </w:pPr>
            <w:r>
              <w:rPr>
                <w:rFonts w:hint="eastAsia"/>
                <w:kern w:val="0"/>
                <w:sz w:val="21"/>
                <w:szCs w:val="21"/>
                <w:highlight w:val="none"/>
              </w:rPr>
              <w:t>一级</w:t>
            </w:r>
          </w:p>
        </w:tc>
        <w:tc>
          <w:tcPr>
            <w:tcW w:w="2240" w:type="dxa"/>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kern w:val="0"/>
                <w:sz w:val="21"/>
                <w:szCs w:val="21"/>
                <w:highlight w:val="none"/>
              </w:rPr>
            </w:pPr>
            <w:r>
              <w:rPr>
                <w:rFonts w:hint="eastAsia"/>
                <w:kern w:val="0"/>
                <w:sz w:val="21"/>
                <w:szCs w:val="21"/>
                <w:highlight w:val="none"/>
              </w:rPr>
              <w:t>一级</w:t>
            </w:r>
          </w:p>
        </w:tc>
      </w:tr>
      <w:tr>
        <w:tblPrEx>
          <w:tblCellMar>
            <w:top w:w="0" w:type="dxa"/>
            <w:left w:w="0" w:type="dxa"/>
            <w:bottom w:w="0" w:type="dxa"/>
            <w:right w:w="0" w:type="dxa"/>
          </w:tblCellMar>
        </w:tblPrEx>
        <w:trPr>
          <w:trHeight w:val="555" w:hRule="atLeast"/>
          <w:jc w:val="center"/>
        </w:trPr>
        <w:tc>
          <w:tcPr>
            <w:tcW w:w="2241" w:type="dxa"/>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kern w:val="0"/>
                <w:sz w:val="21"/>
                <w:szCs w:val="21"/>
                <w:highlight w:val="none"/>
              </w:rPr>
            </w:pPr>
            <w:r>
              <w:rPr>
                <w:rFonts w:hint="eastAsia"/>
                <w:kern w:val="0"/>
                <w:sz w:val="21"/>
                <w:szCs w:val="21"/>
                <w:highlight w:val="none"/>
              </w:rPr>
              <w:t>重要生态敏感区</w:t>
            </w:r>
          </w:p>
        </w:tc>
        <w:tc>
          <w:tcPr>
            <w:tcW w:w="2240" w:type="dxa"/>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kern w:val="0"/>
                <w:sz w:val="21"/>
                <w:szCs w:val="21"/>
                <w:highlight w:val="none"/>
              </w:rPr>
            </w:pPr>
            <w:r>
              <w:rPr>
                <w:rFonts w:hint="eastAsia"/>
                <w:kern w:val="0"/>
                <w:sz w:val="21"/>
                <w:szCs w:val="21"/>
                <w:highlight w:val="none"/>
              </w:rPr>
              <w:t>一级</w:t>
            </w:r>
          </w:p>
        </w:tc>
        <w:tc>
          <w:tcPr>
            <w:tcW w:w="2239" w:type="dxa"/>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kern w:val="0"/>
                <w:sz w:val="21"/>
                <w:szCs w:val="21"/>
                <w:highlight w:val="none"/>
              </w:rPr>
            </w:pPr>
            <w:r>
              <w:rPr>
                <w:rFonts w:hint="eastAsia"/>
                <w:kern w:val="0"/>
                <w:sz w:val="21"/>
                <w:szCs w:val="21"/>
                <w:highlight w:val="none"/>
              </w:rPr>
              <w:t>二级</w:t>
            </w:r>
          </w:p>
        </w:tc>
        <w:tc>
          <w:tcPr>
            <w:tcW w:w="2240" w:type="dxa"/>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kern w:val="0"/>
                <w:sz w:val="21"/>
                <w:szCs w:val="21"/>
                <w:highlight w:val="none"/>
              </w:rPr>
            </w:pPr>
            <w:r>
              <w:rPr>
                <w:rFonts w:hint="eastAsia"/>
                <w:kern w:val="0"/>
                <w:sz w:val="21"/>
                <w:szCs w:val="21"/>
                <w:highlight w:val="none"/>
              </w:rPr>
              <w:t>三级</w:t>
            </w:r>
          </w:p>
        </w:tc>
      </w:tr>
      <w:tr>
        <w:tblPrEx>
          <w:tblCellMar>
            <w:top w:w="0" w:type="dxa"/>
            <w:left w:w="0" w:type="dxa"/>
            <w:bottom w:w="0" w:type="dxa"/>
            <w:right w:w="0" w:type="dxa"/>
          </w:tblCellMar>
        </w:tblPrEx>
        <w:trPr>
          <w:trHeight w:val="568" w:hRule="atLeast"/>
          <w:jc w:val="center"/>
        </w:trPr>
        <w:tc>
          <w:tcPr>
            <w:tcW w:w="2241" w:type="dxa"/>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kern w:val="0"/>
                <w:sz w:val="21"/>
                <w:szCs w:val="21"/>
                <w:highlight w:val="none"/>
              </w:rPr>
            </w:pPr>
            <w:r>
              <w:rPr>
                <w:rFonts w:hint="eastAsia"/>
                <w:kern w:val="0"/>
                <w:sz w:val="21"/>
                <w:szCs w:val="21"/>
                <w:highlight w:val="none"/>
              </w:rPr>
              <w:t>一般区域</w:t>
            </w:r>
          </w:p>
        </w:tc>
        <w:tc>
          <w:tcPr>
            <w:tcW w:w="2240" w:type="dxa"/>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kern w:val="0"/>
                <w:sz w:val="21"/>
                <w:szCs w:val="21"/>
                <w:highlight w:val="none"/>
              </w:rPr>
            </w:pPr>
            <w:r>
              <w:rPr>
                <w:rFonts w:hint="eastAsia"/>
                <w:kern w:val="0"/>
                <w:sz w:val="21"/>
                <w:szCs w:val="21"/>
                <w:highlight w:val="none"/>
              </w:rPr>
              <w:t>二级</w:t>
            </w:r>
          </w:p>
        </w:tc>
        <w:tc>
          <w:tcPr>
            <w:tcW w:w="2239" w:type="dxa"/>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kern w:val="0"/>
                <w:sz w:val="21"/>
                <w:szCs w:val="21"/>
                <w:highlight w:val="none"/>
              </w:rPr>
            </w:pPr>
            <w:r>
              <w:rPr>
                <w:rFonts w:hint="eastAsia"/>
                <w:kern w:val="0"/>
                <w:sz w:val="21"/>
                <w:szCs w:val="21"/>
                <w:highlight w:val="none"/>
              </w:rPr>
              <w:t>三级</w:t>
            </w:r>
          </w:p>
        </w:tc>
        <w:tc>
          <w:tcPr>
            <w:tcW w:w="2240" w:type="dxa"/>
            <w:tcBorders>
              <w:top w:val="single" w:color="000000" w:sz="4" w:space="0"/>
              <w:left w:val="single" w:color="000000" w:sz="4" w:space="0"/>
              <w:bottom w:val="single" w:color="000000" w:sz="4" w:space="0"/>
              <w:right w:val="single" w:color="000000" w:sz="4" w:space="0"/>
            </w:tcBorders>
            <w:vAlign w:val="center"/>
          </w:tcPr>
          <w:p>
            <w:pPr>
              <w:shd w:val="clear" w:color="auto" w:fill="FFC000"/>
              <w:ind w:firstLine="0" w:firstLineChars="0"/>
              <w:jc w:val="center"/>
              <w:rPr>
                <w:kern w:val="0"/>
                <w:sz w:val="21"/>
                <w:szCs w:val="21"/>
                <w:highlight w:val="none"/>
              </w:rPr>
            </w:pPr>
            <w:r>
              <w:rPr>
                <w:rFonts w:hint="eastAsia"/>
                <w:kern w:val="0"/>
                <w:sz w:val="21"/>
                <w:szCs w:val="21"/>
                <w:highlight w:val="none"/>
              </w:rPr>
              <w:t>三级</w:t>
            </w:r>
          </w:p>
        </w:tc>
      </w:tr>
    </w:tbl>
    <w:p>
      <w:pPr>
        <w:ind w:firstLine="480"/>
        <w:rPr>
          <w:kern w:val="0"/>
          <w:highlight w:val="none"/>
        </w:rPr>
      </w:pPr>
    </w:p>
    <w:p>
      <w:pPr>
        <w:ind w:firstLine="480"/>
        <w:rPr>
          <w:kern w:val="0"/>
          <w:highlight w:val="none"/>
        </w:rPr>
      </w:pPr>
      <w:r>
        <w:rPr>
          <w:rFonts w:hint="eastAsia"/>
          <w:color w:val="auto"/>
          <w:kern w:val="0"/>
          <w:highlight w:val="none"/>
        </w:rPr>
        <w:t>根据</w:t>
      </w:r>
      <w:r>
        <w:rPr>
          <w:rFonts w:hint="eastAsia"/>
          <w:color w:val="auto"/>
          <w:kern w:val="0"/>
          <w:highlight w:val="none"/>
          <w:lang w:eastAsia="zh-CN"/>
        </w:rPr>
        <w:t>文山州各类保护区矿业权清理情况统计表</w:t>
      </w:r>
      <w:r>
        <w:rPr>
          <w:rFonts w:hint="eastAsia"/>
          <w:color w:val="auto"/>
          <w:kern w:val="0"/>
          <w:highlight w:val="none"/>
        </w:rPr>
        <w:t>（详见附件5），</w:t>
      </w:r>
      <w:r>
        <w:rPr>
          <w:rFonts w:hint="eastAsia"/>
          <w:color w:val="auto"/>
          <w:kern w:val="0"/>
          <w:highlight w:val="none"/>
          <w:lang w:eastAsia="zh-CN"/>
        </w:rPr>
        <w:t>本项目</w:t>
      </w:r>
      <w:r>
        <w:rPr>
          <w:rFonts w:hint="eastAsia"/>
          <w:color w:val="auto"/>
          <w:kern w:val="0"/>
          <w:highlight w:val="none"/>
        </w:rPr>
        <w:t>占地不涉及文物保护单位、自然保护区、</w:t>
      </w:r>
      <w:r>
        <w:rPr>
          <w:rFonts w:hint="eastAsia"/>
          <w:color w:val="auto"/>
          <w:kern w:val="0"/>
          <w:highlight w:val="none"/>
          <w:lang w:eastAsia="zh-CN"/>
        </w:rPr>
        <w:t>国家公园、森林公园、重要湿地、</w:t>
      </w:r>
      <w:r>
        <w:rPr>
          <w:rFonts w:hint="eastAsia"/>
          <w:color w:val="auto"/>
          <w:kern w:val="0"/>
          <w:highlight w:val="none"/>
        </w:rPr>
        <w:t>风景名胜区、饮用水源保护区</w:t>
      </w:r>
      <w:r>
        <w:rPr>
          <w:rFonts w:hint="eastAsia"/>
          <w:color w:val="auto"/>
          <w:kern w:val="0"/>
          <w:highlight w:val="none"/>
          <w:lang w:eastAsia="zh-CN"/>
        </w:rPr>
        <w:t>、基本农田</w:t>
      </w:r>
      <w:r>
        <w:rPr>
          <w:rFonts w:hint="eastAsia"/>
          <w:color w:val="auto"/>
          <w:kern w:val="0"/>
          <w:highlight w:val="none"/>
        </w:rPr>
        <w:t>等法定环境敏感区和特殊功能生态区</w:t>
      </w:r>
      <w:r>
        <w:rPr>
          <w:rFonts w:hint="eastAsia"/>
          <w:color w:val="auto"/>
          <w:kern w:val="0"/>
          <w:highlight w:val="none"/>
          <w:lang w:eastAsia="zh-CN"/>
        </w:rPr>
        <w:t>，</w:t>
      </w:r>
      <w:r>
        <w:rPr>
          <w:rFonts w:hint="eastAsia"/>
          <w:color w:val="auto"/>
          <w:kern w:val="0"/>
          <w:highlight w:val="none"/>
        </w:rPr>
        <w:t>不属于《环境影响评价技术导则 生态影响》（HJ19-2011）中所述的</w:t>
      </w:r>
      <w:r>
        <w:rPr>
          <w:rFonts w:hint="eastAsia"/>
          <w:color w:val="auto"/>
          <w:kern w:val="0"/>
          <w:highlight w:val="none"/>
          <w:lang w:eastAsia="zh-CN"/>
        </w:rPr>
        <w:t>特殊、</w:t>
      </w:r>
      <w:r>
        <w:rPr>
          <w:rFonts w:hint="eastAsia"/>
          <w:color w:val="auto"/>
          <w:kern w:val="0"/>
          <w:highlight w:val="none"/>
        </w:rPr>
        <w:t>重要生态敏感区，属于</w:t>
      </w:r>
      <w:r>
        <w:rPr>
          <w:rFonts w:hint="eastAsia"/>
          <w:kern w:val="0"/>
          <w:highlight w:val="none"/>
        </w:rPr>
        <w:t>一般区域，</w:t>
      </w:r>
      <w:r>
        <w:rPr>
          <w:rFonts w:hint="eastAsia"/>
          <w:kern w:val="0"/>
          <w:highlight w:val="none"/>
          <w:lang w:eastAsia="zh-CN"/>
        </w:rPr>
        <w:t>且</w:t>
      </w:r>
      <w:r>
        <w:rPr>
          <w:rFonts w:hint="eastAsia"/>
          <w:kern w:val="0"/>
          <w:highlight w:val="none"/>
        </w:rPr>
        <w:t>矿区范围面积0.</w:t>
      </w:r>
      <w:r>
        <w:rPr>
          <w:rFonts w:hint="eastAsia"/>
          <w:kern w:val="0"/>
          <w:highlight w:val="none"/>
          <w:lang w:val="en-US" w:eastAsia="zh-CN"/>
        </w:rPr>
        <w:t>095</w:t>
      </w:r>
      <w:r>
        <w:rPr>
          <w:rFonts w:hint="eastAsia"/>
          <w:kern w:val="0"/>
          <w:highlight w:val="none"/>
        </w:rPr>
        <w:t>km</w:t>
      </w:r>
      <w:r>
        <w:rPr>
          <w:rFonts w:hint="eastAsia"/>
          <w:kern w:val="0"/>
          <w:highlight w:val="none"/>
          <w:vertAlign w:val="superscript"/>
        </w:rPr>
        <w:t>2</w:t>
      </w:r>
      <w:r>
        <w:rPr>
          <w:rFonts w:hint="eastAsia"/>
          <w:kern w:val="0"/>
          <w:highlight w:val="none"/>
        </w:rPr>
        <w:t>，小于2km</w:t>
      </w:r>
      <w:r>
        <w:rPr>
          <w:rFonts w:hint="eastAsia"/>
          <w:kern w:val="0"/>
          <w:highlight w:val="none"/>
          <w:vertAlign w:val="superscript"/>
        </w:rPr>
        <w:t>2</w:t>
      </w:r>
      <w:r>
        <w:rPr>
          <w:rFonts w:hint="eastAsia"/>
          <w:kern w:val="0"/>
          <w:highlight w:val="none"/>
        </w:rPr>
        <w:t>，因此本项目生态环境影响评价工作等级为三级。</w:t>
      </w:r>
    </w:p>
    <w:p>
      <w:pPr>
        <w:ind w:firstLine="480"/>
        <w:rPr>
          <w:kern w:val="0"/>
          <w:highlight w:val="none"/>
        </w:rPr>
      </w:pPr>
      <w:r>
        <w:rPr>
          <w:rFonts w:hint="eastAsia"/>
          <w:kern w:val="0"/>
          <w:highlight w:val="none"/>
        </w:rPr>
        <w:t>根据《环境影响评价技术导则 生态影响》（HJ19-2011）规定：在矿山开采可能导致矿区土地利用类型明显改变的，评价工作等级应上调一级，因此本项目生态环境影响评价工作等级为二级。</w:t>
      </w:r>
    </w:p>
    <w:p>
      <w:pPr>
        <w:ind w:left="480" w:leftChars="200" w:firstLine="0" w:firstLineChars="0"/>
        <w:rPr>
          <w:kern w:val="0"/>
          <w:highlight w:val="none"/>
        </w:rPr>
      </w:pPr>
      <w:r>
        <w:rPr>
          <w:rFonts w:hint="eastAsia"/>
          <w:kern w:val="0"/>
          <w:highlight w:val="none"/>
        </w:rPr>
        <w:t>（2）评价范围</w:t>
      </w:r>
    </w:p>
    <w:p>
      <w:pPr>
        <w:ind w:firstLine="480"/>
        <w:rPr>
          <w:rFonts w:hint="eastAsia"/>
          <w:kern w:val="0"/>
          <w:highlight w:val="none"/>
        </w:rPr>
      </w:pPr>
      <w:r>
        <w:rPr>
          <w:rFonts w:hint="eastAsia"/>
          <w:kern w:val="0"/>
          <w:highlight w:val="none"/>
        </w:rPr>
        <w:t>项目所在区域群落结构简单，影响区面积较小，根据影响区生态单元、地理单元，项目生态环境影响评价以矿区和其他工程占地区的场界向四周延伸200m为评价范围。</w:t>
      </w:r>
    </w:p>
    <w:p>
      <w:pPr>
        <w:pStyle w:val="5"/>
        <w:rPr>
          <w:rFonts w:hint="default" w:ascii="Times New Roman" w:hAnsi="Times New Roman" w:cs="Times New Roman"/>
          <w:color w:val="auto"/>
          <w:highlight w:val="none"/>
          <w:lang w:val="en-US" w:eastAsia="zh-CN"/>
        </w:rPr>
      </w:pPr>
      <w:bookmarkStart w:id="234" w:name="_Toc25686"/>
      <w:r>
        <w:rPr>
          <w:rFonts w:hint="eastAsia" w:ascii="Times New Roman" w:hAnsi="Times New Roman" w:cs="Times New Roman"/>
          <w:color w:val="auto"/>
          <w:highlight w:val="none"/>
          <w:lang w:val="en-US" w:eastAsia="zh-CN"/>
        </w:rPr>
        <w:t>1.6.7土壤</w:t>
      </w:r>
      <w:bookmarkEnd w:id="234"/>
    </w:p>
    <w:p>
      <w:pPr>
        <w:rPr>
          <w:rFonts w:hint="eastAsia" w:eastAsia="宋体"/>
          <w:color w:val="auto"/>
          <w:kern w:val="0"/>
          <w:highlight w:val="none"/>
          <w:lang w:eastAsia="zh-CN"/>
        </w:rPr>
      </w:pPr>
      <w:r>
        <w:rPr>
          <w:rFonts w:hint="eastAsia"/>
          <w:color w:val="auto"/>
          <w:kern w:val="0"/>
          <w:highlight w:val="none"/>
          <w:lang w:eastAsia="zh-CN"/>
        </w:rPr>
        <w:t>（</w:t>
      </w:r>
      <w:r>
        <w:rPr>
          <w:rFonts w:hint="eastAsia"/>
          <w:color w:val="auto"/>
          <w:kern w:val="0"/>
          <w:highlight w:val="none"/>
          <w:lang w:val="en-US" w:eastAsia="zh-CN"/>
        </w:rPr>
        <w:t>1</w:t>
      </w:r>
      <w:r>
        <w:rPr>
          <w:rFonts w:hint="eastAsia"/>
          <w:color w:val="auto"/>
          <w:kern w:val="0"/>
          <w:highlight w:val="none"/>
          <w:lang w:eastAsia="zh-CN"/>
        </w:rPr>
        <w:t>）项目类型</w:t>
      </w:r>
    </w:p>
    <w:p>
      <w:pPr>
        <w:spacing w:line="360" w:lineRule="auto"/>
        <w:ind w:firstLine="480" w:firstLineChars="200"/>
        <w:rPr>
          <w:rFonts w:hint="eastAsia" w:ascii="Times New Roman" w:hAnsi="Times New Roman" w:cs="Times New Roman"/>
          <w:bCs/>
          <w:color w:val="auto"/>
          <w:sz w:val="24"/>
          <w:highlight w:val="none"/>
          <w:vertAlign w:val="baseline"/>
          <w:lang w:val="en-US" w:eastAsia="zh-CN"/>
        </w:rPr>
      </w:pPr>
      <w:r>
        <w:rPr>
          <w:rFonts w:hint="eastAsia" w:ascii="Times New Roman" w:hAnsi="Times New Roman" w:cs="Times New Roman"/>
          <w:bCs/>
          <w:color w:val="auto"/>
          <w:sz w:val="24"/>
          <w:highlight w:val="none"/>
          <w:vertAlign w:val="baseline"/>
          <w:lang w:val="en-US" w:eastAsia="zh-CN"/>
        </w:rPr>
        <w:t>本项目石灰岩矿</w:t>
      </w:r>
      <w:r>
        <w:rPr>
          <w:rFonts w:hint="eastAsia" w:cs="Times New Roman"/>
          <w:bCs/>
          <w:color w:val="auto"/>
          <w:sz w:val="24"/>
          <w:highlight w:val="none"/>
          <w:vertAlign w:val="baseline"/>
          <w:lang w:val="en-US" w:eastAsia="zh-CN"/>
        </w:rPr>
        <w:t>新建</w:t>
      </w:r>
      <w:r>
        <w:rPr>
          <w:rFonts w:hint="eastAsia" w:ascii="Times New Roman" w:hAnsi="Times New Roman" w:cs="Times New Roman"/>
          <w:bCs/>
          <w:color w:val="auto"/>
          <w:sz w:val="24"/>
          <w:highlight w:val="none"/>
          <w:vertAlign w:val="baseline"/>
          <w:lang w:val="en-US" w:eastAsia="zh-CN"/>
        </w:rPr>
        <w:t>工程，根据项目建设内容及其对土壤环境可能产生的影响，判定本项目土壤影响类型为污染影响型和生态影响型。</w:t>
      </w:r>
    </w:p>
    <w:p>
      <w:pPr>
        <w:spacing w:line="360" w:lineRule="auto"/>
        <w:ind w:firstLine="480" w:firstLineChars="200"/>
        <w:rPr>
          <w:rFonts w:hint="eastAsia"/>
          <w:color w:val="auto"/>
          <w:kern w:val="0"/>
          <w:highlight w:val="none"/>
          <w:lang w:eastAsia="zh-CN"/>
        </w:rPr>
      </w:pPr>
      <w:r>
        <w:rPr>
          <w:rFonts w:hint="eastAsia"/>
          <w:color w:val="auto"/>
          <w:kern w:val="0"/>
          <w:highlight w:val="none"/>
          <w:lang w:eastAsia="zh-CN"/>
        </w:rPr>
        <w:t>（</w:t>
      </w:r>
      <w:r>
        <w:rPr>
          <w:rFonts w:hint="eastAsia"/>
          <w:color w:val="auto"/>
          <w:kern w:val="0"/>
          <w:highlight w:val="none"/>
          <w:lang w:val="en-US" w:eastAsia="zh-CN"/>
        </w:rPr>
        <w:t>2</w:t>
      </w:r>
      <w:r>
        <w:rPr>
          <w:rFonts w:hint="eastAsia"/>
          <w:color w:val="auto"/>
          <w:kern w:val="0"/>
          <w:highlight w:val="none"/>
          <w:lang w:eastAsia="zh-CN"/>
        </w:rPr>
        <w:t>）项目类别</w:t>
      </w:r>
    </w:p>
    <w:p>
      <w:pPr>
        <w:spacing w:line="360" w:lineRule="auto"/>
        <w:ind w:firstLine="480" w:firstLineChars="200"/>
        <w:rPr>
          <w:rFonts w:hint="default" w:ascii="Times New Roman" w:hAnsi="Times New Roman" w:cs="Times New Roman"/>
          <w:bCs/>
          <w:color w:val="auto"/>
          <w:sz w:val="24"/>
          <w:highlight w:val="none"/>
          <w:vertAlign w:val="baseline"/>
          <w:lang w:val="en-US" w:eastAsia="zh-CN"/>
        </w:rPr>
      </w:pPr>
      <w:r>
        <w:rPr>
          <w:rFonts w:hint="default" w:ascii="Times New Roman" w:hAnsi="Times New Roman" w:cs="Times New Roman"/>
          <w:bCs/>
          <w:color w:val="auto"/>
          <w:sz w:val="24"/>
          <w:highlight w:val="none"/>
          <w:vertAlign w:val="baseline"/>
          <w:lang w:val="en-US" w:eastAsia="zh-CN"/>
        </w:rPr>
        <w:t>依据《环境影响评价技术导则——土壤环境（试行）》（HJ 964-2018）附录A，本项目归类为</w:t>
      </w:r>
      <w:r>
        <w:rPr>
          <w:rFonts w:hint="eastAsia" w:ascii="Times New Roman" w:hAnsi="Times New Roman" w:cs="Times New Roman"/>
          <w:bCs/>
          <w:color w:val="auto"/>
          <w:sz w:val="24"/>
          <w:highlight w:val="none"/>
          <w:vertAlign w:val="baseline"/>
          <w:lang w:val="en-US" w:eastAsia="zh-CN"/>
        </w:rPr>
        <w:t>其他采矿业</w:t>
      </w:r>
      <w:r>
        <w:rPr>
          <w:rFonts w:hint="default" w:ascii="Times New Roman" w:hAnsi="Times New Roman" w:cs="Times New Roman"/>
          <w:bCs/>
          <w:color w:val="auto"/>
          <w:sz w:val="24"/>
          <w:highlight w:val="none"/>
          <w:vertAlign w:val="baseline"/>
          <w:lang w:val="en-US" w:eastAsia="zh-CN"/>
        </w:rPr>
        <w:t>，属</w:t>
      </w:r>
      <w:r>
        <w:rPr>
          <w:rFonts w:hint="eastAsia" w:ascii="Times New Roman" w:hAnsi="Times New Roman" w:cs="Times New Roman"/>
          <w:bCs/>
          <w:color w:val="auto"/>
          <w:sz w:val="24"/>
          <w:highlight w:val="none"/>
          <w:vertAlign w:val="baseline"/>
          <w:lang w:val="en-US" w:eastAsia="zh-CN"/>
        </w:rPr>
        <w:t>III</w:t>
      </w:r>
      <w:r>
        <w:rPr>
          <w:rFonts w:hint="default" w:ascii="Times New Roman" w:hAnsi="Times New Roman" w:cs="Times New Roman"/>
          <w:bCs/>
          <w:color w:val="auto"/>
          <w:sz w:val="24"/>
          <w:highlight w:val="none"/>
          <w:vertAlign w:val="baseline"/>
          <w:lang w:val="en-US" w:eastAsia="zh-CN"/>
        </w:rPr>
        <w:t>类项目。</w:t>
      </w:r>
    </w:p>
    <w:p>
      <w:pPr>
        <w:pStyle w:val="2"/>
        <w:rPr>
          <w:rFonts w:hint="default" w:ascii="Times New Roman" w:hAnsi="Times New Roman" w:cs="Times New Roman"/>
          <w:b w:val="0"/>
          <w:bCs/>
          <w:color w:val="auto"/>
          <w:sz w:val="24"/>
          <w:highlight w:val="none"/>
          <w:vertAlign w:val="baseline"/>
          <w:lang w:val="en-US" w:eastAsia="zh-CN"/>
        </w:rPr>
      </w:pPr>
      <w:r>
        <w:rPr>
          <w:rFonts w:hint="eastAsia" w:ascii="Times New Roman" w:hAnsi="Times New Roman" w:cs="Times New Roman"/>
          <w:b w:val="0"/>
          <w:bCs/>
          <w:color w:val="auto"/>
          <w:sz w:val="24"/>
          <w:highlight w:val="none"/>
          <w:vertAlign w:val="baseline"/>
          <w:lang w:val="en-US" w:eastAsia="zh-CN"/>
        </w:rPr>
        <w:t>（3）评价等级</w:t>
      </w:r>
    </w:p>
    <w:p>
      <w:pPr>
        <w:rPr>
          <w:rFonts w:hint="default" w:ascii="Times New Roman" w:hAnsi="Times New Roman" w:cs="Times New Roman"/>
          <w:bCs/>
          <w:color w:val="auto"/>
          <w:sz w:val="24"/>
          <w:highlight w:val="none"/>
          <w:vertAlign w:val="baseline"/>
          <w:lang w:val="en-US" w:eastAsia="zh-CN"/>
        </w:rPr>
      </w:pPr>
      <w:r>
        <w:rPr>
          <w:rFonts w:hint="eastAsia"/>
          <w:color w:val="auto"/>
          <w:highlight w:val="none"/>
          <w:lang w:val="en-US" w:eastAsia="zh-CN"/>
        </w:rPr>
        <w:t>根据《环境影响评价技术导则——土壤环境（试行）》（HJ 964-2018）6.2.3：建设项目同时涉及土壤环境生态影响型与污染影响型时，应分别判定评价工作等级。本项目土壤</w:t>
      </w:r>
      <w:r>
        <w:rPr>
          <w:rFonts w:hint="eastAsia" w:ascii="Times New Roman" w:hAnsi="Times New Roman" w:cs="Times New Roman"/>
          <w:bCs/>
          <w:color w:val="auto"/>
          <w:sz w:val="24"/>
          <w:highlight w:val="none"/>
          <w:vertAlign w:val="baseline"/>
          <w:lang w:val="en-US" w:eastAsia="zh-CN"/>
        </w:rPr>
        <w:t>影响类型为污染影响型和生态影响型，土壤评价工作等级分别判定情况如下：</w:t>
      </w:r>
    </w:p>
    <w:p>
      <w:pPr>
        <w:pStyle w:val="2"/>
        <w:numPr>
          <w:ilvl w:val="0"/>
          <w:numId w:val="8"/>
        </w:numPr>
        <w:rPr>
          <w:rFonts w:hint="eastAsia"/>
          <w:b/>
          <w:bCs/>
          <w:color w:val="auto"/>
          <w:highlight w:val="none"/>
          <w:lang w:val="en-US" w:eastAsia="zh-CN"/>
        </w:rPr>
      </w:pPr>
      <w:r>
        <w:rPr>
          <w:rFonts w:hint="eastAsia"/>
          <w:b/>
          <w:bCs/>
          <w:color w:val="auto"/>
          <w:highlight w:val="none"/>
          <w:lang w:val="en-US" w:eastAsia="zh-CN"/>
        </w:rPr>
        <w:t>生态影响型</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color w:val="auto"/>
          <w:highlight w:val="none"/>
          <w:lang w:val="en-US" w:eastAsia="zh-CN"/>
        </w:rPr>
      </w:pPr>
      <w:r>
        <w:rPr>
          <w:rFonts w:hint="eastAsia"/>
          <w:color w:val="auto"/>
          <w:highlight w:val="none"/>
          <w:lang w:val="en-US" w:eastAsia="zh-CN"/>
        </w:rPr>
        <w:t>根据项目区域土壤环境质量现状监测结果，土壤pH值范围为6.18-6.43（5.5＜pH＜8.5），敏感程度分级为不敏感，且项目类型为III类，根据《环境影响评价技术导则——土壤环境（试行）》（HJ  964-2018）表2评价工作等级划分，本项目按生态影响型判定不设置评价等级。</w:t>
      </w:r>
    </w:p>
    <w:p>
      <w:pPr>
        <w:rPr>
          <w:rFonts w:hint="default"/>
          <w:color w:val="auto"/>
          <w:highlight w:val="none"/>
          <w:lang w:val="en-US" w:eastAsia="zh-CN"/>
        </w:rPr>
      </w:pPr>
      <w:r>
        <w:rPr>
          <w:rFonts w:hint="eastAsia"/>
          <w:b/>
          <w:bCs/>
          <w:color w:val="auto"/>
          <w:highlight w:val="none"/>
          <w:lang w:val="en-US" w:eastAsia="zh-CN"/>
        </w:rPr>
        <w:t>B、污染影响型</w:t>
      </w:r>
    </w:p>
    <w:p>
      <w:pPr>
        <w:pStyle w:val="2"/>
        <w:rPr>
          <w:rFonts w:hint="default" w:eastAsia="宋体"/>
          <w:color w:val="auto"/>
          <w:highlight w:val="none"/>
          <w:vertAlign w:val="baseline"/>
          <w:lang w:val="en-US" w:eastAsia="zh-CN"/>
        </w:rPr>
      </w:pPr>
      <w:r>
        <w:rPr>
          <w:rFonts w:hint="eastAsia"/>
          <w:color w:val="auto"/>
          <w:highlight w:val="none"/>
          <w:lang w:val="en-US" w:eastAsia="zh-CN"/>
        </w:rPr>
        <w:t>项目</w:t>
      </w:r>
      <w:r>
        <w:rPr>
          <w:rFonts w:hint="eastAsia"/>
          <w:color w:val="auto"/>
          <w:highlight w:val="none"/>
        </w:rPr>
        <w:t>矿区范围面积为0.</w:t>
      </w:r>
      <w:r>
        <w:rPr>
          <w:rFonts w:hint="eastAsia"/>
          <w:color w:val="auto"/>
          <w:highlight w:val="none"/>
          <w:lang w:val="en-US" w:eastAsia="zh-CN"/>
        </w:rPr>
        <w:t>095</w:t>
      </w:r>
      <w:r>
        <w:rPr>
          <w:rFonts w:hint="eastAsia"/>
          <w:color w:val="auto"/>
          <w:highlight w:val="none"/>
        </w:rPr>
        <w:t>km</w:t>
      </w:r>
      <w:r>
        <w:rPr>
          <w:rFonts w:hint="eastAsia"/>
          <w:color w:val="auto"/>
          <w:highlight w:val="none"/>
          <w:vertAlign w:val="superscript"/>
        </w:rPr>
        <w:t>2</w:t>
      </w:r>
      <w:r>
        <w:rPr>
          <w:rFonts w:hint="eastAsia"/>
          <w:color w:val="auto"/>
          <w:highlight w:val="none"/>
          <w:vertAlign w:val="baseline"/>
          <w:lang w:eastAsia="zh-CN"/>
        </w:rPr>
        <w:t>，约</w:t>
      </w:r>
      <w:r>
        <w:rPr>
          <w:rFonts w:hint="eastAsia"/>
          <w:color w:val="auto"/>
          <w:highlight w:val="none"/>
          <w:vertAlign w:val="baseline"/>
          <w:lang w:val="en-US" w:eastAsia="zh-CN"/>
        </w:rPr>
        <w:t>9.5公顷，属中型规模，矿区周边分布有耕地环境敏感目标，按</w:t>
      </w:r>
      <w:r>
        <w:rPr>
          <w:rFonts w:hint="eastAsia"/>
          <w:color w:val="auto"/>
          <w:highlight w:val="none"/>
          <w:lang w:val="en-US" w:eastAsia="zh-CN"/>
        </w:rPr>
        <w:t>《环境影响评价技术导则——土壤环境（试行）》（HJ  964-2018）表4评价工作等级划分，本项目按污染型划分，评价工作等级为三级。</w:t>
      </w:r>
    </w:p>
    <w:p>
      <w:pPr>
        <w:spacing w:line="360" w:lineRule="auto"/>
        <w:ind w:firstLine="480" w:firstLineChars="200"/>
        <w:rPr>
          <w:rFonts w:hint="default" w:ascii="Times New Roman" w:hAnsi="Times New Roman" w:cs="Times New Roman" w:eastAsiaTheme="minorEastAsia"/>
          <w:bCs/>
          <w:color w:val="auto"/>
          <w:sz w:val="24"/>
          <w:highlight w:val="none"/>
          <w:vertAlign w:val="baseline"/>
          <w:lang w:val="en-US" w:eastAsia="zh-CN"/>
        </w:rPr>
      </w:pPr>
      <w:r>
        <w:rPr>
          <w:rFonts w:hint="eastAsia" w:cs="Times New Roman" w:eastAsiaTheme="minorEastAsia"/>
          <w:bCs/>
          <w:color w:val="auto"/>
          <w:sz w:val="24"/>
          <w:highlight w:val="none"/>
          <w:vertAlign w:val="baseline"/>
          <w:lang w:val="en-US" w:eastAsia="zh-CN"/>
        </w:rPr>
        <w:t>综上，本项目土壤评价按</w:t>
      </w:r>
      <w:r>
        <w:rPr>
          <w:rFonts w:hint="eastAsia" w:ascii="Times New Roman" w:hAnsi="Times New Roman" w:cs="Times New Roman"/>
          <w:bCs/>
          <w:color w:val="auto"/>
          <w:sz w:val="24"/>
          <w:highlight w:val="none"/>
          <w:vertAlign w:val="baseline"/>
          <w:lang w:val="en-US" w:eastAsia="zh-CN"/>
        </w:rPr>
        <w:t>污染影响型</w:t>
      </w:r>
      <w:r>
        <w:rPr>
          <w:rFonts w:hint="eastAsia" w:cs="Times New Roman"/>
          <w:bCs/>
          <w:color w:val="auto"/>
          <w:sz w:val="24"/>
          <w:highlight w:val="none"/>
          <w:vertAlign w:val="baseline"/>
          <w:lang w:val="en-US" w:eastAsia="zh-CN"/>
        </w:rPr>
        <w:t>进行判定，土壤评价评价等级为三级。</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eastAsia="宋体"/>
          <w:color w:val="auto"/>
          <w:highlight w:val="none"/>
          <w:lang w:eastAsia="zh-CN"/>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）评价范围</w:t>
      </w:r>
    </w:p>
    <w:p>
      <w:pPr>
        <w:pStyle w:val="2"/>
        <w:rPr>
          <w:highlight w:val="none"/>
        </w:rPr>
      </w:pPr>
      <w:r>
        <w:rPr>
          <w:rFonts w:hint="eastAsia"/>
          <w:color w:val="auto"/>
          <w:highlight w:val="none"/>
          <w:lang w:eastAsia="zh-CN"/>
        </w:rPr>
        <w:t>矿界周边</w:t>
      </w:r>
      <w:r>
        <w:rPr>
          <w:rFonts w:hint="eastAsia"/>
          <w:color w:val="auto"/>
          <w:highlight w:val="none"/>
          <w:lang w:val="en-US" w:eastAsia="zh-CN"/>
        </w:rPr>
        <w:t>50m范围内。</w:t>
      </w:r>
    </w:p>
    <w:p>
      <w:pPr>
        <w:pStyle w:val="4"/>
        <w:rPr>
          <w:highlight w:val="none"/>
        </w:rPr>
      </w:pPr>
      <w:bookmarkStart w:id="235" w:name="_Toc31126"/>
      <w:r>
        <w:rPr>
          <w:highlight w:val="none"/>
        </w:rPr>
        <w:t>1.</w:t>
      </w:r>
      <w:r>
        <w:rPr>
          <w:rFonts w:hint="eastAsia"/>
          <w:highlight w:val="none"/>
        </w:rPr>
        <w:t>7</w:t>
      </w:r>
      <w:r>
        <w:rPr>
          <w:highlight w:val="none"/>
        </w:rPr>
        <w:t xml:space="preserve"> 环境保护目标</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5"/>
    </w:p>
    <w:p>
      <w:pPr>
        <w:pStyle w:val="5"/>
        <w:rPr>
          <w:rFonts w:hint="default"/>
          <w:highlight w:val="none"/>
        </w:rPr>
      </w:pPr>
      <w:bookmarkStart w:id="236" w:name="_Toc430101003"/>
      <w:bookmarkStart w:id="237" w:name="_Toc306367343"/>
      <w:bookmarkStart w:id="238" w:name="_Toc278484163"/>
      <w:bookmarkStart w:id="239" w:name="_Toc307827320"/>
      <w:bookmarkStart w:id="240" w:name="_Toc451778746"/>
      <w:bookmarkStart w:id="241" w:name="_Toc330280117"/>
      <w:bookmarkStart w:id="242" w:name="_Toc249541174"/>
      <w:bookmarkStart w:id="243" w:name="_Toc303925201"/>
      <w:bookmarkStart w:id="244" w:name="_Toc249452656"/>
      <w:bookmarkStart w:id="245" w:name="_Toc25643"/>
      <w:bookmarkStart w:id="246" w:name="_Toc25086"/>
      <w:bookmarkStart w:id="247" w:name="_Toc480560036"/>
      <w:bookmarkStart w:id="248" w:name="_Toc488825488"/>
      <w:bookmarkStart w:id="249" w:name="_Toc5809"/>
      <w:bookmarkStart w:id="250" w:name="_Toc19286"/>
      <w:bookmarkStart w:id="251" w:name="_Toc501887247"/>
      <w:bookmarkStart w:id="252" w:name="_Toc29299"/>
      <w:r>
        <w:rPr>
          <w:rFonts w:hint="default"/>
          <w:highlight w:val="none"/>
        </w:rPr>
        <w:t>1.</w:t>
      </w:r>
      <w:r>
        <w:rPr>
          <w:highlight w:val="none"/>
        </w:rPr>
        <w:t>7</w:t>
      </w:r>
      <w:r>
        <w:rPr>
          <w:rFonts w:hint="default"/>
          <w:highlight w:val="none"/>
        </w:rPr>
        <w:t xml:space="preserve">.1 </w:t>
      </w:r>
      <w:bookmarkEnd w:id="236"/>
      <w:bookmarkEnd w:id="237"/>
      <w:bookmarkEnd w:id="238"/>
      <w:bookmarkEnd w:id="239"/>
      <w:bookmarkEnd w:id="240"/>
      <w:bookmarkEnd w:id="241"/>
      <w:bookmarkEnd w:id="242"/>
      <w:bookmarkEnd w:id="243"/>
      <w:bookmarkEnd w:id="244"/>
      <w:bookmarkStart w:id="253" w:name="_Toc451778747"/>
      <w:bookmarkStart w:id="254" w:name="_Toc306367344"/>
      <w:bookmarkStart w:id="255" w:name="_Toc330280118"/>
      <w:bookmarkStart w:id="256" w:name="_Toc430101004"/>
      <w:bookmarkStart w:id="257" w:name="_Toc278484164"/>
      <w:bookmarkStart w:id="258" w:name="_Toc307827321"/>
      <w:bookmarkStart w:id="259" w:name="_Toc303925202"/>
      <w:bookmarkStart w:id="260" w:name="_Toc249452657"/>
      <w:bookmarkStart w:id="261" w:name="_Toc249541175"/>
      <w:r>
        <w:rPr>
          <w:rFonts w:hint="default"/>
          <w:highlight w:val="none"/>
        </w:rPr>
        <w:t>环境空气保护目标</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pPr>
        <w:ind w:firstLine="480"/>
        <w:rPr>
          <w:kern w:val="0"/>
          <w:highlight w:val="none"/>
        </w:rPr>
      </w:pPr>
      <w:r>
        <w:rPr>
          <w:rFonts w:hint="eastAsia"/>
          <w:color w:val="auto"/>
          <w:kern w:val="0"/>
          <w:highlight w:val="none"/>
          <w:lang w:eastAsia="zh-CN"/>
        </w:rPr>
        <w:t>根据分析，项目大气评价等级为二级，评价范围为项目厂址为中心，边长为</w:t>
      </w:r>
      <w:r>
        <w:rPr>
          <w:rFonts w:hint="eastAsia"/>
          <w:color w:val="auto"/>
          <w:kern w:val="0"/>
          <w:highlight w:val="none"/>
          <w:lang w:val="en-US" w:eastAsia="zh-CN"/>
        </w:rPr>
        <w:t>5km的区域</w:t>
      </w:r>
      <w:r>
        <w:rPr>
          <w:color w:val="auto"/>
          <w:kern w:val="0"/>
          <w:highlight w:val="none"/>
        </w:rPr>
        <w:t>，</w:t>
      </w:r>
      <w:r>
        <w:rPr>
          <w:kern w:val="0"/>
          <w:highlight w:val="none"/>
        </w:rPr>
        <w:t>环境空气保护目标以自然村为单位调查。</w:t>
      </w:r>
    </w:p>
    <w:p>
      <w:pPr>
        <w:pStyle w:val="5"/>
        <w:adjustRightInd w:val="0"/>
        <w:snapToGrid w:val="0"/>
        <w:rPr>
          <w:rFonts w:hint="default"/>
          <w:highlight w:val="none"/>
        </w:rPr>
      </w:pPr>
      <w:bookmarkStart w:id="262" w:name="_Toc3195"/>
      <w:bookmarkStart w:id="263" w:name="_Toc501887248"/>
      <w:bookmarkStart w:id="264" w:name="_Toc488825489"/>
      <w:bookmarkStart w:id="265" w:name="_Toc27881"/>
      <w:bookmarkStart w:id="266" w:name="_Toc11398"/>
      <w:bookmarkStart w:id="267" w:name="_Toc480560037"/>
      <w:bookmarkStart w:id="268" w:name="_Toc25272"/>
      <w:bookmarkStart w:id="269" w:name="_Toc693"/>
      <w:bookmarkStart w:id="270" w:name="_Toc478726679"/>
      <w:r>
        <w:rPr>
          <w:rFonts w:hint="default"/>
          <w:highlight w:val="none"/>
        </w:rPr>
        <w:t>1.</w:t>
      </w:r>
      <w:r>
        <w:rPr>
          <w:highlight w:val="none"/>
        </w:rPr>
        <w:t>7</w:t>
      </w:r>
      <w:r>
        <w:rPr>
          <w:rFonts w:hint="default"/>
          <w:highlight w:val="none"/>
        </w:rPr>
        <w:t>.2 地表水环境保护目标</w:t>
      </w:r>
      <w:bookmarkEnd w:id="262"/>
      <w:bookmarkEnd w:id="263"/>
      <w:bookmarkEnd w:id="264"/>
      <w:bookmarkEnd w:id="265"/>
      <w:bookmarkEnd w:id="266"/>
      <w:bookmarkEnd w:id="267"/>
      <w:bookmarkEnd w:id="268"/>
      <w:bookmarkEnd w:id="269"/>
      <w:bookmarkEnd w:id="270"/>
    </w:p>
    <w:p>
      <w:pPr>
        <w:ind w:firstLine="480"/>
        <w:rPr>
          <w:color w:val="auto"/>
          <w:kern w:val="0"/>
          <w:highlight w:val="none"/>
        </w:rPr>
      </w:pPr>
      <w:r>
        <w:rPr>
          <w:color w:val="auto"/>
          <w:kern w:val="0"/>
          <w:highlight w:val="none"/>
        </w:rPr>
        <w:t>经调查，</w:t>
      </w:r>
      <w:r>
        <w:rPr>
          <w:rFonts w:hint="eastAsia"/>
          <w:color w:val="auto"/>
          <w:kern w:val="0"/>
          <w:highlight w:val="none"/>
        </w:rPr>
        <w:t>本项目所在区域</w:t>
      </w:r>
      <w:r>
        <w:rPr>
          <w:color w:val="auto"/>
          <w:kern w:val="0"/>
          <w:highlight w:val="none"/>
        </w:rPr>
        <w:t>无生活、生产设施取水口及其他需要特殊保护的水环境敏感目标。地表水保护目标为</w:t>
      </w:r>
      <w:r>
        <w:rPr>
          <w:rFonts w:hint="eastAsia"/>
          <w:color w:val="auto"/>
          <w:kern w:val="0"/>
          <w:highlight w:val="none"/>
        </w:rPr>
        <w:t>主要为</w:t>
      </w:r>
      <w:r>
        <w:rPr>
          <w:rFonts w:hint="eastAsia"/>
          <w:color w:val="auto"/>
          <w:kern w:val="0"/>
          <w:highlight w:val="none"/>
          <w:lang w:val="zh-CN"/>
        </w:rPr>
        <w:t>卡子水库。</w:t>
      </w:r>
    </w:p>
    <w:p>
      <w:pPr>
        <w:pStyle w:val="5"/>
        <w:adjustRightInd w:val="0"/>
        <w:snapToGrid w:val="0"/>
        <w:rPr>
          <w:rFonts w:hint="default"/>
          <w:highlight w:val="none"/>
        </w:rPr>
      </w:pPr>
      <w:bookmarkStart w:id="271" w:name="_Toc6917"/>
      <w:bookmarkStart w:id="272" w:name="_Toc24478"/>
      <w:bookmarkStart w:id="273" w:name="_Toc23582"/>
      <w:bookmarkStart w:id="274" w:name="_Toc480560038"/>
      <w:bookmarkStart w:id="275" w:name="_Toc501887249"/>
      <w:bookmarkStart w:id="276" w:name="_Toc25122"/>
      <w:bookmarkStart w:id="277" w:name="_Toc3416"/>
      <w:bookmarkStart w:id="278" w:name="_Toc488825490"/>
      <w:bookmarkStart w:id="279" w:name="_Toc478726680"/>
      <w:r>
        <w:rPr>
          <w:rFonts w:hint="default"/>
          <w:highlight w:val="none"/>
        </w:rPr>
        <w:t>1.</w:t>
      </w:r>
      <w:r>
        <w:rPr>
          <w:highlight w:val="none"/>
        </w:rPr>
        <w:t>7</w:t>
      </w:r>
      <w:r>
        <w:rPr>
          <w:rFonts w:hint="default"/>
          <w:highlight w:val="none"/>
        </w:rPr>
        <w:t>.3 地下水环境保护目标</w:t>
      </w:r>
      <w:bookmarkEnd w:id="271"/>
      <w:bookmarkEnd w:id="272"/>
      <w:bookmarkEnd w:id="273"/>
      <w:bookmarkEnd w:id="274"/>
      <w:bookmarkEnd w:id="275"/>
      <w:bookmarkEnd w:id="276"/>
      <w:bookmarkEnd w:id="277"/>
      <w:bookmarkEnd w:id="278"/>
      <w:bookmarkEnd w:id="279"/>
    </w:p>
    <w:p>
      <w:pPr>
        <w:ind w:firstLine="480"/>
        <w:rPr>
          <w:kern w:val="0"/>
          <w:highlight w:val="none"/>
        </w:rPr>
      </w:pPr>
      <w:r>
        <w:rPr>
          <w:kern w:val="0"/>
          <w:highlight w:val="none"/>
        </w:rPr>
        <w:t>经现场实地调查，项目区周边饮用水均为</w:t>
      </w:r>
      <w:r>
        <w:rPr>
          <w:rFonts w:hint="eastAsia"/>
          <w:kern w:val="0"/>
          <w:highlight w:val="none"/>
          <w:lang w:eastAsia="zh-CN"/>
        </w:rPr>
        <w:t>乡</w:t>
      </w:r>
      <w:r>
        <w:rPr>
          <w:kern w:val="0"/>
          <w:highlight w:val="none"/>
        </w:rPr>
        <w:t>镇自来水管网供给，评价范围内无地下水饮用水取水点，也无其他敏感目标分布。</w:t>
      </w:r>
    </w:p>
    <w:p>
      <w:pPr>
        <w:pStyle w:val="5"/>
        <w:adjustRightInd w:val="0"/>
        <w:snapToGrid w:val="0"/>
        <w:rPr>
          <w:rFonts w:hint="default"/>
          <w:highlight w:val="none"/>
        </w:rPr>
      </w:pPr>
      <w:bookmarkStart w:id="280" w:name="_Toc488825491"/>
      <w:bookmarkStart w:id="281" w:name="_Toc480560039"/>
      <w:bookmarkStart w:id="282" w:name="_Toc501887250"/>
      <w:bookmarkStart w:id="283" w:name="_Toc11285"/>
      <w:bookmarkStart w:id="284" w:name="_Toc25705"/>
      <w:bookmarkStart w:id="285" w:name="_Toc18293"/>
      <w:bookmarkStart w:id="286" w:name="_Toc12405"/>
      <w:bookmarkStart w:id="287" w:name="_Toc7157"/>
      <w:bookmarkStart w:id="288" w:name="_Toc478726681"/>
      <w:r>
        <w:rPr>
          <w:rFonts w:hint="default"/>
          <w:highlight w:val="none"/>
        </w:rPr>
        <w:t>1.</w:t>
      </w:r>
      <w:r>
        <w:rPr>
          <w:highlight w:val="none"/>
        </w:rPr>
        <w:t>7</w:t>
      </w:r>
      <w:r>
        <w:rPr>
          <w:rFonts w:hint="default"/>
          <w:highlight w:val="none"/>
        </w:rPr>
        <w:t>.4 声环境保护目标</w:t>
      </w:r>
      <w:bookmarkEnd w:id="280"/>
      <w:bookmarkEnd w:id="281"/>
      <w:bookmarkEnd w:id="282"/>
      <w:bookmarkEnd w:id="283"/>
      <w:bookmarkEnd w:id="284"/>
      <w:bookmarkEnd w:id="285"/>
      <w:bookmarkEnd w:id="286"/>
      <w:bookmarkEnd w:id="287"/>
      <w:bookmarkEnd w:id="288"/>
    </w:p>
    <w:p>
      <w:pPr>
        <w:ind w:firstLine="480"/>
        <w:rPr>
          <w:kern w:val="0"/>
          <w:highlight w:val="none"/>
        </w:rPr>
        <w:sectPr>
          <w:pgSz w:w="11911" w:h="16838"/>
          <w:pgMar w:top="1417" w:right="1417" w:bottom="1417" w:left="1417" w:header="879" w:footer="952" w:gutter="0"/>
          <w:pgBorders>
            <w:top w:val="none" w:sz="0" w:space="0"/>
            <w:left w:val="none" w:sz="0" w:space="0"/>
            <w:bottom w:val="none" w:sz="0" w:space="0"/>
            <w:right w:val="none" w:sz="0" w:space="0"/>
          </w:pgBorders>
          <w:pgNumType w:fmt="decimal"/>
          <w:cols w:space="720" w:num="1"/>
          <w:docGrid w:linePitch="312" w:charSpace="0"/>
        </w:sectPr>
      </w:pPr>
      <w:r>
        <w:rPr>
          <w:kern w:val="0"/>
          <w:highlight w:val="none"/>
        </w:rPr>
        <w:t>经现场实地调查</w:t>
      </w:r>
      <w:r>
        <w:rPr>
          <w:rFonts w:hint="eastAsia"/>
          <w:kern w:val="0"/>
          <w:highlight w:val="none"/>
        </w:rPr>
        <w:t>，本项目矿界、其它工程界</w:t>
      </w:r>
      <w:r>
        <w:rPr>
          <w:kern w:val="0"/>
          <w:highlight w:val="none"/>
        </w:rPr>
        <w:t>外200m范围内无居住区，声环境影响评价范围内无敏感保护目标。</w:t>
      </w:r>
    </w:p>
    <w:p>
      <w:pPr>
        <w:pStyle w:val="5"/>
        <w:adjustRightInd w:val="0"/>
        <w:snapToGrid w:val="0"/>
        <w:rPr>
          <w:rFonts w:hint="default"/>
          <w:highlight w:val="none"/>
        </w:rPr>
      </w:pPr>
      <w:bookmarkStart w:id="289" w:name="_Toc18647"/>
      <w:bookmarkStart w:id="290" w:name="_Toc3052"/>
      <w:bookmarkStart w:id="291" w:name="_Toc478726682"/>
      <w:bookmarkStart w:id="292" w:name="_Toc26226"/>
      <w:bookmarkStart w:id="293" w:name="_Toc501887251"/>
      <w:bookmarkStart w:id="294" w:name="_Toc18564"/>
      <w:bookmarkStart w:id="295" w:name="_Toc488825492"/>
      <w:bookmarkStart w:id="296" w:name="_Toc27119"/>
      <w:bookmarkStart w:id="297" w:name="_Toc480560040"/>
      <w:r>
        <w:rPr>
          <w:rFonts w:hint="default"/>
          <w:highlight w:val="none"/>
        </w:rPr>
        <w:t>1.</w:t>
      </w:r>
      <w:r>
        <w:rPr>
          <w:highlight w:val="none"/>
        </w:rPr>
        <w:t>7</w:t>
      </w:r>
      <w:r>
        <w:rPr>
          <w:rFonts w:hint="default"/>
          <w:highlight w:val="none"/>
        </w:rPr>
        <w:t>.5 生态环境保护目标</w:t>
      </w:r>
      <w:bookmarkEnd w:id="289"/>
      <w:bookmarkEnd w:id="290"/>
      <w:bookmarkEnd w:id="291"/>
      <w:bookmarkEnd w:id="292"/>
      <w:bookmarkEnd w:id="293"/>
      <w:bookmarkEnd w:id="294"/>
      <w:bookmarkEnd w:id="295"/>
      <w:bookmarkEnd w:id="296"/>
      <w:bookmarkEnd w:id="297"/>
    </w:p>
    <w:p>
      <w:pPr>
        <w:ind w:firstLine="480"/>
        <w:rPr>
          <w:kern w:val="0"/>
          <w:highlight w:val="none"/>
        </w:rPr>
      </w:pPr>
      <w:r>
        <w:rPr>
          <w:kern w:val="0"/>
          <w:highlight w:val="none"/>
        </w:rPr>
        <w:t>本项目生态环境影响评价范围内无重要及特殊生态环境保护目标。</w:t>
      </w:r>
    </w:p>
    <w:p>
      <w:pPr>
        <w:ind w:firstLine="480"/>
        <w:rPr>
          <w:kern w:val="0"/>
          <w:highlight w:val="none"/>
        </w:rPr>
      </w:pPr>
      <w:r>
        <w:rPr>
          <w:kern w:val="0"/>
          <w:highlight w:val="none"/>
        </w:rPr>
        <w:t>项目敏感保护目标一览表见表</w:t>
      </w:r>
      <w:r>
        <w:rPr>
          <w:rFonts w:hint="eastAsia"/>
          <w:kern w:val="0"/>
          <w:highlight w:val="none"/>
        </w:rPr>
        <w:t>1-16</w:t>
      </w:r>
      <w:r>
        <w:rPr>
          <w:kern w:val="0"/>
          <w:highlight w:val="none"/>
        </w:rPr>
        <w:t>，环境敏感目标分布图见附图</w:t>
      </w:r>
      <w:r>
        <w:rPr>
          <w:rFonts w:hint="eastAsia"/>
          <w:kern w:val="0"/>
          <w:highlight w:val="none"/>
          <w:lang w:eastAsia="zh-CN"/>
        </w:rPr>
        <w:t>一</w:t>
      </w:r>
      <w:r>
        <w:rPr>
          <w:kern w:val="0"/>
          <w:highlight w:val="none"/>
        </w:rPr>
        <w:t>。</w:t>
      </w:r>
    </w:p>
    <w:p>
      <w:pPr>
        <w:ind w:firstLine="0" w:firstLineChars="0"/>
        <w:jc w:val="center"/>
        <w:rPr>
          <w:b/>
          <w:bCs/>
          <w:color w:val="FF0000"/>
          <w:kern w:val="0"/>
          <w:sz w:val="21"/>
          <w:szCs w:val="21"/>
          <w:highlight w:val="none"/>
        </w:rPr>
      </w:pPr>
      <w:r>
        <w:rPr>
          <w:b/>
          <w:bCs/>
          <w:color w:val="auto"/>
          <w:kern w:val="0"/>
          <w:sz w:val="21"/>
          <w:szCs w:val="21"/>
          <w:highlight w:val="none"/>
        </w:rPr>
        <w:t>表</w:t>
      </w:r>
      <w:r>
        <w:rPr>
          <w:rFonts w:hint="eastAsia"/>
          <w:b/>
          <w:bCs/>
          <w:color w:val="auto"/>
          <w:kern w:val="0"/>
          <w:sz w:val="21"/>
          <w:szCs w:val="21"/>
          <w:highlight w:val="none"/>
          <w:lang w:val="en-US" w:eastAsia="zh-CN"/>
        </w:rPr>
        <w:t>1-16</w:t>
      </w:r>
      <w:r>
        <w:rPr>
          <w:b/>
          <w:bCs/>
          <w:color w:val="auto"/>
          <w:kern w:val="0"/>
          <w:sz w:val="21"/>
          <w:szCs w:val="21"/>
          <w:highlight w:val="none"/>
        </w:rPr>
        <w:t xml:space="preserve">  环境保护目标分布表</w:t>
      </w:r>
    </w:p>
    <w:tbl>
      <w:tblPr>
        <w:tblStyle w:val="29"/>
        <w:tblW w:w="136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018"/>
        <w:gridCol w:w="1051"/>
        <w:gridCol w:w="1767"/>
        <w:gridCol w:w="3690"/>
        <w:gridCol w:w="1680"/>
        <w:gridCol w:w="18"/>
        <w:gridCol w:w="1500"/>
        <w:gridCol w:w="2120"/>
        <w:gridCol w:w="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 w:type="dxa"/>
          <w:trHeight w:val="742" w:hRule="atLeast"/>
          <w:jc w:val="center"/>
        </w:trPr>
        <w:tc>
          <w:tcPr>
            <w:tcW w:w="817" w:type="dxa"/>
            <w:shd w:val="clear" w:color="auto" w:fill="BEBEBE"/>
            <w:vAlign w:val="center"/>
          </w:tcPr>
          <w:p>
            <w:pPr>
              <w:ind w:firstLine="0" w:firstLineChars="0"/>
              <w:jc w:val="center"/>
              <w:rPr>
                <w:b/>
                <w:bCs/>
                <w:color w:val="auto"/>
                <w:sz w:val="18"/>
                <w:szCs w:val="18"/>
                <w:highlight w:val="none"/>
              </w:rPr>
            </w:pPr>
            <w:r>
              <w:rPr>
                <w:b/>
                <w:bCs/>
                <w:color w:val="auto"/>
                <w:sz w:val="18"/>
                <w:szCs w:val="18"/>
                <w:highlight w:val="none"/>
              </w:rPr>
              <w:t>序号</w:t>
            </w:r>
          </w:p>
        </w:tc>
        <w:tc>
          <w:tcPr>
            <w:tcW w:w="1018" w:type="dxa"/>
            <w:shd w:val="clear" w:color="auto" w:fill="BEBEBE"/>
            <w:vAlign w:val="center"/>
          </w:tcPr>
          <w:p>
            <w:pPr>
              <w:ind w:firstLine="0" w:firstLineChars="0"/>
              <w:jc w:val="center"/>
              <w:rPr>
                <w:b/>
                <w:bCs/>
                <w:color w:val="auto"/>
                <w:sz w:val="18"/>
                <w:szCs w:val="18"/>
                <w:highlight w:val="none"/>
              </w:rPr>
            </w:pPr>
            <w:r>
              <w:rPr>
                <w:b/>
                <w:bCs/>
                <w:color w:val="auto"/>
                <w:sz w:val="18"/>
                <w:szCs w:val="18"/>
                <w:highlight w:val="none"/>
              </w:rPr>
              <w:t>类别</w:t>
            </w:r>
          </w:p>
        </w:tc>
        <w:tc>
          <w:tcPr>
            <w:tcW w:w="1051" w:type="dxa"/>
            <w:shd w:val="clear" w:color="auto" w:fill="BEBEBE"/>
            <w:vAlign w:val="center"/>
          </w:tcPr>
          <w:p>
            <w:pPr>
              <w:ind w:firstLine="0" w:firstLineChars="0"/>
              <w:jc w:val="center"/>
              <w:rPr>
                <w:b/>
                <w:bCs/>
                <w:color w:val="auto"/>
                <w:sz w:val="18"/>
                <w:szCs w:val="18"/>
                <w:highlight w:val="none"/>
              </w:rPr>
            </w:pPr>
            <w:r>
              <w:rPr>
                <w:b/>
                <w:bCs/>
                <w:color w:val="auto"/>
                <w:sz w:val="18"/>
                <w:szCs w:val="18"/>
                <w:highlight w:val="none"/>
              </w:rPr>
              <w:t>保护目标</w:t>
            </w:r>
          </w:p>
        </w:tc>
        <w:tc>
          <w:tcPr>
            <w:tcW w:w="1767" w:type="dxa"/>
            <w:shd w:val="clear" w:color="auto" w:fill="BEBEBE"/>
            <w:vAlign w:val="center"/>
          </w:tcPr>
          <w:p>
            <w:pPr>
              <w:ind w:firstLine="0" w:firstLineChars="0"/>
              <w:jc w:val="center"/>
              <w:rPr>
                <w:rFonts w:hint="default" w:eastAsia="宋体"/>
                <w:b/>
                <w:bCs/>
                <w:color w:val="auto"/>
                <w:sz w:val="18"/>
                <w:szCs w:val="18"/>
                <w:highlight w:val="none"/>
                <w:lang w:val="en-US" w:eastAsia="zh-CN"/>
              </w:rPr>
            </w:pPr>
            <w:r>
              <w:rPr>
                <w:rFonts w:hint="eastAsia"/>
                <w:b/>
                <w:bCs/>
                <w:color w:val="auto"/>
                <w:sz w:val="18"/>
                <w:szCs w:val="18"/>
                <w:highlight w:val="none"/>
                <w:lang w:eastAsia="zh-CN"/>
              </w:rPr>
              <w:t>坐标</w:t>
            </w:r>
            <w:r>
              <w:rPr>
                <w:rFonts w:hint="eastAsia"/>
                <w:b/>
                <w:bCs/>
                <w:color w:val="auto"/>
                <w:sz w:val="18"/>
                <w:szCs w:val="18"/>
                <w:highlight w:val="none"/>
                <w:lang w:val="en-US" w:eastAsia="zh-CN"/>
              </w:rPr>
              <w:t>X/Y（m）</w:t>
            </w:r>
          </w:p>
        </w:tc>
        <w:tc>
          <w:tcPr>
            <w:tcW w:w="3690" w:type="dxa"/>
            <w:shd w:val="clear" w:color="auto" w:fill="BEBEBE"/>
            <w:vAlign w:val="center"/>
          </w:tcPr>
          <w:p>
            <w:pPr>
              <w:ind w:firstLine="0" w:firstLineChars="0"/>
              <w:jc w:val="center"/>
              <w:rPr>
                <w:b/>
                <w:bCs/>
                <w:color w:val="auto"/>
                <w:sz w:val="18"/>
                <w:szCs w:val="18"/>
                <w:highlight w:val="none"/>
              </w:rPr>
            </w:pPr>
            <w:r>
              <w:rPr>
                <w:b/>
                <w:bCs/>
                <w:color w:val="auto"/>
                <w:sz w:val="18"/>
                <w:szCs w:val="18"/>
                <w:highlight w:val="none"/>
              </w:rPr>
              <w:t>与工业场地方位距离(m)</w:t>
            </w:r>
          </w:p>
        </w:tc>
        <w:tc>
          <w:tcPr>
            <w:tcW w:w="1698" w:type="dxa"/>
            <w:gridSpan w:val="2"/>
            <w:shd w:val="clear" w:color="auto" w:fill="BEBEBE"/>
            <w:vAlign w:val="center"/>
          </w:tcPr>
          <w:p>
            <w:pPr>
              <w:ind w:firstLine="0" w:firstLineChars="0"/>
              <w:jc w:val="center"/>
              <w:rPr>
                <w:b/>
                <w:bCs/>
                <w:color w:val="auto"/>
                <w:sz w:val="18"/>
                <w:szCs w:val="18"/>
                <w:highlight w:val="none"/>
              </w:rPr>
            </w:pPr>
            <w:r>
              <w:rPr>
                <w:b/>
                <w:bCs/>
                <w:color w:val="auto"/>
                <w:sz w:val="18"/>
                <w:szCs w:val="18"/>
                <w:highlight w:val="none"/>
              </w:rPr>
              <w:t>与采区方位</w:t>
            </w:r>
          </w:p>
          <w:p>
            <w:pPr>
              <w:ind w:firstLine="0" w:firstLineChars="0"/>
              <w:jc w:val="center"/>
              <w:rPr>
                <w:b/>
                <w:bCs/>
                <w:color w:val="auto"/>
                <w:sz w:val="18"/>
                <w:szCs w:val="18"/>
                <w:highlight w:val="none"/>
              </w:rPr>
            </w:pPr>
            <w:r>
              <w:rPr>
                <w:b/>
                <w:bCs/>
                <w:color w:val="auto"/>
                <w:sz w:val="18"/>
                <w:szCs w:val="18"/>
                <w:highlight w:val="none"/>
              </w:rPr>
              <w:t>距离(m)</w:t>
            </w:r>
          </w:p>
        </w:tc>
        <w:tc>
          <w:tcPr>
            <w:tcW w:w="1500" w:type="dxa"/>
            <w:shd w:val="clear" w:color="auto" w:fill="BEBEBE"/>
            <w:vAlign w:val="center"/>
          </w:tcPr>
          <w:p>
            <w:pPr>
              <w:ind w:firstLine="0" w:firstLineChars="0"/>
              <w:jc w:val="center"/>
              <w:rPr>
                <w:b/>
                <w:bCs/>
                <w:color w:val="auto"/>
                <w:sz w:val="18"/>
                <w:szCs w:val="18"/>
                <w:highlight w:val="none"/>
              </w:rPr>
            </w:pPr>
            <w:r>
              <w:rPr>
                <w:rFonts w:hint="eastAsia"/>
                <w:b/>
                <w:bCs/>
                <w:color w:val="auto"/>
                <w:sz w:val="18"/>
                <w:szCs w:val="18"/>
                <w:highlight w:val="none"/>
                <w:lang w:eastAsia="zh-CN"/>
              </w:rPr>
              <w:t>关心点</w:t>
            </w:r>
            <w:r>
              <w:rPr>
                <w:b/>
                <w:bCs/>
                <w:color w:val="auto"/>
                <w:sz w:val="18"/>
                <w:szCs w:val="18"/>
                <w:highlight w:val="none"/>
              </w:rPr>
              <w:t>情况（人）</w:t>
            </w:r>
          </w:p>
        </w:tc>
        <w:tc>
          <w:tcPr>
            <w:tcW w:w="2120" w:type="dxa"/>
            <w:shd w:val="clear" w:color="auto" w:fill="BEBEBE"/>
            <w:vAlign w:val="center"/>
          </w:tcPr>
          <w:p>
            <w:pPr>
              <w:ind w:firstLine="0" w:firstLineChars="0"/>
              <w:jc w:val="center"/>
              <w:rPr>
                <w:b/>
                <w:bCs/>
                <w:color w:val="auto"/>
                <w:sz w:val="18"/>
                <w:szCs w:val="18"/>
                <w:highlight w:val="none"/>
              </w:rPr>
            </w:pPr>
            <w:r>
              <w:rPr>
                <w:b/>
                <w:bCs/>
                <w:color w:val="auto"/>
                <w:sz w:val="18"/>
                <w:szCs w:val="18"/>
                <w:highlight w:val="none"/>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 w:type="dxa"/>
          <w:trHeight w:val="722" w:hRule="atLeast"/>
          <w:jc w:val="center"/>
        </w:trPr>
        <w:tc>
          <w:tcPr>
            <w:tcW w:w="817" w:type="dxa"/>
            <w:vMerge w:val="restart"/>
            <w:shd w:val="clear" w:color="auto" w:fill="auto"/>
            <w:vAlign w:val="center"/>
          </w:tcPr>
          <w:p>
            <w:pPr>
              <w:ind w:firstLine="0" w:firstLineChars="0"/>
              <w:jc w:val="center"/>
              <w:rPr>
                <w:color w:val="auto"/>
                <w:sz w:val="18"/>
                <w:szCs w:val="18"/>
                <w:highlight w:val="none"/>
              </w:rPr>
            </w:pPr>
            <w:r>
              <w:rPr>
                <w:color w:val="auto"/>
                <w:sz w:val="18"/>
                <w:szCs w:val="18"/>
                <w:highlight w:val="none"/>
              </w:rPr>
              <w:t>1</w:t>
            </w:r>
          </w:p>
        </w:tc>
        <w:tc>
          <w:tcPr>
            <w:tcW w:w="1018" w:type="dxa"/>
            <w:vMerge w:val="restart"/>
            <w:shd w:val="clear" w:color="auto" w:fill="auto"/>
            <w:vAlign w:val="center"/>
          </w:tcPr>
          <w:p>
            <w:pPr>
              <w:ind w:firstLine="0" w:firstLineChars="0"/>
              <w:jc w:val="center"/>
              <w:rPr>
                <w:color w:val="auto"/>
                <w:sz w:val="18"/>
                <w:szCs w:val="18"/>
                <w:highlight w:val="none"/>
              </w:rPr>
            </w:pPr>
            <w:r>
              <w:rPr>
                <w:color w:val="auto"/>
                <w:sz w:val="18"/>
                <w:szCs w:val="18"/>
                <w:highlight w:val="none"/>
              </w:rPr>
              <w:t>环境空气</w:t>
            </w:r>
          </w:p>
        </w:tc>
        <w:tc>
          <w:tcPr>
            <w:tcW w:w="1051" w:type="dxa"/>
            <w:shd w:val="clear" w:color="auto" w:fill="auto"/>
            <w:vAlign w:val="center"/>
          </w:tcPr>
          <w:p>
            <w:pPr>
              <w:ind w:firstLine="0" w:firstLineChars="0"/>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卡子村</w:t>
            </w:r>
          </w:p>
        </w:tc>
        <w:tc>
          <w:tcPr>
            <w:tcW w:w="1767" w:type="dxa"/>
            <w:shd w:val="clear" w:color="auto" w:fill="auto"/>
            <w:vAlign w:val="center"/>
          </w:tcPr>
          <w:p>
            <w:pPr>
              <w:ind w:firstLine="0" w:firstLineChars="0"/>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-860</w:t>
            </w:r>
            <w:r>
              <w:rPr>
                <w:rFonts w:hint="default" w:ascii="Times New Roman" w:hAnsi="Times New Roman" w:cs="Times New Roman"/>
                <w:color w:val="auto"/>
                <w:sz w:val="18"/>
                <w:szCs w:val="18"/>
                <w:highlight w:val="none"/>
                <w:lang w:val="en-US" w:eastAsia="zh-CN"/>
              </w:rPr>
              <w:t>，</w:t>
            </w:r>
            <w:r>
              <w:rPr>
                <w:rFonts w:hint="eastAsia" w:cs="Times New Roman"/>
                <w:color w:val="auto"/>
                <w:sz w:val="18"/>
                <w:szCs w:val="18"/>
                <w:highlight w:val="none"/>
                <w:lang w:val="en-US" w:eastAsia="zh-CN"/>
              </w:rPr>
              <w:t>0</w:t>
            </w:r>
          </w:p>
        </w:tc>
        <w:tc>
          <w:tcPr>
            <w:tcW w:w="3690" w:type="dxa"/>
            <w:shd w:val="clear" w:color="auto" w:fill="auto"/>
            <w:vAlign w:val="center"/>
          </w:tcPr>
          <w:p>
            <w:pPr>
              <w:ind w:firstLine="0" w:firstLineChars="0"/>
              <w:jc w:val="center"/>
              <w:rPr>
                <w:rFonts w:hint="default"/>
                <w:color w:val="auto"/>
                <w:sz w:val="18"/>
                <w:szCs w:val="18"/>
                <w:highlight w:val="none"/>
                <w:lang w:val="en-US" w:eastAsia="zh-CN"/>
              </w:rPr>
            </w:pPr>
            <w:r>
              <w:rPr>
                <w:rFonts w:hint="eastAsia"/>
                <w:color w:val="auto"/>
                <w:sz w:val="18"/>
                <w:szCs w:val="18"/>
                <w:highlight w:val="none"/>
                <w:lang w:eastAsia="zh-CN"/>
              </w:rPr>
              <w:t>西</w:t>
            </w:r>
            <w:r>
              <w:rPr>
                <w:rFonts w:hint="eastAsia"/>
                <w:color w:val="auto"/>
                <w:sz w:val="18"/>
                <w:szCs w:val="18"/>
                <w:highlight w:val="none"/>
                <w:lang w:val="en-US" w:eastAsia="zh-CN"/>
              </w:rPr>
              <w:t>960</w:t>
            </w:r>
          </w:p>
        </w:tc>
        <w:tc>
          <w:tcPr>
            <w:tcW w:w="1698" w:type="dxa"/>
            <w:gridSpan w:val="2"/>
            <w:shd w:val="clear" w:color="auto" w:fill="auto"/>
            <w:vAlign w:val="center"/>
          </w:tcPr>
          <w:p>
            <w:pPr>
              <w:ind w:firstLine="0" w:firstLineChars="0"/>
              <w:jc w:val="center"/>
              <w:rPr>
                <w:rFonts w:hint="default"/>
                <w:color w:val="auto"/>
                <w:sz w:val="18"/>
                <w:szCs w:val="18"/>
                <w:highlight w:val="none"/>
                <w:lang w:val="en-US" w:eastAsia="zh-CN"/>
              </w:rPr>
            </w:pPr>
            <w:r>
              <w:rPr>
                <w:rFonts w:hint="eastAsia"/>
                <w:color w:val="auto"/>
                <w:sz w:val="18"/>
                <w:szCs w:val="18"/>
                <w:highlight w:val="none"/>
                <w:lang w:eastAsia="zh-CN"/>
              </w:rPr>
              <w:t>西</w:t>
            </w:r>
            <w:r>
              <w:rPr>
                <w:rFonts w:hint="eastAsia"/>
                <w:color w:val="auto"/>
                <w:sz w:val="18"/>
                <w:szCs w:val="18"/>
                <w:highlight w:val="none"/>
                <w:lang w:val="en-US" w:eastAsia="zh-CN"/>
              </w:rPr>
              <w:t>860</w:t>
            </w:r>
          </w:p>
        </w:tc>
        <w:tc>
          <w:tcPr>
            <w:tcW w:w="1500" w:type="dxa"/>
            <w:shd w:val="clear" w:color="auto" w:fill="auto"/>
            <w:vAlign w:val="center"/>
          </w:tcPr>
          <w:p>
            <w:pPr>
              <w:ind w:firstLine="0" w:firstLineChars="0"/>
              <w:jc w:val="center"/>
              <w:rPr>
                <w:rFonts w:hint="default"/>
                <w:color w:val="auto"/>
                <w:sz w:val="18"/>
                <w:szCs w:val="18"/>
                <w:highlight w:val="none"/>
                <w:lang w:val="en-US" w:eastAsia="zh-CN"/>
              </w:rPr>
            </w:pPr>
            <w:r>
              <w:rPr>
                <w:rFonts w:hint="eastAsia"/>
                <w:color w:val="auto"/>
                <w:sz w:val="18"/>
                <w:szCs w:val="18"/>
                <w:highlight w:val="none"/>
                <w:lang w:val="en-US" w:eastAsia="zh-CN"/>
              </w:rPr>
              <w:t>640</w:t>
            </w:r>
          </w:p>
        </w:tc>
        <w:tc>
          <w:tcPr>
            <w:tcW w:w="2120" w:type="dxa"/>
            <w:vMerge w:val="restart"/>
            <w:shd w:val="clear" w:color="auto" w:fill="auto"/>
            <w:vAlign w:val="center"/>
          </w:tcPr>
          <w:p>
            <w:pPr>
              <w:ind w:firstLine="0" w:firstLineChars="0"/>
              <w:jc w:val="center"/>
              <w:rPr>
                <w:color w:val="auto"/>
                <w:sz w:val="18"/>
                <w:szCs w:val="18"/>
                <w:highlight w:val="none"/>
              </w:rPr>
            </w:pPr>
            <w:r>
              <w:rPr>
                <w:color w:val="auto"/>
                <w:sz w:val="18"/>
                <w:szCs w:val="18"/>
                <w:highlight w:val="none"/>
              </w:rPr>
              <w:t>《环境空气质量标准》</w:t>
            </w:r>
            <w:r>
              <w:rPr>
                <w:rFonts w:hint="eastAsia"/>
                <w:color w:val="auto"/>
                <w:sz w:val="18"/>
                <w:szCs w:val="18"/>
                <w:highlight w:val="none"/>
                <w:lang w:eastAsia="zh-CN"/>
              </w:rPr>
              <w:t>（</w:t>
            </w:r>
            <w:r>
              <w:rPr>
                <w:color w:val="auto"/>
                <w:sz w:val="18"/>
                <w:szCs w:val="18"/>
                <w:highlight w:val="none"/>
              </w:rPr>
              <w:t>GB3095-2012</w:t>
            </w:r>
            <w:r>
              <w:rPr>
                <w:rFonts w:hint="eastAsia"/>
                <w:color w:val="auto"/>
                <w:sz w:val="18"/>
                <w:szCs w:val="18"/>
                <w:highlight w:val="none"/>
                <w:lang w:eastAsia="zh-CN"/>
              </w:rPr>
              <w:t>）</w:t>
            </w:r>
            <w:r>
              <w:rPr>
                <w:color w:val="auto"/>
                <w:sz w:val="18"/>
                <w:szCs w:val="18"/>
                <w:highlight w:val="none"/>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 w:type="dxa"/>
          <w:trHeight w:val="722" w:hRule="atLeast"/>
          <w:jc w:val="center"/>
        </w:trPr>
        <w:tc>
          <w:tcPr>
            <w:tcW w:w="817" w:type="dxa"/>
            <w:vMerge w:val="continue"/>
            <w:shd w:val="clear" w:color="auto" w:fill="auto"/>
            <w:vAlign w:val="center"/>
          </w:tcPr>
          <w:p>
            <w:pPr>
              <w:ind w:firstLine="0" w:firstLineChars="0"/>
              <w:jc w:val="center"/>
              <w:rPr>
                <w:color w:val="auto"/>
                <w:sz w:val="18"/>
                <w:szCs w:val="18"/>
                <w:highlight w:val="none"/>
              </w:rPr>
            </w:pPr>
          </w:p>
        </w:tc>
        <w:tc>
          <w:tcPr>
            <w:tcW w:w="1018" w:type="dxa"/>
            <w:vMerge w:val="continue"/>
            <w:shd w:val="clear" w:color="auto" w:fill="auto"/>
            <w:vAlign w:val="center"/>
          </w:tcPr>
          <w:p>
            <w:pPr>
              <w:ind w:firstLine="0" w:firstLineChars="0"/>
              <w:jc w:val="center"/>
              <w:rPr>
                <w:color w:val="auto"/>
                <w:sz w:val="18"/>
                <w:szCs w:val="18"/>
                <w:highlight w:val="none"/>
              </w:rPr>
            </w:pPr>
          </w:p>
        </w:tc>
        <w:tc>
          <w:tcPr>
            <w:tcW w:w="1051" w:type="dxa"/>
            <w:shd w:val="clear" w:color="auto" w:fill="auto"/>
            <w:vAlign w:val="center"/>
          </w:tcPr>
          <w:p>
            <w:pPr>
              <w:ind w:firstLine="0" w:firstLineChars="0"/>
              <w:jc w:val="center"/>
              <w:rPr>
                <w:rFonts w:hint="eastAsia"/>
                <w:color w:val="auto"/>
                <w:sz w:val="18"/>
                <w:szCs w:val="18"/>
                <w:highlight w:val="none"/>
                <w:lang w:eastAsia="zh-CN"/>
              </w:rPr>
            </w:pPr>
            <w:r>
              <w:rPr>
                <w:rFonts w:hint="eastAsia"/>
                <w:color w:val="auto"/>
                <w:sz w:val="18"/>
                <w:szCs w:val="18"/>
                <w:highlight w:val="none"/>
                <w:lang w:eastAsia="zh-CN"/>
              </w:rPr>
              <w:t>租那村</w:t>
            </w:r>
          </w:p>
        </w:tc>
        <w:tc>
          <w:tcPr>
            <w:tcW w:w="1767" w:type="dxa"/>
            <w:shd w:val="clear" w:color="auto" w:fill="auto"/>
            <w:vAlign w:val="center"/>
          </w:tcPr>
          <w:p>
            <w:pPr>
              <w:ind w:firstLine="0" w:firstLineChars="0"/>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1330</w:t>
            </w:r>
            <w:r>
              <w:rPr>
                <w:rFonts w:hint="eastAsia" w:ascii="Times New Roman" w:hAnsi="Times New Roman" w:cs="Times New Roman"/>
                <w:color w:val="auto"/>
                <w:sz w:val="18"/>
                <w:szCs w:val="18"/>
                <w:highlight w:val="none"/>
                <w:lang w:val="en-US" w:eastAsia="zh-CN"/>
              </w:rPr>
              <w:t>，</w:t>
            </w:r>
            <w:r>
              <w:rPr>
                <w:rFonts w:hint="eastAsia" w:cs="Times New Roman"/>
                <w:color w:val="auto"/>
                <w:sz w:val="18"/>
                <w:szCs w:val="18"/>
                <w:highlight w:val="none"/>
                <w:lang w:val="en-US" w:eastAsia="zh-CN"/>
              </w:rPr>
              <w:t>-750</w:t>
            </w:r>
          </w:p>
        </w:tc>
        <w:tc>
          <w:tcPr>
            <w:tcW w:w="3690" w:type="dxa"/>
            <w:shd w:val="clear" w:color="auto" w:fill="auto"/>
            <w:vAlign w:val="center"/>
          </w:tcPr>
          <w:p>
            <w:pPr>
              <w:ind w:firstLine="0" w:firstLineChars="0"/>
              <w:jc w:val="center"/>
              <w:rPr>
                <w:rFonts w:hint="default"/>
                <w:color w:val="auto"/>
                <w:sz w:val="18"/>
                <w:szCs w:val="18"/>
                <w:highlight w:val="none"/>
                <w:lang w:val="en-US" w:eastAsia="zh-CN"/>
              </w:rPr>
            </w:pPr>
            <w:r>
              <w:rPr>
                <w:rFonts w:hint="eastAsia"/>
                <w:color w:val="auto"/>
                <w:sz w:val="18"/>
                <w:szCs w:val="18"/>
                <w:highlight w:val="none"/>
                <w:lang w:eastAsia="zh-CN"/>
              </w:rPr>
              <w:t>东南</w:t>
            </w:r>
            <w:r>
              <w:rPr>
                <w:rFonts w:hint="eastAsia"/>
                <w:color w:val="auto"/>
                <w:sz w:val="18"/>
                <w:szCs w:val="18"/>
                <w:highlight w:val="none"/>
                <w:lang w:val="en-US" w:eastAsia="zh-CN"/>
              </w:rPr>
              <w:t>1860</w:t>
            </w:r>
          </w:p>
        </w:tc>
        <w:tc>
          <w:tcPr>
            <w:tcW w:w="1698" w:type="dxa"/>
            <w:gridSpan w:val="2"/>
            <w:shd w:val="clear" w:color="auto" w:fill="auto"/>
            <w:vAlign w:val="center"/>
          </w:tcPr>
          <w:p>
            <w:pPr>
              <w:ind w:firstLine="0" w:firstLineChars="0"/>
              <w:jc w:val="center"/>
              <w:rPr>
                <w:rFonts w:hint="default"/>
                <w:color w:val="auto"/>
                <w:sz w:val="18"/>
                <w:szCs w:val="18"/>
                <w:highlight w:val="none"/>
                <w:lang w:val="en-US" w:eastAsia="zh-CN"/>
              </w:rPr>
            </w:pPr>
            <w:r>
              <w:rPr>
                <w:rFonts w:hint="eastAsia"/>
                <w:color w:val="auto"/>
                <w:sz w:val="18"/>
                <w:szCs w:val="18"/>
                <w:highlight w:val="none"/>
                <w:lang w:eastAsia="zh-CN"/>
              </w:rPr>
              <w:t>东南</w:t>
            </w:r>
            <w:r>
              <w:rPr>
                <w:rFonts w:hint="eastAsia"/>
                <w:color w:val="auto"/>
                <w:sz w:val="18"/>
                <w:szCs w:val="18"/>
                <w:highlight w:val="none"/>
                <w:lang w:val="en-US" w:eastAsia="zh-CN"/>
              </w:rPr>
              <w:t>1730</w:t>
            </w:r>
          </w:p>
        </w:tc>
        <w:tc>
          <w:tcPr>
            <w:tcW w:w="1500" w:type="dxa"/>
            <w:shd w:val="clear" w:color="auto" w:fill="auto"/>
            <w:vAlign w:val="center"/>
          </w:tcPr>
          <w:p>
            <w:pPr>
              <w:ind w:firstLine="0" w:firstLineChars="0"/>
              <w:jc w:val="center"/>
              <w:rPr>
                <w:rFonts w:hint="default"/>
                <w:color w:val="auto"/>
                <w:sz w:val="18"/>
                <w:szCs w:val="18"/>
                <w:highlight w:val="none"/>
                <w:lang w:val="en-US" w:eastAsia="zh-CN"/>
              </w:rPr>
            </w:pPr>
            <w:r>
              <w:rPr>
                <w:rFonts w:hint="eastAsia"/>
                <w:color w:val="auto"/>
                <w:sz w:val="18"/>
                <w:szCs w:val="18"/>
                <w:highlight w:val="none"/>
                <w:lang w:val="en-US" w:eastAsia="zh-CN"/>
              </w:rPr>
              <w:t>180</w:t>
            </w:r>
          </w:p>
        </w:tc>
        <w:tc>
          <w:tcPr>
            <w:tcW w:w="2120" w:type="dxa"/>
            <w:vMerge w:val="continue"/>
            <w:shd w:val="clear" w:color="auto" w:fill="auto"/>
            <w:vAlign w:val="center"/>
          </w:tcPr>
          <w:p>
            <w:pPr>
              <w:ind w:firstLine="0" w:firstLineChars="0"/>
              <w:jc w:val="center"/>
              <w:rPr>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 w:type="dxa"/>
          <w:trHeight w:val="722" w:hRule="atLeast"/>
          <w:jc w:val="center"/>
        </w:trPr>
        <w:tc>
          <w:tcPr>
            <w:tcW w:w="817" w:type="dxa"/>
            <w:vMerge w:val="continue"/>
            <w:shd w:val="clear" w:color="auto" w:fill="auto"/>
            <w:vAlign w:val="center"/>
          </w:tcPr>
          <w:p>
            <w:pPr>
              <w:ind w:firstLine="0" w:firstLineChars="0"/>
              <w:jc w:val="center"/>
              <w:rPr>
                <w:color w:val="auto"/>
                <w:sz w:val="18"/>
                <w:szCs w:val="18"/>
                <w:highlight w:val="none"/>
              </w:rPr>
            </w:pPr>
          </w:p>
        </w:tc>
        <w:tc>
          <w:tcPr>
            <w:tcW w:w="1018" w:type="dxa"/>
            <w:vMerge w:val="continue"/>
            <w:shd w:val="clear" w:color="auto" w:fill="auto"/>
            <w:vAlign w:val="center"/>
          </w:tcPr>
          <w:p>
            <w:pPr>
              <w:ind w:firstLine="0" w:firstLineChars="0"/>
              <w:jc w:val="center"/>
              <w:rPr>
                <w:color w:val="auto"/>
                <w:sz w:val="18"/>
                <w:szCs w:val="18"/>
                <w:highlight w:val="none"/>
              </w:rPr>
            </w:pPr>
          </w:p>
        </w:tc>
        <w:tc>
          <w:tcPr>
            <w:tcW w:w="1051" w:type="dxa"/>
            <w:shd w:val="clear" w:color="auto" w:fill="auto"/>
            <w:vAlign w:val="center"/>
          </w:tcPr>
          <w:p>
            <w:pPr>
              <w:ind w:firstLine="0" w:firstLineChars="0"/>
              <w:jc w:val="center"/>
              <w:rPr>
                <w:rFonts w:hint="eastAsia"/>
                <w:color w:val="auto"/>
                <w:sz w:val="18"/>
                <w:szCs w:val="18"/>
                <w:highlight w:val="none"/>
                <w:lang w:eastAsia="zh-CN"/>
              </w:rPr>
            </w:pPr>
            <w:r>
              <w:rPr>
                <w:rFonts w:hint="eastAsia"/>
                <w:color w:val="auto"/>
                <w:sz w:val="18"/>
                <w:szCs w:val="18"/>
                <w:highlight w:val="none"/>
                <w:lang w:eastAsia="zh-CN"/>
              </w:rPr>
              <w:t>吗发口村</w:t>
            </w:r>
          </w:p>
        </w:tc>
        <w:tc>
          <w:tcPr>
            <w:tcW w:w="1767" w:type="dxa"/>
            <w:shd w:val="clear" w:color="auto" w:fill="auto"/>
            <w:vAlign w:val="center"/>
          </w:tcPr>
          <w:p>
            <w:pPr>
              <w:ind w:firstLine="0" w:firstLineChars="0"/>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1260</w:t>
            </w:r>
            <w:r>
              <w:rPr>
                <w:rFonts w:hint="eastAsia" w:ascii="Times New Roman" w:hAnsi="Times New Roman" w:cs="Times New Roman"/>
                <w:color w:val="auto"/>
                <w:sz w:val="18"/>
                <w:szCs w:val="18"/>
                <w:highlight w:val="none"/>
                <w:lang w:val="en-US" w:eastAsia="zh-CN"/>
              </w:rPr>
              <w:t>，</w:t>
            </w:r>
            <w:r>
              <w:rPr>
                <w:rFonts w:hint="eastAsia" w:cs="Times New Roman"/>
                <w:color w:val="auto"/>
                <w:sz w:val="18"/>
                <w:szCs w:val="18"/>
                <w:highlight w:val="none"/>
                <w:lang w:val="en-US" w:eastAsia="zh-CN"/>
              </w:rPr>
              <w:t>1550</w:t>
            </w:r>
          </w:p>
        </w:tc>
        <w:tc>
          <w:tcPr>
            <w:tcW w:w="3690" w:type="dxa"/>
            <w:shd w:val="clear" w:color="auto" w:fill="auto"/>
            <w:vAlign w:val="center"/>
          </w:tcPr>
          <w:p>
            <w:pPr>
              <w:ind w:firstLine="0" w:firstLineChars="0"/>
              <w:jc w:val="center"/>
              <w:rPr>
                <w:rFonts w:hint="default"/>
                <w:color w:val="auto"/>
                <w:sz w:val="18"/>
                <w:szCs w:val="18"/>
                <w:highlight w:val="none"/>
                <w:lang w:val="en-US" w:eastAsia="zh-CN"/>
              </w:rPr>
            </w:pPr>
            <w:r>
              <w:rPr>
                <w:rFonts w:hint="eastAsia"/>
                <w:color w:val="auto"/>
                <w:sz w:val="18"/>
                <w:szCs w:val="18"/>
                <w:highlight w:val="none"/>
                <w:lang w:eastAsia="zh-CN"/>
              </w:rPr>
              <w:t>西北</w:t>
            </w:r>
            <w:r>
              <w:rPr>
                <w:rFonts w:hint="eastAsia"/>
                <w:color w:val="auto"/>
                <w:sz w:val="18"/>
                <w:szCs w:val="18"/>
                <w:highlight w:val="none"/>
                <w:lang w:val="en-US" w:eastAsia="zh-CN"/>
              </w:rPr>
              <w:t>2250</w:t>
            </w:r>
          </w:p>
        </w:tc>
        <w:tc>
          <w:tcPr>
            <w:tcW w:w="1698" w:type="dxa"/>
            <w:gridSpan w:val="2"/>
            <w:shd w:val="clear" w:color="auto" w:fill="auto"/>
            <w:vAlign w:val="center"/>
          </w:tcPr>
          <w:p>
            <w:pPr>
              <w:ind w:firstLine="0" w:firstLineChars="0"/>
              <w:jc w:val="center"/>
              <w:rPr>
                <w:rFonts w:hint="default"/>
                <w:color w:val="auto"/>
                <w:sz w:val="18"/>
                <w:szCs w:val="18"/>
                <w:highlight w:val="none"/>
                <w:lang w:val="en-US" w:eastAsia="zh-CN"/>
              </w:rPr>
            </w:pPr>
            <w:r>
              <w:rPr>
                <w:rFonts w:hint="eastAsia"/>
                <w:color w:val="auto"/>
                <w:sz w:val="18"/>
                <w:szCs w:val="18"/>
                <w:highlight w:val="none"/>
                <w:lang w:eastAsia="zh-CN"/>
              </w:rPr>
              <w:t>西北</w:t>
            </w:r>
            <w:r>
              <w:rPr>
                <w:rFonts w:hint="eastAsia"/>
                <w:color w:val="auto"/>
                <w:sz w:val="18"/>
                <w:szCs w:val="18"/>
                <w:highlight w:val="none"/>
                <w:lang w:val="en-US" w:eastAsia="zh-CN"/>
              </w:rPr>
              <w:t>2040</w:t>
            </w:r>
          </w:p>
        </w:tc>
        <w:tc>
          <w:tcPr>
            <w:tcW w:w="1500" w:type="dxa"/>
            <w:shd w:val="clear" w:color="auto" w:fill="auto"/>
            <w:vAlign w:val="center"/>
          </w:tcPr>
          <w:p>
            <w:pPr>
              <w:ind w:firstLine="0" w:firstLineChars="0"/>
              <w:jc w:val="center"/>
              <w:rPr>
                <w:rFonts w:hint="default"/>
                <w:color w:val="auto"/>
                <w:sz w:val="18"/>
                <w:szCs w:val="18"/>
                <w:highlight w:val="none"/>
                <w:lang w:val="en-US" w:eastAsia="zh-CN"/>
              </w:rPr>
            </w:pPr>
            <w:r>
              <w:rPr>
                <w:rFonts w:hint="eastAsia"/>
                <w:color w:val="auto"/>
                <w:sz w:val="18"/>
                <w:szCs w:val="18"/>
                <w:highlight w:val="none"/>
                <w:lang w:val="en-US" w:eastAsia="zh-CN"/>
              </w:rPr>
              <w:t>270</w:t>
            </w:r>
          </w:p>
        </w:tc>
        <w:tc>
          <w:tcPr>
            <w:tcW w:w="2120" w:type="dxa"/>
            <w:vMerge w:val="continue"/>
            <w:shd w:val="clear" w:color="auto" w:fill="auto"/>
            <w:vAlign w:val="center"/>
          </w:tcPr>
          <w:p>
            <w:pPr>
              <w:ind w:firstLine="0" w:firstLineChars="0"/>
              <w:jc w:val="center"/>
              <w:rPr>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 w:type="dxa"/>
          <w:trHeight w:val="722" w:hRule="atLeast"/>
          <w:jc w:val="center"/>
        </w:trPr>
        <w:tc>
          <w:tcPr>
            <w:tcW w:w="817" w:type="dxa"/>
            <w:vMerge w:val="continue"/>
            <w:shd w:val="clear" w:color="auto" w:fill="auto"/>
            <w:vAlign w:val="center"/>
          </w:tcPr>
          <w:p>
            <w:pPr>
              <w:ind w:firstLine="0" w:firstLineChars="0"/>
              <w:jc w:val="center"/>
              <w:rPr>
                <w:color w:val="auto"/>
                <w:sz w:val="18"/>
                <w:szCs w:val="18"/>
                <w:highlight w:val="none"/>
              </w:rPr>
            </w:pPr>
          </w:p>
        </w:tc>
        <w:tc>
          <w:tcPr>
            <w:tcW w:w="1018" w:type="dxa"/>
            <w:vMerge w:val="continue"/>
            <w:shd w:val="clear" w:color="auto" w:fill="auto"/>
            <w:vAlign w:val="center"/>
          </w:tcPr>
          <w:p>
            <w:pPr>
              <w:ind w:firstLine="0" w:firstLineChars="0"/>
              <w:jc w:val="center"/>
              <w:rPr>
                <w:color w:val="auto"/>
                <w:sz w:val="18"/>
                <w:szCs w:val="18"/>
                <w:highlight w:val="none"/>
              </w:rPr>
            </w:pPr>
          </w:p>
        </w:tc>
        <w:tc>
          <w:tcPr>
            <w:tcW w:w="1051" w:type="dxa"/>
            <w:shd w:val="clear" w:color="auto" w:fill="auto"/>
            <w:vAlign w:val="center"/>
          </w:tcPr>
          <w:p>
            <w:pPr>
              <w:ind w:firstLine="0" w:firstLineChars="0"/>
              <w:jc w:val="center"/>
              <w:rPr>
                <w:color w:val="auto"/>
                <w:sz w:val="18"/>
                <w:szCs w:val="18"/>
                <w:highlight w:val="none"/>
              </w:rPr>
            </w:pPr>
            <w:r>
              <w:rPr>
                <w:rFonts w:hint="eastAsia"/>
                <w:color w:val="auto"/>
                <w:sz w:val="18"/>
                <w:szCs w:val="18"/>
                <w:highlight w:val="none"/>
                <w:lang w:eastAsia="zh-CN"/>
              </w:rPr>
              <w:t>倮基黑村</w:t>
            </w:r>
          </w:p>
        </w:tc>
        <w:tc>
          <w:tcPr>
            <w:tcW w:w="1767" w:type="dxa"/>
            <w:shd w:val="clear" w:color="auto" w:fill="auto"/>
            <w:vAlign w:val="center"/>
          </w:tcPr>
          <w:p>
            <w:pPr>
              <w:ind w:firstLine="0" w:firstLineChars="0"/>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0</w:t>
            </w:r>
            <w:r>
              <w:rPr>
                <w:rFonts w:hint="eastAsia" w:ascii="Times New Roman" w:hAnsi="Times New Roman" w:cs="Times New Roman"/>
                <w:color w:val="auto"/>
                <w:sz w:val="18"/>
                <w:szCs w:val="18"/>
                <w:highlight w:val="none"/>
                <w:lang w:val="en-US" w:eastAsia="zh-CN"/>
              </w:rPr>
              <w:t>，-</w:t>
            </w:r>
            <w:r>
              <w:rPr>
                <w:rFonts w:hint="eastAsia" w:cs="Times New Roman"/>
                <w:color w:val="auto"/>
                <w:sz w:val="18"/>
                <w:szCs w:val="18"/>
                <w:highlight w:val="none"/>
                <w:lang w:val="en-US" w:eastAsia="zh-CN"/>
              </w:rPr>
              <w:t>2780</w:t>
            </w:r>
          </w:p>
        </w:tc>
        <w:tc>
          <w:tcPr>
            <w:tcW w:w="3690" w:type="dxa"/>
            <w:shd w:val="clear" w:color="auto" w:fill="auto"/>
            <w:vAlign w:val="center"/>
          </w:tcPr>
          <w:p>
            <w:pPr>
              <w:ind w:firstLine="0" w:firstLineChars="0"/>
              <w:jc w:val="center"/>
              <w:rPr>
                <w:rFonts w:hint="default"/>
                <w:color w:val="auto"/>
                <w:sz w:val="18"/>
                <w:szCs w:val="18"/>
                <w:highlight w:val="none"/>
                <w:lang w:val="en-US"/>
              </w:rPr>
            </w:pPr>
            <w:r>
              <w:rPr>
                <w:rFonts w:hint="eastAsia"/>
                <w:color w:val="auto"/>
                <w:sz w:val="18"/>
                <w:szCs w:val="18"/>
                <w:highlight w:val="none"/>
                <w:lang w:eastAsia="zh-CN"/>
              </w:rPr>
              <w:t>南</w:t>
            </w:r>
            <w:r>
              <w:rPr>
                <w:rFonts w:hint="eastAsia"/>
                <w:color w:val="auto"/>
                <w:sz w:val="18"/>
                <w:szCs w:val="18"/>
                <w:highlight w:val="none"/>
                <w:lang w:val="en-US" w:eastAsia="zh-CN"/>
              </w:rPr>
              <w:t>2940</w:t>
            </w:r>
          </w:p>
        </w:tc>
        <w:tc>
          <w:tcPr>
            <w:tcW w:w="1698" w:type="dxa"/>
            <w:gridSpan w:val="2"/>
            <w:shd w:val="clear" w:color="auto" w:fill="auto"/>
            <w:vAlign w:val="center"/>
          </w:tcPr>
          <w:p>
            <w:pPr>
              <w:ind w:firstLine="0" w:firstLineChars="0"/>
              <w:jc w:val="center"/>
              <w:rPr>
                <w:rFonts w:hint="default"/>
                <w:color w:val="auto"/>
                <w:sz w:val="18"/>
                <w:szCs w:val="18"/>
                <w:highlight w:val="none"/>
                <w:lang w:val="en-US"/>
              </w:rPr>
            </w:pPr>
            <w:r>
              <w:rPr>
                <w:rFonts w:hint="eastAsia"/>
                <w:color w:val="auto"/>
                <w:sz w:val="18"/>
                <w:szCs w:val="18"/>
                <w:highlight w:val="none"/>
                <w:lang w:eastAsia="zh-CN"/>
              </w:rPr>
              <w:t>南</w:t>
            </w:r>
            <w:r>
              <w:rPr>
                <w:rFonts w:hint="eastAsia"/>
                <w:color w:val="auto"/>
                <w:sz w:val="18"/>
                <w:szCs w:val="18"/>
                <w:highlight w:val="none"/>
                <w:lang w:val="en-US" w:eastAsia="zh-CN"/>
              </w:rPr>
              <w:t>2780</w:t>
            </w:r>
          </w:p>
        </w:tc>
        <w:tc>
          <w:tcPr>
            <w:tcW w:w="1500" w:type="dxa"/>
            <w:shd w:val="clear" w:color="auto" w:fill="auto"/>
            <w:vAlign w:val="center"/>
          </w:tcPr>
          <w:p>
            <w:pPr>
              <w:ind w:firstLine="0" w:firstLineChars="0"/>
              <w:jc w:val="center"/>
              <w:rPr>
                <w:rFonts w:hint="default"/>
                <w:color w:val="auto"/>
                <w:sz w:val="18"/>
                <w:szCs w:val="18"/>
                <w:highlight w:val="none"/>
                <w:lang w:val="en-US"/>
              </w:rPr>
            </w:pPr>
            <w:r>
              <w:rPr>
                <w:rFonts w:hint="eastAsia"/>
                <w:color w:val="auto"/>
                <w:sz w:val="18"/>
                <w:szCs w:val="18"/>
                <w:highlight w:val="none"/>
                <w:lang w:val="en-US" w:eastAsia="zh-CN"/>
              </w:rPr>
              <w:t>2300</w:t>
            </w:r>
          </w:p>
        </w:tc>
        <w:tc>
          <w:tcPr>
            <w:tcW w:w="2120" w:type="dxa"/>
            <w:vMerge w:val="continue"/>
            <w:shd w:val="clear" w:color="auto" w:fill="auto"/>
            <w:vAlign w:val="center"/>
          </w:tcPr>
          <w:p>
            <w:pPr>
              <w:ind w:firstLine="0" w:firstLineChars="0"/>
              <w:jc w:val="center"/>
              <w:rPr>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 w:type="dxa"/>
          <w:trHeight w:val="742" w:hRule="atLeast"/>
          <w:jc w:val="center"/>
        </w:trPr>
        <w:tc>
          <w:tcPr>
            <w:tcW w:w="817" w:type="dxa"/>
            <w:shd w:val="clear" w:color="auto" w:fill="auto"/>
            <w:vAlign w:val="center"/>
          </w:tcPr>
          <w:p>
            <w:pPr>
              <w:ind w:firstLine="0" w:firstLineChars="0"/>
              <w:jc w:val="center"/>
              <w:rPr>
                <w:color w:val="auto"/>
                <w:sz w:val="18"/>
                <w:szCs w:val="18"/>
                <w:highlight w:val="none"/>
              </w:rPr>
            </w:pPr>
            <w:r>
              <w:rPr>
                <w:color w:val="auto"/>
                <w:sz w:val="18"/>
                <w:szCs w:val="18"/>
                <w:highlight w:val="none"/>
              </w:rPr>
              <w:t>2</w:t>
            </w:r>
          </w:p>
        </w:tc>
        <w:tc>
          <w:tcPr>
            <w:tcW w:w="1018" w:type="dxa"/>
            <w:shd w:val="clear" w:color="auto" w:fill="auto"/>
            <w:vAlign w:val="center"/>
          </w:tcPr>
          <w:p>
            <w:pPr>
              <w:ind w:firstLine="0" w:firstLineChars="0"/>
              <w:jc w:val="center"/>
              <w:rPr>
                <w:color w:val="FF0000"/>
                <w:sz w:val="18"/>
                <w:szCs w:val="18"/>
                <w:highlight w:val="none"/>
              </w:rPr>
            </w:pPr>
            <w:r>
              <w:rPr>
                <w:color w:val="auto"/>
                <w:sz w:val="18"/>
                <w:szCs w:val="18"/>
                <w:highlight w:val="none"/>
              </w:rPr>
              <w:t>声环境</w:t>
            </w:r>
          </w:p>
        </w:tc>
        <w:tc>
          <w:tcPr>
            <w:tcW w:w="9706" w:type="dxa"/>
            <w:gridSpan w:val="6"/>
            <w:shd w:val="clear" w:color="auto" w:fill="auto"/>
            <w:vAlign w:val="center"/>
          </w:tcPr>
          <w:p>
            <w:pPr>
              <w:ind w:firstLine="0" w:firstLineChars="0"/>
              <w:jc w:val="center"/>
              <w:rPr>
                <w:color w:val="FF0000"/>
                <w:sz w:val="18"/>
                <w:szCs w:val="18"/>
                <w:highlight w:val="none"/>
              </w:rPr>
            </w:pPr>
            <w:r>
              <w:rPr>
                <w:rFonts w:hint="eastAsia"/>
                <w:color w:val="auto"/>
                <w:sz w:val="18"/>
                <w:szCs w:val="18"/>
                <w:highlight w:val="none"/>
              </w:rPr>
              <w:t>本项目矿界、其它工程界</w:t>
            </w:r>
            <w:r>
              <w:rPr>
                <w:color w:val="auto"/>
                <w:sz w:val="18"/>
                <w:szCs w:val="18"/>
                <w:highlight w:val="none"/>
              </w:rPr>
              <w:t>外200m范围内无居住区，声环境影响评价范围内无敏感保护目标</w:t>
            </w:r>
          </w:p>
        </w:tc>
        <w:tc>
          <w:tcPr>
            <w:tcW w:w="2120" w:type="dxa"/>
            <w:shd w:val="clear" w:color="auto" w:fill="auto"/>
            <w:vAlign w:val="center"/>
          </w:tcPr>
          <w:p>
            <w:pPr>
              <w:ind w:firstLine="0" w:firstLineChars="0"/>
              <w:jc w:val="center"/>
              <w:rPr>
                <w:color w:val="auto"/>
                <w:sz w:val="18"/>
                <w:szCs w:val="18"/>
                <w:highlight w:val="none"/>
              </w:rPr>
            </w:pPr>
            <w:r>
              <w:rPr>
                <w:color w:val="auto"/>
                <w:sz w:val="18"/>
                <w:szCs w:val="18"/>
                <w:highlight w:val="none"/>
              </w:rPr>
              <w:t>GB3096-2008《声环境质量标准》2类标准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817" w:type="dxa"/>
            <w:shd w:val="clear" w:color="auto" w:fill="auto"/>
            <w:vAlign w:val="center"/>
          </w:tcPr>
          <w:p>
            <w:pPr>
              <w:ind w:firstLine="0" w:firstLineChars="0"/>
              <w:jc w:val="center"/>
              <w:rPr>
                <w:color w:val="auto"/>
                <w:sz w:val="18"/>
                <w:szCs w:val="18"/>
                <w:highlight w:val="none"/>
              </w:rPr>
            </w:pPr>
            <w:r>
              <w:rPr>
                <w:color w:val="auto"/>
                <w:sz w:val="18"/>
                <w:szCs w:val="18"/>
                <w:highlight w:val="none"/>
              </w:rPr>
              <w:t>3</w:t>
            </w:r>
          </w:p>
        </w:tc>
        <w:tc>
          <w:tcPr>
            <w:tcW w:w="1018" w:type="dxa"/>
            <w:shd w:val="clear" w:color="auto" w:fill="auto"/>
            <w:vAlign w:val="center"/>
          </w:tcPr>
          <w:p>
            <w:pPr>
              <w:ind w:firstLine="0" w:firstLineChars="0"/>
              <w:jc w:val="center"/>
              <w:rPr>
                <w:color w:val="auto"/>
                <w:sz w:val="18"/>
                <w:szCs w:val="18"/>
                <w:highlight w:val="none"/>
              </w:rPr>
            </w:pPr>
            <w:r>
              <w:rPr>
                <w:color w:val="auto"/>
                <w:sz w:val="18"/>
                <w:szCs w:val="18"/>
                <w:highlight w:val="none"/>
              </w:rPr>
              <w:t>地表水</w:t>
            </w:r>
          </w:p>
        </w:tc>
        <w:tc>
          <w:tcPr>
            <w:tcW w:w="2818" w:type="dxa"/>
            <w:gridSpan w:val="2"/>
            <w:shd w:val="clear" w:color="auto" w:fill="auto"/>
            <w:vAlign w:val="center"/>
          </w:tcPr>
          <w:p>
            <w:pPr>
              <w:ind w:firstLine="0" w:firstLineChars="0"/>
              <w:jc w:val="center"/>
              <w:rPr>
                <w:rFonts w:hint="eastAsia" w:eastAsia="宋体"/>
                <w:color w:val="auto"/>
                <w:sz w:val="18"/>
                <w:szCs w:val="18"/>
                <w:highlight w:val="none"/>
                <w:lang w:eastAsia="zh-CN"/>
              </w:rPr>
            </w:pPr>
            <w:r>
              <w:rPr>
                <w:rFonts w:hint="eastAsia"/>
                <w:color w:val="auto"/>
                <w:sz w:val="18"/>
                <w:szCs w:val="18"/>
                <w:highlight w:val="none"/>
                <w:lang w:eastAsia="zh-CN"/>
              </w:rPr>
              <w:t>卡子水库</w:t>
            </w:r>
          </w:p>
        </w:tc>
        <w:tc>
          <w:tcPr>
            <w:tcW w:w="3690" w:type="dxa"/>
            <w:shd w:val="clear" w:color="auto" w:fill="auto"/>
            <w:vAlign w:val="center"/>
          </w:tcPr>
          <w:p>
            <w:pPr>
              <w:ind w:firstLine="0" w:firstLineChars="0"/>
              <w:jc w:val="center"/>
              <w:rPr>
                <w:rFonts w:hint="default" w:eastAsia="宋体"/>
                <w:color w:val="auto"/>
                <w:sz w:val="18"/>
                <w:szCs w:val="18"/>
                <w:highlight w:val="none"/>
                <w:lang w:val="en-US" w:eastAsia="zh-CN"/>
              </w:rPr>
            </w:pPr>
            <w:r>
              <w:rPr>
                <w:color w:val="auto"/>
                <w:sz w:val="18"/>
                <w:szCs w:val="18"/>
                <w:highlight w:val="none"/>
              </w:rPr>
              <w:t>西北</w:t>
            </w:r>
            <w:r>
              <w:rPr>
                <w:rFonts w:hint="eastAsia"/>
                <w:color w:val="auto"/>
                <w:sz w:val="18"/>
                <w:szCs w:val="18"/>
                <w:highlight w:val="none"/>
                <w:lang w:val="en-US" w:eastAsia="zh-CN"/>
              </w:rPr>
              <w:t>1740</w:t>
            </w:r>
          </w:p>
        </w:tc>
        <w:tc>
          <w:tcPr>
            <w:tcW w:w="1680" w:type="dxa"/>
            <w:shd w:val="clear" w:color="auto" w:fill="auto"/>
            <w:vAlign w:val="center"/>
          </w:tcPr>
          <w:p>
            <w:pPr>
              <w:ind w:firstLine="0" w:firstLineChars="0"/>
              <w:jc w:val="center"/>
              <w:rPr>
                <w:rFonts w:hint="default" w:eastAsia="宋体"/>
                <w:color w:val="auto"/>
                <w:sz w:val="18"/>
                <w:szCs w:val="18"/>
                <w:highlight w:val="none"/>
                <w:lang w:val="en-US" w:eastAsia="zh-CN"/>
              </w:rPr>
            </w:pPr>
            <w:r>
              <w:rPr>
                <w:color w:val="auto"/>
                <w:sz w:val="18"/>
                <w:szCs w:val="18"/>
                <w:highlight w:val="none"/>
              </w:rPr>
              <w:t>西</w:t>
            </w:r>
            <w:r>
              <w:rPr>
                <w:rFonts w:hint="eastAsia"/>
                <w:color w:val="auto"/>
                <w:sz w:val="18"/>
                <w:szCs w:val="18"/>
                <w:highlight w:val="none"/>
                <w:lang w:eastAsia="zh-CN"/>
              </w:rPr>
              <w:t>北</w:t>
            </w:r>
            <w:r>
              <w:rPr>
                <w:rFonts w:hint="eastAsia"/>
                <w:color w:val="auto"/>
                <w:sz w:val="18"/>
                <w:szCs w:val="18"/>
                <w:highlight w:val="none"/>
                <w:lang w:val="en-US" w:eastAsia="zh-CN"/>
              </w:rPr>
              <w:t>1520</w:t>
            </w:r>
          </w:p>
        </w:tc>
        <w:tc>
          <w:tcPr>
            <w:tcW w:w="1518" w:type="dxa"/>
            <w:gridSpan w:val="2"/>
            <w:shd w:val="clear" w:color="auto" w:fill="auto"/>
            <w:vAlign w:val="center"/>
          </w:tcPr>
          <w:p>
            <w:pPr>
              <w:ind w:firstLine="0" w:firstLineChars="0"/>
              <w:jc w:val="center"/>
              <w:rPr>
                <w:color w:val="auto"/>
                <w:sz w:val="18"/>
                <w:szCs w:val="18"/>
                <w:highlight w:val="none"/>
              </w:rPr>
            </w:pPr>
            <w:r>
              <w:rPr>
                <w:rFonts w:hint="eastAsia"/>
                <w:color w:val="auto"/>
                <w:sz w:val="18"/>
                <w:szCs w:val="18"/>
                <w:highlight w:val="none"/>
              </w:rPr>
              <w:t>侧风向</w:t>
            </w:r>
          </w:p>
        </w:tc>
        <w:tc>
          <w:tcPr>
            <w:tcW w:w="2150" w:type="dxa"/>
            <w:gridSpan w:val="2"/>
            <w:shd w:val="clear" w:color="auto" w:fill="auto"/>
            <w:vAlign w:val="center"/>
          </w:tcPr>
          <w:p>
            <w:pPr>
              <w:ind w:firstLine="0" w:firstLineChars="0"/>
              <w:jc w:val="center"/>
              <w:rPr>
                <w:color w:val="auto"/>
                <w:sz w:val="18"/>
                <w:szCs w:val="18"/>
                <w:highlight w:val="none"/>
              </w:rPr>
            </w:pPr>
            <w:r>
              <w:rPr>
                <w:color w:val="auto"/>
                <w:sz w:val="18"/>
                <w:szCs w:val="18"/>
                <w:highlight w:val="none"/>
              </w:rPr>
              <w:t>GB3838-2002《地</w:t>
            </w:r>
            <w:r>
              <w:rPr>
                <w:rFonts w:hint="eastAsia"/>
                <w:color w:val="auto"/>
                <w:sz w:val="18"/>
                <w:szCs w:val="18"/>
                <w:highlight w:val="none"/>
              </w:rPr>
              <w:t>表</w:t>
            </w:r>
            <w:r>
              <w:rPr>
                <w:color w:val="auto"/>
                <w:sz w:val="18"/>
                <w:szCs w:val="18"/>
                <w:highlight w:val="none"/>
              </w:rPr>
              <w:t>水环境质量标准》Ⅲ类标准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 w:type="dxa"/>
          <w:trHeight w:val="722" w:hRule="atLeast"/>
          <w:jc w:val="center"/>
        </w:trPr>
        <w:tc>
          <w:tcPr>
            <w:tcW w:w="817" w:type="dxa"/>
            <w:shd w:val="clear" w:color="auto" w:fill="auto"/>
            <w:vAlign w:val="center"/>
          </w:tcPr>
          <w:p>
            <w:pPr>
              <w:ind w:left="0" w:leftChars="0" w:firstLine="0" w:firstLineChars="0"/>
              <w:jc w:val="center"/>
              <w:rPr>
                <w:rFonts w:hint="eastAsia"/>
                <w:color w:val="auto"/>
                <w:sz w:val="18"/>
                <w:szCs w:val="18"/>
                <w:highlight w:val="none"/>
                <w:lang w:val="en-US" w:eastAsia="zh-CN"/>
              </w:rPr>
            </w:pPr>
            <w:r>
              <w:rPr>
                <w:rFonts w:hint="eastAsia"/>
                <w:color w:val="auto"/>
                <w:sz w:val="18"/>
                <w:szCs w:val="18"/>
                <w:highlight w:val="none"/>
                <w:lang w:val="en-US" w:eastAsia="zh-CN"/>
              </w:rPr>
              <w:t>4</w:t>
            </w:r>
          </w:p>
        </w:tc>
        <w:tc>
          <w:tcPr>
            <w:tcW w:w="1018" w:type="dxa"/>
            <w:shd w:val="clear" w:color="auto" w:fill="auto"/>
            <w:vAlign w:val="center"/>
          </w:tcPr>
          <w:p>
            <w:pPr>
              <w:ind w:firstLine="0" w:firstLineChars="0"/>
              <w:jc w:val="center"/>
              <w:rPr>
                <w:rFonts w:hint="eastAsia"/>
                <w:color w:val="auto"/>
                <w:sz w:val="18"/>
                <w:szCs w:val="18"/>
                <w:highlight w:val="none"/>
                <w:lang w:eastAsia="zh-CN"/>
              </w:rPr>
            </w:pPr>
            <w:r>
              <w:rPr>
                <w:rFonts w:hint="eastAsia"/>
                <w:color w:val="auto"/>
                <w:sz w:val="18"/>
                <w:szCs w:val="18"/>
                <w:highlight w:val="none"/>
                <w:lang w:eastAsia="zh-CN"/>
              </w:rPr>
              <w:t>土壤环境</w:t>
            </w:r>
          </w:p>
        </w:tc>
        <w:tc>
          <w:tcPr>
            <w:tcW w:w="9706" w:type="dxa"/>
            <w:gridSpan w:val="6"/>
            <w:shd w:val="clear" w:color="auto" w:fill="auto"/>
            <w:vAlign w:val="center"/>
          </w:tcPr>
          <w:p>
            <w:pPr>
              <w:ind w:firstLine="0" w:firstLineChars="0"/>
              <w:jc w:val="center"/>
              <w:rPr>
                <w:rFonts w:hint="eastAsia"/>
                <w:color w:val="auto"/>
                <w:sz w:val="18"/>
                <w:szCs w:val="18"/>
                <w:highlight w:val="none"/>
                <w:lang w:eastAsia="zh-CN"/>
              </w:rPr>
            </w:pPr>
            <w:r>
              <w:rPr>
                <w:rFonts w:hint="eastAsia"/>
                <w:color w:val="auto"/>
                <w:sz w:val="18"/>
                <w:szCs w:val="18"/>
                <w:highlight w:val="none"/>
                <w:lang w:eastAsia="zh-CN"/>
              </w:rPr>
              <w:t>耕地</w:t>
            </w:r>
          </w:p>
        </w:tc>
        <w:tc>
          <w:tcPr>
            <w:tcW w:w="2120" w:type="dxa"/>
            <w:shd w:val="clear" w:color="auto" w:fill="auto"/>
            <w:vAlign w:val="center"/>
          </w:tcPr>
          <w:p>
            <w:pPr>
              <w:ind w:firstLine="0" w:firstLineChars="0"/>
              <w:jc w:val="center"/>
              <w:rPr>
                <w:rFonts w:hint="eastAsia" w:eastAsia="宋体"/>
                <w:color w:val="auto"/>
                <w:sz w:val="18"/>
                <w:szCs w:val="18"/>
                <w:highlight w:val="none"/>
                <w:lang w:val="en-US" w:eastAsia="zh-CN"/>
              </w:rPr>
            </w:pPr>
            <w:r>
              <w:rPr>
                <w:rFonts w:hint="eastAsia"/>
                <w:color w:val="auto"/>
                <w:sz w:val="18"/>
                <w:szCs w:val="18"/>
                <w:highlight w:val="none"/>
                <w:lang w:eastAsia="zh-CN"/>
              </w:rPr>
              <w:t>项目占地范围外</w:t>
            </w:r>
            <w:r>
              <w:rPr>
                <w:rFonts w:hint="eastAsia"/>
                <w:color w:val="auto"/>
                <w:sz w:val="18"/>
                <w:szCs w:val="18"/>
                <w:highlight w:val="none"/>
                <w:lang w:val="en-US" w:eastAsia="zh-CN"/>
              </w:rPr>
              <w:t>50m范围内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 w:type="dxa"/>
          <w:trHeight w:val="787" w:hRule="atLeast"/>
          <w:jc w:val="center"/>
        </w:trPr>
        <w:tc>
          <w:tcPr>
            <w:tcW w:w="817" w:type="dxa"/>
            <w:shd w:val="clear" w:color="auto" w:fill="auto"/>
            <w:vAlign w:val="center"/>
          </w:tcPr>
          <w:p>
            <w:pPr>
              <w:ind w:firstLine="0" w:firstLineChars="0"/>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5</w:t>
            </w:r>
          </w:p>
        </w:tc>
        <w:tc>
          <w:tcPr>
            <w:tcW w:w="1018" w:type="dxa"/>
            <w:shd w:val="clear" w:color="auto" w:fill="auto"/>
            <w:vAlign w:val="center"/>
          </w:tcPr>
          <w:p>
            <w:pPr>
              <w:ind w:firstLine="0" w:firstLineChars="0"/>
              <w:jc w:val="center"/>
              <w:rPr>
                <w:color w:val="auto"/>
                <w:sz w:val="18"/>
                <w:szCs w:val="18"/>
                <w:highlight w:val="none"/>
              </w:rPr>
            </w:pPr>
            <w:r>
              <w:rPr>
                <w:color w:val="auto"/>
                <w:sz w:val="18"/>
                <w:szCs w:val="18"/>
                <w:highlight w:val="none"/>
              </w:rPr>
              <w:t>生态</w:t>
            </w:r>
          </w:p>
        </w:tc>
        <w:tc>
          <w:tcPr>
            <w:tcW w:w="9706" w:type="dxa"/>
            <w:gridSpan w:val="6"/>
            <w:shd w:val="clear" w:color="auto" w:fill="auto"/>
            <w:vAlign w:val="center"/>
          </w:tcPr>
          <w:p>
            <w:pPr>
              <w:ind w:firstLine="0" w:firstLineChars="0"/>
              <w:jc w:val="center"/>
              <w:rPr>
                <w:color w:val="auto"/>
                <w:sz w:val="18"/>
                <w:szCs w:val="18"/>
                <w:highlight w:val="none"/>
              </w:rPr>
            </w:pPr>
            <w:r>
              <w:rPr>
                <w:color w:val="auto"/>
                <w:sz w:val="18"/>
                <w:szCs w:val="18"/>
                <w:highlight w:val="none"/>
              </w:rPr>
              <w:t>项目区周围农作物、植被、土地利用、水土流失、绿化恢复等</w:t>
            </w:r>
          </w:p>
        </w:tc>
        <w:tc>
          <w:tcPr>
            <w:tcW w:w="2120" w:type="dxa"/>
            <w:shd w:val="clear" w:color="auto" w:fill="auto"/>
            <w:vAlign w:val="center"/>
          </w:tcPr>
          <w:p>
            <w:pPr>
              <w:ind w:firstLine="0" w:firstLineChars="0"/>
              <w:jc w:val="center"/>
              <w:rPr>
                <w:color w:val="auto"/>
                <w:sz w:val="18"/>
                <w:szCs w:val="18"/>
                <w:highlight w:val="none"/>
              </w:rPr>
            </w:pPr>
            <w:r>
              <w:rPr>
                <w:color w:val="auto"/>
                <w:sz w:val="18"/>
                <w:szCs w:val="18"/>
                <w:highlight w:val="none"/>
              </w:rPr>
              <w:t>保护周围现有植被</w:t>
            </w:r>
          </w:p>
        </w:tc>
      </w:tr>
    </w:tbl>
    <w:p>
      <w:pPr>
        <w:pStyle w:val="17"/>
        <w:ind w:firstLine="480"/>
        <w:rPr>
          <w:rFonts w:ascii="Times New Roman" w:hAnsi="Times New Roman"/>
          <w:highlight w:val="none"/>
        </w:rPr>
      </w:pPr>
    </w:p>
    <w:p>
      <w:pPr>
        <w:pStyle w:val="17"/>
        <w:ind w:firstLine="0" w:firstLineChars="0"/>
        <w:rPr>
          <w:rFonts w:ascii="Times New Roman" w:hAnsi="Times New Roman"/>
          <w:highlight w:val="none"/>
        </w:rPr>
        <w:sectPr>
          <w:pgSz w:w="16838" w:h="11911" w:orient="landscape"/>
          <w:pgMar w:top="1417" w:right="1417" w:bottom="1417" w:left="1417" w:header="879" w:footer="952" w:gutter="0"/>
          <w:pgBorders>
            <w:top w:val="none" w:sz="0" w:space="0"/>
            <w:left w:val="none" w:sz="0" w:space="0"/>
            <w:bottom w:val="none" w:sz="0" w:space="0"/>
            <w:right w:val="none" w:sz="0" w:space="0"/>
          </w:pgBorders>
          <w:pgNumType w:fmt="decimal"/>
          <w:cols w:space="720" w:num="1"/>
          <w:docGrid w:linePitch="312" w:charSpace="0"/>
        </w:sectPr>
      </w:pPr>
    </w:p>
    <w:p>
      <w:pPr>
        <w:pStyle w:val="4"/>
        <w:rPr>
          <w:highlight w:val="none"/>
        </w:rPr>
      </w:pPr>
      <w:bookmarkStart w:id="298" w:name="_Toc15876"/>
      <w:bookmarkStart w:id="299" w:name="_Toc27373"/>
      <w:bookmarkStart w:id="300" w:name="_Toc3194"/>
      <w:bookmarkStart w:id="301" w:name="_Toc24852"/>
      <w:bookmarkStart w:id="302" w:name="_Toc19734"/>
      <w:bookmarkStart w:id="303" w:name="_Toc15166"/>
      <w:r>
        <w:rPr>
          <w:highlight w:val="none"/>
        </w:rPr>
        <w:t>1.</w:t>
      </w:r>
      <w:r>
        <w:rPr>
          <w:rFonts w:hint="eastAsia"/>
          <w:highlight w:val="none"/>
        </w:rPr>
        <w:t>8</w:t>
      </w:r>
      <w:r>
        <w:rPr>
          <w:highlight w:val="none"/>
        </w:rPr>
        <w:t xml:space="preserve"> </w:t>
      </w:r>
      <w:bookmarkEnd w:id="298"/>
      <w:bookmarkEnd w:id="299"/>
      <w:bookmarkEnd w:id="300"/>
      <w:bookmarkEnd w:id="301"/>
      <w:bookmarkEnd w:id="302"/>
      <w:r>
        <w:rPr>
          <w:rFonts w:hint="eastAsia"/>
          <w:highlight w:val="none"/>
        </w:rPr>
        <w:t>环境影响评价工作程序</w:t>
      </w:r>
      <w:bookmarkEnd w:id="303"/>
    </w:p>
    <w:p>
      <w:pPr>
        <w:pStyle w:val="2"/>
        <w:spacing w:line="331" w:lineRule="auto"/>
        <w:ind w:firstLine="480"/>
        <w:rPr>
          <w:highlight w:val="none"/>
        </w:rPr>
      </w:pPr>
      <w:r>
        <w:rPr>
          <w:highlight w:val="none"/>
        </w:rPr>
        <w:t>环境影响评价工作一般分为三个阶段，即前期准备、调研和工作方案阶段， 分析论证和预测评价阶段，环境影响评价文件编制阶段。</w:t>
      </w:r>
    </w:p>
    <w:p>
      <w:pPr>
        <w:pStyle w:val="2"/>
        <w:spacing w:line="331" w:lineRule="auto"/>
        <w:ind w:firstLine="480"/>
        <w:rPr>
          <w:highlight w:val="none"/>
        </w:rPr>
      </w:pPr>
      <w:r>
        <w:rPr>
          <w:highlight w:val="none"/>
        </w:rPr>
        <w:t>具体的环境影响评价工作程序见下图。</w:t>
      </w:r>
    </w:p>
    <w:p>
      <w:pPr>
        <w:pStyle w:val="2"/>
        <w:spacing w:before="43"/>
        <w:ind w:firstLine="0" w:firstLineChars="0"/>
        <w:jc w:val="center"/>
        <w:rPr>
          <w:highlight w:val="none"/>
        </w:rPr>
      </w:pPr>
      <w:r>
        <w:rPr>
          <w:highlight w:val="none"/>
        </w:rPr>
        <w:drawing>
          <wp:inline distT="0" distB="0" distL="114300" distR="114300">
            <wp:extent cx="5470525" cy="7065645"/>
            <wp:effectExtent l="0" t="0" r="15875" b="190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0"/>
                    <a:stretch>
                      <a:fillRect/>
                    </a:stretch>
                  </pic:blipFill>
                  <pic:spPr>
                    <a:xfrm>
                      <a:off x="0" y="0"/>
                      <a:ext cx="5470525" cy="7065645"/>
                    </a:xfrm>
                    <a:prstGeom prst="rect">
                      <a:avLst/>
                    </a:prstGeom>
                    <a:noFill/>
                    <a:ln>
                      <a:noFill/>
                    </a:ln>
                  </pic:spPr>
                </pic:pic>
              </a:graphicData>
            </a:graphic>
          </wp:inline>
        </w:drawing>
      </w:r>
    </w:p>
    <w:p>
      <w:pPr>
        <w:tabs>
          <w:tab w:val="left" w:pos="3443"/>
        </w:tabs>
        <w:spacing w:before="72"/>
        <w:ind w:left="2462" w:firstLine="422"/>
        <w:rPr>
          <w:rFonts w:ascii="宋体" w:hAnsi="宋体" w:cs="宋体"/>
          <w:highlight w:val="none"/>
        </w:rPr>
        <w:sectPr>
          <w:pgSz w:w="11906" w:h="16840"/>
          <w:pgMar w:top="1080" w:right="1600" w:bottom="1160" w:left="1680" w:header="882" w:footer="978" w:gutter="0"/>
          <w:pgBorders>
            <w:top w:val="none" w:sz="0" w:space="0"/>
            <w:left w:val="none" w:sz="0" w:space="0"/>
            <w:bottom w:val="none" w:sz="0" w:space="0"/>
            <w:right w:val="none" w:sz="0" w:space="0"/>
          </w:pgBorders>
          <w:pgNumType w:fmt="decimal"/>
          <w:cols w:space="720" w:num="1"/>
        </w:sectPr>
      </w:pPr>
      <w:r>
        <w:rPr>
          <w:rFonts w:ascii="宋体" w:hAnsi="宋体" w:cs="宋体"/>
          <w:b/>
          <w:bCs/>
          <w:sz w:val="21"/>
          <w:szCs w:val="21"/>
          <w:highlight w:val="none"/>
        </w:rPr>
        <w:t>图</w:t>
      </w:r>
      <w:r>
        <w:rPr>
          <w:rFonts w:ascii="宋体" w:hAnsi="宋体" w:cs="宋体"/>
          <w:b/>
          <w:bCs/>
          <w:spacing w:val="-60"/>
          <w:sz w:val="21"/>
          <w:szCs w:val="21"/>
          <w:highlight w:val="none"/>
        </w:rPr>
        <w:t xml:space="preserve"> </w:t>
      </w:r>
      <w:r>
        <w:rPr>
          <w:rFonts w:eastAsia="Times New Roman"/>
          <w:b/>
          <w:bCs/>
          <w:sz w:val="21"/>
          <w:szCs w:val="21"/>
          <w:highlight w:val="none"/>
        </w:rPr>
        <w:t>1</w:t>
      </w:r>
      <w:r>
        <w:rPr>
          <w:rFonts w:eastAsia="Times New Roman"/>
          <w:b/>
          <w:bCs/>
          <w:spacing w:val="-1"/>
          <w:sz w:val="21"/>
          <w:szCs w:val="21"/>
          <w:highlight w:val="none"/>
        </w:rPr>
        <w:t>-</w:t>
      </w:r>
      <w:r>
        <w:rPr>
          <w:rFonts w:hint="eastAsia"/>
          <w:b/>
          <w:bCs/>
          <w:spacing w:val="-1"/>
          <w:sz w:val="21"/>
          <w:szCs w:val="21"/>
          <w:highlight w:val="none"/>
        </w:rPr>
        <w:t>1</w:t>
      </w:r>
      <w:r>
        <w:rPr>
          <w:rFonts w:ascii="宋体" w:hAnsi="宋体" w:cs="宋体"/>
          <w:b/>
          <w:bCs/>
          <w:sz w:val="21"/>
          <w:szCs w:val="21"/>
          <w:highlight w:val="none"/>
        </w:rPr>
        <w:t>环</w:t>
      </w:r>
      <w:r>
        <w:rPr>
          <w:rFonts w:ascii="宋体" w:hAnsi="宋体" w:cs="宋体"/>
          <w:b/>
          <w:bCs/>
          <w:spacing w:val="2"/>
          <w:sz w:val="21"/>
          <w:szCs w:val="21"/>
          <w:highlight w:val="none"/>
        </w:rPr>
        <w:t>境</w:t>
      </w:r>
      <w:r>
        <w:rPr>
          <w:rFonts w:ascii="宋体" w:hAnsi="宋体" w:cs="宋体"/>
          <w:b/>
          <w:bCs/>
          <w:sz w:val="21"/>
          <w:szCs w:val="21"/>
          <w:highlight w:val="none"/>
        </w:rPr>
        <w:t>影</w:t>
      </w:r>
      <w:r>
        <w:rPr>
          <w:rFonts w:ascii="宋体" w:hAnsi="宋体" w:cs="宋体"/>
          <w:b/>
          <w:bCs/>
          <w:spacing w:val="2"/>
          <w:sz w:val="21"/>
          <w:szCs w:val="21"/>
          <w:highlight w:val="none"/>
        </w:rPr>
        <w:t>响</w:t>
      </w:r>
      <w:r>
        <w:rPr>
          <w:rFonts w:ascii="宋体" w:hAnsi="宋体" w:cs="宋体"/>
          <w:b/>
          <w:bCs/>
          <w:sz w:val="21"/>
          <w:szCs w:val="21"/>
          <w:highlight w:val="none"/>
        </w:rPr>
        <w:t>评价</w:t>
      </w:r>
      <w:r>
        <w:rPr>
          <w:rFonts w:ascii="宋体" w:hAnsi="宋体" w:cs="宋体"/>
          <w:b/>
          <w:bCs/>
          <w:spacing w:val="2"/>
          <w:sz w:val="21"/>
          <w:szCs w:val="21"/>
          <w:highlight w:val="none"/>
        </w:rPr>
        <w:t>工</w:t>
      </w:r>
      <w:r>
        <w:rPr>
          <w:rFonts w:ascii="宋体" w:hAnsi="宋体" w:cs="宋体"/>
          <w:b/>
          <w:bCs/>
          <w:sz w:val="21"/>
          <w:szCs w:val="21"/>
          <w:highlight w:val="none"/>
        </w:rPr>
        <w:t>作</w:t>
      </w:r>
      <w:r>
        <w:rPr>
          <w:rFonts w:ascii="宋体" w:hAnsi="宋体" w:cs="宋体"/>
          <w:b/>
          <w:bCs/>
          <w:spacing w:val="2"/>
          <w:sz w:val="21"/>
          <w:szCs w:val="21"/>
          <w:highlight w:val="none"/>
        </w:rPr>
        <w:t>程</w:t>
      </w:r>
      <w:r>
        <w:rPr>
          <w:rFonts w:ascii="宋体" w:hAnsi="宋体" w:cs="宋体"/>
          <w:b/>
          <w:bCs/>
          <w:sz w:val="21"/>
          <w:szCs w:val="21"/>
          <w:highlight w:val="none"/>
        </w:rPr>
        <w:t>序图</w:t>
      </w:r>
    </w:p>
    <w:p>
      <w:pPr>
        <w:pStyle w:val="3"/>
        <w:rPr>
          <w:highlight w:val="none"/>
        </w:rPr>
      </w:pPr>
      <w:bookmarkStart w:id="304" w:name="_Toc23434"/>
      <w:r>
        <w:rPr>
          <w:rFonts w:hint="eastAsia"/>
          <w:highlight w:val="none"/>
          <w:lang w:val="en-US" w:eastAsia="zh-CN"/>
        </w:rPr>
        <w:t>2</w:t>
      </w:r>
      <w:r>
        <w:rPr>
          <w:rFonts w:hint="eastAsia"/>
          <w:highlight w:val="none"/>
        </w:rPr>
        <w:t>项目概况</w:t>
      </w:r>
      <w:bookmarkEnd w:id="304"/>
    </w:p>
    <w:p>
      <w:pPr>
        <w:pStyle w:val="4"/>
        <w:rPr>
          <w:highlight w:val="none"/>
        </w:rPr>
      </w:pPr>
      <w:bookmarkStart w:id="305" w:name="_Toc17065"/>
      <w:r>
        <w:rPr>
          <w:rFonts w:hint="eastAsia"/>
          <w:highlight w:val="none"/>
          <w:lang w:val="en-US" w:eastAsia="zh-CN"/>
        </w:rPr>
        <w:t>2</w:t>
      </w:r>
      <w:r>
        <w:rPr>
          <w:rFonts w:hint="eastAsia"/>
          <w:highlight w:val="none"/>
        </w:rPr>
        <w:t>.1项目基本情况</w:t>
      </w:r>
      <w:bookmarkEnd w:id="305"/>
    </w:p>
    <w:p>
      <w:pPr>
        <w:pStyle w:val="5"/>
        <w:adjustRightInd w:val="0"/>
        <w:snapToGrid w:val="0"/>
        <w:rPr>
          <w:rFonts w:hint="default"/>
          <w:highlight w:val="none"/>
        </w:rPr>
      </w:pPr>
      <w:bookmarkStart w:id="306" w:name="_Toc26418"/>
      <w:r>
        <w:rPr>
          <w:rFonts w:hint="eastAsia"/>
          <w:highlight w:val="none"/>
          <w:lang w:val="en-US" w:eastAsia="zh-CN"/>
        </w:rPr>
        <w:t>2</w:t>
      </w:r>
      <w:r>
        <w:rPr>
          <w:highlight w:val="none"/>
        </w:rPr>
        <w:t>.1.1名称、性质、地点、规模、方案及投资情况</w:t>
      </w:r>
      <w:bookmarkEnd w:id="306"/>
    </w:p>
    <w:p>
      <w:pPr>
        <w:autoSpaceDE w:val="0"/>
        <w:autoSpaceDN w:val="0"/>
        <w:adjustRightInd w:val="0"/>
        <w:ind w:firstLine="480"/>
        <w:rPr>
          <w:rFonts w:hint="eastAsia" w:eastAsia="宋体"/>
          <w:highlight w:val="none"/>
          <w:lang w:eastAsia="zh-CN"/>
        </w:rPr>
      </w:pPr>
      <w:r>
        <w:rPr>
          <w:rFonts w:hint="eastAsia"/>
          <w:highlight w:val="none"/>
        </w:rPr>
        <w:t>项目名称：</w:t>
      </w:r>
      <w:r>
        <w:rPr>
          <w:rFonts w:hint="eastAsia"/>
          <w:highlight w:val="none"/>
          <w:lang w:eastAsia="zh-CN"/>
        </w:rPr>
        <w:t>砚山县阿猛镇倮基黑卡子凹塘石料厂年产30万吨建筑石料用灰岩建设项目</w:t>
      </w:r>
    </w:p>
    <w:p>
      <w:pPr>
        <w:autoSpaceDE w:val="0"/>
        <w:autoSpaceDN w:val="0"/>
        <w:adjustRightInd w:val="0"/>
        <w:ind w:firstLine="480"/>
        <w:rPr>
          <w:rFonts w:hint="eastAsia" w:eastAsia="宋体"/>
          <w:highlight w:val="none"/>
          <w:lang w:eastAsia="zh-CN"/>
        </w:rPr>
      </w:pPr>
      <w:r>
        <w:rPr>
          <w:rFonts w:hint="eastAsia"/>
          <w:highlight w:val="none"/>
        </w:rPr>
        <w:t>建设单位：</w:t>
      </w:r>
      <w:r>
        <w:rPr>
          <w:rFonts w:hint="eastAsia"/>
          <w:highlight w:val="none"/>
          <w:lang w:eastAsia="zh-CN"/>
        </w:rPr>
        <w:t>砚山县江那镇真元饲料添加剂沸石粉厂</w:t>
      </w:r>
    </w:p>
    <w:p>
      <w:pPr>
        <w:autoSpaceDE w:val="0"/>
        <w:autoSpaceDN w:val="0"/>
        <w:adjustRightInd w:val="0"/>
        <w:ind w:firstLine="480"/>
        <w:rPr>
          <w:rFonts w:hint="eastAsia" w:eastAsia="宋体"/>
          <w:highlight w:val="none"/>
          <w:lang w:eastAsia="zh-CN"/>
        </w:rPr>
      </w:pPr>
      <w:r>
        <w:rPr>
          <w:rFonts w:hint="eastAsia"/>
          <w:highlight w:val="none"/>
        </w:rPr>
        <w:t>建设性质：</w:t>
      </w:r>
      <w:r>
        <w:rPr>
          <w:rFonts w:hint="eastAsia"/>
          <w:highlight w:val="none"/>
          <w:lang w:eastAsia="zh-CN"/>
        </w:rPr>
        <w:t>新建</w:t>
      </w:r>
    </w:p>
    <w:p>
      <w:pPr>
        <w:autoSpaceDE w:val="0"/>
        <w:autoSpaceDN w:val="0"/>
        <w:adjustRightInd w:val="0"/>
        <w:ind w:firstLine="480"/>
        <w:rPr>
          <w:color w:val="auto"/>
          <w:highlight w:val="none"/>
        </w:rPr>
      </w:pPr>
      <w:r>
        <w:rPr>
          <w:rFonts w:hint="eastAsia"/>
          <w:color w:val="auto"/>
          <w:highlight w:val="none"/>
        </w:rPr>
        <w:t>建设地点：</w:t>
      </w:r>
      <w:r>
        <w:rPr>
          <w:rFonts w:hint="eastAsia"/>
          <w:color w:val="auto"/>
          <w:highlight w:val="none"/>
          <w:lang w:eastAsia="zh-CN"/>
        </w:rPr>
        <w:t>砚山县阿猛镇倮基黑卡子凹塘</w:t>
      </w:r>
      <w:r>
        <w:rPr>
          <w:rFonts w:hint="eastAsia"/>
          <w:color w:val="auto"/>
          <w:highlight w:val="none"/>
        </w:rPr>
        <w:t>（矿区中心</w:t>
      </w:r>
      <w:r>
        <w:rPr>
          <w:color w:val="auto"/>
          <w:highlight w:val="none"/>
        </w:rPr>
        <w:t>地理坐标：东经10</w:t>
      </w:r>
      <w:r>
        <w:rPr>
          <w:rFonts w:hint="eastAsia"/>
          <w:color w:val="auto"/>
          <w:highlight w:val="none"/>
          <w:lang w:val="en-US" w:eastAsia="zh-CN"/>
        </w:rPr>
        <w:t>4</w:t>
      </w:r>
      <w:r>
        <w:rPr>
          <w:color w:val="auto"/>
          <w:highlight w:val="none"/>
        </w:rPr>
        <w:t>°</w:t>
      </w:r>
      <w:r>
        <w:rPr>
          <w:rFonts w:hint="eastAsia"/>
          <w:color w:val="auto"/>
          <w:highlight w:val="none"/>
          <w:lang w:val="en-US" w:eastAsia="zh-CN"/>
        </w:rPr>
        <w:t>32</w:t>
      </w:r>
      <w:r>
        <w:rPr>
          <w:color w:val="auto"/>
          <w:highlight w:val="none"/>
        </w:rPr>
        <w:t>′</w:t>
      </w:r>
      <w:r>
        <w:rPr>
          <w:rFonts w:hint="eastAsia"/>
          <w:color w:val="auto"/>
          <w:highlight w:val="none"/>
          <w:lang w:val="en-US" w:eastAsia="zh-CN"/>
        </w:rPr>
        <w:t>30.34</w:t>
      </w:r>
      <w:r>
        <w:rPr>
          <w:color w:val="auto"/>
          <w:highlight w:val="none"/>
        </w:rPr>
        <w:t>″，北纬23°</w:t>
      </w:r>
      <w:r>
        <w:rPr>
          <w:rFonts w:hint="eastAsia"/>
          <w:color w:val="auto"/>
          <w:highlight w:val="none"/>
          <w:lang w:val="en-US" w:eastAsia="zh-CN"/>
        </w:rPr>
        <w:t>51</w:t>
      </w:r>
      <w:r>
        <w:rPr>
          <w:color w:val="auto"/>
          <w:highlight w:val="none"/>
        </w:rPr>
        <w:t>′</w:t>
      </w:r>
      <w:r>
        <w:rPr>
          <w:rFonts w:hint="eastAsia"/>
          <w:color w:val="auto"/>
          <w:highlight w:val="none"/>
          <w:lang w:val="en-US" w:eastAsia="zh-CN"/>
        </w:rPr>
        <w:t>37.10</w:t>
      </w:r>
      <w:r>
        <w:rPr>
          <w:color w:val="auto"/>
          <w:highlight w:val="none"/>
        </w:rPr>
        <w:t>″</w:t>
      </w:r>
      <w:r>
        <w:rPr>
          <w:rFonts w:hint="eastAsia"/>
          <w:color w:val="auto"/>
          <w:highlight w:val="none"/>
        </w:rPr>
        <w:t>）</w:t>
      </w:r>
    </w:p>
    <w:p>
      <w:pPr>
        <w:autoSpaceDE w:val="0"/>
        <w:autoSpaceDN w:val="0"/>
        <w:adjustRightInd w:val="0"/>
        <w:ind w:firstLine="480"/>
        <w:rPr>
          <w:color w:val="auto"/>
          <w:highlight w:val="none"/>
        </w:rPr>
      </w:pPr>
      <w:r>
        <w:rPr>
          <w:rFonts w:hint="eastAsia"/>
          <w:color w:val="auto"/>
          <w:highlight w:val="none"/>
        </w:rPr>
        <w:t>建设规模：矿区范围面积为0.</w:t>
      </w:r>
      <w:r>
        <w:rPr>
          <w:rFonts w:hint="eastAsia"/>
          <w:color w:val="auto"/>
          <w:highlight w:val="none"/>
          <w:lang w:val="en-US" w:eastAsia="zh-CN"/>
        </w:rPr>
        <w:t>095</w:t>
      </w:r>
      <w:r>
        <w:rPr>
          <w:rFonts w:hint="eastAsia"/>
          <w:color w:val="auto"/>
          <w:highlight w:val="none"/>
        </w:rPr>
        <w:t>km</w:t>
      </w:r>
      <w:r>
        <w:rPr>
          <w:rFonts w:hint="eastAsia"/>
          <w:color w:val="auto"/>
          <w:highlight w:val="none"/>
          <w:vertAlign w:val="superscript"/>
        </w:rPr>
        <w:t>2</w:t>
      </w:r>
      <w:r>
        <w:rPr>
          <w:rFonts w:hint="eastAsia"/>
          <w:color w:val="auto"/>
          <w:highlight w:val="none"/>
          <w:lang w:eastAsia="zh-CN"/>
        </w:rPr>
        <w:t>，年采</w:t>
      </w:r>
      <w:r>
        <w:rPr>
          <w:rFonts w:hint="eastAsia"/>
          <w:color w:val="auto"/>
          <w:highlight w:val="none"/>
        </w:rPr>
        <w:t>石灰岩</w:t>
      </w:r>
      <w:r>
        <w:rPr>
          <w:rFonts w:hint="eastAsia"/>
          <w:color w:val="auto"/>
          <w:highlight w:val="none"/>
          <w:lang w:eastAsia="zh-CN"/>
        </w:rPr>
        <w:t>矿</w:t>
      </w:r>
      <w:r>
        <w:rPr>
          <w:rFonts w:hint="eastAsia"/>
          <w:color w:val="auto"/>
          <w:highlight w:val="none"/>
          <w:lang w:val="en-US" w:eastAsia="zh-CN"/>
        </w:rPr>
        <w:t>30</w:t>
      </w:r>
      <w:r>
        <w:rPr>
          <w:rFonts w:hint="eastAsia"/>
          <w:color w:val="auto"/>
          <w:highlight w:val="none"/>
        </w:rPr>
        <w:t>万吨</w:t>
      </w:r>
    </w:p>
    <w:p>
      <w:pPr>
        <w:adjustRightInd w:val="0"/>
        <w:snapToGrid w:val="0"/>
        <w:ind w:firstLine="480"/>
        <w:rPr>
          <w:color w:val="auto"/>
          <w:highlight w:val="none"/>
        </w:rPr>
      </w:pPr>
      <w:r>
        <w:rPr>
          <w:rFonts w:hint="eastAsia"/>
          <w:color w:val="auto"/>
          <w:highlight w:val="none"/>
        </w:rPr>
        <w:t>开采方式：露天开采</w:t>
      </w:r>
      <w:r>
        <w:rPr>
          <w:rFonts w:hint="eastAsia"/>
          <w:color w:val="auto"/>
          <w:highlight w:val="none"/>
          <w:lang w:eastAsia="zh-CN"/>
        </w:rPr>
        <w:t>，从上往下分台阶（层）水平开采，总设计台阶（水平）为</w:t>
      </w:r>
      <w:r>
        <w:rPr>
          <w:rFonts w:hint="eastAsia"/>
          <w:color w:val="auto"/>
          <w:highlight w:val="none"/>
          <w:lang w:val="en-US" w:eastAsia="zh-CN"/>
        </w:rPr>
        <w:t>6台</w:t>
      </w:r>
      <w:r>
        <w:rPr>
          <w:rFonts w:hint="eastAsia"/>
          <w:color w:val="auto"/>
          <w:highlight w:val="none"/>
          <w:lang w:eastAsia="zh-CN"/>
        </w:rPr>
        <w:t>：</w:t>
      </w:r>
      <w:r>
        <w:rPr>
          <w:rFonts w:hint="eastAsia"/>
          <w:color w:val="auto"/>
          <w:highlight w:val="none"/>
          <w:lang w:val="en-US" w:eastAsia="zh-CN"/>
        </w:rPr>
        <w:t>1730</w:t>
      </w:r>
      <w:r>
        <w:rPr>
          <w:rFonts w:hint="eastAsia"/>
          <w:color w:val="auto"/>
          <w:highlight w:val="none"/>
          <w:lang w:eastAsia="zh-CN"/>
        </w:rPr>
        <w:t>m、1</w:t>
      </w:r>
      <w:r>
        <w:rPr>
          <w:rFonts w:hint="eastAsia"/>
          <w:color w:val="auto"/>
          <w:highlight w:val="none"/>
          <w:lang w:val="en-US" w:eastAsia="zh-CN"/>
        </w:rPr>
        <w:t>720</w:t>
      </w:r>
      <w:r>
        <w:rPr>
          <w:rFonts w:hint="eastAsia"/>
          <w:color w:val="auto"/>
          <w:highlight w:val="none"/>
          <w:lang w:eastAsia="zh-CN"/>
        </w:rPr>
        <w:t>m、1</w:t>
      </w:r>
      <w:r>
        <w:rPr>
          <w:rFonts w:hint="eastAsia"/>
          <w:color w:val="auto"/>
          <w:highlight w:val="none"/>
          <w:lang w:val="en-US" w:eastAsia="zh-CN"/>
        </w:rPr>
        <w:t>710</w:t>
      </w:r>
      <w:r>
        <w:rPr>
          <w:rFonts w:hint="eastAsia"/>
          <w:color w:val="auto"/>
          <w:highlight w:val="none"/>
          <w:lang w:eastAsia="zh-CN"/>
        </w:rPr>
        <w:t>m、1</w:t>
      </w:r>
      <w:r>
        <w:rPr>
          <w:rFonts w:hint="eastAsia"/>
          <w:color w:val="auto"/>
          <w:highlight w:val="none"/>
          <w:lang w:val="en-US" w:eastAsia="zh-CN"/>
        </w:rPr>
        <w:t>700</w:t>
      </w:r>
      <w:r>
        <w:rPr>
          <w:rFonts w:hint="eastAsia"/>
          <w:color w:val="auto"/>
          <w:highlight w:val="none"/>
          <w:lang w:eastAsia="zh-CN"/>
        </w:rPr>
        <w:t>m、</w:t>
      </w:r>
      <w:r>
        <w:rPr>
          <w:rFonts w:hint="eastAsia"/>
          <w:color w:val="auto"/>
          <w:highlight w:val="none"/>
          <w:lang w:val="en-US" w:eastAsia="zh-CN"/>
        </w:rPr>
        <w:t>1690</w:t>
      </w:r>
      <w:r>
        <w:rPr>
          <w:rFonts w:hint="eastAsia"/>
          <w:color w:val="auto"/>
          <w:highlight w:val="none"/>
          <w:lang w:eastAsia="zh-CN"/>
        </w:rPr>
        <w:t>m、</w:t>
      </w:r>
      <w:r>
        <w:rPr>
          <w:rFonts w:hint="eastAsia"/>
          <w:color w:val="auto"/>
          <w:highlight w:val="none"/>
          <w:lang w:val="en-US" w:eastAsia="zh-CN"/>
        </w:rPr>
        <w:t>1680</w:t>
      </w:r>
      <w:r>
        <w:rPr>
          <w:rFonts w:hint="eastAsia"/>
          <w:color w:val="auto"/>
          <w:highlight w:val="none"/>
          <w:lang w:eastAsia="zh-CN"/>
        </w:rPr>
        <w:t>m。</w:t>
      </w:r>
    </w:p>
    <w:p>
      <w:pPr>
        <w:autoSpaceDE w:val="0"/>
        <w:autoSpaceDN w:val="0"/>
        <w:adjustRightInd w:val="0"/>
        <w:ind w:firstLine="480"/>
        <w:rPr>
          <w:highlight w:val="none"/>
        </w:rPr>
      </w:pPr>
      <w:r>
        <w:rPr>
          <w:rFonts w:hint="eastAsia"/>
          <w:highlight w:val="none"/>
        </w:rPr>
        <w:t>产品方案：矿石产品为</w:t>
      </w:r>
      <w:r>
        <w:rPr>
          <w:rFonts w:hint="eastAsia"/>
          <w:highlight w:val="none"/>
          <w:lang w:eastAsia="zh-CN"/>
        </w:rPr>
        <w:t>公分石（粒级为Ф</w:t>
      </w:r>
      <w:r>
        <w:rPr>
          <w:rFonts w:hint="eastAsia"/>
          <w:highlight w:val="none"/>
          <w:lang w:val="en-US" w:eastAsia="zh-CN"/>
        </w:rPr>
        <w:t>15-30mm</w:t>
      </w:r>
      <w:r>
        <w:rPr>
          <w:rFonts w:hint="eastAsia"/>
          <w:highlight w:val="none"/>
          <w:lang w:eastAsia="zh-CN"/>
        </w:rPr>
        <w:t>）、细砂（粒级为Ф</w:t>
      </w:r>
      <w:r>
        <w:rPr>
          <w:rFonts w:hint="eastAsia"/>
          <w:highlight w:val="none"/>
          <w:lang w:val="en-US" w:eastAsia="zh-CN"/>
        </w:rPr>
        <w:t>0-15mm</w:t>
      </w:r>
      <w:r>
        <w:rPr>
          <w:rFonts w:hint="eastAsia"/>
          <w:highlight w:val="none"/>
          <w:lang w:eastAsia="zh-CN"/>
        </w:rPr>
        <w:t>）</w:t>
      </w:r>
      <w:r>
        <w:rPr>
          <w:rFonts w:hint="eastAsia"/>
          <w:highlight w:val="none"/>
        </w:rPr>
        <w:t>。</w:t>
      </w:r>
    </w:p>
    <w:p>
      <w:pPr>
        <w:pStyle w:val="17"/>
        <w:ind w:firstLine="480"/>
        <w:rPr>
          <w:rFonts w:ascii="Times New Roman" w:hAnsi="Times New Roman"/>
          <w:highlight w:val="none"/>
        </w:rPr>
      </w:pPr>
      <w:r>
        <w:rPr>
          <w:rFonts w:ascii="Times New Roman" w:hAnsi="Times New Roman"/>
          <w:highlight w:val="none"/>
        </w:rPr>
        <w:t>总投资：</w:t>
      </w:r>
      <w:r>
        <w:rPr>
          <w:rFonts w:hint="eastAsia" w:ascii="Times New Roman" w:hAnsi="Times New Roman"/>
          <w:highlight w:val="none"/>
          <w:lang w:val="en-US" w:eastAsia="zh-CN"/>
        </w:rPr>
        <w:t>568</w:t>
      </w:r>
      <w:r>
        <w:rPr>
          <w:rFonts w:ascii="Times New Roman" w:hAnsi="Times New Roman"/>
          <w:highlight w:val="none"/>
        </w:rPr>
        <w:t>万元</w:t>
      </w:r>
    </w:p>
    <w:p>
      <w:pPr>
        <w:pStyle w:val="17"/>
        <w:ind w:firstLine="480"/>
        <w:rPr>
          <w:rFonts w:ascii="Times New Roman" w:hAnsi="Times New Roman"/>
          <w:highlight w:val="none"/>
        </w:rPr>
      </w:pPr>
      <w:r>
        <w:rPr>
          <w:rFonts w:ascii="Times New Roman" w:hAnsi="Times New Roman"/>
          <w:highlight w:val="none"/>
        </w:rPr>
        <w:t>服务年限：</w:t>
      </w:r>
      <w:r>
        <w:rPr>
          <w:rFonts w:hint="eastAsia" w:ascii="Times New Roman" w:hAnsi="Times New Roman"/>
          <w:highlight w:val="none"/>
          <w:lang w:val="en-US" w:eastAsia="zh-CN"/>
        </w:rPr>
        <w:t>6.8</w:t>
      </w:r>
      <w:r>
        <w:rPr>
          <w:rFonts w:ascii="Times New Roman" w:hAnsi="Times New Roman"/>
          <w:highlight w:val="none"/>
        </w:rPr>
        <w:t>年</w:t>
      </w:r>
    </w:p>
    <w:p>
      <w:pPr>
        <w:pStyle w:val="5"/>
        <w:adjustRightInd w:val="0"/>
        <w:snapToGrid w:val="0"/>
        <w:rPr>
          <w:rFonts w:hint="default"/>
          <w:highlight w:val="none"/>
        </w:rPr>
      </w:pPr>
      <w:bookmarkStart w:id="307" w:name="_Toc5658"/>
      <w:r>
        <w:rPr>
          <w:rFonts w:hint="eastAsia"/>
          <w:highlight w:val="none"/>
          <w:lang w:val="en-US" w:eastAsia="zh-CN"/>
        </w:rPr>
        <w:t>2</w:t>
      </w:r>
      <w:r>
        <w:rPr>
          <w:highlight w:val="none"/>
        </w:rPr>
        <w:t>.1.2建设内容</w:t>
      </w:r>
      <w:bookmarkEnd w:id="307"/>
    </w:p>
    <w:p>
      <w:pPr>
        <w:ind w:firstLine="480"/>
        <w:rPr>
          <w:highlight w:val="none"/>
        </w:rPr>
      </w:pPr>
      <w:r>
        <w:rPr>
          <w:rFonts w:hint="eastAsia"/>
          <w:highlight w:val="none"/>
        </w:rPr>
        <w:t>项目建设内容包括主体工程、</w:t>
      </w:r>
      <w:r>
        <w:rPr>
          <w:rFonts w:hint="eastAsia"/>
          <w:highlight w:val="none"/>
          <w:lang w:eastAsia="zh-CN"/>
        </w:rPr>
        <w:t>配套</w:t>
      </w:r>
      <w:r>
        <w:rPr>
          <w:rFonts w:hint="eastAsia"/>
          <w:highlight w:val="none"/>
        </w:rPr>
        <w:t>工程、环保工程、公用工程。本项目工程内容见下表：</w:t>
      </w:r>
    </w:p>
    <w:p>
      <w:pPr>
        <w:ind w:firstLine="422"/>
        <w:jc w:val="center"/>
        <w:rPr>
          <w:highlight w:val="none"/>
        </w:rPr>
      </w:pPr>
      <w:r>
        <w:rPr>
          <w:b/>
          <w:sz w:val="21"/>
          <w:szCs w:val="21"/>
          <w:highlight w:val="none"/>
        </w:rPr>
        <w:t>表</w:t>
      </w:r>
      <w:r>
        <w:rPr>
          <w:rFonts w:hint="eastAsia"/>
          <w:b/>
          <w:sz w:val="21"/>
          <w:szCs w:val="21"/>
          <w:highlight w:val="none"/>
          <w:lang w:val="en-US" w:eastAsia="zh-CN"/>
        </w:rPr>
        <w:t>2</w:t>
      </w:r>
      <w:r>
        <w:rPr>
          <w:b/>
          <w:sz w:val="21"/>
          <w:szCs w:val="21"/>
          <w:highlight w:val="none"/>
        </w:rPr>
        <w:t>-1    项目建设内容一览表</w:t>
      </w:r>
    </w:p>
    <w:tbl>
      <w:tblPr>
        <w:tblStyle w:val="29"/>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2"/>
        <w:gridCol w:w="425"/>
        <w:gridCol w:w="880"/>
        <w:gridCol w:w="5285"/>
        <w:gridCol w:w="1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727" w:type="dxa"/>
            <w:gridSpan w:val="3"/>
            <w:shd w:val="clear" w:color="auto" w:fill="auto"/>
            <w:vAlign w:val="center"/>
          </w:tcPr>
          <w:p>
            <w:pPr>
              <w:ind w:firstLine="0" w:firstLineChars="0"/>
              <w:jc w:val="center"/>
              <w:rPr>
                <w:rFonts w:hint="eastAsia" w:eastAsia="宋体"/>
                <w:b/>
                <w:bCs/>
                <w:sz w:val="21"/>
                <w:szCs w:val="21"/>
                <w:highlight w:val="none"/>
                <w:lang w:val="en-US" w:eastAsia="zh-CN"/>
              </w:rPr>
            </w:pPr>
            <w:r>
              <w:rPr>
                <w:rFonts w:hint="eastAsia"/>
                <w:b/>
                <w:bCs/>
                <w:sz w:val="21"/>
                <w:szCs w:val="21"/>
                <w:highlight w:val="none"/>
                <w:lang w:val="en-US" w:eastAsia="zh-CN"/>
              </w:rPr>
              <w:t>工程内容</w:t>
            </w:r>
          </w:p>
        </w:tc>
        <w:tc>
          <w:tcPr>
            <w:tcW w:w="5285" w:type="dxa"/>
            <w:shd w:val="clear" w:color="auto" w:fill="auto"/>
            <w:vAlign w:val="center"/>
          </w:tcPr>
          <w:p>
            <w:pPr>
              <w:ind w:firstLine="0" w:firstLineChars="0"/>
              <w:jc w:val="center"/>
              <w:rPr>
                <w:rFonts w:hint="eastAsia" w:eastAsia="宋体"/>
                <w:b/>
                <w:bCs/>
                <w:sz w:val="21"/>
                <w:szCs w:val="21"/>
                <w:highlight w:val="none"/>
                <w:lang w:eastAsia="zh-CN"/>
              </w:rPr>
            </w:pPr>
            <w:r>
              <w:rPr>
                <w:rFonts w:hint="eastAsia"/>
                <w:b/>
                <w:bCs/>
                <w:sz w:val="21"/>
                <w:szCs w:val="21"/>
                <w:highlight w:val="none"/>
                <w:lang w:eastAsia="zh-CN"/>
              </w:rPr>
              <w:t>建筑内容及规模</w:t>
            </w:r>
          </w:p>
        </w:tc>
        <w:tc>
          <w:tcPr>
            <w:tcW w:w="1988" w:type="dxa"/>
            <w:shd w:val="clear" w:color="auto" w:fill="auto"/>
            <w:vAlign w:val="center"/>
          </w:tcPr>
          <w:p>
            <w:pPr>
              <w:ind w:firstLine="0" w:firstLineChars="0"/>
              <w:jc w:val="center"/>
              <w:rPr>
                <w:b/>
                <w:bCs/>
                <w:sz w:val="21"/>
                <w:szCs w:val="21"/>
                <w:highlight w:val="none"/>
              </w:rPr>
            </w:pPr>
            <w:r>
              <w:rPr>
                <w:rFonts w:hint="eastAsia"/>
                <w:b/>
                <w:bCs/>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422" w:type="dxa"/>
            <w:vMerge w:val="restart"/>
            <w:vAlign w:val="center"/>
          </w:tcPr>
          <w:p>
            <w:pPr>
              <w:ind w:firstLine="0" w:firstLineChars="0"/>
              <w:jc w:val="center"/>
              <w:rPr>
                <w:sz w:val="21"/>
                <w:szCs w:val="21"/>
                <w:highlight w:val="none"/>
              </w:rPr>
            </w:pPr>
            <w:r>
              <w:rPr>
                <w:sz w:val="21"/>
                <w:szCs w:val="21"/>
                <w:highlight w:val="none"/>
              </w:rPr>
              <w:t>主体</w:t>
            </w:r>
          </w:p>
          <w:p>
            <w:pPr>
              <w:ind w:firstLine="0" w:firstLineChars="0"/>
              <w:jc w:val="center"/>
              <w:rPr>
                <w:sz w:val="21"/>
                <w:szCs w:val="21"/>
                <w:highlight w:val="none"/>
              </w:rPr>
            </w:pPr>
            <w:r>
              <w:rPr>
                <w:sz w:val="21"/>
                <w:szCs w:val="21"/>
                <w:highlight w:val="none"/>
              </w:rPr>
              <w:t>工程</w:t>
            </w:r>
          </w:p>
        </w:tc>
        <w:tc>
          <w:tcPr>
            <w:tcW w:w="1305" w:type="dxa"/>
            <w:gridSpan w:val="2"/>
            <w:vAlign w:val="center"/>
          </w:tcPr>
          <w:p>
            <w:pPr>
              <w:ind w:firstLine="0" w:firstLineChars="0"/>
              <w:jc w:val="center"/>
              <w:rPr>
                <w:sz w:val="21"/>
                <w:szCs w:val="21"/>
                <w:highlight w:val="none"/>
              </w:rPr>
            </w:pPr>
            <w:r>
              <w:rPr>
                <w:rFonts w:hint="eastAsia"/>
                <w:sz w:val="21"/>
                <w:szCs w:val="21"/>
                <w:highlight w:val="none"/>
              </w:rPr>
              <w:t>开采区</w:t>
            </w:r>
          </w:p>
        </w:tc>
        <w:tc>
          <w:tcPr>
            <w:tcW w:w="5285" w:type="dxa"/>
            <w:vAlign w:val="center"/>
          </w:tcPr>
          <w:p>
            <w:pPr>
              <w:ind w:firstLine="420"/>
              <w:rPr>
                <w:rFonts w:hint="eastAsia" w:eastAsia="宋体"/>
                <w:sz w:val="21"/>
                <w:szCs w:val="21"/>
                <w:highlight w:val="none"/>
                <w:lang w:eastAsia="zh-CN"/>
              </w:rPr>
            </w:pPr>
            <w:r>
              <w:rPr>
                <w:rFonts w:hint="eastAsia"/>
                <w:color w:val="auto"/>
                <w:sz w:val="21"/>
                <w:szCs w:val="21"/>
                <w:highlight w:val="none"/>
                <w:lang w:eastAsia="zh-CN"/>
              </w:rPr>
              <w:t>卡子凹塘</w:t>
            </w:r>
            <w:r>
              <w:rPr>
                <w:rFonts w:hint="eastAsia"/>
                <w:color w:val="auto"/>
                <w:sz w:val="21"/>
                <w:szCs w:val="21"/>
                <w:highlight w:val="none"/>
              </w:rPr>
              <w:t>石灰岩矿矿区范围面积为</w:t>
            </w:r>
            <w:r>
              <w:rPr>
                <w:rFonts w:hint="eastAsia"/>
                <w:color w:val="auto"/>
                <w:sz w:val="21"/>
                <w:szCs w:val="21"/>
                <w:highlight w:val="none"/>
                <w:lang w:val="en-US" w:eastAsia="zh-CN"/>
              </w:rPr>
              <w:t>0.095</w:t>
            </w:r>
            <w:r>
              <w:rPr>
                <w:rFonts w:hint="eastAsia"/>
                <w:color w:val="auto"/>
                <w:sz w:val="21"/>
                <w:szCs w:val="21"/>
                <w:highlight w:val="none"/>
              </w:rPr>
              <w:t>km</w:t>
            </w:r>
            <w:r>
              <w:rPr>
                <w:rFonts w:hint="eastAsia"/>
                <w:color w:val="auto"/>
                <w:sz w:val="21"/>
                <w:szCs w:val="21"/>
                <w:highlight w:val="none"/>
                <w:vertAlign w:val="superscript"/>
              </w:rPr>
              <w:t>2</w:t>
            </w:r>
            <w:r>
              <w:rPr>
                <w:rFonts w:hint="eastAsia"/>
                <w:color w:val="auto"/>
                <w:sz w:val="21"/>
                <w:szCs w:val="21"/>
                <w:highlight w:val="none"/>
              </w:rPr>
              <w:t>，开采深度+</w:t>
            </w:r>
            <w:r>
              <w:rPr>
                <w:rFonts w:hint="eastAsia"/>
                <w:color w:val="auto"/>
                <w:sz w:val="21"/>
                <w:szCs w:val="21"/>
                <w:highlight w:val="none"/>
                <w:lang w:val="en-US" w:eastAsia="zh-CN"/>
              </w:rPr>
              <w:t>1746</w:t>
            </w:r>
            <w:r>
              <w:rPr>
                <w:rFonts w:hint="eastAsia"/>
                <w:color w:val="auto"/>
                <w:sz w:val="21"/>
                <w:szCs w:val="21"/>
                <w:highlight w:val="none"/>
              </w:rPr>
              <w:t>—+</w:t>
            </w:r>
            <w:r>
              <w:rPr>
                <w:rFonts w:hint="eastAsia"/>
                <w:color w:val="auto"/>
                <w:sz w:val="21"/>
                <w:szCs w:val="21"/>
                <w:highlight w:val="none"/>
                <w:lang w:val="en-US" w:eastAsia="zh-CN"/>
              </w:rPr>
              <w:t>1680</w:t>
            </w:r>
            <w:r>
              <w:rPr>
                <w:rFonts w:hint="eastAsia"/>
                <w:color w:val="auto"/>
                <w:sz w:val="21"/>
                <w:szCs w:val="21"/>
                <w:highlight w:val="none"/>
              </w:rPr>
              <w:t>m，矿区范围由</w:t>
            </w:r>
            <w:r>
              <w:rPr>
                <w:rFonts w:hint="eastAsia"/>
                <w:color w:val="auto"/>
                <w:sz w:val="21"/>
                <w:szCs w:val="21"/>
                <w:highlight w:val="none"/>
                <w:lang w:val="en-US" w:eastAsia="zh-CN"/>
              </w:rPr>
              <w:t>9</w:t>
            </w:r>
            <w:r>
              <w:rPr>
                <w:rFonts w:hint="eastAsia"/>
                <w:color w:val="auto"/>
                <w:sz w:val="21"/>
                <w:szCs w:val="21"/>
                <w:highlight w:val="none"/>
              </w:rPr>
              <w:t>个拐点圈定，</w:t>
            </w:r>
            <w:r>
              <w:rPr>
                <w:rStyle w:val="38"/>
                <w:rFonts w:hint="eastAsia"/>
                <w:color w:val="auto"/>
                <w:highlight w:val="none"/>
                <w:lang w:eastAsia="zh-CN"/>
              </w:rPr>
              <w:t>总设计台阶（水平）为：1730m、1720m、1710m、1700m、1690m、1680m，开采顺序为由高至低逐台阶开采，台阶高度</w:t>
            </w:r>
            <w:r>
              <w:rPr>
                <w:rStyle w:val="38"/>
                <w:rFonts w:hint="eastAsia"/>
                <w:color w:val="auto"/>
                <w:highlight w:val="none"/>
                <w:lang w:val="en-US" w:eastAsia="zh-CN"/>
              </w:rPr>
              <w:t>10</w:t>
            </w:r>
            <w:r>
              <w:rPr>
                <w:rStyle w:val="38"/>
                <w:rFonts w:hint="eastAsia"/>
                <w:color w:val="auto"/>
                <w:highlight w:val="none"/>
                <w:lang w:eastAsia="zh-CN"/>
              </w:rPr>
              <w:t>m，安全平台宽</w:t>
            </w:r>
            <w:r>
              <w:rPr>
                <w:rStyle w:val="38"/>
                <w:rFonts w:hint="eastAsia"/>
                <w:color w:val="auto"/>
                <w:highlight w:val="none"/>
                <w:lang w:val="en-US" w:eastAsia="zh-CN"/>
              </w:rPr>
              <w:t>3</w:t>
            </w:r>
            <w:r>
              <w:rPr>
                <w:rStyle w:val="38"/>
                <w:rFonts w:hint="eastAsia"/>
                <w:color w:val="auto"/>
                <w:highlight w:val="none"/>
                <w:lang w:eastAsia="zh-CN"/>
              </w:rPr>
              <w:t>m，清扫平台宽</w:t>
            </w:r>
            <w:r>
              <w:rPr>
                <w:rStyle w:val="38"/>
                <w:rFonts w:hint="eastAsia"/>
                <w:color w:val="auto"/>
                <w:highlight w:val="none"/>
                <w:lang w:val="en-US" w:eastAsia="zh-CN"/>
              </w:rPr>
              <w:t>4</w:t>
            </w:r>
            <w:r>
              <w:rPr>
                <w:rStyle w:val="38"/>
                <w:rFonts w:hint="eastAsia"/>
                <w:color w:val="auto"/>
                <w:highlight w:val="none"/>
                <w:lang w:eastAsia="zh-CN"/>
              </w:rPr>
              <w:t>m，2个安全平台和1个清扫平台间隔设置</w:t>
            </w:r>
          </w:p>
        </w:tc>
        <w:tc>
          <w:tcPr>
            <w:tcW w:w="1988" w:type="dxa"/>
            <w:vAlign w:val="center"/>
          </w:tcPr>
          <w:p>
            <w:pPr>
              <w:ind w:firstLine="0" w:firstLineChars="0"/>
              <w:jc w:val="center"/>
              <w:rPr>
                <w:rFonts w:hint="eastAsia" w:eastAsia="宋体"/>
                <w:sz w:val="21"/>
                <w:szCs w:val="21"/>
                <w:highlight w:val="none"/>
                <w:lang w:eastAsia="zh-CN"/>
              </w:rPr>
            </w:pPr>
            <w:r>
              <w:rPr>
                <w:rFonts w:hint="eastAsia"/>
                <w:sz w:val="21"/>
                <w:szCs w:val="21"/>
                <w:highlight w:val="none"/>
              </w:rPr>
              <w:t>开采境界范围与</w:t>
            </w:r>
            <w:r>
              <w:rPr>
                <w:rFonts w:hint="eastAsia"/>
                <w:sz w:val="21"/>
                <w:szCs w:val="21"/>
                <w:highlight w:val="none"/>
                <w:lang w:eastAsia="zh-CN"/>
              </w:rPr>
              <w:t>原采矿许可证开采境界相比增大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422" w:type="dxa"/>
            <w:vMerge w:val="continue"/>
            <w:vAlign w:val="center"/>
          </w:tcPr>
          <w:p>
            <w:pPr>
              <w:ind w:firstLine="0" w:firstLineChars="0"/>
              <w:jc w:val="center"/>
              <w:rPr>
                <w:sz w:val="21"/>
                <w:szCs w:val="21"/>
                <w:highlight w:val="none"/>
              </w:rPr>
            </w:pPr>
          </w:p>
        </w:tc>
        <w:tc>
          <w:tcPr>
            <w:tcW w:w="425" w:type="dxa"/>
            <w:vMerge w:val="restart"/>
            <w:vAlign w:val="center"/>
          </w:tcPr>
          <w:p>
            <w:pPr>
              <w:ind w:firstLine="0" w:firstLineChars="0"/>
              <w:jc w:val="center"/>
              <w:rPr>
                <w:sz w:val="21"/>
                <w:szCs w:val="21"/>
                <w:highlight w:val="none"/>
              </w:rPr>
            </w:pPr>
            <w:r>
              <w:rPr>
                <w:rFonts w:hint="eastAsia"/>
                <w:sz w:val="21"/>
                <w:szCs w:val="21"/>
                <w:highlight w:val="none"/>
              </w:rPr>
              <w:t>工业场地</w:t>
            </w:r>
          </w:p>
        </w:tc>
        <w:tc>
          <w:tcPr>
            <w:tcW w:w="880" w:type="dxa"/>
            <w:vAlign w:val="center"/>
          </w:tcPr>
          <w:p>
            <w:pPr>
              <w:ind w:firstLine="0" w:firstLineChars="0"/>
              <w:jc w:val="center"/>
              <w:rPr>
                <w:rFonts w:hint="eastAsia"/>
                <w:sz w:val="21"/>
                <w:szCs w:val="21"/>
                <w:highlight w:val="none"/>
              </w:rPr>
            </w:pPr>
            <w:r>
              <w:rPr>
                <w:rFonts w:hint="eastAsia"/>
                <w:sz w:val="21"/>
                <w:szCs w:val="21"/>
                <w:highlight w:val="none"/>
              </w:rPr>
              <w:t>原 料 堆场</w:t>
            </w:r>
          </w:p>
        </w:tc>
        <w:tc>
          <w:tcPr>
            <w:tcW w:w="5285" w:type="dxa"/>
            <w:vAlign w:val="center"/>
          </w:tcPr>
          <w:p>
            <w:pPr>
              <w:ind w:firstLine="0" w:firstLineChars="0"/>
              <w:jc w:val="both"/>
              <w:rPr>
                <w:rFonts w:hint="eastAsia" w:eastAsia="宋体"/>
                <w:sz w:val="21"/>
                <w:szCs w:val="21"/>
                <w:highlight w:val="none"/>
                <w:lang w:eastAsia="zh-CN"/>
              </w:rPr>
            </w:pPr>
            <w:r>
              <w:rPr>
                <w:rFonts w:hint="eastAsia"/>
                <w:sz w:val="21"/>
                <w:szCs w:val="21"/>
                <w:highlight w:val="none"/>
              </w:rPr>
              <w:t>项目在加工生产区东北侧设置原料堆场，用于暂存采场开采的矿石，根据项目设备需求，来料粒径需≤900mm；原料堆场面积为</w:t>
            </w:r>
            <w:r>
              <w:rPr>
                <w:rFonts w:hint="eastAsia"/>
                <w:sz w:val="21"/>
                <w:szCs w:val="21"/>
                <w:highlight w:val="none"/>
                <w:lang w:val="en-US" w:eastAsia="zh-CN"/>
              </w:rPr>
              <w:t>24</w:t>
            </w:r>
            <w:r>
              <w:rPr>
                <w:rFonts w:hint="eastAsia"/>
                <w:sz w:val="21"/>
                <w:szCs w:val="21"/>
                <w:highlight w:val="none"/>
              </w:rPr>
              <w:t>00m²（40m×60m），</w:t>
            </w:r>
            <w:r>
              <w:rPr>
                <w:rFonts w:hint="eastAsia"/>
                <w:sz w:val="21"/>
                <w:szCs w:val="21"/>
                <w:highlight w:val="yellow"/>
              </w:rPr>
              <w:t>设置三面围挡，并设置顶棚</w:t>
            </w:r>
            <w:r>
              <w:rPr>
                <w:rFonts w:hint="eastAsia"/>
                <w:sz w:val="21"/>
                <w:szCs w:val="21"/>
                <w:highlight w:val="none"/>
                <w:lang w:eastAsia="zh-CN"/>
              </w:rPr>
              <w:t>。</w:t>
            </w:r>
          </w:p>
        </w:tc>
        <w:tc>
          <w:tcPr>
            <w:tcW w:w="1988" w:type="dxa"/>
            <w:vMerge w:val="restart"/>
            <w:vAlign w:val="center"/>
          </w:tcPr>
          <w:p>
            <w:pPr>
              <w:ind w:firstLine="0" w:firstLineChars="0"/>
              <w:jc w:val="center"/>
              <w:rPr>
                <w:rFonts w:hint="eastAsia" w:eastAsia="宋体"/>
                <w:sz w:val="21"/>
                <w:szCs w:val="21"/>
                <w:highlight w:val="none"/>
                <w:lang w:eastAsia="zh-CN"/>
              </w:rPr>
            </w:pPr>
            <w:r>
              <w:rPr>
                <w:rFonts w:hint="eastAsia"/>
                <w:sz w:val="21"/>
                <w:szCs w:val="21"/>
                <w:highlight w:val="none"/>
                <w:lang w:eastAsia="zh-CN"/>
              </w:rPr>
              <w:t>新建，项目生产加工区位于矿区中部偏南区域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422" w:type="dxa"/>
            <w:vMerge w:val="continue"/>
            <w:vAlign w:val="center"/>
          </w:tcPr>
          <w:p>
            <w:pPr>
              <w:ind w:firstLine="0" w:firstLineChars="0"/>
              <w:jc w:val="center"/>
              <w:rPr>
                <w:sz w:val="21"/>
                <w:szCs w:val="21"/>
                <w:highlight w:val="none"/>
              </w:rPr>
            </w:pPr>
          </w:p>
        </w:tc>
        <w:tc>
          <w:tcPr>
            <w:tcW w:w="425" w:type="dxa"/>
            <w:vMerge w:val="continue"/>
            <w:vAlign w:val="center"/>
          </w:tcPr>
          <w:p>
            <w:pPr>
              <w:ind w:firstLine="0" w:firstLineChars="0"/>
              <w:jc w:val="center"/>
              <w:rPr>
                <w:rFonts w:hint="eastAsia"/>
                <w:sz w:val="21"/>
                <w:szCs w:val="21"/>
                <w:highlight w:val="none"/>
              </w:rPr>
            </w:pPr>
          </w:p>
        </w:tc>
        <w:tc>
          <w:tcPr>
            <w:tcW w:w="880" w:type="dxa"/>
            <w:vAlign w:val="center"/>
          </w:tcPr>
          <w:p>
            <w:pPr>
              <w:ind w:firstLine="0" w:firstLineChars="0"/>
              <w:jc w:val="center"/>
              <w:rPr>
                <w:rFonts w:hint="eastAsia"/>
                <w:sz w:val="21"/>
                <w:szCs w:val="21"/>
                <w:highlight w:val="none"/>
              </w:rPr>
            </w:pPr>
            <w:r>
              <w:rPr>
                <w:rFonts w:hint="eastAsia"/>
                <w:sz w:val="21"/>
                <w:szCs w:val="21"/>
                <w:highlight w:val="none"/>
              </w:rPr>
              <w:t>破碎筛分车间</w:t>
            </w:r>
          </w:p>
        </w:tc>
        <w:tc>
          <w:tcPr>
            <w:tcW w:w="5285" w:type="dxa"/>
            <w:vAlign w:val="center"/>
          </w:tcPr>
          <w:p>
            <w:pPr>
              <w:ind w:firstLine="0" w:firstLineChars="0"/>
              <w:jc w:val="both"/>
              <w:rPr>
                <w:rFonts w:hint="eastAsia" w:eastAsia="宋体"/>
                <w:color w:val="auto"/>
                <w:sz w:val="21"/>
                <w:szCs w:val="21"/>
                <w:highlight w:val="none"/>
                <w:lang w:eastAsia="zh-CN"/>
              </w:rPr>
            </w:pPr>
            <w:r>
              <w:rPr>
                <w:rFonts w:hint="eastAsia"/>
                <w:color w:val="auto"/>
                <w:sz w:val="21"/>
                <w:szCs w:val="21"/>
                <w:highlight w:val="none"/>
              </w:rPr>
              <w:t xml:space="preserve">项目破碎筛分车间（1F，钢架结构，全封闭，层高8m），建筑面积为 </w:t>
            </w:r>
            <w:r>
              <w:rPr>
                <w:rFonts w:hint="eastAsia"/>
                <w:color w:val="auto"/>
                <w:sz w:val="21"/>
                <w:szCs w:val="21"/>
                <w:highlight w:val="none"/>
                <w:lang w:val="en-US" w:eastAsia="zh-CN"/>
              </w:rPr>
              <w:t>4000</w:t>
            </w:r>
            <w:r>
              <w:rPr>
                <w:rFonts w:hint="eastAsia"/>
                <w:color w:val="auto"/>
                <w:sz w:val="21"/>
                <w:szCs w:val="21"/>
                <w:highlight w:val="none"/>
              </w:rPr>
              <w:t>m²，车间内部按照生产工艺“粗碎—筛分—细碎—筛分”布设生产设备，</w:t>
            </w:r>
            <w:r>
              <w:rPr>
                <w:rFonts w:hint="eastAsia"/>
                <w:color w:val="auto"/>
                <w:sz w:val="21"/>
                <w:szCs w:val="21"/>
                <w:highlight w:val="yellow"/>
                <w:lang w:eastAsia="zh-CN"/>
              </w:rPr>
              <w:t>破碎进料口设置喷淋水管，进行湿式破碎</w:t>
            </w:r>
            <w:r>
              <w:rPr>
                <w:rFonts w:hint="eastAsia"/>
                <w:color w:val="auto"/>
                <w:sz w:val="21"/>
                <w:szCs w:val="21"/>
                <w:highlight w:val="none"/>
              </w:rPr>
              <w:t>，</w:t>
            </w:r>
            <w:r>
              <w:rPr>
                <w:rFonts w:hint="eastAsia"/>
                <w:color w:val="auto"/>
                <w:sz w:val="21"/>
                <w:szCs w:val="21"/>
                <w:highlight w:val="none"/>
                <w:lang w:eastAsia="zh-CN"/>
              </w:rPr>
              <w:t>破碎和筛分</w:t>
            </w:r>
            <w:r>
              <w:rPr>
                <w:rFonts w:hint="eastAsia"/>
                <w:color w:val="auto"/>
                <w:sz w:val="21"/>
                <w:szCs w:val="21"/>
                <w:highlight w:val="none"/>
              </w:rPr>
              <w:t>设备上方设置集气罩，经集气管道统一收集后采用布袋除尘器处理后经15m 高排气筒（内径 0.25m）排放</w:t>
            </w:r>
            <w:r>
              <w:rPr>
                <w:rFonts w:hint="eastAsia"/>
                <w:color w:val="auto"/>
                <w:sz w:val="21"/>
                <w:szCs w:val="21"/>
                <w:highlight w:val="none"/>
                <w:lang w:eastAsia="zh-CN"/>
              </w:rPr>
              <w:t>。</w:t>
            </w:r>
          </w:p>
        </w:tc>
        <w:tc>
          <w:tcPr>
            <w:tcW w:w="1988" w:type="dxa"/>
            <w:vMerge w:val="continue"/>
            <w:vAlign w:val="center"/>
          </w:tcPr>
          <w:p>
            <w:pPr>
              <w:ind w:firstLine="0" w:firstLineChars="0"/>
              <w:jc w:val="center"/>
              <w:rPr>
                <w:rFonts w:hint="eastAsia"/>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422" w:type="dxa"/>
            <w:vMerge w:val="continue"/>
            <w:vAlign w:val="center"/>
          </w:tcPr>
          <w:p>
            <w:pPr>
              <w:ind w:firstLine="0" w:firstLineChars="0"/>
              <w:jc w:val="center"/>
              <w:rPr>
                <w:sz w:val="21"/>
                <w:szCs w:val="21"/>
                <w:highlight w:val="none"/>
              </w:rPr>
            </w:pPr>
          </w:p>
        </w:tc>
        <w:tc>
          <w:tcPr>
            <w:tcW w:w="425" w:type="dxa"/>
            <w:vMerge w:val="continue"/>
            <w:vAlign w:val="center"/>
          </w:tcPr>
          <w:p>
            <w:pPr>
              <w:ind w:firstLine="0" w:firstLineChars="0"/>
              <w:jc w:val="center"/>
              <w:rPr>
                <w:rFonts w:hint="eastAsia"/>
                <w:sz w:val="21"/>
                <w:szCs w:val="21"/>
                <w:highlight w:val="none"/>
              </w:rPr>
            </w:pPr>
          </w:p>
        </w:tc>
        <w:tc>
          <w:tcPr>
            <w:tcW w:w="880" w:type="dxa"/>
            <w:vAlign w:val="center"/>
          </w:tcPr>
          <w:p>
            <w:pPr>
              <w:ind w:firstLine="0" w:firstLineChars="0"/>
              <w:jc w:val="center"/>
              <w:rPr>
                <w:rFonts w:hint="eastAsia"/>
                <w:sz w:val="21"/>
                <w:szCs w:val="21"/>
                <w:highlight w:val="none"/>
              </w:rPr>
            </w:pPr>
            <w:r>
              <w:rPr>
                <w:rFonts w:hint="eastAsia"/>
                <w:sz w:val="21"/>
                <w:szCs w:val="21"/>
                <w:highlight w:val="none"/>
              </w:rPr>
              <w:t>成品料仓</w:t>
            </w:r>
          </w:p>
        </w:tc>
        <w:tc>
          <w:tcPr>
            <w:tcW w:w="5285" w:type="dxa"/>
            <w:vAlign w:val="center"/>
          </w:tcPr>
          <w:p>
            <w:pPr>
              <w:ind w:firstLine="0" w:firstLineChars="0"/>
              <w:jc w:val="both"/>
              <w:rPr>
                <w:rFonts w:hint="eastAsia" w:eastAsia="宋体"/>
                <w:color w:val="auto"/>
                <w:sz w:val="21"/>
                <w:szCs w:val="21"/>
                <w:highlight w:val="none"/>
                <w:lang w:val="en-US" w:eastAsia="zh-CN"/>
              </w:rPr>
            </w:pPr>
            <w:r>
              <w:rPr>
                <w:rFonts w:hint="eastAsia"/>
                <w:color w:val="auto"/>
                <w:sz w:val="21"/>
                <w:szCs w:val="21"/>
                <w:highlight w:val="none"/>
              </w:rPr>
              <w:t>项目生产加工区</w:t>
            </w:r>
            <w:r>
              <w:rPr>
                <w:rFonts w:hint="eastAsia"/>
                <w:color w:val="auto"/>
                <w:sz w:val="21"/>
                <w:szCs w:val="21"/>
                <w:highlight w:val="none"/>
                <w:lang w:eastAsia="zh-CN"/>
              </w:rPr>
              <w:t>东</w:t>
            </w:r>
            <w:r>
              <w:rPr>
                <w:rFonts w:hint="eastAsia"/>
                <w:color w:val="auto"/>
                <w:sz w:val="21"/>
                <w:szCs w:val="21"/>
                <w:highlight w:val="none"/>
              </w:rPr>
              <w:t>侧设置了成品料仓，</w:t>
            </w:r>
            <w:r>
              <w:rPr>
                <w:rFonts w:hint="eastAsia"/>
                <w:color w:val="auto"/>
                <w:sz w:val="21"/>
                <w:szCs w:val="21"/>
                <w:highlight w:val="none"/>
                <w:lang w:eastAsia="zh-CN"/>
              </w:rPr>
              <w:t>料仓三面围挡，设置顶棚</w:t>
            </w:r>
            <w:r>
              <w:rPr>
                <w:rFonts w:hint="eastAsia"/>
                <w:color w:val="auto"/>
                <w:sz w:val="21"/>
                <w:szCs w:val="21"/>
                <w:highlight w:val="none"/>
              </w:rPr>
              <w:t>，根据项目产品方案，经筛分后的成品共含有</w:t>
            </w:r>
            <w:r>
              <w:rPr>
                <w:rFonts w:hint="eastAsia"/>
                <w:color w:val="auto"/>
                <w:sz w:val="21"/>
                <w:szCs w:val="21"/>
                <w:highlight w:val="none"/>
                <w:lang w:eastAsia="zh-CN"/>
              </w:rPr>
              <w:t>公分石</w:t>
            </w:r>
            <w:r>
              <w:rPr>
                <w:rFonts w:hint="eastAsia"/>
                <w:color w:val="auto"/>
                <w:sz w:val="21"/>
                <w:szCs w:val="21"/>
                <w:highlight w:val="none"/>
              </w:rPr>
              <w:t>、</w:t>
            </w:r>
            <w:r>
              <w:rPr>
                <w:rFonts w:hint="eastAsia"/>
                <w:color w:val="auto"/>
                <w:sz w:val="21"/>
                <w:szCs w:val="21"/>
                <w:highlight w:val="none"/>
                <w:lang w:eastAsia="zh-CN"/>
              </w:rPr>
              <w:t>细砂（</w:t>
            </w:r>
            <w:r>
              <w:rPr>
                <w:rFonts w:hint="eastAsia"/>
                <w:color w:val="auto"/>
                <w:sz w:val="21"/>
                <w:szCs w:val="21"/>
                <w:highlight w:val="none"/>
                <w:lang w:val="en-US" w:eastAsia="zh-CN"/>
              </w:rPr>
              <w:t>0</w:t>
            </w:r>
            <w:r>
              <w:rPr>
                <w:rFonts w:hint="eastAsia"/>
                <w:color w:val="auto"/>
                <w:sz w:val="21"/>
                <w:szCs w:val="21"/>
                <w:highlight w:val="none"/>
              </w:rPr>
              <w:t>-</w:t>
            </w:r>
            <w:r>
              <w:rPr>
                <w:rFonts w:hint="eastAsia"/>
                <w:color w:val="auto"/>
                <w:sz w:val="21"/>
                <w:szCs w:val="21"/>
                <w:highlight w:val="none"/>
                <w:lang w:val="en-US" w:eastAsia="zh-CN"/>
              </w:rPr>
              <w:t>5</w:t>
            </w:r>
            <w:r>
              <w:rPr>
                <w:rFonts w:hint="eastAsia"/>
                <w:color w:val="auto"/>
                <w:sz w:val="21"/>
                <w:szCs w:val="21"/>
                <w:highlight w:val="none"/>
              </w:rPr>
              <w:t>mm、</w:t>
            </w:r>
            <w:r>
              <w:rPr>
                <w:rFonts w:hint="eastAsia"/>
                <w:color w:val="auto"/>
                <w:sz w:val="21"/>
                <w:szCs w:val="21"/>
                <w:highlight w:val="none"/>
                <w:lang w:val="en-US" w:eastAsia="zh-CN"/>
              </w:rPr>
              <w:t>5</w:t>
            </w:r>
            <w:r>
              <w:rPr>
                <w:rFonts w:hint="eastAsia"/>
                <w:color w:val="auto"/>
                <w:sz w:val="21"/>
                <w:szCs w:val="21"/>
                <w:highlight w:val="none"/>
              </w:rPr>
              <w:t>-</w:t>
            </w:r>
            <w:r>
              <w:rPr>
                <w:rFonts w:hint="eastAsia"/>
                <w:color w:val="auto"/>
                <w:sz w:val="21"/>
                <w:szCs w:val="21"/>
                <w:highlight w:val="none"/>
                <w:lang w:val="en-US" w:eastAsia="zh-CN"/>
              </w:rPr>
              <w:t>10</w:t>
            </w:r>
            <w:r>
              <w:rPr>
                <w:rFonts w:hint="eastAsia"/>
                <w:color w:val="auto"/>
                <w:sz w:val="21"/>
                <w:szCs w:val="21"/>
                <w:highlight w:val="none"/>
              </w:rPr>
              <w:t>mm、</w:t>
            </w:r>
            <w:r>
              <w:rPr>
                <w:rFonts w:hint="eastAsia"/>
                <w:color w:val="auto"/>
                <w:sz w:val="21"/>
                <w:szCs w:val="21"/>
                <w:highlight w:val="none"/>
                <w:lang w:val="en-US" w:eastAsia="zh-CN"/>
              </w:rPr>
              <w:t>10</w:t>
            </w:r>
            <w:r>
              <w:rPr>
                <w:rFonts w:hint="eastAsia"/>
                <w:color w:val="auto"/>
                <w:sz w:val="21"/>
                <w:szCs w:val="21"/>
                <w:highlight w:val="none"/>
              </w:rPr>
              <w:t>-</w:t>
            </w:r>
            <w:r>
              <w:rPr>
                <w:rFonts w:hint="eastAsia"/>
                <w:color w:val="auto"/>
                <w:sz w:val="21"/>
                <w:szCs w:val="21"/>
                <w:highlight w:val="none"/>
                <w:lang w:val="en-US" w:eastAsia="zh-CN"/>
              </w:rPr>
              <w:t>15</w:t>
            </w:r>
            <w:r>
              <w:rPr>
                <w:rFonts w:hint="eastAsia"/>
                <w:color w:val="auto"/>
                <w:sz w:val="21"/>
                <w:szCs w:val="21"/>
                <w:highlight w:val="none"/>
              </w:rPr>
              <w:t xml:space="preserve">mm </w:t>
            </w:r>
            <w:r>
              <w:rPr>
                <w:rFonts w:hint="eastAsia"/>
                <w:color w:val="auto"/>
                <w:sz w:val="21"/>
                <w:szCs w:val="21"/>
                <w:highlight w:val="none"/>
                <w:lang w:eastAsia="zh-CN"/>
              </w:rPr>
              <w:t>）</w:t>
            </w:r>
            <w:r>
              <w:rPr>
                <w:rFonts w:hint="eastAsia"/>
                <w:color w:val="auto"/>
                <w:sz w:val="21"/>
                <w:szCs w:val="21"/>
                <w:highlight w:val="none"/>
                <w:lang w:val="en-US" w:eastAsia="zh-CN"/>
              </w:rPr>
              <w:t>4</w:t>
            </w:r>
            <w:r>
              <w:rPr>
                <w:rFonts w:hint="eastAsia"/>
                <w:color w:val="auto"/>
                <w:sz w:val="21"/>
                <w:szCs w:val="21"/>
                <w:highlight w:val="none"/>
              </w:rPr>
              <w:t>种规格，因此产品料仓共设</w:t>
            </w:r>
            <w:r>
              <w:rPr>
                <w:rFonts w:hint="eastAsia"/>
                <w:color w:val="auto"/>
                <w:sz w:val="21"/>
                <w:szCs w:val="21"/>
                <w:highlight w:val="none"/>
                <w:lang w:val="en-US" w:eastAsia="zh-CN"/>
              </w:rPr>
              <w:t>4</w:t>
            </w:r>
            <w:r>
              <w:rPr>
                <w:rFonts w:hint="eastAsia"/>
                <w:color w:val="auto"/>
                <w:sz w:val="21"/>
                <w:szCs w:val="21"/>
                <w:highlight w:val="none"/>
              </w:rPr>
              <w:t>个单独料仓，每个料仓的规格为</w:t>
            </w:r>
            <w:r>
              <w:rPr>
                <w:rFonts w:hint="eastAsia"/>
                <w:color w:val="auto"/>
                <w:sz w:val="21"/>
                <w:szCs w:val="21"/>
                <w:highlight w:val="none"/>
                <w:lang w:val="en-US" w:eastAsia="zh-CN"/>
              </w:rPr>
              <w:t>4</w:t>
            </w:r>
            <w:r>
              <w:rPr>
                <w:rFonts w:hint="eastAsia"/>
                <w:color w:val="auto"/>
                <w:sz w:val="21"/>
                <w:szCs w:val="21"/>
                <w:highlight w:val="none"/>
              </w:rPr>
              <w:t>00m²（</w:t>
            </w:r>
            <w:r>
              <w:rPr>
                <w:rFonts w:hint="eastAsia"/>
                <w:color w:val="auto"/>
                <w:sz w:val="21"/>
                <w:szCs w:val="21"/>
                <w:highlight w:val="none"/>
                <w:lang w:val="en-US" w:eastAsia="zh-CN"/>
              </w:rPr>
              <w:t>2</w:t>
            </w:r>
            <w:r>
              <w:rPr>
                <w:rFonts w:hint="eastAsia"/>
                <w:color w:val="auto"/>
                <w:sz w:val="21"/>
                <w:szCs w:val="21"/>
                <w:highlight w:val="none"/>
              </w:rPr>
              <w:t>0m×</w:t>
            </w:r>
            <w:r>
              <w:rPr>
                <w:rFonts w:hint="eastAsia"/>
                <w:color w:val="auto"/>
                <w:sz w:val="21"/>
                <w:szCs w:val="21"/>
                <w:highlight w:val="none"/>
                <w:lang w:val="en-US" w:eastAsia="zh-CN"/>
              </w:rPr>
              <w:t>2</w:t>
            </w:r>
            <w:r>
              <w:rPr>
                <w:rFonts w:hint="eastAsia"/>
                <w:color w:val="auto"/>
                <w:sz w:val="21"/>
                <w:szCs w:val="21"/>
                <w:highlight w:val="none"/>
              </w:rPr>
              <w:t xml:space="preserve">0m），合计成品料仓建筑面积为 </w:t>
            </w:r>
            <w:r>
              <w:rPr>
                <w:rFonts w:hint="eastAsia"/>
                <w:color w:val="auto"/>
                <w:sz w:val="21"/>
                <w:szCs w:val="21"/>
                <w:highlight w:val="none"/>
                <w:lang w:val="en-US" w:eastAsia="zh-CN"/>
              </w:rPr>
              <w:t>1600</w:t>
            </w:r>
            <w:r>
              <w:rPr>
                <w:rFonts w:hint="eastAsia"/>
                <w:color w:val="auto"/>
                <w:sz w:val="21"/>
                <w:szCs w:val="21"/>
                <w:highlight w:val="none"/>
              </w:rPr>
              <w:t>m²（</w:t>
            </w:r>
            <w:r>
              <w:rPr>
                <w:rFonts w:hint="eastAsia"/>
                <w:color w:val="auto"/>
                <w:sz w:val="21"/>
                <w:szCs w:val="21"/>
                <w:highlight w:val="none"/>
                <w:lang w:val="en-US" w:eastAsia="zh-CN"/>
              </w:rPr>
              <w:t>80</w:t>
            </w:r>
            <w:r>
              <w:rPr>
                <w:rFonts w:hint="eastAsia"/>
                <w:color w:val="auto"/>
                <w:sz w:val="21"/>
                <w:szCs w:val="21"/>
                <w:highlight w:val="none"/>
              </w:rPr>
              <w:t>m×</w:t>
            </w:r>
            <w:r>
              <w:rPr>
                <w:rFonts w:hint="eastAsia"/>
                <w:color w:val="auto"/>
                <w:sz w:val="21"/>
                <w:szCs w:val="21"/>
                <w:highlight w:val="none"/>
                <w:lang w:val="en-US" w:eastAsia="zh-CN"/>
              </w:rPr>
              <w:t>80</w:t>
            </w:r>
            <w:r>
              <w:rPr>
                <w:rFonts w:hint="eastAsia"/>
                <w:color w:val="auto"/>
                <w:sz w:val="21"/>
                <w:szCs w:val="21"/>
                <w:highlight w:val="none"/>
              </w:rPr>
              <w:t>m）</w:t>
            </w:r>
            <w:r>
              <w:rPr>
                <w:rFonts w:hint="eastAsia"/>
                <w:color w:val="auto"/>
                <w:sz w:val="21"/>
                <w:szCs w:val="21"/>
                <w:highlight w:val="none"/>
                <w:lang w:eastAsia="zh-CN"/>
              </w:rPr>
              <w:t>。</w:t>
            </w:r>
          </w:p>
        </w:tc>
        <w:tc>
          <w:tcPr>
            <w:tcW w:w="1988" w:type="dxa"/>
            <w:vMerge w:val="continue"/>
            <w:vAlign w:val="center"/>
          </w:tcPr>
          <w:p>
            <w:pPr>
              <w:ind w:firstLine="0" w:firstLineChars="0"/>
              <w:jc w:val="center"/>
              <w:rPr>
                <w:rFonts w:hint="eastAsia"/>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422" w:type="dxa"/>
            <w:vMerge w:val="continue"/>
            <w:vAlign w:val="center"/>
          </w:tcPr>
          <w:p>
            <w:pPr>
              <w:ind w:firstLine="0" w:firstLineChars="0"/>
              <w:jc w:val="center"/>
              <w:rPr>
                <w:sz w:val="21"/>
                <w:szCs w:val="21"/>
                <w:highlight w:val="none"/>
              </w:rPr>
            </w:pPr>
          </w:p>
        </w:tc>
        <w:tc>
          <w:tcPr>
            <w:tcW w:w="425" w:type="dxa"/>
            <w:vMerge w:val="continue"/>
            <w:vAlign w:val="center"/>
          </w:tcPr>
          <w:p>
            <w:pPr>
              <w:ind w:firstLine="0" w:firstLineChars="0"/>
              <w:jc w:val="center"/>
              <w:rPr>
                <w:rFonts w:hint="eastAsia"/>
                <w:sz w:val="21"/>
                <w:szCs w:val="21"/>
                <w:highlight w:val="none"/>
              </w:rPr>
            </w:pPr>
          </w:p>
        </w:tc>
        <w:tc>
          <w:tcPr>
            <w:tcW w:w="880" w:type="dxa"/>
            <w:vAlign w:val="center"/>
          </w:tcPr>
          <w:p>
            <w:pPr>
              <w:ind w:firstLine="0" w:firstLineChars="0"/>
              <w:jc w:val="center"/>
              <w:rPr>
                <w:rFonts w:hint="eastAsia"/>
                <w:sz w:val="21"/>
                <w:szCs w:val="21"/>
                <w:highlight w:val="none"/>
              </w:rPr>
            </w:pPr>
            <w:r>
              <w:rPr>
                <w:rFonts w:hint="eastAsia"/>
                <w:sz w:val="21"/>
                <w:szCs w:val="21"/>
                <w:highlight w:val="none"/>
              </w:rPr>
              <w:t>装车区（车间内）</w:t>
            </w:r>
          </w:p>
        </w:tc>
        <w:tc>
          <w:tcPr>
            <w:tcW w:w="5285" w:type="dxa"/>
            <w:vAlign w:val="center"/>
          </w:tcPr>
          <w:p>
            <w:pPr>
              <w:ind w:firstLine="0" w:firstLineChars="0"/>
              <w:jc w:val="both"/>
              <w:rPr>
                <w:rFonts w:hint="eastAsia" w:eastAsia="宋体"/>
                <w:color w:val="auto"/>
                <w:sz w:val="21"/>
                <w:szCs w:val="21"/>
                <w:highlight w:val="none"/>
                <w:lang w:eastAsia="zh-CN"/>
              </w:rPr>
            </w:pPr>
            <w:r>
              <w:rPr>
                <w:rFonts w:hint="eastAsia"/>
                <w:color w:val="auto"/>
                <w:sz w:val="21"/>
                <w:szCs w:val="21"/>
                <w:highlight w:val="none"/>
              </w:rPr>
              <w:t>项目每个料仓配套设置一条自动装车线；每条自动 装车线配套设置自动喷淋系统；自动装车后对装车区进行自动篷布覆盖</w:t>
            </w:r>
            <w:r>
              <w:rPr>
                <w:rFonts w:hint="eastAsia"/>
                <w:color w:val="auto"/>
                <w:sz w:val="21"/>
                <w:szCs w:val="21"/>
                <w:highlight w:val="none"/>
                <w:lang w:eastAsia="zh-CN"/>
              </w:rPr>
              <w:t>。</w:t>
            </w:r>
          </w:p>
        </w:tc>
        <w:tc>
          <w:tcPr>
            <w:tcW w:w="1988" w:type="dxa"/>
            <w:vMerge w:val="continue"/>
            <w:vAlign w:val="center"/>
          </w:tcPr>
          <w:p>
            <w:pPr>
              <w:ind w:firstLine="0" w:firstLineChars="0"/>
              <w:jc w:val="center"/>
              <w:rPr>
                <w:rFonts w:hint="eastAsia"/>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422" w:type="dxa"/>
            <w:vMerge w:val="continue"/>
            <w:vAlign w:val="center"/>
          </w:tcPr>
          <w:p>
            <w:pPr>
              <w:ind w:firstLine="0" w:firstLineChars="0"/>
              <w:jc w:val="center"/>
              <w:rPr>
                <w:sz w:val="21"/>
                <w:szCs w:val="21"/>
                <w:highlight w:val="none"/>
              </w:rPr>
            </w:pPr>
          </w:p>
        </w:tc>
        <w:tc>
          <w:tcPr>
            <w:tcW w:w="425" w:type="dxa"/>
            <w:vMerge w:val="continue"/>
            <w:vAlign w:val="center"/>
          </w:tcPr>
          <w:p>
            <w:pPr>
              <w:ind w:firstLine="0" w:firstLineChars="0"/>
              <w:jc w:val="center"/>
              <w:rPr>
                <w:rFonts w:hint="eastAsia"/>
                <w:sz w:val="21"/>
                <w:szCs w:val="21"/>
                <w:highlight w:val="none"/>
              </w:rPr>
            </w:pPr>
          </w:p>
        </w:tc>
        <w:tc>
          <w:tcPr>
            <w:tcW w:w="880" w:type="dxa"/>
            <w:vAlign w:val="center"/>
          </w:tcPr>
          <w:p>
            <w:pPr>
              <w:ind w:firstLine="0" w:firstLineChars="0"/>
              <w:jc w:val="center"/>
              <w:rPr>
                <w:rFonts w:hint="eastAsia"/>
                <w:sz w:val="21"/>
                <w:szCs w:val="21"/>
                <w:highlight w:val="none"/>
              </w:rPr>
            </w:pPr>
            <w:r>
              <w:rPr>
                <w:rFonts w:hint="eastAsia"/>
                <w:sz w:val="21"/>
                <w:szCs w:val="21"/>
                <w:highlight w:val="none"/>
              </w:rPr>
              <w:t>控制室</w:t>
            </w:r>
          </w:p>
        </w:tc>
        <w:tc>
          <w:tcPr>
            <w:tcW w:w="5285" w:type="dxa"/>
            <w:vAlign w:val="center"/>
          </w:tcPr>
          <w:p>
            <w:pPr>
              <w:ind w:firstLine="0" w:firstLineChars="0"/>
              <w:jc w:val="both"/>
              <w:rPr>
                <w:rFonts w:hint="eastAsia"/>
                <w:color w:val="auto"/>
                <w:sz w:val="21"/>
                <w:szCs w:val="21"/>
                <w:highlight w:val="none"/>
              </w:rPr>
            </w:pPr>
            <w:r>
              <w:rPr>
                <w:rFonts w:hint="eastAsia"/>
                <w:color w:val="auto"/>
                <w:sz w:val="21"/>
                <w:szCs w:val="21"/>
                <w:highlight w:val="none"/>
              </w:rPr>
              <w:t>生产加工区的中部设置一间50m²的设备控制室，控</w:t>
            </w:r>
          </w:p>
          <w:p>
            <w:pPr>
              <w:ind w:firstLine="0" w:firstLineChars="0"/>
              <w:jc w:val="both"/>
              <w:rPr>
                <w:rFonts w:hint="eastAsia"/>
                <w:color w:val="auto"/>
                <w:sz w:val="21"/>
                <w:szCs w:val="21"/>
                <w:highlight w:val="none"/>
              </w:rPr>
            </w:pPr>
            <w:r>
              <w:rPr>
                <w:rFonts w:hint="eastAsia"/>
                <w:color w:val="auto"/>
                <w:sz w:val="21"/>
                <w:szCs w:val="21"/>
                <w:highlight w:val="none"/>
              </w:rPr>
              <w:t>制生产加工区各环节的正常运营。</w:t>
            </w:r>
          </w:p>
        </w:tc>
        <w:tc>
          <w:tcPr>
            <w:tcW w:w="1988" w:type="dxa"/>
            <w:vMerge w:val="continue"/>
            <w:vAlign w:val="center"/>
          </w:tcPr>
          <w:p>
            <w:pPr>
              <w:ind w:firstLine="0" w:firstLineChars="0"/>
              <w:jc w:val="center"/>
              <w:rPr>
                <w:rFonts w:hint="eastAsia"/>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jc w:val="center"/>
        </w:trPr>
        <w:tc>
          <w:tcPr>
            <w:tcW w:w="422" w:type="dxa"/>
            <w:vMerge w:val="restart"/>
            <w:vAlign w:val="center"/>
          </w:tcPr>
          <w:p>
            <w:pPr>
              <w:ind w:firstLine="0" w:firstLineChars="0"/>
              <w:jc w:val="center"/>
              <w:rPr>
                <w:sz w:val="21"/>
                <w:szCs w:val="21"/>
                <w:highlight w:val="none"/>
              </w:rPr>
            </w:pPr>
            <w:r>
              <w:rPr>
                <w:rFonts w:hint="eastAsia"/>
                <w:sz w:val="21"/>
                <w:szCs w:val="21"/>
                <w:highlight w:val="none"/>
                <w:lang w:eastAsia="zh-CN"/>
              </w:rPr>
              <w:t>配套</w:t>
            </w:r>
            <w:r>
              <w:rPr>
                <w:sz w:val="21"/>
                <w:szCs w:val="21"/>
                <w:highlight w:val="none"/>
              </w:rPr>
              <w:t>工程</w:t>
            </w:r>
          </w:p>
        </w:tc>
        <w:tc>
          <w:tcPr>
            <w:tcW w:w="1305" w:type="dxa"/>
            <w:gridSpan w:val="2"/>
            <w:vAlign w:val="center"/>
          </w:tcPr>
          <w:p>
            <w:pPr>
              <w:ind w:firstLine="0" w:firstLineChars="0"/>
              <w:jc w:val="center"/>
              <w:rPr>
                <w:sz w:val="21"/>
                <w:szCs w:val="21"/>
                <w:highlight w:val="none"/>
              </w:rPr>
            </w:pPr>
            <w:r>
              <w:rPr>
                <w:rFonts w:hint="eastAsia"/>
                <w:sz w:val="21"/>
                <w:szCs w:val="21"/>
                <w:highlight w:val="none"/>
              </w:rPr>
              <w:t>办公</w:t>
            </w:r>
            <w:r>
              <w:rPr>
                <w:rFonts w:hint="eastAsia"/>
                <w:sz w:val="21"/>
                <w:szCs w:val="21"/>
                <w:highlight w:val="none"/>
                <w:lang w:eastAsia="zh-CN"/>
              </w:rPr>
              <w:t>、生活</w:t>
            </w:r>
            <w:r>
              <w:rPr>
                <w:rFonts w:hint="eastAsia"/>
                <w:sz w:val="21"/>
                <w:szCs w:val="21"/>
                <w:highlight w:val="none"/>
              </w:rPr>
              <w:t>区</w:t>
            </w:r>
          </w:p>
        </w:tc>
        <w:tc>
          <w:tcPr>
            <w:tcW w:w="5285" w:type="dxa"/>
            <w:vAlign w:val="center"/>
          </w:tcPr>
          <w:p>
            <w:pPr>
              <w:ind w:firstLine="0" w:firstLineChars="0"/>
              <w:jc w:val="both"/>
              <w:rPr>
                <w:sz w:val="21"/>
                <w:szCs w:val="21"/>
                <w:highlight w:val="none"/>
              </w:rPr>
            </w:pPr>
            <w:r>
              <w:rPr>
                <w:rFonts w:hint="eastAsia"/>
                <w:sz w:val="21"/>
                <w:szCs w:val="21"/>
                <w:highlight w:val="none"/>
              </w:rPr>
              <w:t>位于矿区</w:t>
            </w:r>
            <w:r>
              <w:rPr>
                <w:rFonts w:hint="eastAsia"/>
                <w:sz w:val="21"/>
                <w:szCs w:val="21"/>
                <w:highlight w:val="none"/>
                <w:lang w:eastAsia="zh-CN"/>
              </w:rPr>
              <w:t>东</w:t>
            </w:r>
            <w:r>
              <w:rPr>
                <w:rFonts w:hint="eastAsia"/>
                <w:sz w:val="21"/>
                <w:szCs w:val="21"/>
                <w:highlight w:val="none"/>
              </w:rPr>
              <w:t>部，主要布置矿山管理办公室、机修车间</w:t>
            </w:r>
            <w:r>
              <w:rPr>
                <w:rFonts w:hint="eastAsia"/>
                <w:sz w:val="21"/>
                <w:szCs w:val="21"/>
                <w:highlight w:val="none"/>
                <w:lang w:eastAsia="zh-CN"/>
              </w:rPr>
              <w:t>、生活区</w:t>
            </w:r>
            <w:r>
              <w:rPr>
                <w:rFonts w:hint="eastAsia"/>
                <w:sz w:val="21"/>
                <w:szCs w:val="21"/>
                <w:highlight w:val="none"/>
              </w:rPr>
              <w:t>等，占地面积</w:t>
            </w:r>
            <w:r>
              <w:rPr>
                <w:rFonts w:hint="eastAsia"/>
                <w:sz w:val="21"/>
                <w:szCs w:val="21"/>
                <w:highlight w:val="none"/>
                <w:lang w:val="en-US" w:eastAsia="zh-CN"/>
              </w:rPr>
              <w:t>466</w:t>
            </w:r>
            <w:r>
              <w:rPr>
                <w:rFonts w:hint="eastAsia"/>
                <w:sz w:val="21"/>
                <w:szCs w:val="21"/>
                <w:highlight w:val="none"/>
              </w:rPr>
              <w:t>m</w:t>
            </w:r>
            <w:r>
              <w:rPr>
                <w:rFonts w:hint="eastAsia"/>
                <w:sz w:val="21"/>
                <w:szCs w:val="21"/>
                <w:highlight w:val="none"/>
                <w:vertAlign w:val="superscript"/>
              </w:rPr>
              <w:t>2</w:t>
            </w:r>
          </w:p>
        </w:tc>
        <w:tc>
          <w:tcPr>
            <w:tcW w:w="1988" w:type="dxa"/>
            <w:vAlign w:val="center"/>
          </w:tcPr>
          <w:p>
            <w:pPr>
              <w:ind w:firstLine="0" w:firstLineChars="0"/>
              <w:jc w:val="center"/>
              <w:rPr>
                <w:rFonts w:hint="eastAsia" w:eastAsia="宋体"/>
                <w:sz w:val="21"/>
                <w:szCs w:val="21"/>
                <w:highlight w:val="none"/>
                <w:lang w:eastAsia="zh-CN"/>
              </w:rPr>
            </w:pPr>
            <w:r>
              <w:rPr>
                <w:rFonts w:hint="eastAsia"/>
                <w:sz w:val="21"/>
                <w:szCs w:val="21"/>
                <w:highlight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jc w:val="center"/>
        </w:trPr>
        <w:tc>
          <w:tcPr>
            <w:tcW w:w="422" w:type="dxa"/>
            <w:vMerge w:val="continue"/>
            <w:vAlign w:val="center"/>
          </w:tcPr>
          <w:p>
            <w:pPr>
              <w:ind w:firstLine="0" w:firstLineChars="0"/>
              <w:jc w:val="center"/>
              <w:rPr>
                <w:sz w:val="21"/>
                <w:szCs w:val="21"/>
                <w:highlight w:val="none"/>
              </w:rPr>
            </w:pPr>
          </w:p>
        </w:tc>
        <w:tc>
          <w:tcPr>
            <w:tcW w:w="1305" w:type="dxa"/>
            <w:gridSpan w:val="2"/>
            <w:vAlign w:val="center"/>
          </w:tcPr>
          <w:p>
            <w:pPr>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排土场</w:t>
            </w:r>
          </w:p>
        </w:tc>
        <w:tc>
          <w:tcPr>
            <w:tcW w:w="5285"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eastAsia="宋体"/>
                <w:color w:val="auto"/>
                <w:sz w:val="21"/>
                <w:szCs w:val="21"/>
                <w:highlight w:val="none"/>
                <w:lang w:eastAsia="zh-CN"/>
              </w:rPr>
            </w:pPr>
            <w:r>
              <w:rPr>
                <w:rFonts w:hint="eastAsia"/>
                <w:color w:val="auto"/>
                <w:sz w:val="21"/>
                <w:szCs w:val="21"/>
                <w:highlight w:val="none"/>
                <w:lang w:eastAsia="zh-CN"/>
              </w:rPr>
              <w:t>开采过程中产生的夹石、表土运往项目区西侧排土场临时堆放，排土场占地面积</w:t>
            </w:r>
            <w:r>
              <w:rPr>
                <w:rFonts w:hint="eastAsia"/>
                <w:color w:val="auto"/>
                <w:sz w:val="21"/>
                <w:szCs w:val="21"/>
                <w:highlight w:val="none"/>
                <w:lang w:val="en-US" w:eastAsia="zh-CN"/>
              </w:rPr>
              <w:t>1600m</w:t>
            </w:r>
            <w:r>
              <w:rPr>
                <w:rFonts w:hint="eastAsia"/>
                <w:color w:val="auto"/>
                <w:sz w:val="21"/>
                <w:szCs w:val="21"/>
                <w:highlight w:val="none"/>
                <w:vertAlign w:val="superscript"/>
                <w:lang w:val="en-US" w:eastAsia="zh-CN"/>
              </w:rPr>
              <w:t>2</w:t>
            </w:r>
          </w:p>
        </w:tc>
        <w:tc>
          <w:tcPr>
            <w:tcW w:w="1988" w:type="dxa"/>
            <w:vAlign w:val="center"/>
          </w:tcPr>
          <w:p>
            <w:pPr>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422" w:type="dxa"/>
            <w:vMerge w:val="continue"/>
            <w:vAlign w:val="center"/>
          </w:tcPr>
          <w:p>
            <w:pPr>
              <w:ind w:firstLine="0" w:firstLineChars="0"/>
              <w:jc w:val="center"/>
              <w:rPr>
                <w:sz w:val="21"/>
                <w:szCs w:val="21"/>
                <w:highlight w:val="none"/>
              </w:rPr>
            </w:pPr>
          </w:p>
        </w:tc>
        <w:tc>
          <w:tcPr>
            <w:tcW w:w="425" w:type="dxa"/>
            <w:vMerge w:val="restart"/>
            <w:vAlign w:val="center"/>
          </w:tcPr>
          <w:p>
            <w:pPr>
              <w:ind w:firstLine="0" w:firstLineChars="0"/>
              <w:jc w:val="center"/>
              <w:rPr>
                <w:color w:val="auto"/>
                <w:sz w:val="21"/>
                <w:szCs w:val="21"/>
                <w:highlight w:val="none"/>
              </w:rPr>
            </w:pPr>
            <w:r>
              <w:rPr>
                <w:rFonts w:hint="eastAsia"/>
                <w:color w:val="auto"/>
                <w:sz w:val="21"/>
                <w:szCs w:val="21"/>
                <w:highlight w:val="none"/>
              </w:rPr>
              <w:t>运输系统</w:t>
            </w:r>
          </w:p>
        </w:tc>
        <w:tc>
          <w:tcPr>
            <w:tcW w:w="880" w:type="dxa"/>
            <w:vAlign w:val="center"/>
          </w:tcPr>
          <w:p>
            <w:pPr>
              <w:ind w:firstLine="0" w:firstLineChars="0"/>
              <w:jc w:val="center"/>
              <w:rPr>
                <w:color w:val="auto"/>
                <w:sz w:val="21"/>
                <w:szCs w:val="21"/>
                <w:highlight w:val="none"/>
              </w:rPr>
            </w:pPr>
            <w:r>
              <w:rPr>
                <w:rFonts w:hint="eastAsia"/>
                <w:color w:val="auto"/>
                <w:sz w:val="21"/>
                <w:szCs w:val="21"/>
                <w:highlight w:val="none"/>
              </w:rPr>
              <w:t>运输</w:t>
            </w:r>
          </w:p>
          <w:p>
            <w:pPr>
              <w:ind w:firstLine="0" w:firstLineChars="0"/>
              <w:jc w:val="center"/>
              <w:rPr>
                <w:color w:val="auto"/>
                <w:sz w:val="21"/>
                <w:szCs w:val="21"/>
                <w:highlight w:val="none"/>
              </w:rPr>
            </w:pPr>
            <w:r>
              <w:rPr>
                <w:rFonts w:hint="eastAsia"/>
                <w:color w:val="auto"/>
                <w:sz w:val="21"/>
                <w:szCs w:val="21"/>
                <w:highlight w:val="none"/>
              </w:rPr>
              <w:t>车辆</w:t>
            </w:r>
          </w:p>
        </w:tc>
        <w:tc>
          <w:tcPr>
            <w:tcW w:w="5285" w:type="dxa"/>
            <w:vAlign w:val="center"/>
          </w:tcPr>
          <w:p>
            <w:pPr>
              <w:ind w:firstLine="0" w:firstLineChars="0"/>
              <w:jc w:val="both"/>
              <w:rPr>
                <w:color w:val="auto"/>
                <w:sz w:val="21"/>
                <w:szCs w:val="21"/>
                <w:highlight w:val="none"/>
              </w:rPr>
            </w:pPr>
            <w:r>
              <w:rPr>
                <w:rFonts w:hint="eastAsia"/>
                <w:color w:val="auto"/>
                <w:sz w:val="21"/>
                <w:szCs w:val="21"/>
                <w:highlight w:val="none"/>
              </w:rPr>
              <w:t>矿区配置TR50—</w:t>
            </w:r>
            <w:r>
              <w:rPr>
                <w:rFonts w:hint="eastAsia"/>
                <w:color w:val="auto"/>
                <w:sz w:val="21"/>
                <w:szCs w:val="21"/>
                <w:highlight w:val="none"/>
                <w:lang w:val="en-US" w:eastAsia="zh-CN"/>
              </w:rPr>
              <w:t>40</w:t>
            </w:r>
            <w:r>
              <w:rPr>
                <w:rFonts w:hint="eastAsia"/>
                <w:color w:val="auto"/>
                <w:sz w:val="21"/>
                <w:szCs w:val="21"/>
                <w:highlight w:val="none"/>
              </w:rPr>
              <w:t>t自卸式载重汽车</w:t>
            </w:r>
            <w:r>
              <w:rPr>
                <w:rFonts w:hint="eastAsia"/>
                <w:color w:val="auto"/>
                <w:sz w:val="21"/>
                <w:szCs w:val="21"/>
                <w:highlight w:val="none"/>
                <w:lang w:val="en-US" w:eastAsia="zh-CN"/>
              </w:rPr>
              <w:t>6</w:t>
            </w:r>
            <w:r>
              <w:rPr>
                <w:rFonts w:hint="eastAsia"/>
                <w:color w:val="auto"/>
                <w:sz w:val="21"/>
                <w:szCs w:val="21"/>
                <w:highlight w:val="none"/>
              </w:rPr>
              <w:t>辆</w:t>
            </w:r>
            <w:r>
              <w:rPr>
                <w:rFonts w:hint="eastAsia"/>
                <w:color w:val="auto"/>
                <w:sz w:val="21"/>
                <w:szCs w:val="21"/>
                <w:highlight w:val="none"/>
                <w:lang w:eastAsia="zh-CN"/>
              </w:rPr>
              <w:t>；</w:t>
            </w:r>
            <w:r>
              <w:rPr>
                <w:rFonts w:hint="eastAsia"/>
                <w:color w:val="auto"/>
                <w:sz w:val="21"/>
                <w:szCs w:val="21"/>
                <w:highlight w:val="none"/>
              </w:rPr>
              <w:t>HMG384—</w:t>
            </w:r>
            <w:r>
              <w:rPr>
                <w:rFonts w:hint="eastAsia"/>
                <w:color w:val="auto"/>
                <w:sz w:val="21"/>
                <w:szCs w:val="21"/>
                <w:highlight w:val="none"/>
                <w:lang w:val="en-US" w:eastAsia="zh-CN"/>
              </w:rPr>
              <w:t>10</w:t>
            </w:r>
            <w:r>
              <w:rPr>
                <w:rFonts w:hint="eastAsia"/>
                <w:color w:val="auto"/>
                <w:sz w:val="21"/>
                <w:szCs w:val="21"/>
                <w:highlight w:val="none"/>
              </w:rPr>
              <w:t>t自卸式载重汽车</w:t>
            </w:r>
            <w:r>
              <w:rPr>
                <w:rFonts w:hint="eastAsia"/>
                <w:color w:val="auto"/>
                <w:sz w:val="21"/>
                <w:szCs w:val="21"/>
                <w:highlight w:val="none"/>
                <w:lang w:val="en-US" w:eastAsia="zh-CN"/>
              </w:rPr>
              <w:t>8</w:t>
            </w:r>
            <w:r>
              <w:rPr>
                <w:rFonts w:hint="eastAsia"/>
                <w:color w:val="auto"/>
                <w:sz w:val="21"/>
                <w:szCs w:val="21"/>
                <w:highlight w:val="none"/>
              </w:rPr>
              <w:t>辆</w:t>
            </w:r>
          </w:p>
        </w:tc>
        <w:tc>
          <w:tcPr>
            <w:tcW w:w="1988" w:type="dxa"/>
            <w:vAlign w:val="center"/>
          </w:tcPr>
          <w:p>
            <w:pPr>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满足内、外部运输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422" w:type="dxa"/>
            <w:vMerge w:val="continue"/>
            <w:vAlign w:val="center"/>
          </w:tcPr>
          <w:p>
            <w:pPr>
              <w:ind w:firstLine="420"/>
              <w:rPr>
                <w:sz w:val="21"/>
                <w:szCs w:val="21"/>
                <w:highlight w:val="none"/>
              </w:rPr>
            </w:pPr>
          </w:p>
        </w:tc>
        <w:tc>
          <w:tcPr>
            <w:tcW w:w="425" w:type="dxa"/>
            <w:vMerge w:val="continue"/>
            <w:vAlign w:val="center"/>
          </w:tcPr>
          <w:p>
            <w:pPr>
              <w:ind w:firstLine="420"/>
              <w:rPr>
                <w:color w:val="auto"/>
                <w:sz w:val="21"/>
                <w:szCs w:val="21"/>
                <w:highlight w:val="none"/>
              </w:rPr>
            </w:pPr>
          </w:p>
        </w:tc>
        <w:tc>
          <w:tcPr>
            <w:tcW w:w="880" w:type="dxa"/>
            <w:vMerge w:val="restart"/>
            <w:vAlign w:val="center"/>
          </w:tcPr>
          <w:p>
            <w:pPr>
              <w:ind w:firstLine="0" w:firstLineChars="0"/>
              <w:jc w:val="center"/>
              <w:rPr>
                <w:color w:val="auto"/>
                <w:sz w:val="21"/>
                <w:szCs w:val="21"/>
                <w:highlight w:val="none"/>
              </w:rPr>
            </w:pPr>
            <w:r>
              <w:rPr>
                <w:rFonts w:hint="eastAsia"/>
                <w:color w:val="auto"/>
                <w:sz w:val="21"/>
                <w:szCs w:val="21"/>
                <w:highlight w:val="none"/>
              </w:rPr>
              <w:t>运输</w:t>
            </w:r>
          </w:p>
          <w:p>
            <w:pPr>
              <w:ind w:firstLine="0" w:firstLineChars="0"/>
              <w:jc w:val="center"/>
              <w:rPr>
                <w:color w:val="auto"/>
                <w:sz w:val="21"/>
                <w:szCs w:val="21"/>
                <w:highlight w:val="none"/>
              </w:rPr>
            </w:pPr>
            <w:r>
              <w:rPr>
                <w:rFonts w:hint="eastAsia"/>
                <w:color w:val="auto"/>
                <w:sz w:val="21"/>
                <w:szCs w:val="21"/>
                <w:highlight w:val="none"/>
              </w:rPr>
              <w:t>道路</w:t>
            </w:r>
          </w:p>
        </w:tc>
        <w:tc>
          <w:tcPr>
            <w:tcW w:w="5285" w:type="dxa"/>
            <w:vAlign w:val="center"/>
          </w:tcPr>
          <w:p>
            <w:pPr>
              <w:ind w:left="0" w:leftChars="0" w:firstLine="0" w:firstLineChars="0"/>
              <w:rPr>
                <w:rFonts w:hint="eastAsia" w:eastAsia="宋体"/>
                <w:color w:val="auto"/>
                <w:sz w:val="21"/>
                <w:szCs w:val="21"/>
                <w:highlight w:val="none"/>
                <w:lang w:eastAsia="zh-CN"/>
              </w:rPr>
            </w:pPr>
            <w:r>
              <w:rPr>
                <w:rFonts w:hint="eastAsia"/>
                <w:color w:val="auto"/>
                <w:sz w:val="21"/>
                <w:szCs w:val="21"/>
                <w:highlight w:val="none"/>
              </w:rPr>
              <w:t>项目区场内道路的功能是连接内部各功能分区，根据开发利用方案，公路纵向坡度0～10°，为碎石路面，路面宽度4～8m，转弯处转弯半径大于16m。开拓公路总计长约306m</w:t>
            </w:r>
            <w:r>
              <w:rPr>
                <w:rFonts w:hint="eastAsia"/>
                <w:color w:val="auto"/>
                <w:sz w:val="21"/>
                <w:szCs w:val="21"/>
                <w:highlight w:val="none"/>
                <w:lang w:eastAsia="zh-CN"/>
              </w:rPr>
              <w:t>。</w:t>
            </w:r>
          </w:p>
        </w:tc>
        <w:tc>
          <w:tcPr>
            <w:tcW w:w="1988" w:type="dxa"/>
            <w:vMerge w:val="restart"/>
            <w:vAlign w:val="center"/>
          </w:tcPr>
          <w:p>
            <w:pPr>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新建，环评要求新建运输道路采用硬化路面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jc w:val="center"/>
        </w:trPr>
        <w:tc>
          <w:tcPr>
            <w:tcW w:w="422" w:type="dxa"/>
            <w:vMerge w:val="continue"/>
            <w:vAlign w:val="center"/>
          </w:tcPr>
          <w:p>
            <w:pPr>
              <w:ind w:firstLine="0" w:firstLineChars="0"/>
              <w:jc w:val="center"/>
              <w:rPr>
                <w:highlight w:val="none"/>
              </w:rPr>
            </w:pPr>
          </w:p>
        </w:tc>
        <w:tc>
          <w:tcPr>
            <w:tcW w:w="425" w:type="dxa"/>
            <w:vMerge w:val="continue"/>
            <w:vAlign w:val="center"/>
          </w:tcPr>
          <w:p>
            <w:pPr>
              <w:ind w:firstLine="0" w:firstLineChars="0"/>
              <w:jc w:val="center"/>
              <w:rPr>
                <w:highlight w:val="none"/>
              </w:rPr>
            </w:pPr>
          </w:p>
        </w:tc>
        <w:tc>
          <w:tcPr>
            <w:tcW w:w="880" w:type="dxa"/>
            <w:vMerge w:val="continue"/>
            <w:vAlign w:val="center"/>
          </w:tcPr>
          <w:p>
            <w:pPr>
              <w:ind w:firstLine="0" w:firstLineChars="0"/>
              <w:jc w:val="center"/>
              <w:rPr>
                <w:rFonts w:hint="eastAsia"/>
                <w:color w:val="auto"/>
                <w:sz w:val="21"/>
                <w:szCs w:val="21"/>
                <w:highlight w:val="none"/>
              </w:rPr>
            </w:pPr>
          </w:p>
        </w:tc>
        <w:tc>
          <w:tcPr>
            <w:tcW w:w="5285" w:type="dxa"/>
            <w:vAlign w:val="center"/>
          </w:tcPr>
          <w:p>
            <w:pPr>
              <w:ind w:left="0" w:leftChars="0" w:firstLine="0" w:firstLineChars="0"/>
              <w:rPr>
                <w:rFonts w:hint="eastAsia" w:eastAsia="宋体"/>
                <w:color w:val="FF0000"/>
                <w:sz w:val="21"/>
                <w:szCs w:val="21"/>
                <w:highlight w:val="none"/>
                <w:lang w:eastAsia="zh-CN"/>
              </w:rPr>
            </w:pPr>
            <w:r>
              <w:rPr>
                <w:rFonts w:hint="eastAsia"/>
                <w:color w:val="auto"/>
                <w:sz w:val="21"/>
                <w:szCs w:val="21"/>
                <w:highlight w:val="none"/>
              </w:rPr>
              <w:t>项目区运矿道路主要功能为连接矿区露天采场各平台与场内道路，根据开发利用方案，预计项目将建设运矿道路总长</w:t>
            </w:r>
            <w:r>
              <w:rPr>
                <w:rFonts w:hint="eastAsia"/>
                <w:color w:val="auto"/>
                <w:sz w:val="21"/>
                <w:szCs w:val="21"/>
                <w:highlight w:val="none"/>
                <w:lang w:val="en-US" w:eastAsia="zh-CN"/>
              </w:rPr>
              <w:t>460</w:t>
            </w:r>
            <w:r>
              <w:rPr>
                <w:rFonts w:hint="eastAsia"/>
                <w:color w:val="auto"/>
                <w:sz w:val="21"/>
                <w:szCs w:val="21"/>
                <w:highlight w:val="none"/>
              </w:rPr>
              <w:t>m，宽度约7m，采用碎石路面</w:t>
            </w:r>
            <w:r>
              <w:rPr>
                <w:rFonts w:hint="eastAsia"/>
                <w:color w:val="auto"/>
                <w:sz w:val="21"/>
                <w:szCs w:val="21"/>
                <w:highlight w:val="none"/>
                <w:lang w:eastAsia="zh-CN"/>
              </w:rPr>
              <w:t>。</w:t>
            </w:r>
          </w:p>
        </w:tc>
        <w:tc>
          <w:tcPr>
            <w:tcW w:w="1988" w:type="dxa"/>
            <w:vMerge w:val="continue"/>
            <w:vAlign w:val="center"/>
          </w:tcPr>
          <w:p>
            <w:pPr>
              <w:ind w:firstLine="0" w:firstLineChars="0"/>
              <w:jc w:val="center"/>
              <w:rPr>
                <w:rFonts w:hint="eastAsia" w:eastAsia="宋体"/>
                <w:color w:val="FF000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422" w:type="dxa"/>
            <w:vMerge w:val="continue"/>
            <w:vAlign w:val="center"/>
          </w:tcPr>
          <w:p>
            <w:pPr>
              <w:ind w:firstLine="0" w:firstLineChars="0"/>
              <w:jc w:val="center"/>
              <w:rPr>
                <w:sz w:val="21"/>
                <w:szCs w:val="21"/>
                <w:highlight w:val="none"/>
              </w:rPr>
            </w:pPr>
          </w:p>
        </w:tc>
        <w:tc>
          <w:tcPr>
            <w:tcW w:w="1305" w:type="dxa"/>
            <w:gridSpan w:val="2"/>
            <w:vAlign w:val="center"/>
          </w:tcPr>
          <w:p>
            <w:pPr>
              <w:ind w:firstLine="0" w:firstLineChars="0"/>
              <w:jc w:val="center"/>
              <w:rPr>
                <w:sz w:val="21"/>
                <w:szCs w:val="21"/>
                <w:highlight w:val="none"/>
              </w:rPr>
            </w:pPr>
            <w:r>
              <w:rPr>
                <w:rFonts w:hint="eastAsia"/>
                <w:color w:val="auto"/>
                <w:sz w:val="21"/>
                <w:szCs w:val="21"/>
                <w:highlight w:val="none"/>
                <w:lang w:eastAsia="zh-CN"/>
              </w:rPr>
              <w:t>高位水池</w:t>
            </w:r>
          </w:p>
        </w:tc>
        <w:tc>
          <w:tcPr>
            <w:tcW w:w="5285" w:type="dxa"/>
            <w:vAlign w:val="center"/>
          </w:tcPr>
          <w:p>
            <w:pPr>
              <w:ind w:firstLine="420" w:firstLineChars="200"/>
              <w:rPr>
                <w:sz w:val="21"/>
                <w:szCs w:val="21"/>
                <w:highlight w:val="none"/>
              </w:rPr>
            </w:pPr>
            <w:r>
              <w:rPr>
                <w:rFonts w:hint="eastAsia" w:eastAsia="宋体"/>
                <w:color w:val="auto"/>
                <w:sz w:val="21"/>
                <w:szCs w:val="21"/>
                <w:highlight w:val="none"/>
                <w:lang w:eastAsia="zh-CN"/>
              </w:rPr>
              <w:t>项目区设置一个50m³的高位水池，位于矿山露天采场</w:t>
            </w:r>
            <w:r>
              <w:rPr>
                <w:rFonts w:hint="eastAsia"/>
                <w:color w:val="auto"/>
                <w:sz w:val="21"/>
                <w:szCs w:val="21"/>
                <w:highlight w:val="none"/>
                <w:lang w:eastAsia="zh-CN"/>
              </w:rPr>
              <w:t>北</w:t>
            </w:r>
            <w:r>
              <w:rPr>
                <w:rFonts w:hint="eastAsia" w:eastAsia="宋体"/>
                <w:color w:val="auto"/>
                <w:sz w:val="21"/>
                <w:szCs w:val="21"/>
                <w:highlight w:val="none"/>
                <w:lang w:eastAsia="zh-CN"/>
              </w:rPr>
              <w:t>侧，用于项目区洒喷淋及清洗用水</w:t>
            </w:r>
            <w:r>
              <w:rPr>
                <w:rFonts w:hint="eastAsia"/>
                <w:color w:val="auto"/>
                <w:sz w:val="21"/>
                <w:szCs w:val="21"/>
                <w:highlight w:val="none"/>
                <w:lang w:eastAsia="zh-CN"/>
              </w:rPr>
              <w:t>。</w:t>
            </w:r>
          </w:p>
        </w:tc>
        <w:tc>
          <w:tcPr>
            <w:tcW w:w="1988" w:type="dxa"/>
            <w:vAlign w:val="center"/>
          </w:tcPr>
          <w:p>
            <w:pPr>
              <w:ind w:firstLine="0" w:firstLineChars="0"/>
              <w:jc w:val="center"/>
              <w:rPr>
                <w:sz w:val="21"/>
                <w:szCs w:val="21"/>
                <w:highlight w:val="none"/>
              </w:rPr>
            </w:pPr>
            <w:r>
              <w:rPr>
                <w:rFonts w:hint="eastAsia"/>
                <w:color w:val="auto"/>
                <w:sz w:val="21"/>
                <w:szCs w:val="21"/>
                <w:highlight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422" w:type="dxa"/>
            <w:vMerge w:val="restart"/>
            <w:vAlign w:val="center"/>
          </w:tcPr>
          <w:p>
            <w:pPr>
              <w:ind w:firstLine="0" w:firstLineChars="0"/>
              <w:jc w:val="center"/>
              <w:rPr>
                <w:sz w:val="21"/>
                <w:szCs w:val="21"/>
                <w:highlight w:val="none"/>
              </w:rPr>
            </w:pPr>
            <w:r>
              <w:rPr>
                <w:rFonts w:hint="eastAsia"/>
                <w:sz w:val="21"/>
                <w:szCs w:val="21"/>
                <w:highlight w:val="none"/>
                <w:lang w:eastAsia="zh-CN"/>
              </w:rPr>
              <w:t>公用</w:t>
            </w:r>
            <w:r>
              <w:rPr>
                <w:sz w:val="21"/>
                <w:szCs w:val="21"/>
                <w:highlight w:val="none"/>
              </w:rPr>
              <w:t>工程</w:t>
            </w:r>
          </w:p>
        </w:tc>
        <w:tc>
          <w:tcPr>
            <w:tcW w:w="1305" w:type="dxa"/>
            <w:gridSpan w:val="2"/>
            <w:vAlign w:val="center"/>
          </w:tcPr>
          <w:p>
            <w:pPr>
              <w:ind w:firstLine="0" w:firstLineChars="0"/>
              <w:jc w:val="center"/>
              <w:rPr>
                <w:rFonts w:hint="eastAsia" w:eastAsia="宋体"/>
                <w:sz w:val="21"/>
                <w:szCs w:val="21"/>
                <w:highlight w:val="none"/>
                <w:lang w:eastAsia="zh-CN"/>
              </w:rPr>
            </w:pPr>
            <w:r>
              <w:rPr>
                <w:rFonts w:hint="eastAsia"/>
                <w:sz w:val="21"/>
                <w:szCs w:val="21"/>
                <w:highlight w:val="none"/>
                <w:lang w:eastAsia="zh-CN"/>
              </w:rPr>
              <w:t>给水</w:t>
            </w:r>
          </w:p>
        </w:tc>
        <w:tc>
          <w:tcPr>
            <w:tcW w:w="5285" w:type="dxa"/>
            <w:vAlign w:val="center"/>
          </w:tcPr>
          <w:p>
            <w:pPr>
              <w:ind w:firstLine="0" w:firstLineChars="0"/>
              <w:jc w:val="both"/>
              <w:rPr>
                <w:rFonts w:hint="eastAsia" w:eastAsia="宋体"/>
                <w:sz w:val="21"/>
                <w:szCs w:val="21"/>
                <w:highlight w:val="none"/>
                <w:lang w:eastAsia="zh-CN"/>
              </w:rPr>
            </w:pPr>
            <w:r>
              <w:rPr>
                <w:rFonts w:hint="eastAsia"/>
                <w:sz w:val="21"/>
                <w:szCs w:val="21"/>
                <w:highlight w:val="none"/>
              </w:rPr>
              <w:t>项目用水</w:t>
            </w:r>
            <w:r>
              <w:rPr>
                <w:rFonts w:hint="eastAsia"/>
                <w:sz w:val="21"/>
                <w:szCs w:val="21"/>
                <w:highlight w:val="none"/>
                <w:lang w:eastAsia="zh-CN"/>
              </w:rPr>
              <w:t>接自项目西侧</w:t>
            </w:r>
            <w:r>
              <w:rPr>
                <w:rFonts w:hint="eastAsia"/>
                <w:sz w:val="21"/>
                <w:szCs w:val="21"/>
                <w:highlight w:val="none"/>
                <w:lang w:val="en-US" w:eastAsia="zh-CN"/>
              </w:rPr>
              <w:t>1km处</w:t>
            </w:r>
            <w:r>
              <w:rPr>
                <w:rFonts w:hint="eastAsia"/>
                <w:sz w:val="21"/>
                <w:szCs w:val="21"/>
                <w:highlight w:val="none"/>
                <w:lang w:eastAsia="zh-CN"/>
              </w:rPr>
              <w:t>卡子村自来水管网</w:t>
            </w:r>
          </w:p>
        </w:tc>
        <w:tc>
          <w:tcPr>
            <w:tcW w:w="1988" w:type="dxa"/>
            <w:vMerge w:val="restart"/>
            <w:vAlign w:val="center"/>
          </w:tcPr>
          <w:p>
            <w:pPr>
              <w:ind w:firstLine="0" w:firstLineChars="0"/>
              <w:jc w:val="center"/>
              <w:rPr>
                <w:rFonts w:hint="eastAsia" w:eastAsia="宋体"/>
                <w:sz w:val="21"/>
                <w:szCs w:val="21"/>
                <w:highlight w:val="none"/>
                <w:lang w:eastAsia="zh-CN"/>
              </w:rPr>
            </w:pPr>
            <w:r>
              <w:rPr>
                <w:rFonts w:hint="eastAsia"/>
                <w:sz w:val="21"/>
                <w:szCs w:val="21"/>
                <w:highlight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422" w:type="dxa"/>
            <w:vMerge w:val="continue"/>
            <w:vAlign w:val="center"/>
          </w:tcPr>
          <w:p>
            <w:pPr>
              <w:ind w:firstLine="0" w:firstLineChars="0"/>
              <w:jc w:val="center"/>
              <w:rPr>
                <w:sz w:val="21"/>
                <w:szCs w:val="21"/>
                <w:highlight w:val="none"/>
              </w:rPr>
            </w:pPr>
          </w:p>
        </w:tc>
        <w:tc>
          <w:tcPr>
            <w:tcW w:w="1305" w:type="dxa"/>
            <w:gridSpan w:val="2"/>
            <w:vAlign w:val="center"/>
          </w:tcPr>
          <w:p>
            <w:pPr>
              <w:ind w:firstLine="0" w:firstLineChars="0"/>
              <w:jc w:val="center"/>
              <w:rPr>
                <w:rFonts w:hint="eastAsia" w:eastAsia="宋体"/>
                <w:sz w:val="21"/>
                <w:szCs w:val="21"/>
                <w:highlight w:val="none"/>
                <w:lang w:eastAsia="zh-CN"/>
              </w:rPr>
            </w:pPr>
            <w:r>
              <w:rPr>
                <w:rFonts w:hint="eastAsia"/>
                <w:sz w:val="21"/>
                <w:szCs w:val="21"/>
                <w:highlight w:val="none"/>
                <w:lang w:eastAsia="zh-CN"/>
              </w:rPr>
              <w:t>排水</w:t>
            </w:r>
          </w:p>
        </w:tc>
        <w:tc>
          <w:tcPr>
            <w:tcW w:w="5285" w:type="dxa"/>
            <w:vAlign w:val="center"/>
          </w:tcPr>
          <w:p>
            <w:pPr>
              <w:ind w:firstLine="0" w:firstLineChars="0"/>
              <w:jc w:val="both"/>
              <w:rPr>
                <w:rFonts w:hint="eastAsia" w:eastAsia="宋体"/>
                <w:sz w:val="21"/>
                <w:szCs w:val="21"/>
                <w:highlight w:val="none"/>
                <w:lang w:eastAsia="zh-CN"/>
              </w:rPr>
            </w:pPr>
            <w:r>
              <w:rPr>
                <w:rFonts w:hint="eastAsia"/>
                <w:sz w:val="21"/>
                <w:szCs w:val="21"/>
                <w:highlight w:val="none"/>
              </w:rPr>
              <w:t>项目采用雨污分流制，项目初期雨水经沉淀池沉淀处理后装入洒水车回用于场区洒水降尘；生活污水经</w:t>
            </w:r>
            <w:r>
              <w:rPr>
                <w:rFonts w:hint="eastAsia"/>
                <w:sz w:val="21"/>
                <w:szCs w:val="21"/>
                <w:highlight w:val="none"/>
                <w:lang w:eastAsia="zh-CN"/>
              </w:rPr>
              <w:t>沉淀池处理后回用于场地洒水降尘</w:t>
            </w:r>
            <w:r>
              <w:rPr>
                <w:rFonts w:hint="eastAsia"/>
                <w:sz w:val="21"/>
                <w:szCs w:val="21"/>
                <w:highlight w:val="none"/>
              </w:rPr>
              <w:t>。雨水经周边排水沟外排至周边季节性冲沟</w:t>
            </w:r>
            <w:r>
              <w:rPr>
                <w:rFonts w:hint="eastAsia"/>
                <w:sz w:val="21"/>
                <w:szCs w:val="21"/>
                <w:highlight w:val="none"/>
                <w:lang w:eastAsia="zh-CN"/>
              </w:rPr>
              <w:t>。</w:t>
            </w:r>
          </w:p>
        </w:tc>
        <w:tc>
          <w:tcPr>
            <w:tcW w:w="1988" w:type="dxa"/>
            <w:vMerge w:val="continue"/>
            <w:vAlign w:val="center"/>
          </w:tcPr>
          <w:p>
            <w:pPr>
              <w:ind w:firstLine="0" w:firstLineChars="0"/>
              <w:jc w:val="center"/>
              <w:rPr>
                <w:rFonts w:hint="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422" w:type="dxa"/>
            <w:vMerge w:val="continue"/>
            <w:vAlign w:val="center"/>
          </w:tcPr>
          <w:p>
            <w:pPr>
              <w:ind w:firstLine="0" w:firstLineChars="0"/>
              <w:jc w:val="center"/>
              <w:rPr>
                <w:sz w:val="21"/>
                <w:szCs w:val="21"/>
                <w:highlight w:val="none"/>
              </w:rPr>
            </w:pPr>
          </w:p>
        </w:tc>
        <w:tc>
          <w:tcPr>
            <w:tcW w:w="1305" w:type="dxa"/>
            <w:gridSpan w:val="2"/>
            <w:vAlign w:val="center"/>
          </w:tcPr>
          <w:p>
            <w:pPr>
              <w:ind w:firstLine="0" w:firstLineChars="0"/>
              <w:jc w:val="center"/>
              <w:rPr>
                <w:rFonts w:hint="eastAsia" w:eastAsia="宋体"/>
                <w:sz w:val="21"/>
                <w:szCs w:val="21"/>
                <w:highlight w:val="none"/>
                <w:lang w:eastAsia="zh-CN"/>
              </w:rPr>
            </w:pPr>
            <w:r>
              <w:rPr>
                <w:rFonts w:hint="eastAsia"/>
                <w:sz w:val="21"/>
                <w:szCs w:val="21"/>
                <w:highlight w:val="none"/>
                <w:lang w:eastAsia="zh-CN"/>
              </w:rPr>
              <w:t>供电</w:t>
            </w:r>
          </w:p>
        </w:tc>
        <w:tc>
          <w:tcPr>
            <w:tcW w:w="5285" w:type="dxa"/>
            <w:vAlign w:val="center"/>
          </w:tcPr>
          <w:p>
            <w:pPr>
              <w:ind w:firstLine="0" w:firstLineChars="0"/>
              <w:jc w:val="both"/>
              <w:rPr>
                <w:rFonts w:hint="eastAsia" w:eastAsia="宋体"/>
                <w:sz w:val="21"/>
                <w:szCs w:val="21"/>
                <w:highlight w:val="none"/>
                <w:lang w:eastAsia="zh-CN"/>
              </w:rPr>
            </w:pPr>
            <w:r>
              <w:rPr>
                <w:rFonts w:hint="eastAsia"/>
                <w:sz w:val="21"/>
                <w:szCs w:val="21"/>
                <w:highlight w:val="none"/>
              </w:rPr>
              <w:t>矿区供电来源于云南电网。矿山</w:t>
            </w:r>
            <w:r>
              <w:rPr>
                <w:rFonts w:hint="eastAsia"/>
                <w:sz w:val="21"/>
                <w:szCs w:val="21"/>
                <w:highlight w:val="none"/>
                <w:lang w:eastAsia="zh-CN"/>
              </w:rPr>
              <w:t>设备</w:t>
            </w:r>
            <w:r>
              <w:rPr>
                <w:rFonts w:hint="eastAsia"/>
                <w:sz w:val="21"/>
                <w:szCs w:val="21"/>
                <w:highlight w:val="none"/>
              </w:rPr>
              <w:t xml:space="preserve">用电量大，需搭接 </w:t>
            </w:r>
            <w:r>
              <w:rPr>
                <w:rFonts w:hint="eastAsia"/>
                <w:sz w:val="21"/>
                <w:szCs w:val="21"/>
                <w:highlight w:val="none"/>
                <w:lang w:val="en-US" w:eastAsia="zh-CN"/>
              </w:rPr>
              <w:t>附近</w:t>
            </w:r>
            <w:r>
              <w:rPr>
                <w:rFonts w:hint="eastAsia"/>
                <w:sz w:val="21"/>
                <w:szCs w:val="21"/>
                <w:highlight w:val="none"/>
              </w:rPr>
              <w:t>高压线，安装变压器，以满足矿山生产需要</w:t>
            </w:r>
            <w:r>
              <w:rPr>
                <w:rFonts w:hint="eastAsia"/>
                <w:sz w:val="21"/>
                <w:szCs w:val="21"/>
                <w:highlight w:val="none"/>
                <w:lang w:eastAsia="zh-CN"/>
              </w:rPr>
              <w:t>。</w:t>
            </w:r>
          </w:p>
        </w:tc>
        <w:tc>
          <w:tcPr>
            <w:tcW w:w="1988" w:type="dxa"/>
            <w:vMerge w:val="continue"/>
            <w:vAlign w:val="center"/>
          </w:tcPr>
          <w:p>
            <w:pPr>
              <w:ind w:firstLine="0" w:firstLineChars="0"/>
              <w:jc w:val="center"/>
              <w:rPr>
                <w:rFonts w:hint="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422" w:type="dxa"/>
            <w:vMerge w:val="restart"/>
            <w:vAlign w:val="center"/>
          </w:tcPr>
          <w:p>
            <w:pPr>
              <w:ind w:firstLine="0" w:firstLineChars="0"/>
              <w:jc w:val="center"/>
              <w:rPr>
                <w:rFonts w:ascii="Times New Roman" w:hAnsi="Times New Roman" w:eastAsia="宋体" w:cs="Times New Roman"/>
                <w:kern w:val="2"/>
                <w:sz w:val="21"/>
                <w:szCs w:val="21"/>
                <w:highlight w:val="none"/>
                <w:lang w:val="en-US" w:eastAsia="zh-CN" w:bidi="ar-SA"/>
              </w:rPr>
            </w:pPr>
            <w:r>
              <w:rPr>
                <w:sz w:val="21"/>
                <w:szCs w:val="21"/>
                <w:highlight w:val="none"/>
              </w:rPr>
              <w:t>环保工程</w:t>
            </w:r>
          </w:p>
        </w:tc>
        <w:tc>
          <w:tcPr>
            <w:tcW w:w="425" w:type="dxa"/>
            <w:vMerge w:val="restart"/>
            <w:vAlign w:val="center"/>
          </w:tcPr>
          <w:p>
            <w:pPr>
              <w:ind w:firstLine="0" w:firstLineChars="0"/>
              <w:jc w:val="center"/>
              <w:rPr>
                <w:rFonts w:hint="eastAsia" w:eastAsia="宋体"/>
                <w:sz w:val="21"/>
                <w:szCs w:val="21"/>
                <w:highlight w:val="none"/>
                <w:lang w:eastAsia="zh-CN"/>
              </w:rPr>
            </w:pPr>
            <w:r>
              <w:rPr>
                <w:rFonts w:hint="eastAsia"/>
                <w:sz w:val="21"/>
                <w:szCs w:val="21"/>
                <w:highlight w:val="none"/>
                <w:lang w:eastAsia="zh-CN"/>
              </w:rPr>
              <w:t>废水</w:t>
            </w:r>
          </w:p>
        </w:tc>
        <w:tc>
          <w:tcPr>
            <w:tcW w:w="880" w:type="dxa"/>
            <w:vAlign w:val="center"/>
          </w:tcPr>
          <w:p>
            <w:pPr>
              <w:ind w:firstLine="0" w:firstLineChars="0"/>
              <w:jc w:val="center"/>
              <w:rPr>
                <w:sz w:val="21"/>
                <w:szCs w:val="21"/>
                <w:highlight w:val="none"/>
              </w:rPr>
            </w:pPr>
            <w:r>
              <w:rPr>
                <w:rFonts w:hint="eastAsia"/>
                <w:sz w:val="21"/>
                <w:szCs w:val="21"/>
                <w:highlight w:val="none"/>
              </w:rPr>
              <w:t>露天采场初期雨水</w:t>
            </w:r>
          </w:p>
        </w:tc>
        <w:tc>
          <w:tcPr>
            <w:tcW w:w="5285" w:type="dxa"/>
            <w:vAlign w:val="center"/>
          </w:tcPr>
          <w:p>
            <w:pPr>
              <w:ind w:firstLine="0" w:firstLineChars="0"/>
              <w:jc w:val="left"/>
              <w:rPr>
                <w:rFonts w:hint="eastAsia" w:eastAsia="宋体"/>
                <w:sz w:val="21"/>
                <w:szCs w:val="21"/>
                <w:highlight w:val="none"/>
                <w:lang w:eastAsia="zh-CN"/>
              </w:rPr>
            </w:pPr>
            <w:r>
              <w:rPr>
                <w:rFonts w:hint="eastAsia"/>
                <w:sz w:val="21"/>
                <w:szCs w:val="21"/>
                <w:highlight w:val="none"/>
              </w:rPr>
              <w:t>1#初期雨水沉淀池（1个，容积为</w:t>
            </w:r>
            <w:r>
              <w:rPr>
                <w:rFonts w:hint="eastAsia"/>
                <w:sz w:val="21"/>
                <w:szCs w:val="21"/>
                <w:highlight w:val="none"/>
                <w:lang w:val="en-US" w:eastAsia="zh-CN"/>
              </w:rPr>
              <w:t>30</w:t>
            </w:r>
            <w:r>
              <w:rPr>
                <w:rFonts w:hint="eastAsia"/>
                <w:sz w:val="21"/>
                <w:szCs w:val="21"/>
                <w:highlight w:val="none"/>
              </w:rPr>
              <w:t>m</w:t>
            </w:r>
            <w:r>
              <w:rPr>
                <w:rFonts w:hint="eastAsia"/>
                <w:sz w:val="21"/>
                <w:szCs w:val="21"/>
                <w:highlight w:val="none"/>
                <w:vertAlign w:val="superscript"/>
              </w:rPr>
              <w:t>3</w:t>
            </w:r>
            <w:r>
              <w:rPr>
                <w:rFonts w:hint="eastAsia"/>
                <w:sz w:val="21"/>
                <w:szCs w:val="21"/>
                <w:highlight w:val="none"/>
              </w:rPr>
              <w:t>），处理后回用于场区洒水降尘</w:t>
            </w:r>
            <w:r>
              <w:rPr>
                <w:rFonts w:hint="eastAsia"/>
                <w:sz w:val="21"/>
                <w:szCs w:val="21"/>
                <w:highlight w:val="none"/>
                <w:lang w:eastAsia="zh-CN"/>
              </w:rPr>
              <w:t>。</w:t>
            </w:r>
          </w:p>
        </w:tc>
        <w:tc>
          <w:tcPr>
            <w:tcW w:w="1988" w:type="dxa"/>
            <w:vMerge w:val="restart"/>
            <w:vAlign w:val="center"/>
          </w:tcPr>
          <w:p>
            <w:pPr>
              <w:ind w:firstLine="0" w:firstLineChars="0"/>
              <w:jc w:val="center"/>
              <w:rPr>
                <w:rFonts w:hint="eastAsia" w:eastAsia="宋体"/>
                <w:sz w:val="21"/>
                <w:szCs w:val="21"/>
                <w:highlight w:val="none"/>
                <w:lang w:eastAsia="zh-CN"/>
              </w:rPr>
            </w:pPr>
            <w:r>
              <w:rPr>
                <w:rFonts w:hint="eastAsia"/>
                <w:sz w:val="21"/>
                <w:szCs w:val="21"/>
                <w:highlight w:val="none"/>
                <w:lang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422" w:type="dxa"/>
            <w:vMerge w:val="continue"/>
            <w:vAlign w:val="center"/>
          </w:tcPr>
          <w:p>
            <w:pPr>
              <w:ind w:firstLine="0" w:firstLineChars="0"/>
              <w:jc w:val="center"/>
              <w:rPr>
                <w:sz w:val="21"/>
                <w:szCs w:val="21"/>
                <w:highlight w:val="none"/>
              </w:rPr>
            </w:pPr>
          </w:p>
        </w:tc>
        <w:tc>
          <w:tcPr>
            <w:tcW w:w="425" w:type="dxa"/>
            <w:vMerge w:val="continue"/>
            <w:vAlign w:val="center"/>
          </w:tcPr>
          <w:p>
            <w:pPr>
              <w:ind w:firstLine="0" w:firstLineChars="0"/>
              <w:jc w:val="center"/>
              <w:rPr>
                <w:sz w:val="21"/>
                <w:szCs w:val="21"/>
                <w:highlight w:val="none"/>
              </w:rPr>
            </w:pPr>
          </w:p>
        </w:tc>
        <w:tc>
          <w:tcPr>
            <w:tcW w:w="880" w:type="dxa"/>
            <w:vAlign w:val="center"/>
          </w:tcPr>
          <w:p>
            <w:pPr>
              <w:ind w:firstLine="0" w:firstLineChars="0"/>
              <w:jc w:val="center"/>
              <w:rPr>
                <w:sz w:val="21"/>
                <w:szCs w:val="21"/>
                <w:highlight w:val="none"/>
              </w:rPr>
            </w:pPr>
            <w:r>
              <w:rPr>
                <w:rFonts w:hint="eastAsia"/>
                <w:sz w:val="21"/>
                <w:szCs w:val="21"/>
                <w:highlight w:val="none"/>
              </w:rPr>
              <w:t>破碎加工场初期雨水</w:t>
            </w:r>
          </w:p>
        </w:tc>
        <w:tc>
          <w:tcPr>
            <w:tcW w:w="5285" w:type="dxa"/>
            <w:vAlign w:val="center"/>
          </w:tcPr>
          <w:p>
            <w:pPr>
              <w:ind w:left="0" w:leftChars="0" w:firstLine="0" w:firstLineChars="0"/>
              <w:rPr>
                <w:rFonts w:hint="eastAsia" w:eastAsia="宋体"/>
                <w:sz w:val="21"/>
                <w:szCs w:val="21"/>
                <w:highlight w:val="none"/>
                <w:lang w:eastAsia="zh-CN"/>
              </w:rPr>
            </w:pPr>
            <w:r>
              <w:rPr>
                <w:rFonts w:hint="eastAsia"/>
                <w:sz w:val="21"/>
                <w:szCs w:val="21"/>
                <w:highlight w:val="none"/>
              </w:rPr>
              <w:t>2#初期雨水沉淀池（1个，容积为</w:t>
            </w:r>
            <w:r>
              <w:rPr>
                <w:rFonts w:hint="eastAsia"/>
                <w:sz w:val="21"/>
                <w:szCs w:val="21"/>
                <w:highlight w:val="none"/>
                <w:lang w:val="en-US" w:eastAsia="zh-CN"/>
              </w:rPr>
              <w:t>160</w:t>
            </w:r>
            <w:r>
              <w:rPr>
                <w:rFonts w:hint="eastAsia"/>
                <w:sz w:val="21"/>
                <w:szCs w:val="21"/>
                <w:highlight w:val="none"/>
              </w:rPr>
              <w:t>m</w:t>
            </w:r>
            <w:r>
              <w:rPr>
                <w:rFonts w:hint="eastAsia"/>
                <w:sz w:val="21"/>
                <w:szCs w:val="21"/>
                <w:highlight w:val="none"/>
                <w:vertAlign w:val="superscript"/>
              </w:rPr>
              <w:t>3</w:t>
            </w:r>
            <w:r>
              <w:rPr>
                <w:rFonts w:hint="eastAsia"/>
                <w:sz w:val="21"/>
                <w:szCs w:val="21"/>
                <w:highlight w:val="none"/>
              </w:rPr>
              <w:t>），处理后回用于场区洒水降尘</w:t>
            </w:r>
            <w:r>
              <w:rPr>
                <w:rFonts w:hint="eastAsia"/>
                <w:sz w:val="21"/>
                <w:szCs w:val="21"/>
                <w:highlight w:val="none"/>
                <w:lang w:eastAsia="zh-CN"/>
              </w:rPr>
              <w:t>。</w:t>
            </w:r>
          </w:p>
        </w:tc>
        <w:tc>
          <w:tcPr>
            <w:tcW w:w="1988" w:type="dxa"/>
            <w:vMerge w:val="continue"/>
            <w:vAlign w:val="center"/>
          </w:tcPr>
          <w:p>
            <w:pPr>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422" w:type="dxa"/>
            <w:vMerge w:val="continue"/>
            <w:vAlign w:val="center"/>
          </w:tcPr>
          <w:p>
            <w:pPr>
              <w:ind w:firstLine="0" w:firstLineChars="0"/>
              <w:jc w:val="center"/>
              <w:rPr>
                <w:sz w:val="21"/>
                <w:szCs w:val="21"/>
                <w:highlight w:val="none"/>
              </w:rPr>
            </w:pPr>
          </w:p>
        </w:tc>
        <w:tc>
          <w:tcPr>
            <w:tcW w:w="425" w:type="dxa"/>
            <w:vMerge w:val="continue"/>
            <w:vAlign w:val="center"/>
          </w:tcPr>
          <w:p>
            <w:pPr>
              <w:ind w:firstLine="0" w:firstLineChars="0"/>
              <w:jc w:val="center"/>
              <w:rPr>
                <w:sz w:val="21"/>
                <w:szCs w:val="21"/>
                <w:highlight w:val="none"/>
              </w:rPr>
            </w:pPr>
          </w:p>
        </w:tc>
        <w:tc>
          <w:tcPr>
            <w:tcW w:w="880" w:type="dxa"/>
            <w:vAlign w:val="center"/>
          </w:tcPr>
          <w:p>
            <w:pPr>
              <w:ind w:firstLine="0" w:firstLineChars="0"/>
              <w:jc w:val="center"/>
              <w:rPr>
                <w:sz w:val="21"/>
                <w:szCs w:val="21"/>
                <w:highlight w:val="none"/>
              </w:rPr>
            </w:pPr>
            <w:r>
              <w:rPr>
                <w:rFonts w:hint="eastAsia"/>
                <w:sz w:val="21"/>
                <w:szCs w:val="21"/>
                <w:highlight w:val="none"/>
              </w:rPr>
              <w:t>截排</w:t>
            </w:r>
          </w:p>
          <w:p>
            <w:pPr>
              <w:ind w:firstLine="0" w:firstLineChars="0"/>
              <w:jc w:val="center"/>
              <w:rPr>
                <w:sz w:val="21"/>
                <w:szCs w:val="21"/>
                <w:highlight w:val="none"/>
              </w:rPr>
            </w:pPr>
            <w:r>
              <w:rPr>
                <w:rFonts w:hint="eastAsia"/>
                <w:sz w:val="21"/>
                <w:szCs w:val="21"/>
                <w:highlight w:val="none"/>
              </w:rPr>
              <w:t>水沟</w:t>
            </w:r>
          </w:p>
        </w:tc>
        <w:tc>
          <w:tcPr>
            <w:tcW w:w="5285" w:type="dxa"/>
            <w:vAlign w:val="center"/>
          </w:tcPr>
          <w:p>
            <w:pPr>
              <w:ind w:firstLine="0" w:firstLineChars="0"/>
              <w:jc w:val="both"/>
              <w:rPr>
                <w:rFonts w:hint="eastAsia" w:eastAsia="宋体"/>
                <w:sz w:val="21"/>
                <w:szCs w:val="21"/>
                <w:highlight w:val="none"/>
                <w:lang w:eastAsia="zh-CN"/>
              </w:rPr>
            </w:pPr>
            <w:r>
              <w:rPr>
                <w:rFonts w:hint="eastAsia"/>
                <w:sz w:val="21"/>
                <w:szCs w:val="21"/>
                <w:highlight w:val="none"/>
                <w:lang w:eastAsia="zh-CN"/>
              </w:rPr>
              <w:t>采区</w:t>
            </w:r>
            <w:r>
              <w:rPr>
                <w:rFonts w:hint="eastAsia"/>
                <w:sz w:val="21"/>
                <w:szCs w:val="21"/>
                <w:highlight w:val="none"/>
              </w:rPr>
              <w:t>周边设置长约</w:t>
            </w:r>
            <w:r>
              <w:rPr>
                <w:rFonts w:hint="eastAsia"/>
                <w:sz w:val="21"/>
                <w:szCs w:val="21"/>
                <w:highlight w:val="none"/>
                <w:lang w:val="en-US" w:eastAsia="zh-CN"/>
              </w:rPr>
              <w:t>600</w:t>
            </w:r>
            <w:r>
              <w:rPr>
                <w:rFonts w:hint="eastAsia"/>
                <w:sz w:val="21"/>
                <w:szCs w:val="21"/>
                <w:highlight w:val="none"/>
              </w:rPr>
              <w:t>m简易土质排水沟</w:t>
            </w:r>
            <w:r>
              <w:rPr>
                <w:rFonts w:hint="eastAsia"/>
                <w:sz w:val="21"/>
                <w:szCs w:val="21"/>
                <w:highlight w:val="none"/>
                <w:lang w:eastAsia="zh-CN"/>
              </w:rPr>
              <w:t>，</w:t>
            </w:r>
            <w:r>
              <w:rPr>
                <w:rFonts w:hint="eastAsia"/>
                <w:sz w:val="21"/>
                <w:szCs w:val="21"/>
                <w:highlight w:val="none"/>
              </w:rPr>
              <w:t>工业场地周边</w:t>
            </w:r>
            <w:r>
              <w:rPr>
                <w:rFonts w:hint="eastAsia"/>
                <w:sz w:val="21"/>
                <w:szCs w:val="21"/>
                <w:highlight w:val="none"/>
                <w:lang w:eastAsia="zh-CN"/>
              </w:rPr>
              <w:t>设置</w:t>
            </w:r>
            <w:r>
              <w:rPr>
                <w:rFonts w:hint="eastAsia"/>
                <w:sz w:val="21"/>
                <w:szCs w:val="21"/>
                <w:highlight w:val="none"/>
              </w:rPr>
              <w:t>长约420m混凝土排水沟</w:t>
            </w:r>
            <w:r>
              <w:rPr>
                <w:rFonts w:hint="eastAsia"/>
                <w:sz w:val="21"/>
                <w:szCs w:val="21"/>
                <w:highlight w:val="none"/>
                <w:lang w:eastAsia="zh-CN"/>
              </w:rPr>
              <w:t>。</w:t>
            </w:r>
          </w:p>
        </w:tc>
        <w:tc>
          <w:tcPr>
            <w:tcW w:w="1988" w:type="dxa"/>
            <w:vAlign w:val="center"/>
          </w:tcPr>
          <w:p>
            <w:pPr>
              <w:ind w:firstLine="0" w:firstLineChars="0"/>
              <w:jc w:val="center"/>
              <w:rPr>
                <w:rFonts w:hint="eastAsia" w:eastAsia="宋体"/>
                <w:sz w:val="21"/>
                <w:szCs w:val="21"/>
                <w:highlight w:val="none"/>
                <w:lang w:eastAsia="zh-CN"/>
              </w:rPr>
            </w:pPr>
            <w:r>
              <w:rPr>
                <w:rFonts w:hint="eastAsia"/>
                <w:sz w:val="21"/>
                <w:szCs w:val="21"/>
                <w:highlight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jc w:val="center"/>
        </w:trPr>
        <w:tc>
          <w:tcPr>
            <w:tcW w:w="422" w:type="dxa"/>
            <w:vMerge w:val="continue"/>
            <w:vAlign w:val="center"/>
          </w:tcPr>
          <w:p>
            <w:pPr>
              <w:ind w:firstLine="0" w:firstLineChars="0"/>
              <w:jc w:val="center"/>
              <w:rPr>
                <w:sz w:val="21"/>
                <w:szCs w:val="21"/>
                <w:highlight w:val="none"/>
              </w:rPr>
            </w:pPr>
          </w:p>
        </w:tc>
        <w:tc>
          <w:tcPr>
            <w:tcW w:w="425" w:type="dxa"/>
            <w:vMerge w:val="continue"/>
            <w:vAlign w:val="center"/>
          </w:tcPr>
          <w:p>
            <w:pPr>
              <w:ind w:firstLine="0" w:firstLineChars="0"/>
              <w:jc w:val="center"/>
              <w:rPr>
                <w:sz w:val="21"/>
                <w:szCs w:val="21"/>
                <w:highlight w:val="none"/>
              </w:rPr>
            </w:pPr>
          </w:p>
        </w:tc>
        <w:tc>
          <w:tcPr>
            <w:tcW w:w="880" w:type="dxa"/>
            <w:vAlign w:val="center"/>
          </w:tcPr>
          <w:p>
            <w:pPr>
              <w:ind w:firstLine="0" w:firstLineChars="0"/>
              <w:jc w:val="center"/>
              <w:rPr>
                <w:sz w:val="21"/>
                <w:szCs w:val="21"/>
                <w:highlight w:val="none"/>
              </w:rPr>
            </w:pPr>
            <w:r>
              <w:rPr>
                <w:rFonts w:hint="eastAsia"/>
                <w:sz w:val="21"/>
                <w:szCs w:val="21"/>
                <w:highlight w:val="none"/>
              </w:rPr>
              <w:t>生活污水</w:t>
            </w:r>
          </w:p>
        </w:tc>
        <w:tc>
          <w:tcPr>
            <w:tcW w:w="5285" w:type="dxa"/>
            <w:vAlign w:val="center"/>
          </w:tcPr>
          <w:p>
            <w:pPr>
              <w:ind w:left="0" w:leftChars="0" w:firstLine="0" w:firstLineChars="0"/>
              <w:rPr>
                <w:rFonts w:hint="eastAsia"/>
                <w:kern w:val="0"/>
                <w:sz w:val="21"/>
                <w:szCs w:val="21"/>
                <w:highlight w:val="none"/>
                <w:lang w:eastAsia="zh-CN"/>
              </w:rPr>
            </w:pPr>
            <w:r>
              <w:rPr>
                <w:rFonts w:hint="eastAsia"/>
                <w:kern w:val="0"/>
                <w:sz w:val="21"/>
                <w:szCs w:val="21"/>
                <w:highlight w:val="none"/>
                <w:lang w:eastAsia="zh-CN"/>
              </w:rPr>
              <w:t>生活污水主要为洗手等清洗废水，经沉淀池收集处理后用于场地洒水降尘员工入厕使用项目东侧的旱厕。</w:t>
            </w:r>
          </w:p>
        </w:tc>
        <w:tc>
          <w:tcPr>
            <w:tcW w:w="1988" w:type="dxa"/>
            <w:vAlign w:val="center"/>
          </w:tcPr>
          <w:p>
            <w:pPr>
              <w:ind w:firstLine="0" w:firstLineChars="0"/>
              <w:jc w:val="center"/>
              <w:rPr>
                <w:sz w:val="21"/>
                <w:szCs w:val="21"/>
                <w:highlight w:val="none"/>
              </w:rPr>
            </w:pPr>
            <w:r>
              <w:rPr>
                <w:rFonts w:hint="eastAsia"/>
                <w:b w:val="0"/>
                <w:bCs w:val="0"/>
                <w:sz w:val="21"/>
                <w:szCs w:val="21"/>
                <w:highlight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2" w:hRule="atLeast"/>
          <w:jc w:val="center"/>
        </w:trPr>
        <w:tc>
          <w:tcPr>
            <w:tcW w:w="422" w:type="dxa"/>
            <w:vMerge w:val="continue"/>
            <w:vAlign w:val="center"/>
          </w:tcPr>
          <w:p>
            <w:pPr>
              <w:ind w:firstLine="0" w:firstLineChars="0"/>
              <w:jc w:val="center"/>
              <w:rPr>
                <w:sz w:val="21"/>
                <w:szCs w:val="21"/>
                <w:highlight w:val="none"/>
              </w:rPr>
            </w:pPr>
          </w:p>
        </w:tc>
        <w:tc>
          <w:tcPr>
            <w:tcW w:w="425" w:type="dxa"/>
            <w:vMerge w:val="restart"/>
            <w:vAlign w:val="center"/>
          </w:tcPr>
          <w:p>
            <w:pPr>
              <w:ind w:firstLine="0" w:firstLineChars="0"/>
              <w:jc w:val="center"/>
              <w:rPr>
                <w:sz w:val="21"/>
                <w:szCs w:val="21"/>
                <w:highlight w:val="none"/>
              </w:rPr>
            </w:pPr>
            <w:r>
              <w:rPr>
                <w:rFonts w:hint="eastAsia"/>
                <w:sz w:val="21"/>
                <w:szCs w:val="21"/>
                <w:highlight w:val="none"/>
              </w:rPr>
              <w:t>废气</w:t>
            </w:r>
          </w:p>
        </w:tc>
        <w:tc>
          <w:tcPr>
            <w:tcW w:w="880" w:type="dxa"/>
            <w:vAlign w:val="center"/>
          </w:tcPr>
          <w:p>
            <w:pPr>
              <w:ind w:firstLine="0" w:firstLineChars="0"/>
              <w:jc w:val="center"/>
              <w:rPr>
                <w:sz w:val="21"/>
                <w:szCs w:val="21"/>
                <w:highlight w:val="none"/>
              </w:rPr>
            </w:pPr>
            <w:r>
              <w:rPr>
                <w:rFonts w:hint="eastAsia"/>
                <w:sz w:val="21"/>
                <w:szCs w:val="21"/>
                <w:highlight w:val="none"/>
              </w:rPr>
              <w:t>地面防尘</w:t>
            </w:r>
          </w:p>
        </w:tc>
        <w:tc>
          <w:tcPr>
            <w:tcW w:w="5285" w:type="dxa"/>
            <w:vAlign w:val="center"/>
          </w:tcPr>
          <w:p>
            <w:pPr>
              <w:pStyle w:val="17"/>
              <w:ind w:left="0" w:leftChars="0" w:firstLine="0" w:firstLineChars="0"/>
              <w:jc w:val="both"/>
              <w:rPr>
                <w:rFonts w:hint="eastAsia" w:ascii="Times New Roman" w:hAnsi="Times New Roman" w:eastAsia="宋体"/>
                <w:sz w:val="21"/>
                <w:szCs w:val="21"/>
                <w:highlight w:val="none"/>
                <w:lang w:eastAsia="zh-CN"/>
              </w:rPr>
            </w:pPr>
            <w:r>
              <w:rPr>
                <w:rFonts w:hint="eastAsia" w:ascii="Times New Roman" w:hAnsi="Times New Roman" w:eastAsia="宋体"/>
                <w:sz w:val="21"/>
                <w:szCs w:val="21"/>
                <w:highlight w:val="none"/>
                <w:lang w:eastAsia="zh-CN"/>
              </w:rPr>
              <w:t>配置洒水车，对露天开采工作面、破碎场场地进行洒水降尘；在矿石装卸点、成品堆场等设置喷淋</w:t>
            </w:r>
            <w:r>
              <w:rPr>
                <w:rFonts w:hint="eastAsia" w:ascii="Times New Roman" w:hAnsi="Times New Roman"/>
                <w:sz w:val="21"/>
                <w:szCs w:val="21"/>
                <w:highlight w:val="none"/>
                <w:lang w:eastAsia="zh-CN"/>
              </w:rPr>
              <w:t>喷雾</w:t>
            </w:r>
            <w:r>
              <w:rPr>
                <w:rFonts w:hint="eastAsia" w:ascii="Times New Roman" w:hAnsi="Times New Roman" w:eastAsia="宋体"/>
                <w:sz w:val="21"/>
                <w:szCs w:val="21"/>
                <w:highlight w:val="none"/>
                <w:lang w:eastAsia="zh-CN"/>
              </w:rPr>
              <w:t>降尘设施；原料堆场设置顶棚，并设置洒水降尘设施；表土场表面利用毡布覆盖，抑制扬尘；</w:t>
            </w:r>
            <w:r>
              <w:rPr>
                <w:rFonts w:hint="eastAsia" w:ascii="Times New Roman" w:hAnsi="Times New Roman"/>
                <w:sz w:val="21"/>
                <w:szCs w:val="21"/>
                <w:highlight w:val="yellow"/>
                <w:lang w:eastAsia="zh-CN"/>
              </w:rPr>
              <w:t>细砂堆场建设料仓、顶棚防尘，料仓内设置自动喷淋设施，</w:t>
            </w:r>
            <w:r>
              <w:rPr>
                <w:rFonts w:hint="eastAsia" w:ascii="Times New Roman" w:hAnsi="Times New Roman" w:eastAsia="宋体"/>
                <w:sz w:val="21"/>
                <w:szCs w:val="21"/>
                <w:highlight w:val="none"/>
                <w:lang w:eastAsia="zh-CN"/>
              </w:rPr>
              <w:t>破碎场地表采用砂石固化，生产车间设置封闭厂房</w:t>
            </w:r>
            <w:r>
              <w:rPr>
                <w:rFonts w:hint="eastAsia" w:ascii="Times New Roman" w:hAnsi="Times New Roman"/>
                <w:sz w:val="21"/>
                <w:szCs w:val="21"/>
                <w:highlight w:val="none"/>
                <w:lang w:eastAsia="zh-CN"/>
              </w:rPr>
              <w:t>。</w:t>
            </w:r>
          </w:p>
        </w:tc>
        <w:tc>
          <w:tcPr>
            <w:tcW w:w="1988" w:type="dxa"/>
            <w:vAlign w:val="center"/>
          </w:tcPr>
          <w:p>
            <w:pPr>
              <w:ind w:firstLine="0" w:firstLineChars="0"/>
              <w:jc w:val="center"/>
              <w:rPr>
                <w:rFonts w:hint="eastAsia" w:eastAsia="宋体"/>
                <w:sz w:val="21"/>
                <w:szCs w:val="21"/>
                <w:highlight w:val="none"/>
                <w:lang w:eastAsia="zh-CN"/>
              </w:rPr>
            </w:pPr>
            <w:r>
              <w:rPr>
                <w:rFonts w:hint="eastAsia"/>
                <w:sz w:val="21"/>
                <w:szCs w:val="21"/>
                <w:highlight w:val="none"/>
                <w:lang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422" w:type="dxa"/>
            <w:vMerge w:val="continue"/>
            <w:vAlign w:val="center"/>
          </w:tcPr>
          <w:p>
            <w:pPr>
              <w:pStyle w:val="17"/>
              <w:ind w:firstLine="420"/>
              <w:rPr>
                <w:sz w:val="21"/>
                <w:szCs w:val="21"/>
                <w:highlight w:val="none"/>
              </w:rPr>
            </w:pPr>
          </w:p>
        </w:tc>
        <w:tc>
          <w:tcPr>
            <w:tcW w:w="425" w:type="dxa"/>
            <w:vMerge w:val="continue"/>
            <w:vAlign w:val="center"/>
          </w:tcPr>
          <w:p>
            <w:pPr>
              <w:pStyle w:val="17"/>
              <w:ind w:firstLine="420"/>
              <w:rPr>
                <w:sz w:val="21"/>
                <w:szCs w:val="21"/>
                <w:highlight w:val="none"/>
              </w:rPr>
            </w:pPr>
          </w:p>
        </w:tc>
        <w:tc>
          <w:tcPr>
            <w:tcW w:w="880" w:type="dxa"/>
            <w:vAlign w:val="center"/>
          </w:tcPr>
          <w:p>
            <w:pPr>
              <w:ind w:firstLine="0" w:firstLineChars="0"/>
              <w:jc w:val="center"/>
              <w:rPr>
                <w:sz w:val="21"/>
                <w:szCs w:val="21"/>
                <w:highlight w:val="none"/>
              </w:rPr>
            </w:pPr>
            <w:r>
              <w:rPr>
                <w:rFonts w:hint="eastAsia"/>
                <w:sz w:val="21"/>
                <w:szCs w:val="21"/>
                <w:highlight w:val="none"/>
              </w:rPr>
              <w:t>破碎防尘系统</w:t>
            </w:r>
          </w:p>
        </w:tc>
        <w:tc>
          <w:tcPr>
            <w:tcW w:w="5285" w:type="dxa"/>
            <w:vAlign w:val="center"/>
          </w:tcPr>
          <w:p>
            <w:pPr>
              <w:pStyle w:val="17"/>
              <w:ind w:left="0" w:leftChars="0" w:firstLine="0" w:firstLineChars="0"/>
              <w:rPr>
                <w:rFonts w:hint="eastAsia" w:ascii="Times New Roman" w:hAnsi="Times New Roman" w:eastAsia="宋体"/>
                <w:sz w:val="21"/>
                <w:szCs w:val="21"/>
                <w:highlight w:val="none"/>
                <w:lang w:eastAsia="zh-CN"/>
              </w:rPr>
            </w:pPr>
            <w:r>
              <w:rPr>
                <w:rFonts w:hint="eastAsia" w:ascii="Times New Roman" w:hAnsi="Times New Roman" w:eastAsia="宋体"/>
                <w:sz w:val="21"/>
                <w:szCs w:val="21"/>
                <w:highlight w:val="none"/>
                <w:lang w:eastAsia="zh-CN"/>
              </w:rPr>
              <w:t>① 破碎生产车间设置封闭厂房；</w:t>
            </w:r>
          </w:p>
          <w:p>
            <w:pPr>
              <w:pStyle w:val="17"/>
              <w:ind w:left="0" w:leftChars="0" w:firstLine="0" w:firstLineChars="0"/>
              <w:rPr>
                <w:rFonts w:hint="eastAsia" w:ascii="Times New Roman" w:hAnsi="Times New Roman" w:eastAsia="宋体"/>
                <w:sz w:val="21"/>
                <w:szCs w:val="21"/>
                <w:highlight w:val="none"/>
                <w:lang w:eastAsia="zh-CN"/>
              </w:rPr>
            </w:pPr>
            <w:r>
              <w:rPr>
                <w:rFonts w:hint="eastAsia" w:ascii="Times New Roman" w:hAnsi="Times New Roman" w:eastAsia="宋体"/>
                <w:sz w:val="21"/>
                <w:szCs w:val="21"/>
                <w:highlight w:val="none"/>
                <w:lang w:eastAsia="zh-CN"/>
              </w:rPr>
              <w:t>② 输送带全线密闭，落料口设置溜槽；</w:t>
            </w:r>
          </w:p>
          <w:p>
            <w:pPr>
              <w:pStyle w:val="17"/>
              <w:ind w:left="0" w:leftChars="0" w:firstLine="0" w:firstLineChars="0"/>
              <w:rPr>
                <w:rFonts w:hint="eastAsia" w:ascii="Times New Roman" w:hAnsi="Times New Roman" w:eastAsia="宋体"/>
                <w:sz w:val="21"/>
                <w:szCs w:val="21"/>
                <w:highlight w:val="none"/>
                <w:lang w:eastAsia="zh-CN"/>
              </w:rPr>
            </w:pPr>
            <w:r>
              <w:rPr>
                <w:rFonts w:hint="eastAsia" w:ascii="Times New Roman" w:hAnsi="Times New Roman" w:eastAsia="宋体"/>
                <w:sz w:val="21"/>
                <w:szCs w:val="21"/>
                <w:highlight w:val="none"/>
                <w:lang w:eastAsia="zh-CN"/>
              </w:rPr>
              <w:t xml:space="preserve">③ </w:t>
            </w:r>
            <w:r>
              <w:rPr>
                <w:rFonts w:hint="eastAsia" w:ascii="Times New Roman" w:hAnsi="Times New Roman"/>
                <w:sz w:val="21"/>
                <w:szCs w:val="21"/>
                <w:highlight w:val="none"/>
                <w:lang w:eastAsia="zh-CN"/>
              </w:rPr>
              <w:t>破碎进料口</w:t>
            </w:r>
            <w:r>
              <w:rPr>
                <w:rFonts w:hint="eastAsia" w:ascii="Times New Roman" w:hAnsi="Times New Roman" w:eastAsia="宋体"/>
                <w:sz w:val="21"/>
                <w:szCs w:val="21"/>
                <w:highlight w:val="none"/>
                <w:lang w:eastAsia="zh-CN"/>
              </w:rPr>
              <w:t>设置洒水</w:t>
            </w:r>
            <w:r>
              <w:rPr>
                <w:rFonts w:hint="eastAsia" w:ascii="Times New Roman" w:hAnsi="Times New Roman"/>
                <w:sz w:val="21"/>
                <w:szCs w:val="21"/>
                <w:highlight w:val="none"/>
                <w:lang w:eastAsia="zh-CN"/>
              </w:rPr>
              <w:t>喷管</w:t>
            </w:r>
            <w:r>
              <w:rPr>
                <w:rFonts w:hint="eastAsia" w:ascii="Times New Roman" w:hAnsi="Times New Roman" w:eastAsia="宋体"/>
                <w:sz w:val="21"/>
                <w:szCs w:val="21"/>
                <w:highlight w:val="none"/>
                <w:lang w:eastAsia="zh-CN"/>
              </w:rPr>
              <w:t>，</w:t>
            </w:r>
            <w:r>
              <w:rPr>
                <w:rFonts w:hint="eastAsia" w:ascii="Times New Roman" w:hAnsi="Times New Roman"/>
                <w:sz w:val="21"/>
                <w:szCs w:val="21"/>
                <w:highlight w:val="none"/>
                <w:lang w:eastAsia="zh-CN"/>
              </w:rPr>
              <w:t>湿式破碎，</w:t>
            </w:r>
            <w:r>
              <w:rPr>
                <w:rFonts w:hint="eastAsia" w:ascii="Times New Roman" w:hAnsi="Times New Roman" w:eastAsia="宋体"/>
                <w:sz w:val="21"/>
                <w:szCs w:val="21"/>
                <w:highlight w:val="none"/>
                <w:lang w:eastAsia="zh-CN"/>
              </w:rPr>
              <w:t>破碎筛分车间内部设备上方设置集气罩，经集气管道统一收集后采用布袋除尘器处理后经15m高</w:t>
            </w:r>
            <w:r>
              <w:rPr>
                <w:rFonts w:hint="eastAsia" w:ascii="Times New Roman" w:hAnsi="Times New Roman"/>
                <w:sz w:val="21"/>
                <w:szCs w:val="21"/>
                <w:highlight w:val="none"/>
                <w:lang w:val="en-US" w:eastAsia="zh-CN"/>
              </w:rPr>
              <w:t>1#</w:t>
            </w:r>
            <w:r>
              <w:rPr>
                <w:rFonts w:hint="eastAsia" w:ascii="Times New Roman" w:hAnsi="Times New Roman" w:eastAsia="宋体"/>
                <w:sz w:val="21"/>
                <w:szCs w:val="21"/>
                <w:highlight w:val="none"/>
                <w:lang w:eastAsia="zh-CN"/>
              </w:rPr>
              <w:t>排气筒（内径0.25m）排放</w:t>
            </w:r>
          </w:p>
        </w:tc>
        <w:tc>
          <w:tcPr>
            <w:tcW w:w="1988" w:type="dxa"/>
            <w:vAlign w:val="center"/>
          </w:tcPr>
          <w:p>
            <w:pPr>
              <w:ind w:firstLine="0" w:firstLineChars="0"/>
              <w:jc w:val="center"/>
              <w:rPr>
                <w:sz w:val="21"/>
                <w:szCs w:val="21"/>
                <w:highlight w:val="none"/>
              </w:rPr>
            </w:pPr>
            <w:r>
              <w:rPr>
                <w:rFonts w:hint="eastAsia"/>
                <w:sz w:val="21"/>
                <w:szCs w:val="21"/>
                <w:highlight w:val="none"/>
                <w:lang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422" w:type="dxa"/>
            <w:vMerge w:val="continue"/>
            <w:vAlign w:val="center"/>
          </w:tcPr>
          <w:p>
            <w:pPr>
              <w:ind w:firstLine="0" w:firstLineChars="0"/>
              <w:jc w:val="center"/>
              <w:rPr>
                <w:sz w:val="21"/>
                <w:szCs w:val="21"/>
                <w:highlight w:val="none"/>
              </w:rPr>
            </w:pPr>
          </w:p>
        </w:tc>
        <w:tc>
          <w:tcPr>
            <w:tcW w:w="1305" w:type="dxa"/>
            <w:gridSpan w:val="2"/>
            <w:vAlign w:val="center"/>
          </w:tcPr>
          <w:p>
            <w:pPr>
              <w:ind w:firstLine="0" w:firstLineChars="0"/>
              <w:jc w:val="center"/>
              <w:rPr>
                <w:rFonts w:hint="eastAsia" w:eastAsia="宋体"/>
                <w:sz w:val="21"/>
                <w:szCs w:val="21"/>
                <w:highlight w:val="none"/>
                <w:lang w:eastAsia="zh-CN"/>
              </w:rPr>
            </w:pPr>
            <w:r>
              <w:rPr>
                <w:rFonts w:hint="eastAsia"/>
                <w:sz w:val="21"/>
                <w:szCs w:val="21"/>
                <w:highlight w:val="none"/>
                <w:lang w:eastAsia="zh-CN"/>
              </w:rPr>
              <w:t>噪声</w:t>
            </w:r>
          </w:p>
        </w:tc>
        <w:tc>
          <w:tcPr>
            <w:tcW w:w="5285" w:type="dxa"/>
            <w:vAlign w:val="center"/>
          </w:tcPr>
          <w:p>
            <w:pPr>
              <w:ind w:left="0" w:leftChars="0" w:firstLine="0" w:firstLineChars="0"/>
              <w:rPr>
                <w:rFonts w:hint="eastAsia"/>
                <w:sz w:val="21"/>
                <w:szCs w:val="21"/>
                <w:highlight w:val="none"/>
              </w:rPr>
            </w:pPr>
            <w:r>
              <w:rPr>
                <w:rFonts w:hint="eastAsia"/>
                <w:sz w:val="21"/>
                <w:szCs w:val="21"/>
                <w:highlight w:val="none"/>
              </w:rPr>
              <w:t>墙体隔声、基础减震等措施</w:t>
            </w:r>
          </w:p>
        </w:tc>
        <w:tc>
          <w:tcPr>
            <w:tcW w:w="1988" w:type="dxa"/>
            <w:vAlign w:val="center"/>
          </w:tcPr>
          <w:p>
            <w:pPr>
              <w:ind w:firstLine="0" w:firstLineChars="0"/>
              <w:jc w:val="center"/>
              <w:rPr>
                <w:rFonts w:hint="eastAsia" w:eastAsia="宋体"/>
                <w:sz w:val="21"/>
                <w:szCs w:val="21"/>
                <w:highlight w:val="none"/>
                <w:lang w:eastAsia="zh-CN"/>
              </w:rPr>
            </w:pPr>
            <w:r>
              <w:rPr>
                <w:rFonts w:hint="eastAsia"/>
                <w:sz w:val="21"/>
                <w:szCs w:val="21"/>
                <w:highlight w:val="none"/>
                <w:lang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422" w:type="dxa"/>
            <w:vMerge w:val="continue"/>
            <w:vAlign w:val="center"/>
          </w:tcPr>
          <w:p>
            <w:pPr>
              <w:ind w:firstLine="0" w:firstLineChars="0"/>
              <w:jc w:val="center"/>
              <w:rPr>
                <w:sz w:val="21"/>
                <w:szCs w:val="21"/>
                <w:highlight w:val="none"/>
              </w:rPr>
            </w:pPr>
          </w:p>
        </w:tc>
        <w:tc>
          <w:tcPr>
            <w:tcW w:w="425" w:type="dxa"/>
            <w:vMerge w:val="restart"/>
            <w:vAlign w:val="center"/>
          </w:tcPr>
          <w:p>
            <w:pPr>
              <w:ind w:firstLine="0" w:firstLineChars="0"/>
              <w:jc w:val="center"/>
              <w:rPr>
                <w:sz w:val="21"/>
                <w:szCs w:val="21"/>
                <w:highlight w:val="none"/>
              </w:rPr>
            </w:pPr>
            <w:r>
              <w:rPr>
                <w:rFonts w:hint="eastAsia"/>
                <w:sz w:val="21"/>
                <w:szCs w:val="21"/>
                <w:highlight w:val="none"/>
              </w:rPr>
              <w:t>固废</w:t>
            </w:r>
          </w:p>
        </w:tc>
        <w:tc>
          <w:tcPr>
            <w:tcW w:w="880" w:type="dxa"/>
            <w:vAlign w:val="center"/>
          </w:tcPr>
          <w:p>
            <w:pPr>
              <w:ind w:firstLine="0" w:firstLineChars="0"/>
              <w:jc w:val="center"/>
              <w:rPr>
                <w:rFonts w:hint="eastAsia" w:eastAsia="宋体"/>
                <w:sz w:val="21"/>
                <w:szCs w:val="21"/>
                <w:highlight w:val="none"/>
                <w:lang w:eastAsia="zh-CN"/>
              </w:rPr>
            </w:pPr>
            <w:r>
              <w:rPr>
                <w:rFonts w:hint="eastAsia"/>
                <w:sz w:val="21"/>
                <w:szCs w:val="21"/>
                <w:highlight w:val="none"/>
                <w:lang w:eastAsia="zh-CN"/>
              </w:rPr>
              <w:t>排土场</w:t>
            </w:r>
          </w:p>
        </w:tc>
        <w:tc>
          <w:tcPr>
            <w:tcW w:w="5285" w:type="dxa"/>
            <w:vAlign w:val="center"/>
          </w:tcPr>
          <w:p>
            <w:pPr>
              <w:ind w:left="0" w:leftChars="0" w:firstLine="0" w:firstLineChars="0"/>
              <w:rPr>
                <w:rFonts w:hint="eastAsia" w:eastAsia="宋体"/>
                <w:sz w:val="21"/>
                <w:szCs w:val="21"/>
                <w:highlight w:val="none"/>
                <w:lang w:val="en-US" w:eastAsia="zh-CN"/>
              </w:rPr>
            </w:pPr>
            <w:r>
              <w:rPr>
                <w:rFonts w:hint="eastAsia"/>
                <w:sz w:val="21"/>
                <w:szCs w:val="21"/>
                <w:highlight w:val="none"/>
              </w:rPr>
              <w:t>表土堆场位于露天开采区西侧，占地面积</w:t>
            </w:r>
            <w:r>
              <w:rPr>
                <w:rFonts w:hint="eastAsia"/>
                <w:sz w:val="21"/>
                <w:szCs w:val="21"/>
                <w:highlight w:val="none"/>
                <w:lang w:val="en-US" w:eastAsia="zh-CN"/>
              </w:rPr>
              <w:t>1600</w:t>
            </w:r>
            <w:r>
              <w:rPr>
                <w:rFonts w:hint="eastAsia"/>
                <w:sz w:val="21"/>
                <w:szCs w:val="21"/>
                <w:highlight w:val="none"/>
              </w:rPr>
              <w:t>m²， 下游设置（长</w:t>
            </w:r>
            <w:r>
              <w:rPr>
                <w:rFonts w:hint="eastAsia"/>
                <w:sz w:val="21"/>
                <w:szCs w:val="21"/>
                <w:highlight w:val="none"/>
                <w:lang w:val="en-US" w:eastAsia="zh-CN"/>
              </w:rPr>
              <w:t>20</w:t>
            </w:r>
            <w:r>
              <w:rPr>
                <w:rFonts w:hint="eastAsia"/>
                <w:sz w:val="21"/>
                <w:szCs w:val="21"/>
                <w:highlight w:val="none"/>
              </w:rPr>
              <w:t>m、宽1m、高4m）的挡土墙；毡布覆盖；周围设置</w:t>
            </w:r>
            <w:r>
              <w:rPr>
                <w:rFonts w:hint="eastAsia"/>
                <w:sz w:val="21"/>
                <w:szCs w:val="21"/>
                <w:highlight w:val="none"/>
                <w:lang w:val="en-US" w:eastAsia="zh-CN"/>
              </w:rPr>
              <w:t>300</w:t>
            </w:r>
            <w:r>
              <w:rPr>
                <w:rFonts w:hint="eastAsia"/>
                <w:sz w:val="21"/>
                <w:szCs w:val="21"/>
                <w:highlight w:val="none"/>
              </w:rPr>
              <w:t>m截排水沟</w:t>
            </w:r>
            <w:r>
              <w:rPr>
                <w:rFonts w:hint="eastAsia"/>
                <w:sz w:val="21"/>
                <w:szCs w:val="21"/>
                <w:highlight w:val="none"/>
                <w:lang w:eastAsia="zh-CN"/>
              </w:rPr>
              <w:t>。</w:t>
            </w:r>
          </w:p>
        </w:tc>
        <w:tc>
          <w:tcPr>
            <w:tcW w:w="1988" w:type="dxa"/>
            <w:vAlign w:val="center"/>
          </w:tcPr>
          <w:p>
            <w:pPr>
              <w:ind w:firstLine="0" w:firstLineChars="0"/>
              <w:jc w:val="center"/>
              <w:rPr>
                <w:rFonts w:hint="eastAsia" w:eastAsia="宋体"/>
                <w:sz w:val="21"/>
                <w:szCs w:val="21"/>
                <w:highlight w:val="none"/>
                <w:lang w:eastAsia="zh-CN"/>
              </w:rPr>
            </w:pPr>
            <w:r>
              <w:rPr>
                <w:rFonts w:hint="eastAsia"/>
                <w:sz w:val="21"/>
                <w:szCs w:val="21"/>
                <w:highlight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422" w:type="dxa"/>
            <w:vMerge w:val="continue"/>
            <w:vAlign w:val="center"/>
          </w:tcPr>
          <w:p>
            <w:pPr>
              <w:ind w:firstLine="0" w:firstLineChars="0"/>
              <w:jc w:val="center"/>
              <w:rPr>
                <w:sz w:val="21"/>
                <w:szCs w:val="21"/>
                <w:highlight w:val="none"/>
              </w:rPr>
            </w:pPr>
          </w:p>
        </w:tc>
        <w:tc>
          <w:tcPr>
            <w:tcW w:w="425" w:type="dxa"/>
            <w:vMerge w:val="continue"/>
            <w:vAlign w:val="center"/>
          </w:tcPr>
          <w:p>
            <w:pPr>
              <w:ind w:firstLine="0" w:firstLineChars="0"/>
              <w:jc w:val="center"/>
              <w:rPr>
                <w:rFonts w:hint="eastAsia"/>
                <w:sz w:val="21"/>
                <w:szCs w:val="21"/>
                <w:highlight w:val="none"/>
              </w:rPr>
            </w:pPr>
          </w:p>
        </w:tc>
        <w:tc>
          <w:tcPr>
            <w:tcW w:w="880" w:type="dxa"/>
            <w:vAlign w:val="center"/>
          </w:tcPr>
          <w:p>
            <w:pPr>
              <w:ind w:firstLine="0" w:firstLineChars="0"/>
              <w:jc w:val="center"/>
              <w:rPr>
                <w:rFonts w:hint="eastAsia"/>
                <w:sz w:val="21"/>
                <w:szCs w:val="21"/>
                <w:highlight w:val="none"/>
              </w:rPr>
            </w:pPr>
            <w:r>
              <w:rPr>
                <w:rFonts w:hint="eastAsia"/>
                <w:sz w:val="21"/>
                <w:szCs w:val="21"/>
                <w:highlight w:val="none"/>
              </w:rPr>
              <w:t>危废暂存间</w:t>
            </w:r>
          </w:p>
        </w:tc>
        <w:tc>
          <w:tcPr>
            <w:tcW w:w="5285" w:type="dxa"/>
            <w:vAlign w:val="center"/>
          </w:tcPr>
          <w:p>
            <w:pPr>
              <w:ind w:left="0" w:leftChars="0" w:firstLine="0" w:firstLineChars="0"/>
              <w:rPr>
                <w:rFonts w:hint="eastAsia" w:eastAsia="宋体"/>
                <w:sz w:val="21"/>
                <w:szCs w:val="21"/>
                <w:highlight w:val="none"/>
                <w:lang w:eastAsia="zh-CN"/>
              </w:rPr>
            </w:pPr>
            <w:r>
              <w:rPr>
                <w:rFonts w:hint="eastAsia"/>
                <w:sz w:val="21"/>
                <w:szCs w:val="21"/>
                <w:highlight w:val="none"/>
              </w:rPr>
              <w:t>项目拟设置一个10m²的危废暂存间，位于生产加工区</w:t>
            </w:r>
            <w:r>
              <w:rPr>
                <w:rFonts w:hint="eastAsia"/>
                <w:sz w:val="21"/>
                <w:szCs w:val="21"/>
                <w:highlight w:val="none"/>
                <w:lang w:eastAsia="zh-CN"/>
              </w:rPr>
              <w:t>东</w:t>
            </w:r>
            <w:r>
              <w:rPr>
                <w:rFonts w:hint="eastAsia"/>
                <w:sz w:val="21"/>
                <w:szCs w:val="21"/>
                <w:highlight w:val="none"/>
              </w:rPr>
              <w:t>侧，暂存废机油等危险废物，委托有资质的单位处置</w:t>
            </w:r>
            <w:r>
              <w:rPr>
                <w:rFonts w:hint="eastAsia"/>
                <w:sz w:val="21"/>
                <w:szCs w:val="21"/>
                <w:highlight w:val="none"/>
                <w:lang w:eastAsia="zh-CN"/>
              </w:rPr>
              <w:t>。</w:t>
            </w:r>
          </w:p>
        </w:tc>
        <w:tc>
          <w:tcPr>
            <w:tcW w:w="1988" w:type="dxa"/>
            <w:vAlign w:val="center"/>
          </w:tcPr>
          <w:p>
            <w:pPr>
              <w:ind w:firstLine="0" w:firstLineChars="0"/>
              <w:jc w:val="center"/>
              <w:rPr>
                <w:rFonts w:hint="eastAsia" w:eastAsia="宋体"/>
                <w:sz w:val="21"/>
                <w:szCs w:val="21"/>
                <w:highlight w:val="none"/>
                <w:lang w:eastAsia="zh-CN"/>
              </w:rPr>
            </w:pPr>
            <w:r>
              <w:rPr>
                <w:rFonts w:hint="eastAsia"/>
                <w:sz w:val="21"/>
                <w:szCs w:val="21"/>
                <w:highlight w:val="none"/>
                <w:lang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422" w:type="dxa"/>
            <w:vMerge w:val="continue"/>
            <w:vAlign w:val="center"/>
          </w:tcPr>
          <w:p>
            <w:pPr>
              <w:ind w:firstLine="0" w:firstLineChars="0"/>
              <w:jc w:val="center"/>
              <w:rPr>
                <w:sz w:val="21"/>
                <w:szCs w:val="21"/>
                <w:highlight w:val="none"/>
              </w:rPr>
            </w:pPr>
          </w:p>
        </w:tc>
        <w:tc>
          <w:tcPr>
            <w:tcW w:w="425" w:type="dxa"/>
            <w:vMerge w:val="continue"/>
            <w:vAlign w:val="center"/>
          </w:tcPr>
          <w:p>
            <w:pPr>
              <w:ind w:firstLine="0" w:firstLineChars="0"/>
              <w:jc w:val="center"/>
              <w:rPr>
                <w:rFonts w:hint="eastAsia"/>
                <w:sz w:val="21"/>
                <w:szCs w:val="21"/>
                <w:highlight w:val="none"/>
              </w:rPr>
            </w:pPr>
          </w:p>
        </w:tc>
        <w:tc>
          <w:tcPr>
            <w:tcW w:w="880" w:type="dxa"/>
            <w:vAlign w:val="center"/>
          </w:tcPr>
          <w:p>
            <w:pPr>
              <w:ind w:firstLine="0" w:firstLineChars="0"/>
              <w:jc w:val="center"/>
              <w:rPr>
                <w:rFonts w:hint="eastAsia"/>
                <w:sz w:val="21"/>
                <w:szCs w:val="21"/>
                <w:highlight w:val="none"/>
              </w:rPr>
            </w:pPr>
            <w:r>
              <w:rPr>
                <w:rFonts w:hint="eastAsia"/>
                <w:sz w:val="21"/>
                <w:szCs w:val="21"/>
                <w:highlight w:val="none"/>
              </w:rPr>
              <w:t>垃圾收集桶</w:t>
            </w:r>
          </w:p>
        </w:tc>
        <w:tc>
          <w:tcPr>
            <w:tcW w:w="5285" w:type="dxa"/>
            <w:vAlign w:val="center"/>
          </w:tcPr>
          <w:p>
            <w:pPr>
              <w:ind w:left="0" w:leftChars="0" w:firstLine="0" w:firstLineChars="0"/>
              <w:rPr>
                <w:rFonts w:hint="eastAsia" w:eastAsia="宋体"/>
                <w:sz w:val="21"/>
                <w:szCs w:val="21"/>
                <w:highlight w:val="none"/>
                <w:lang w:eastAsia="zh-CN"/>
              </w:rPr>
            </w:pPr>
            <w:r>
              <w:rPr>
                <w:rFonts w:hint="eastAsia"/>
                <w:sz w:val="21"/>
                <w:szCs w:val="21"/>
                <w:highlight w:val="none"/>
              </w:rPr>
              <w:t>拟设置生活垃圾桶对生活垃圾进行收集，</w:t>
            </w:r>
            <w:r>
              <w:rPr>
                <w:rFonts w:hint="eastAsia"/>
                <w:sz w:val="21"/>
                <w:szCs w:val="21"/>
                <w:highlight w:val="none"/>
                <w:lang w:eastAsia="zh-CN"/>
              </w:rPr>
              <w:t>及时清运至卡子村垃圾收集点处置。</w:t>
            </w:r>
          </w:p>
        </w:tc>
        <w:tc>
          <w:tcPr>
            <w:tcW w:w="1988" w:type="dxa"/>
            <w:vAlign w:val="center"/>
          </w:tcPr>
          <w:p>
            <w:pPr>
              <w:ind w:firstLine="0" w:firstLineChars="0"/>
              <w:jc w:val="center"/>
              <w:rPr>
                <w:rFonts w:hint="eastAsia" w:eastAsia="宋体"/>
                <w:sz w:val="21"/>
                <w:szCs w:val="21"/>
                <w:highlight w:val="none"/>
                <w:lang w:eastAsia="zh-CN"/>
              </w:rPr>
            </w:pPr>
            <w:r>
              <w:rPr>
                <w:rFonts w:hint="eastAsia"/>
                <w:sz w:val="21"/>
                <w:szCs w:val="21"/>
                <w:highlight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422" w:type="dxa"/>
            <w:vMerge w:val="continue"/>
            <w:vAlign w:val="center"/>
          </w:tcPr>
          <w:p>
            <w:pPr>
              <w:ind w:firstLine="0" w:firstLineChars="0"/>
              <w:jc w:val="center"/>
              <w:rPr>
                <w:sz w:val="21"/>
                <w:szCs w:val="21"/>
                <w:highlight w:val="none"/>
              </w:rPr>
            </w:pPr>
          </w:p>
        </w:tc>
        <w:tc>
          <w:tcPr>
            <w:tcW w:w="1305" w:type="dxa"/>
            <w:gridSpan w:val="2"/>
            <w:vAlign w:val="center"/>
          </w:tcPr>
          <w:p>
            <w:pPr>
              <w:ind w:firstLine="0" w:firstLineChars="0"/>
              <w:jc w:val="center"/>
              <w:rPr>
                <w:rFonts w:hint="eastAsia" w:eastAsia="宋体"/>
                <w:sz w:val="21"/>
                <w:szCs w:val="21"/>
                <w:highlight w:val="none"/>
                <w:lang w:eastAsia="zh-CN"/>
              </w:rPr>
            </w:pPr>
            <w:r>
              <w:rPr>
                <w:rFonts w:hint="eastAsia"/>
                <w:sz w:val="21"/>
                <w:szCs w:val="21"/>
                <w:highlight w:val="none"/>
                <w:lang w:eastAsia="zh-CN"/>
              </w:rPr>
              <w:t>绿化</w:t>
            </w:r>
          </w:p>
        </w:tc>
        <w:tc>
          <w:tcPr>
            <w:tcW w:w="5285" w:type="dxa"/>
            <w:vAlign w:val="center"/>
          </w:tcPr>
          <w:p>
            <w:pPr>
              <w:ind w:left="0" w:leftChars="0" w:firstLine="0" w:firstLineChars="0"/>
              <w:rPr>
                <w:rFonts w:hint="default" w:eastAsia="宋体"/>
                <w:sz w:val="21"/>
                <w:szCs w:val="21"/>
                <w:highlight w:val="none"/>
                <w:lang w:val="en-US" w:eastAsia="zh-CN"/>
              </w:rPr>
            </w:pPr>
            <w:r>
              <w:rPr>
                <w:rFonts w:hint="eastAsia"/>
                <w:sz w:val="21"/>
                <w:szCs w:val="21"/>
                <w:highlight w:val="none"/>
                <w:lang w:eastAsia="zh-CN"/>
              </w:rPr>
              <w:t>矿区总绿化面积</w:t>
            </w:r>
            <w:r>
              <w:rPr>
                <w:rFonts w:hint="eastAsia"/>
                <w:sz w:val="21"/>
                <w:szCs w:val="21"/>
                <w:highlight w:val="none"/>
                <w:lang w:val="en-US" w:eastAsia="zh-CN"/>
              </w:rPr>
              <w:t>43000m</w:t>
            </w:r>
            <w:r>
              <w:rPr>
                <w:rFonts w:hint="eastAsia"/>
                <w:sz w:val="21"/>
                <w:szCs w:val="21"/>
                <w:highlight w:val="none"/>
                <w:vertAlign w:val="superscript"/>
                <w:lang w:val="en-US" w:eastAsia="zh-CN"/>
              </w:rPr>
              <w:t>2</w:t>
            </w:r>
          </w:p>
        </w:tc>
        <w:tc>
          <w:tcPr>
            <w:tcW w:w="1988" w:type="dxa"/>
            <w:vAlign w:val="center"/>
          </w:tcPr>
          <w:p>
            <w:pPr>
              <w:ind w:firstLine="0" w:firstLineChars="0"/>
              <w:jc w:val="center"/>
              <w:rPr>
                <w:rFonts w:hint="eastAsia" w:eastAsia="宋体"/>
                <w:sz w:val="21"/>
                <w:szCs w:val="21"/>
                <w:highlight w:val="none"/>
                <w:lang w:val="en-US" w:eastAsia="zh-CN"/>
              </w:rPr>
            </w:pPr>
            <w:r>
              <w:rPr>
                <w:rFonts w:hint="eastAsia"/>
                <w:sz w:val="21"/>
                <w:szCs w:val="21"/>
                <w:highlight w:val="none"/>
                <w:lang w:val="en-US" w:eastAsia="zh-CN"/>
              </w:rPr>
              <w:t>/</w:t>
            </w:r>
          </w:p>
        </w:tc>
      </w:tr>
    </w:tbl>
    <w:p>
      <w:pPr>
        <w:pStyle w:val="17"/>
        <w:ind w:firstLine="480"/>
        <w:rPr>
          <w:highlight w:val="none"/>
        </w:rPr>
      </w:pPr>
    </w:p>
    <w:p>
      <w:pPr>
        <w:pStyle w:val="5"/>
        <w:adjustRightInd w:val="0"/>
        <w:snapToGrid w:val="0"/>
        <w:rPr>
          <w:rFonts w:hint="default"/>
          <w:highlight w:val="none"/>
        </w:rPr>
      </w:pPr>
      <w:bookmarkStart w:id="308" w:name="_Toc30029"/>
      <w:r>
        <w:rPr>
          <w:rFonts w:hint="eastAsia"/>
          <w:highlight w:val="none"/>
          <w:lang w:val="en-US" w:eastAsia="zh-CN"/>
        </w:rPr>
        <w:t>2</w:t>
      </w:r>
      <w:r>
        <w:rPr>
          <w:highlight w:val="none"/>
        </w:rPr>
        <w:t>.1.3主要生产设备情况</w:t>
      </w:r>
      <w:bookmarkEnd w:id="308"/>
    </w:p>
    <w:p>
      <w:pPr>
        <w:ind w:firstLine="480"/>
        <w:rPr>
          <w:highlight w:val="none"/>
        </w:rPr>
      </w:pPr>
      <w:r>
        <w:rPr>
          <w:rFonts w:hint="eastAsia"/>
          <w:highlight w:val="none"/>
        </w:rPr>
        <w:t>项目主要设备情况见表</w:t>
      </w:r>
      <w:r>
        <w:rPr>
          <w:rFonts w:hint="eastAsia"/>
          <w:highlight w:val="none"/>
          <w:lang w:val="en-US" w:eastAsia="zh-CN"/>
        </w:rPr>
        <w:t>2</w:t>
      </w:r>
      <w:r>
        <w:rPr>
          <w:rFonts w:hint="eastAsia"/>
          <w:highlight w:val="none"/>
        </w:rPr>
        <w:t>-2所示：</w:t>
      </w:r>
    </w:p>
    <w:p>
      <w:pPr>
        <w:pStyle w:val="17"/>
        <w:ind w:firstLine="0" w:firstLineChars="0"/>
        <w:jc w:val="center"/>
        <w:rPr>
          <w:rFonts w:ascii="Times New Roman" w:hAnsi="Times New Roman"/>
          <w:b/>
          <w:bCs/>
          <w:sz w:val="21"/>
          <w:szCs w:val="21"/>
          <w:highlight w:val="none"/>
        </w:rPr>
      </w:pPr>
      <w:r>
        <w:rPr>
          <w:rFonts w:ascii="Times New Roman" w:hAnsi="Times New Roman"/>
          <w:b/>
          <w:bCs/>
          <w:sz w:val="21"/>
          <w:szCs w:val="21"/>
          <w:highlight w:val="none"/>
        </w:rPr>
        <w:t>表</w:t>
      </w:r>
      <w:r>
        <w:rPr>
          <w:rFonts w:hint="eastAsia" w:ascii="Times New Roman" w:hAnsi="Times New Roman"/>
          <w:b/>
          <w:bCs/>
          <w:sz w:val="21"/>
          <w:szCs w:val="21"/>
          <w:highlight w:val="none"/>
          <w:lang w:val="en-US" w:eastAsia="zh-CN"/>
        </w:rPr>
        <w:t>2</w:t>
      </w:r>
      <w:r>
        <w:rPr>
          <w:rFonts w:ascii="Times New Roman" w:hAnsi="Times New Roman"/>
          <w:b/>
          <w:bCs/>
          <w:sz w:val="21"/>
          <w:szCs w:val="21"/>
          <w:highlight w:val="none"/>
        </w:rPr>
        <w:t>-2  主要生产设备情况</w:t>
      </w:r>
    </w:p>
    <w:tbl>
      <w:tblPr>
        <w:tblStyle w:val="29"/>
        <w:tblW w:w="87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491"/>
        <w:gridCol w:w="2172"/>
        <w:gridCol w:w="1405"/>
        <w:gridCol w:w="1168"/>
        <w:gridCol w:w="1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7" w:type="dxa"/>
            <w:shd w:val="clear" w:color="auto" w:fill="auto"/>
            <w:vAlign w:val="center"/>
          </w:tcPr>
          <w:p>
            <w:pPr>
              <w:pStyle w:val="62"/>
              <w:spacing w:line="360" w:lineRule="auto"/>
              <w:rPr>
                <w:b/>
                <w:bCs/>
                <w:highlight w:val="none"/>
              </w:rPr>
            </w:pPr>
            <w:r>
              <w:rPr>
                <w:b/>
                <w:bCs/>
                <w:highlight w:val="none"/>
              </w:rPr>
              <w:t>序号</w:t>
            </w:r>
          </w:p>
        </w:tc>
        <w:tc>
          <w:tcPr>
            <w:tcW w:w="1491" w:type="dxa"/>
            <w:shd w:val="clear" w:color="auto" w:fill="auto"/>
            <w:vAlign w:val="center"/>
          </w:tcPr>
          <w:p>
            <w:pPr>
              <w:pStyle w:val="62"/>
              <w:spacing w:line="360" w:lineRule="auto"/>
              <w:rPr>
                <w:rFonts w:hint="eastAsia" w:eastAsia="宋体"/>
                <w:b/>
                <w:bCs/>
                <w:highlight w:val="none"/>
                <w:lang w:eastAsia="zh-CN"/>
              </w:rPr>
            </w:pPr>
            <w:r>
              <w:rPr>
                <w:rFonts w:hint="eastAsia"/>
                <w:b/>
                <w:bCs/>
                <w:highlight w:val="none"/>
                <w:lang w:eastAsia="zh-CN"/>
              </w:rPr>
              <w:t>使用区域</w:t>
            </w:r>
          </w:p>
        </w:tc>
        <w:tc>
          <w:tcPr>
            <w:tcW w:w="2172" w:type="dxa"/>
            <w:shd w:val="clear" w:color="auto" w:fill="auto"/>
            <w:vAlign w:val="center"/>
          </w:tcPr>
          <w:p>
            <w:pPr>
              <w:pStyle w:val="62"/>
              <w:spacing w:line="360" w:lineRule="auto"/>
              <w:rPr>
                <w:rFonts w:hint="eastAsia" w:eastAsia="宋体"/>
                <w:b/>
                <w:bCs/>
                <w:highlight w:val="none"/>
                <w:lang w:eastAsia="zh-CN"/>
              </w:rPr>
            </w:pPr>
            <w:r>
              <w:rPr>
                <w:rFonts w:hint="eastAsia"/>
                <w:b/>
                <w:bCs/>
                <w:highlight w:val="none"/>
                <w:lang w:eastAsia="zh-CN"/>
              </w:rPr>
              <w:t>设备名称</w:t>
            </w:r>
          </w:p>
        </w:tc>
        <w:tc>
          <w:tcPr>
            <w:tcW w:w="1405" w:type="dxa"/>
            <w:shd w:val="clear" w:color="auto" w:fill="auto"/>
            <w:vAlign w:val="center"/>
          </w:tcPr>
          <w:p>
            <w:pPr>
              <w:pStyle w:val="62"/>
              <w:spacing w:line="360" w:lineRule="auto"/>
              <w:rPr>
                <w:rFonts w:hint="eastAsia" w:eastAsia="宋体"/>
                <w:b/>
                <w:bCs/>
                <w:highlight w:val="none"/>
                <w:lang w:eastAsia="zh-CN"/>
              </w:rPr>
            </w:pPr>
            <w:r>
              <w:rPr>
                <w:rFonts w:hint="eastAsia"/>
                <w:b/>
                <w:bCs/>
                <w:highlight w:val="none"/>
                <w:lang w:eastAsia="zh-CN"/>
              </w:rPr>
              <w:t>型号</w:t>
            </w:r>
          </w:p>
        </w:tc>
        <w:tc>
          <w:tcPr>
            <w:tcW w:w="1168" w:type="dxa"/>
            <w:shd w:val="clear" w:color="auto" w:fill="auto"/>
            <w:vAlign w:val="center"/>
          </w:tcPr>
          <w:p>
            <w:pPr>
              <w:pStyle w:val="62"/>
              <w:spacing w:line="360" w:lineRule="auto"/>
              <w:rPr>
                <w:rFonts w:hint="eastAsia" w:eastAsia="宋体"/>
                <w:b/>
                <w:bCs/>
                <w:highlight w:val="none"/>
                <w:lang w:eastAsia="zh-CN"/>
              </w:rPr>
            </w:pPr>
            <w:r>
              <w:rPr>
                <w:b/>
                <w:bCs/>
                <w:highlight w:val="none"/>
              </w:rPr>
              <w:t>数量</w:t>
            </w:r>
            <w:r>
              <w:rPr>
                <w:rFonts w:hint="eastAsia"/>
                <w:b/>
                <w:bCs/>
                <w:highlight w:val="none"/>
                <w:lang w:eastAsia="zh-CN"/>
              </w:rPr>
              <w:t>（台）</w:t>
            </w:r>
          </w:p>
        </w:tc>
        <w:tc>
          <w:tcPr>
            <w:tcW w:w="1837" w:type="dxa"/>
            <w:shd w:val="clear" w:color="auto" w:fill="auto"/>
            <w:vAlign w:val="center"/>
          </w:tcPr>
          <w:p>
            <w:pPr>
              <w:pStyle w:val="62"/>
              <w:spacing w:line="360" w:lineRule="auto"/>
              <w:rPr>
                <w:b/>
                <w:bCs/>
                <w:highlight w:val="none"/>
              </w:rPr>
            </w:pPr>
            <w:r>
              <w:rPr>
                <w:b/>
                <w:bCs/>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7" w:type="dxa"/>
            <w:vMerge w:val="restart"/>
            <w:vAlign w:val="center"/>
          </w:tcPr>
          <w:p>
            <w:pPr>
              <w:pStyle w:val="62"/>
              <w:spacing w:line="360" w:lineRule="auto"/>
              <w:rPr>
                <w:rFonts w:hint="eastAsia" w:eastAsia="宋体"/>
                <w:highlight w:val="none"/>
                <w:lang w:val="en-US" w:eastAsia="zh-CN"/>
              </w:rPr>
            </w:pPr>
            <w:r>
              <w:rPr>
                <w:rFonts w:hint="eastAsia"/>
                <w:highlight w:val="none"/>
                <w:lang w:val="en-US" w:eastAsia="zh-CN"/>
              </w:rPr>
              <w:t>1</w:t>
            </w:r>
          </w:p>
        </w:tc>
        <w:tc>
          <w:tcPr>
            <w:tcW w:w="1491" w:type="dxa"/>
            <w:vMerge w:val="restart"/>
            <w:vAlign w:val="center"/>
          </w:tcPr>
          <w:p>
            <w:pPr>
              <w:widowControl/>
              <w:ind w:right="-108"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露天开采区</w:t>
            </w:r>
          </w:p>
        </w:tc>
        <w:tc>
          <w:tcPr>
            <w:tcW w:w="2172" w:type="dxa"/>
            <w:vAlign w:val="center"/>
          </w:tcPr>
          <w:p>
            <w:pPr>
              <w:widowControl/>
              <w:ind w:firstLine="0" w:firstLineChars="0"/>
              <w:jc w:val="center"/>
              <w:rPr>
                <w:sz w:val="21"/>
                <w:szCs w:val="21"/>
                <w:highlight w:val="none"/>
              </w:rPr>
            </w:pPr>
            <w:r>
              <w:rPr>
                <w:rFonts w:hint="eastAsia"/>
                <w:sz w:val="21"/>
                <w:szCs w:val="21"/>
                <w:highlight w:val="none"/>
              </w:rPr>
              <w:t>凿岩机</w:t>
            </w:r>
          </w:p>
        </w:tc>
        <w:tc>
          <w:tcPr>
            <w:tcW w:w="1405" w:type="dxa"/>
            <w:vAlign w:val="center"/>
          </w:tcPr>
          <w:p>
            <w:pPr>
              <w:pStyle w:val="62"/>
              <w:spacing w:line="360" w:lineRule="auto"/>
              <w:rPr>
                <w:highlight w:val="none"/>
              </w:rPr>
            </w:pPr>
            <w:r>
              <w:rPr>
                <w:rFonts w:hint="eastAsia"/>
                <w:highlight w:val="none"/>
              </w:rPr>
              <w:t>KQD100 型</w:t>
            </w:r>
          </w:p>
        </w:tc>
        <w:tc>
          <w:tcPr>
            <w:tcW w:w="1168" w:type="dxa"/>
            <w:vAlign w:val="center"/>
          </w:tcPr>
          <w:p>
            <w:pPr>
              <w:pStyle w:val="62"/>
              <w:spacing w:line="360" w:lineRule="auto"/>
              <w:rPr>
                <w:rFonts w:hint="eastAsia" w:eastAsia="宋体"/>
                <w:highlight w:val="none"/>
                <w:lang w:val="en-US" w:eastAsia="zh-CN"/>
              </w:rPr>
            </w:pPr>
            <w:r>
              <w:rPr>
                <w:rFonts w:hint="eastAsia"/>
                <w:highlight w:val="none"/>
                <w:lang w:val="en-US" w:eastAsia="zh-CN"/>
              </w:rPr>
              <w:t>6</w:t>
            </w:r>
          </w:p>
        </w:tc>
        <w:tc>
          <w:tcPr>
            <w:tcW w:w="1837" w:type="dxa"/>
            <w:vMerge w:val="restart"/>
            <w:vAlign w:val="center"/>
          </w:tcPr>
          <w:p>
            <w:pPr>
              <w:pStyle w:val="62"/>
              <w:spacing w:line="360" w:lineRule="auto"/>
              <w:rPr>
                <w:rFonts w:hint="eastAsia" w:eastAsia="宋体"/>
                <w:highlight w:val="none"/>
                <w:lang w:eastAsia="zh-CN"/>
              </w:rPr>
            </w:pPr>
            <w:r>
              <w:rPr>
                <w:rFonts w:hint="eastAsia"/>
                <w:highlight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7" w:type="dxa"/>
            <w:vMerge w:val="continue"/>
            <w:vAlign w:val="center"/>
          </w:tcPr>
          <w:p>
            <w:pPr>
              <w:pStyle w:val="62"/>
              <w:spacing w:line="360" w:lineRule="auto"/>
              <w:rPr>
                <w:highlight w:val="none"/>
              </w:rPr>
            </w:pPr>
          </w:p>
        </w:tc>
        <w:tc>
          <w:tcPr>
            <w:tcW w:w="1491" w:type="dxa"/>
            <w:vMerge w:val="continue"/>
            <w:vAlign w:val="center"/>
          </w:tcPr>
          <w:p>
            <w:pPr>
              <w:widowControl/>
              <w:ind w:right="-108" w:firstLine="0" w:firstLineChars="0"/>
              <w:jc w:val="center"/>
              <w:rPr>
                <w:sz w:val="21"/>
                <w:szCs w:val="21"/>
                <w:highlight w:val="none"/>
              </w:rPr>
            </w:pPr>
          </w:p>
        </w:tc>
        <w:tc>
          <w:tcPr>
            <w:tcW w:w="2172" w:type="dxa"/>
            <w:vAlign w:val="center"/>
          </w:tcPr>
          <w:p>
            <w:pPr>
              <w:ind w:firstLine="0" w:firstLineChars="0"/>
              <w:jc w:val="center"/>
              <w:rPr>
                <w:rFonts w:hint="eastAsia" w:eastAsia="宋体"/>
                <w:sz w:val="21"/>
                <w:szCs w:val="21"/>
                <w:highlight w:val="none"/>
                <w:lang w:eastAsia="zh-CN"/>
              </w:rPr>
            </w:pPr>
            <w:r>
              <w:rPr>
                <w:rFonts w:hint="eastAsia"/>
                <w:sz w:val="21"/>
                <w:szCs w:val="21"/>
                <w:highlight w:val="none"/>
                <w:lang w:eastAsia="zh-CN"/>
              </w:rPr>
              <w:t>挖掘机</w:t>
            </w:r>
          </w:p>
        </w:tc>
        <w:tc>
          <w:tcPr>
            <w:tcW w:w="1405" w:type="dxa"/>
            <w:vAlign w:val="center"/>
          </w:tcPr>
          <w:p>
            <w:pPr>
              <w:pStyle w:val="62"/>
              <w:spacing w:line="360" w:lineRule="auto"/>
              <w:rPr>
                <w:rFonts w:hint="default" w:eastAsia="宋体"/>
                <w:highlight w:val="none"/>
                <w:lang w:val="en-US" w:eastAsia="zh-CN"/>
              </w:rPr>
            </w:pPr>
            <w:r>
              <w:rPr>
                <w:rFonts w:hint="eastAsia"/>
                <w:highlight w:val="none"/>
                <w:lang w:eastAsia="zh-CN"/>
              </w:rPr>
              <w:t>卡特</w:t>
            </w:r>
            <w:r>
              <w:rPr>
                <w:rFonts w:hint="eastAsia"/>
                <w:highlight w:val="none"/>
                <w:lang w:val="en-US" w:eastAsia="zh-CN"/>
              </w:rPr>
              <w:t>336</w:t>
            </w:r>
          </w:p>
        </w:tc>
        <w:tc>
          <w:tcPr>
            <w:tcW w:w="1168" w:type="dxa"/>
            <w:vAlign w:val="center"/>
          </w:tcPr>
          <w:p>
            <w:pPr>
              <w:pStyle w:val="62"/>
              <w:spacing w:line="360" w:lineRule="auto"/>
              <w:rPr>
                <w:rFonts w:hint="eastAsia" w:eastAsia="宋体"/>
                <w:highlight w:val="none"/>
                <w:lang w:eastAsia="zh-CN"/>
              </w:rPr>
            </w:pPr>
            <w:r>
              <w:rPr>
                <w:rFonts w:hint="eastAsia"/>
                <w:highlight w:val="none"/>
                <w:lang w:val="en-US" w:eastAsia="zh-CN"/>
              </w:rPr>
              <w:t>4</w:t>
            </w:r>
          </w:p>
        </w:tc>
        <w:tc>
          <w:tcPr>
            <w:tcW w:w="1837" w:type="dxa"/>
            <w:vMerge w:val="continue"/>
            <w:vAlign w:val="center"/>
          </w:tcPr>
          <w:p>
            <w:pPr>
              <w:pStyle w:val="62"/>
              <w:spacing w:line="360" w:lineRule="auto"/>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7" w:type="dxa"/>
            <w:vMerge w:val="continue"/>
            <w:vAlign w:val="center"/>
          </w:tcPr>
          <w:p>
            <w:pPr>
              <w:pStyle w:val="62"/>
              <w:spacing w:line="360" w:lineRule="auto"/>
              <w:rPr>
                <w:highlight w:val="none"/>
              </w:rPr>
            </w:pPr>
          </w:p>
        </w:tc>
        <w:tc>
          <w:tcPr>
            <w:tcW w:w="1491" w:type="dxa"/>
            <w:vMerge w:val="continue"/>
            <w:vAlign w:val="center"/>
          </w:tcPr>
          <w:p>
            <w:pPr>
              <w:ind w:firstLine="0" w:firstLineChars="0"/>
              <w:jc w:val="center"/>
              <w:rPr>
                <w:sz w:val="21"/>
                <w:szCs w:val="21"/>
                <w:highlight w:val="none"/>
              </w:rPr>
            </w:pPr>
          </w:p>
        </w:tc>
        <w:tc>
          <w:tcPr>
            <w:tcW w:w="2172" w:type="dxa"/>
            <w:vAlign w:val="center"/>
          </w:tcPr>
          <w:p>
            <w:pPr>
              <w:pStyle w:val="62"/>
              <w:spacing w:line="360" w:lineRule="auto"/>
              <w:rPr>
                <w:highlight w:val="none"/>
              </w:rPr>
            </w:pPr>
            <w:r>
              <w:rPr>
                <w:rFonts w:hint="eastAsia"/>
                <w:sz w:val="21"/>
                <w:szCs w:val="21"/>
                <w:highlight w:val="none"/>
                <w:lang w:eastAsia="zh-CN"/>
              </w:rPr>
              <w:t>挖掘机</w:t>
            </w:r>
          </w:p>
        </w:tc>
        <w:tc>
          <w:tcPr>
            <w:tcW w:w="1405" w:type="dxa"/>
            <w:vAlign w:val="center"/>
          </w:tcPr>
          <w:p>
            <w:pPr>
              <w:pStyle w:val="62"/>
              <w:spacing w:line="360" w:lineRule="auto"/>
              <w:rPr>
                <w:rFonts w:hint="default" w:eastAsia="宋体"/>
                <w:highlight w:val="none"/>
                <w:lang w:val="en-US" w:eastAsia="zh-CN"/>
              </w:rPr>
            </w:pPr>
            <w:r>
              <w:rPr>
                <w:rFonts w:hint="eastAsia"/>
                <w:highlight w:val="none"/>
                <w:lang w:eastAsia="zh-CN"/>
              </w:rPr>
              <w:t>卡特</w:t>
            </w:r>
            <w:r>
              <w:rPr>
                <w:rFonts w:hint="eastAsia"/>
                <w:highlight w:val="none"/>
                <w:lang w:val="en-US" w:eastAsia="zh-CN"/>
              </w:rPr>
              <w:t>320</w:t>
            </w:r>
          </w:p>
        </w:tc>
        <w:tc>
          <w:tcPr>
            <w:tcW w:w="1168" w:type="dxa"/>
            <w:vAlign w:val="center"/>
          </w:tcPr>
          <w:p>
            <w:pPr>
              <w:pStyle w:val="62"/>
              <w:spacing w:line="360" w:lineRule="auto"/>
              <w:rPr>
                <w:rFonts w:hint="eastAsia" w:eastAsia="宋体"/>
                <w:highlight w:val="none"/>
                <w:lang w:eastAsia="zh-CN"/>
              </w:rPr>
            </w:pPr>
            <w:r>
              <w:rPr>
                <w:rFonts w:hint="eastAsia"/>
                <w:highlight w:val="none"/>
                <w:lang w:val="en-US" w:eastAsia="zh-CN"/>
              </w:rPr>
              <w:t>4</w:t>
            </w:r>
          </w:p>
        </w:tc>
        <w:tc>
          <w:tcPr>
            <w:tcW w:w="1837" w:type="dxa"/>
            <w:vMerge w:val="continue"/>
            <w:vAlign w:val="center"/>
          </w:tcPr>
          <w:p>
            <w:pPr>
              <w:pStyle w:val="62"/>
              <w:spacing w:line="360" w:lineRule="auto"/>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7" w:type="dxa"/>
            <w:vMerge w:val="continue"/>
            <w:vAlign w:val="center"/>
          </w:tcPr>
          <w:p>
            <w:pPr>
              <w:pStyle w:val="62"/>
              <w:spacing w:line="360" w:lineRule="auto"/>
              <w:rPr>
                <w:highlight w:val="none"/>
              </w:rPr>
            </w:pPr>
          </w:p>
        </w:tc>
        <w:tc>
          <w:tcPr>
            <w:tcW w:w="1491" w:type="dxa"/>
            <w:vMerge w:val="continue"/>
            <w:vAlign w:val="center"/>
          </w:tcPr>
          <w:p>
            <w:pPr>
              <w:widowControl/>
              <w:ind w:firstLine="0" w:firstLineChars="0"/>
              <w:jc w:val="center"/>
              <w:rPr>
                <w:sz w:val="21"/>
                <w:szCs w:val="21"/>
                <w:highlight w:val="none"/>
              </w:rPr>
            </w:pPr>
          </w:p>
        </w:tc>
        <w:tc>
          <w:tcPr>
            <w:tcW w:w="2172" w:type="dxa"/>
            <w:vAlign w:val="center"/>
          </w:tcPr>
          <w:p>
            <w:pPr>
              <w:widowControl/>
              <w:ind w:firstLine="0" w:firstLineChars="0"/>
              <w:jc w:val="center"/>
              <w:rPr>
                <w:sz w:val="21"/>
                <w:szCs w:val="21"/>
                <w:highlight w:val="none"/>
              </w:rPr>
            </w:pPr>
            <w:r>
              <w:rPr>
                <w:rFonts w:hint="eastAsia"/>
                <w:sz w:val="21"/>
                <w:szCs w:val="21"/>
                <w:highlight w:val="none"/>
              </w:rPr>
              <w:t>挖掘机</w:t>
            </w:r>
          </w:p>
        </w:tc>
        <w:tc>
          <w:tcPr>
            <w:tcW w:w="1405" w:type="dxa"/>
            <w:vAlign w:val="center"/>
          </w:tcPr>
          <w:p>
            <w:pPr>
              <w:pStyle w:val="62"/>
              <w:spacing w:line="360" w:lineRule="auto"/>
              <w:rPr>
                <w:rFonts w:hint="default" w:eastAsia="宋体"/>
                <w:highlight w:val="none"/>
                <w:lang w:val="en-US" w:eastAsia="zh-CN"/>
              </w:rPr>
            </w:pPr>
            <w:r>
              <w:rPr>
                <w:rFonts w:hint="eastAsia"/>
                <w:highlight w:val="none"/>
                <w:lang w:eastAsia="zh-CN"/>
              </w:rPr>
              <w:t>卡特</w:t>
            </w:r>
            <w:r>
              <w:rPr>
                <w:rFonts w:hint="eastAsia"/>
                <w:highlight w:val="none"/>
                <w:lang w:val="en-US" w:eastAsia="zh-CN"/>
              </w:rPr>
              <w:t>324</w:t>
            </w:r>
          </w:p>
        </w:tc>
        <w:tc>
          <w:tcPr>
            <w:tcW w:w="1168" w:type="dxa"/>
            <w:vAlign w:val="center"/>
          </w:tcPr>
          <w:p>
            <w:pPr>
              <w:pStyle w:val="62"/>
              <w:spacing w:line="360" w:lineRule="auto"/>
              <w:rPr>
                <w:rFonts w:hint="eastAsia" w:eastAsia="宋体"/>
                <w:highlight w:val="none"/>
                <w:lang w:eastAsia="zh-CN"/>
              </w:rPr>
            </w:pPr>
            <w:r>
              <w:rPr>
                <w:rFonts w:hint="eastAsia"/>
                <w:highlight w:val="none"/>
                <w:lang w:val="en-US" w:eastAsia="zh-CN"/>
              </w:rPr>
              <w:t>4</w:t>
            </w:r>
          </w:p>
        </w:tc>
        <w:tc>
          <w:tcPr>
            <w:tcW w:w="1837" w:type="dxa"/>
            <w:vMerge w:val="continue"/>
            <w:vAlign w:val="center"/>
          </w:tcPr>
          <w:p>
            <w:pPr>
              <w:pStyle w:val="62"/>
              <w:spacing w:line="360" w:lineRule="auto"/>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7" w:type="dxa"/>
            <w:vMerge w:val="continue"/>
            <w:vAlign w:val="center"/>
          </w:tcPr>
          <w:p>
            <w:pPr>
              <w:pStyle w:val="62"/>
              <w:spacing w:line="360" w:lineRule="auto"/>
              <w:rPr>
                <w:color w:val="FF0000"/>
                <w:highlight w:val="none"/>
              </w:rPr>
            </w:pPr>
          </w:p>
        </w:tc>
        <w:tc>
          <w:tcPr>
            <w:tcW w:w="1491" w:type="dxa"/>
            <w:vMerge w:val="continue"/>
            <w:vAlign w:val="center"/>
          </w:tcPr>
          <w:p>
            <w:pPr>
              <w:ind w:firstLine="0" w:firstLineChars="0"/>
              <w:jc w:val="center"/>
              <w:rPr>
                <w:color w:val="FF0000"/>
                <w:sz w:val="21"/>
                <w:szCs w:val="21"/>
                <w:highlight w:val="none"/>
              </w:rPr>
            </w:pPr>
          </w:p>
        </w:tc>
        <w:tc>
          <w:tcPr>
            <w:tcW w:w="2172" w:type="dxa"/>
            <w:vAlign w:val="center"/>
          </w:tcPr>
          <w:p>
            <w:pPr>
              <w:pStyle w:val="62"/>
              <w:spacing w:line="360" w:lineRule="auto"/>
              <w:rPr>
                <w:rFonts w:hint="eastAsia" w:eastAsia="宋体"/>
                <w:color w:val="auto"/>
                <w:highlight w:val="none"/>
                <w:lang w:eastAsia="zh-CN"/>
              </w:rPr>
            </w:pPr>
            <w:r>
              <w:rPr>
                <w:rFonts w:hint="eastAsia"/>
                <w:color w:val="auto"/>
                <w:highlight w:val="none"/>
                <w:lang w:eastAsia="zh-CN"/>
              </w:rPr>
              <w:t>装载机（成工）</w:t>
            </w:r>
          </w:p>
        </w:tc>
        <w:tc>
          <w:tcPr>
            <w:tcW w:w="1405" w:type="dxa"/>
            <w:vAlign w:val="center"/>
          </w:tcPr>
          <w:p>
            <w:pPr>
              <w:pStyle w:val="62"/>
              <w:spacing w:line="360" w:lineRule="auto"/>
              <w:rPr>
                <w:rFonts w:hint="default" w:eastAsia="宋体"/>
                <w:color w:val="auto"/>
                <w:highlight w:val="none"/>
                <w:lang w:val="en-US" w:eastAsia="zh-CN"/>
              </w:rPr>
            </w:pPr>
            <w:r>
              <w:rPr>
                <w:rFonts w:hint="eastAsia"/>
                <w:color w:val="auto"/>
                <w:highlight w:val="none"/>
                <w:lang w:val="en-US" w:eastAsia="zh-CN"/>
              </w:rPr>
              <w:t>956C</w:t>
            </w:r>
          </w:p>
        </w:tc>
        <w:tc>
          <w:tcPr>
            <w:tcW w:w="1168" w:type="dxa"/>
            <w:vAlign w:val="center"/>
          </w:tcPr>
          <w:p>
            <w:pPr>
              <w:pStyle w:val="62"/>
              <w:spacing w:line="360" w:lineRule="auto"/>
              <w:rPr>
                <w:rFonts w:hint="eastAsia" w:eastAsia="宋体"/>
                <w:color w:val="auto"/>
                <w:highlight w:val="none"/>
                <w:lang w:eastAsia="zh-CN"/>
              </w:rPr>
            </w:pPr>
            <w:r>
              <w:rPr>
                <w:rFonts w:hint="eastAsia"/>
                <w:color w:val="auto"/>
                <w:highlight w:val="none"/>
                <w:lang w:val="en-US" w:eastAsia="zh-CN"/>
              </w:rPr>
              <w:t>2</w:t>
            </w:r>
          </w:p>
        </w:tc>
        <w:tc>
          <w:tcPr>
            <w:tcW w:w="1837" w:type="dxa"/>
            <w:vMerge w:val="continue"/>
            <w:vAlign w:val="center"/>
          </w:tcPr>
          <w:p>
            <w:pPr>
              <w:pStyle w:val="62"/>
              <w:spacing w:line="360" w:lineRule="auto"/>
              <w:rPr>
                <w:color w:val="FF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7" w:type="dxa"/>
            <w:vMerge w:val="continue"/>
            <w:vAlign w:val="center"/>
          </w:tcPr>
          <w:p>
            <w:pPr>
              <w:pStyle w:val="62"/>
              <w:spacing w:line="360" w:lineRule="auto"/>
              <w:rPr>
                <w:highlight w:val="none"/>
              </w:rPr>
            </w:pPr>
          </w:p>
        </w:tc>
        <w:tc>
          <w:tcPr>
            <w:tcW w:w="1491" w:type="dxa"/>
            <w:vMerge w:val="continue"/>
            <w:vAlign w:val="center"/>
          </w:tcPr>
          <w:p>
            <w:pPr>
              <w:widowControl/>
              <w:ind w:right="-108" w:firstLine="0" w:firstLineChars="0"/>
              <w:jc w:val="center"/>
              <w:rPr>
                <w:sz w:val="21"/>
                <w:szCs w:val="21"/>
                <w:highlight w:val="none"/>
              </w:rPr>
            </w:pPr>
          </w:p>
        </w:tc>
        <w:tc>
          <w:tcPr>
            <w:tcW w:w="2172" w:type="dxa"/>
            <w:vAlign w:val="center"/>
          </w:tcPr>
          <w:p>
            <w:pPr>
              <w:widowControl/>
              <w:ind w:firstLine="0" w:firstLineChars="0"/>
              <w:jc w:val="center"/>
              <w:rPr>
                <w:rFonts w:hint="eastAsia" w:eastAsia="宋体"/>
                <w:sz w:val="21"/>
                <w:szCs w:val="21"/>
                <w:highlight w:val="none"/>
                <w:lang w:eastAsia="zh-CN"/>
              </w:rPr>
            </w:pPr>
            <w:r>
              <w:rPr>
                <w:rFonts w:hint="eastAsia"/>
                <w:sz w:val="21"/>
                <w:szCs w:val="21"/>
                <w:highlight w:val="none"/>
                <w:lang w:eastAsia="zh-CN"/>
              </w:rPr>
              <w:t>装载机（柳工）</w:t>
            </w:r>
          </w:p>
        </w:tc>
        <w:tc>
          <w:tcPr>
            <w:tcW w:w="1405" w:type="dxa"/>
            <w:vAlign w:val="center"/>
          </w:tcPr>
          <w:p>
            <w:pPr>
              <w:pStyle w:val="62"/>
              <w:spacing w:line="360" w:lineRule="auto"/>
              <w:rPr>
                <w:rFonts w:hint="default" w:eastAsia="宋体"/>
                <w:highlight w:val="none"/>
                <w:lang w:val="en-US" w:eastAsia="zh-CN"/>
              </w:rPr>
            </w:pPr>
            <w:r>
              <w:rPr>
                <w:rFonts w:hint="eastAsia"/>
                <w:highlight w:val="none"/>
                <w:lang w:val="en-US" w:eastAsia="zh-CN"/>
              </w:rPr>
              <w:t>966H</w:t>
            </w:r>
          </w:p>
        </w:tc>
        <w:tc>
          <w:tcPr>
            <w:tcW w:w="1168" w:type="dxa"/>
            <w:vAlign w:val="center"/>
          </w:tcPr>
          <w:p>
            <w:pPr>
              <w:pStyle w:val="62"/>
              <w:spacing w:line="360" w:lineRule="auto"/>
              <w:rPr>
                <w:rFonts w:hint="eastAsia" w:eastAsia="宋体"/>
                <w:highlight w:val="none"/>
                <w:lang w:eastAsia="zh-CN"/>
              </w:rPr>
            </w:pPr>
            <w:r>
              <w:rPr>
                <w:rFonts w:hint="eastAsia"/>
                <w:highlight w:val="none"/>
                <w:lang w:val="en-US" w:eastAsia="zh-CN"/>
              </w:rPr>
              <w:t>4</w:t>
            </w:r>
          </w:p>
        </w:tc>
        <w:tc>
          <w:tcPr>
            <w:tcW w:w="1837" w:type="dxa"/>
            <w:vMerge w:val="continue"/>
            <w:vAlign w:val="center"/>
          </w:tcPr>
          <w:p>
            <w:pPr>
              <w:pStyle w:val="62"/>
              <w:spacing w:line="360" w:lineRule="auto"/>
              <w:rPr>
                <w:b w:val="0"/>
                <w:bCs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7" w:type="dxa"/>
            <w:vMerge w:val="continue"/>
            <w:vAlign w:val="center"/>
          </w:tcPr>
          <w:p>
            <w:pPr>
              <w:pStyle w:val="62"/>
              <w:spacing w:line="360" w:lineRule="auto"/>
              <w:rPr>
                <w:highlight w:val="none"/>
              </w:rPr>
            </w:pPr>
          </w:p>
        </w:tc>
        <w:tc>
          <w:tcPr>
            <w:tcW w:w="1491" w:type="dxa"/>
            <w:vMerge w:val="continue"/>
            <w:vAlign w:val="center"/>
          </w:tcPr>
          <w:p>
            <w:pPr>
              <w:widowControl/>
              <w:ind w:right="-108" w:firstLine="0" w:firstLineChars="0"/>
              <w:jc w:val="center"/>
              <w:rPr>
                <w:sz w:val="21"/>
                <w:szCs w:val="21"/>
                <w:highlight w:val="none"/>
              </w:rPr>
            </w:pPr>
          </w:p>
        </w:tc>
        <w:tc>
          <w:tcPr>
            <w:tcW w:w="2172" w:type="dxa"/>
            <w:vAlign w:val="center"/>
          </w:tcPr>
          <w:p>
            <w:pPr>
              <w:widowControl/>
              <w:ind w:firstLine="0" w:firstLineChars="0"/>
              <w:jc w:val="center"/>
              <w:rPr>
                <w:rFonts w:hint="default" w:eastAsia="宋体"/>
                <w:sz w:val="21"/>
                <w:szCs w:val="21"/>
                <w:highlight w:val="none"/>
                <w:lang w:val="en-US" w:eastAsia="zh-CN"/>
              </w:rPr>
            </w:pPr>
            <w:r>
              <w:rPr>
                <w:rFonts w:hint="eastAsia"/>
                <w:sz w:val="21"/>
                <w:szCs w:val="21"/>
                <w:highlight w:val="none"/>
                <w:lang w:eastAsia="zh-CN"/>
              </w:rPr>
              <w:t>装载机（柳工）</w:t>
            </w:r>
          </w:p>
        </w:tc>
        <w:tc>
          <w:tcPr>
            <w:tcW w:w="1405" w:type="dxa"/>
            <w:vAlign w:val="center"/>
          </w:tcPr>
          <w:p>
            <w:pPr>
              <w:pStyle w:val="62"/>
              <w:spacing w:line="360" w:lineRule="auto"/>
              <w:rPr>
                <w:rFonts w:hint="default" w:eastAsia="宋体"/>
                <w:highlight w:val="none"/>
                <w:lang w:val="en-US" w:eastAsia="zh-CN"/>
              </w:rPr>
            </w:pPr>
            <w:r>
              <w:rPr>
                <w:rFonts w:hint="eastAsia"/>
                <w:highlight w:val="none"/>
                <w:lang w:val="en-US" w:eastAsia="zh-CN"/>
              </w:rPr>
              <w:t>862H</w:t>
            </w:r>
          </w:p>
        </w:tc>
        <w:tc>
          <w:tcPr>
            <w:tcW w:w="1168" w:type="dxa"/>
            <w:vAlign w:val="center"/>
          </w:tcPr>
          <w:p>
            <w:pPr>
              <w:pStyle w:val="62"/>
              <w:spacing w:line="360" w:lineRule="auto"/>
              <w:rPr>
                <w:rFonts w:hint="eastAsia" w:eastAsia="宋体"/>
                <w:highlight w:val="none"/>
                <w:lang w:eastAsia="zh-CN"/>
              </w:rPr>
            </w:pPr>
            <w:r>
              <w:rPr>
                <w:rFonts w:hint="eastAsia"/>
                <w:highlight w:val="none"/>
                <w:lang w:val="en-US" w:eastAsia="zh-CN"/>
              </w:rPr>
              <w:t>4</w:t>
            </w:r>
          </w:p>
        </w:tc>
        <w:tc>
          <w:tcPr>
            <w:tcW w:w="1837" w:type="dxa"/>
            <w:vMerge w:val="continue"/>
            <w:vAlign w:val="center"/>
          </w:tcPr>
          <w:p>
            <w:pPr>
              <w:pStyle w:val="62"/>
              <w:spacing w:line="360" w:lineRule="auto"/>
              <w:rPr>
                <w:b w:val="0"/>
                <w:bCs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7" w:type="dxa"/>
            <w:vMerge w:val="restart"/>
            <w:vAlign w:val="center"/>
          </w:tcPr>
          <w:p>
            <w:pPr>
              <w:pStyle w:val="62"/>
              <w:spacing w:line="360" w:lineRule="auto"/>
              <w:rPr>
                <w:rFonts w:hint="eastAsia" w:eastAsia="宋体"/>
                <w:highlight w:val="none"/>
                <w:lang w:val="en-US" w:eastAsia="zh-CN"/>
              </w:rPr>
            </w:pPr>
            <w:r>
              <w:rPr>
                <w:rFonts w:hint="eastAsia"/>
                <w:highlight w:val="none"/>
                <w:lang w:val="en-US" w:eastAsia="zh-CN"/>
              </w:rPr>
              <w:t>2</w:t>
            </w:r>
          </w:p>
        </w:tc>
        <w:tc>
          <w:tcPr>
            <w:tcW w:w="1491" w:type="dxa"/>
            <w:vMerge w:val="restart"/>
            <w:vAlign w:val="center"/>
          </w:tcPr>
          <w:p>
            <w:pPr>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生产加工区</w:t>
            </w:r>
          </w:p>
        </w:tc>
        <w:tc>
          <w:tcPr>
            <w:tcW w:w="2172" w:type="dxa"/>
            <w:vAlign w:val="center"/>
          </w:tcPr>
          <w:p>
            <w:pPr>
              <w:pStyle w:val="62"/>
              <w:spacing w:line="360" w:lineRule="auto"/>
              <w:rPr>
                <w:rFonts w:hint="eastAsia" w:eastAsia="宋体"/>
                <w:highlight w:val="none"/>
                <w:lang w:eastAsia="zh-CN"/>
              </w:rPr>
            </w:pPr>
            <w:r>
              <w:rPr>
                <w:rFonts w:hint="eastAsia"/>
                <w:highlight w:val="none"/>
                <w:lang w:eastAsia="zh-CN"/>
              </w:rPr>
              <w:t>振动给料机</w:t>
            </w:r>
          </w:p>
        </w:tc>
        <w:tc>
          <w:tcPr>
            <w:tcW w:w="1405" w:type="dxa"/>
            <w:vAlign w:val="center"/>
          </w:tcPr>
          <w:p>
            <w:pPr>
              <w:pStyle w:val="62"/>
              <w:spacing w:line="360" w:lineRule="auto"/>
              <w:rPr>
                <w:rFonts w:hint="default" w:eastAsia="宋体"/>
                <w:highlight w:val="none"/>
                <w:lang w:val="en-US" w:eastAsia="zh-CN"/>
              </w:rPr>
            </w:pPr>
            <w:r>
              <w:rPr>
                <w:rFonts w:hint="eastAsia"/>
                <w:highlight w:val="none"/>
                <w:lang w:val="en-US" w:eastAsia="zh-CN"/>
              </w:rPr>
              <w:t>ZG-300</w:t>
            </w:r>
          </w:p>
        </w:tc>
        <w:tc>
          <w:tcPr>
            <w:tcW w:w="1168" w:type="dxa"/>
            <w:vAlign w:val="center"/>
          </w:tcPr>
          <w:p>
            <w:pPr>
              <w:pStyle w:val="62"/>
              <w:spacing w:line="360" w:lineRule="auto"/>
              <w:rPr>
                <w:rFonts w:hint="eastAsia" w:eastAsia="宋体"/>
                <w:highlight w:val="none"/>
                <w:lang w:eastAsia="zh-CN"/>
              </w:rPr>
            </w:pPr>
            <w:r>
              <w:rPr>
                <w:rFonts w:hint="eastAsia"/>
                <w:highlight w:val="none"/>
                <w:lang w:val="en-US" w:eastAsia="zh-CN"/>
              </w:rPr>
              <w:t>6</w:t>
            </w:r>
          </w:p>
        </w:tc>
        <w:tc>
          <w:tcPr>
            <w:tcW w:w="1837" w:type="dxa"/>
            <w:vMerge w:val="continue"/>
            <w:vAlign w:val="center"/>
          </w:tcPr>
          <w:p>
            <w:pPr>
              <w:pStyle w:val="62"/>
              <w:spacing w:line="360" w:lineRule="auto"/>
              <w:rPr>
                <w:b/>
                <w:bCs/>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7" w:type="dxa"/>
            <w:vMerge w:val="continue"/>
            <w:vAlign w:val="center"/>
          </w:tcPr>
          <w:p>
            <w:pPr>
              <w:pStyle w:val="62"/>
              <w:spacing w:line="360" w:lineRule="auto"/>
              <w:rPr>
                <w:highlight w:val="none"/>
              </w:rPr>
            </w:pPr>
          </w:p>
        </w:tc>
        <w:tc>
          <w:tcPr>
            <w:tcW w:w="1491" w:type="dxa"/>
            <w:vMerge w:val="continue"/>
            <w:vAlign w:val="center"/>
          </w:tcPr>
          <w:p>
            <w:pPr>
              <w:widowControl/>
              <w:ind w:right="-108" w:firstLine="0" w:firstLineChars="0"/>
              <w:jc w:val="center"/>
              <w:rPr>
                <w:sz w:val="21"/>
                <w:szCs w:val="21"/>
                <w:highlight w:val="none"/>
              </w:rPr>
            </w:pPr>
          </w:p>
        </w:tc>
        <w:tc>
          <w:tcPr>
            <w:tcW w:w="2172" w:type="dxa"/>
            <w:vAlign w:val="center"/>
          </w:tcPr>
          <w:p>
            <w:pPr>
              <w:widowControl/>
              <w:ind w:firstLine="0" w:firstLineChars="0"/>
              <w:jc w:val="center"/>
              <w:rPr>
                <w:rFonts w:hint="eastAsia" w:eastAsia="宋体"/>
                <w:sz w:val="21"/>
                <w:szCs w:val="21"/>
                <w:highlight w:val="none"/>
                <w:lang w:eastAsia="zh-CN"/>
              </w:rPr>
            </w:pPr>
            <w:r>
              <w:rPr>
                <w:rFonts w:hint="eastAsia"/>
                <w:sz w:val="21"/>
                <w:szCs w:val="21"/>
                <w:highlight w:val="none"/>
                <w:lang w:eastAsia="zh-CN"/>
              </w:rPr>
              <w:t>振动给料机</w:t>
            </w:r>
          </w:p>
        </w:tc>
        <w:tc>
          <w:tcPr>
            <w:tcW w:w="1405" w:type="dxa"/>
            <w:vAlign w:val="center"/>
          </w:tcPr>
          <w:p>
            <w:pPr>
              <w:pStyle w:val="62"/>
              <w:spacing w:line="360" w:lineRule="auto"/>
              <w:rPr>
                <w:rFonts w:hint="default" w:eastAsia="宋体"/>
                <w:highlight w:val="none"/>
                <w:lang w:val="en-US" w:eastAsia="zh-CN"/>
              </w:rPr>
            </w:pPr>
            <w:r>
              <w:rPr>
                <w:rFonts w:hint="eastAsia"/>
                <w:highlight w:val="none"/>
                <w:lang w:val="en-US" w:eastAsia="zh-CN"/>
              </w:rPr>
              <w:t>ZWS210*600</w:t>
            </w:r>
          </w:p>
        </w:tc>
        <w:tc>
          <w:tcPr>
            <w:tcW w:w="1168" w:type="dxa"/>
            <w:vAlign w:val="center"/>
          </w:tcPr>
          <w:p>
            <w:pPr>
              <w:pStyle w:val="62"/>
              <w:spacing w:line="360" w:lineRule="auto"/>
              <w:rPr>
                <w:rFonts w:hint="eastAsia" w:eastAsia="宋体"/>
                <w:highlight w:val="none"/>
                <w:lang w:eastAsia="zh-CN"/>
              </w:rPr>
            </w:pPr>
            <w:r>
              <w:rPr>
                <w:rFonts w:hint="eastAsia"/>
                <w:highlight w:val="none"/>
                <w:lang w:val="en-US" w:eastAsia="zh-CN"/>
              </w:rPr>
              <w:t>2</w:t>
            </w:r>
          </w:p>
        </w:tc>
        <w:tc>
          <w:tcPr>
            <w:tcW w:w="1837" w:type="dxa"/>
            <w:vMerge w:val="continue"/>
            <w:vAlign w:val="center"/>
          </w:tcPr>
          <w:p>
            <w:pPr>
              <w:pStyle w:val="62"/>
              <w:spacing w:line="360" w:lineRule="auto"/>
              <w:rPr>
                <w:b w:val="0"/>
                <w:bCs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7" w:type="dxa"/>
            <w:vMerge w:val="continue"/>
            <w:vAlign w:val="center"/>
          </w:tcPr>
          <w:p>
            <w:pPr>
              <w:pStyle w:val="62"/>
              <w:spacing w:line="360" w:lineRule="auto"/>
              <w:rPr>
                <w:highlight w:val="none"/>
              </w:rPr>
            </w:pPr>
          </w:p>
        </w:tc>
        <w:tc>
          <w:tcPr>
            <w:tcW w:w="1491" w:type="dxa"/>
            <w:vMerge w:val="continue"/>
            <w:vAlign w:val="center"/>
          </w:tcPr>
          <w:p>
            <w:pPr>
              <w:widowControl/>
              <w:ind w:right="-108" w:firstLine="0" w:firstLineChars="0"/>
              <w:jc w:val="center"/>
              <w:rPr>
                <w:sz w:val="21"/>
                <w:szCs w:val="21"/>
                <w:highlight w:val="none"/>
              </w:rPr>
            </w:pPr>
          </w:p>
        </w:tc>
        <w:tc>
          <w:tcPr>
            <w:tcW w:w="2172" w:type="dxa"/>
            <w:vAlign w:val="center"/>
          </w:tcPr>
          <w:p>
            <w:pPr>
              <w:widowControl/>
              <w:ind w:firstLine="0" w:firstLineChars="0"/>
              <w:jc w:val="center"/>
              <w:rPr>
                <w:rFonts w:hint="eastAsia" w:eastAsia="宋体"/>
                <w:sz w:val="21"/>
                <w:szCs w:val="21"/>
                <w:highlight w:val="none"/>
                <w:lang w:eastAsia="zh-CN"/>
              </w:rPr>
            </w:pPr>
            <w:r>
              <w:rPr>
                <w:rFonts w:hint="eastAsia"/>
                <w:sz w:val="21"/>
                <w:szCs w:val="21"/>
                <w:highlight w:val="none"/>
                <w:lang w:eastAsia="zh-CN"/>
              </w:rPr>
              <w:t>立式复合破碎机</w:t>
            </w:r>
          </w:p>
        </w:tc>
        <w:tc>
          <w:tcPr>
            <w:tcW w:w="1405" w:type="dxa"/>
            <w:vAlign w:val="center"/>
          </w:tcPr>
          <w:p>
            <w:pPr>
              <w:pStyle w:val="62"/>
              <w:spacing w:line="360" w:lineRule="auto"/>
              <w:rPr>
                <w:rFonts w:hint="default" w:eastAsia="宋体"/>
                <w:highlight w:val="none"/>
                <w:lang w:val="en-US" w:eastAsia="zh-CN"/>
              </w:rPr>
            </w:pPr>
            <w:r>
              <w:rPr>
                <w:rFonts w:hint="eastAsia"/>
                <w:highlight w:val="none"/>
                <w:lang w:val="en-US" w:eastAsia="zh-CN"/>
              </w:rPr>
              <w:t>PFL2000</w:t>
            </w:r>
          </w:p>
        </w:tc>
        <w:tc>
          <w:tcPr>
            <w:tcW w:w="1168" w:type="dxa"/>
            <w:vAlign w:val="center"/>
          </w:tcPr>
          <w:p>
            <w:pPr>
              <w:pStyle w:val="62"/>
              <w:spacing w:line="360" w:lineRule="auto"/>
              <w:rPr>
                <w:rFonts w:hint="eastAsia" w:eastAsia="宋体"/>
                <w:highlight w:val="none"/>
                <w:lang w:eastAsia="zh-CN"/>
              </w:rPr>
            </w:pPr>
            <w:r>
              <w:rPr>
                <w:rFonts w:hint="eastAsia"/>
                <w:highlight w:val="none"/>
                <w:lang w:val="en-US" w:eastAsia="zh-CN"/>
              </w:rPr>
              <w:t>2</w:t>
            </w:r>
          </w:p>
        </w:tc>
        <w:tc>
          <w:tcPr>
            <w:tcW w:w="1837" w:type="dxa"/>
            <w:vMerge w:val="continue"/>
            <w:vAlign w:val="center"/>
          </w:tcPr>
          <w:p>
            <w:pPr>
              <w:pStyle w:val="62"/>
              <w:spacing w:line="360" w:lineRule="auto"/>
              <w:rPr>
                <w:b w:val="0"/>
                <w:bCs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7" w:type="dxa"/>
            <w:vMerge w:val="continue"/>
            <w:vAlign w:val="center"/>
          </w:tcPr>
          <w:p>
            <w:pPr>
              <w:pStyle w:val="62"/>
              <w:spacing w:line="360" w:lineRule="auto"/>
              <w:rPr>
                <w:highlight w:val="none"/>
              </w:rPr>
            </w:pPr>
          </w:p>
        </w:tc>
        <w:tc>
          <w:tcPr>
            <w:tcW w:w="1491" w:type="dxa"/>
            <w:vMerge w:val="continue"/>
            <w:vAlign w:val="center"/>
          </w:tcPr>
          <w:p>
            <w:pPr>
              <w:widowControl/>
              <w:ind w:right="-108" w:firstLine="0" w:firstLineChars="0"/>
              <w:jc w:val="center"/>
              <w:rPr>
                <w:sz w:val="21"/>
                <w:szCs w:val="21"/>
                <w:highlight w:val="none"/>
              </w:rPr>
            </w:pPr>
          </w:p>
        </w:tc>
        <w:tc>
          <w:tcPr>
            <w:tcW w:w="2172" w:type="dxa"/>
            <w:vAlign w:val="center"/>
          </w:tcPr>
          <w:p>
            <w:pPr>
              <w:widowControl/>
              <w:ind w:firstLine="0" w:firstLineChars="0"/>
              <w:jc w:val="center"/>
              <w:rPr>
                <w:rFonts w:hint="eastAsia" w:eastAsia="宋体"/>
                <w:sz w:val="21"/>
                <w:szCs w:val="21"/>
                <w:highlight w:val="none"/>
                <w:lang w:eastAsia="zh-CN"/>
              </w:rPr>
            </w:pPr>
            <w:r>
              <w:rPr>
                <w:rFonts w:hint="eastAsia"/>
                <w:sz w:val="21"/>
                <w:szCs w:val="21"/>
                <w:highlight w:val="none"/>
                <w:lang w:eastAsia="zh-CN"/>
              </w:rPr>
              <w:t>颚式破碎机</w:t>
            </w:r>
          </w:p>
        </w:tc>
        <w:tc>
          <w:tcPr>
            <w:tcW w:w="1405" w:type="dxa"/>
            <w:vAlign w:val="center"/>
          </w:tcPr>
          <w:p>
            <w:pPr>
              <w:pStyle w:val="62"/>
              <w:spacing w:line="360" w:lineRule="auto"/>
              <w:rPr>
                <w:rFonts w:hint="default" w:eastAsia="宋体"/>
                <w:highlight w:val="none"/>
                <w:lang w:val="en-US" w:eastAsia="zh-CN"/>
              </w:rPr>
            </w:pPr>
            <w:r>
              <w:rPr>
                <w:rFonts w:hint="eastAsia"/>
                <w:highlight w:val="none"/>
                <w:lang w:val="en-US" w:eastAsia="zh-CN"/>
              </w:rPr>
              <w:t>JC160</w:t>
            </w:r>
          </w:p>
        </w:tc>
        <w:tc>
          <w:tcPr>
            <w:tcW w:w="1168" w:type="dxa"/>
            <w:vAlign w:val="center"/>
          </w:tcPr>
          <w:p>
            <w:pPr>
              <w:pStyle w:val="62"/>
              <w:spacing w:line="360" w:lineRule="auto"/>
              <w:rPr>
                <w:rFonts w:hint="eastAsia" w:eastAsia="宋体"/>
                <w:highlight w:val="none"/>
                <w:lang w:eastAsia="zh-CN"/>
              </w:rPr>
            </w:pPr>
            <w:r>
              <w:rPr>
                <w:rFonts w:hint="eastAsia"/>
                <w:highlight w:val="none"/>
                <w:lang w:val="en-US" w:eastAsia="zh-CN"/>
              </w:rPr>
              <w:t>2</w:t>
            </w:r>
          </w:p>
        </w:tc>
        <w:tc>
          <w:tcPr>
            <w:tcW w:w="1837" w:type="dxa"/>
            <w:vMerge w:val="continue"/>
            <w:vAlign w:val="center"/>
          </w:tcPr>
          <w:p>
            <w:pPr>
              <w:pStyle w:val="62"/>
              <w:spacing w:line="360" w:lineRule="auto"/>
              <w:rPr>
                <w:b/>
                <w:bCs/>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7" w:type="dxa"/>
            <w:vMerge w:val="continue"/>
            <w:vAlign w:val="center"/>
          </w:tcPr>
          <w:p>
            <w:pPr>
              <w:pStyle w:val="62"/>
              <w:spacing w:line="360" w:lineRule="auto"/>
              <w:rPr>
                <w:highlight w:val="none"/>
              </w:rPr>
            </w:pPr>
          </w:p>
        </w:tc>
        <w:tc>
          <w:tcPr>
            <w:tcW w:w="1491" w:type="dxa"/>
            <w:vMerge w:val="continue"/>
            <w:vAlign w:val="center"/>
          </w:tcPr>
          <w:p>
            <w:pPr>
              <w:widowControl/>
              <w:ind w:right="-108" w:firstLine="0" w:firstLineChars="0"/>
              <w:jc w:val="center"/>
              <w:rPr>
                <w:sz w:val="21"/>
                <w:szCs w:val="21"/>
                <w:highlight w:val="none"/>
              </w:rPr>
            </w:pPr>
          </w:p>
        </w:tc>
        <w:tc>
          <w:tcPr>
            <w:tcW w:w="2172" w:type="dxa"/>
            <w:vAlign w:val="center"/>
          </w:tcPr>
          <w:p>
            <w:pPr>
              <w:widowControl/>
              <w:ind w:firstLine="0" w:firstLineChars="0"/>
              <w:jc w:val="center"/>
              <w:rPr>
                <w:rFonts w:hint="eastAsia" w:eastAsia="宋体"/>
                <w:sz w:val="21"/>
                <w:szCs w:val="21"/>
                <w:highlight w:val="none"/>
                <w:lang w:eastAsia="zh-CN"/>
              </w:rPr>
            </w:pPr>
            <w:r>
              <w:rPr>
                <w:rFonts w:hint="eastAsia"/>
                <w:sz w:val="21"/>
                <w:szCs w:val="21"/>
                <w:highlight w:val="none"/>
                <w:lang w:eastAsia="zh-CN"/>
              </w:rPr>
              <w:t>强力反击破碎机</w:t>
            </w:r>
          </w:p>
        </w:tc>
        <w:tc>
          <w:tcPr>
            <w:tcW w:w="1405" w:type="dxa"/>
            <w:vAlign w:val="center"/>
          </w:tcPr>
          <w:p>
            <w:pPr>
              <w:pStyle w:val="62"/>
              <w:spacing w:line="360" w:lineRule="auto"/>
              <w:rPr>
                <w:rFonts w:hint="default" w:eastAsia="宋体"/>
                <w:highlight w:val="none"/>
                <w:lang w:val="en-US" w:eastAsia="zh-CN"/>
              </w:rPr>
            </w:pPr>
            <w:r>
              <w:rPr>
                <w:rFonts w:hint="eastAsia"/>
                <w:highlight w:val="none"/>
                <w:lang w:val="en-US" w:eastAsia="zh-CN"/>
              </w:rPr>
              <w:t>PFQ1520</w:t>
            </w:r>
          </w:p>
        </w:tc>
        <w:tc>
          <w:tcPr>
            <w:tcW w:w="1168" w:type="dxa"/>
            <w:vAlign w:val="center"/>
          </w:tcPr>
          <w:p>
            <w:pPr>
              <w:pStyle w:val="62"/>
              <w:spacing w:line="360" w:lineRule="auto"/>
              <w:rPr>
                <w:rFonts w:hint="eastAsia" w:eastAsia="宋体"/>
                <w:highlight w:val="none"/>
                <w:lang w:eastAsia="zh-CN"/>
              </w:rPr>
            </w:pPr>
            <w:r>
              <w:rPr>
                <w:rFonts w:hint="eastAsia"/>
                <w:highlight w:val="none"/>
                <w:lang w:val="en-US" w:eastAsia="zh-CN"/>
              </w:rPr>
              <w:t>2</w:t>
            </w:r>
          </w:p>
        </w:tc>
        <w:tc>
          <w:tcPr>
            <w:tcW w:w="1837" w:type="dxa"/>
            <w:vMerge w:val="continue"/>
            <w:vAlign w:val="center"/>
          </w:tcPr>
          <w:p>
            <w:pPr>
              <w:pStyle w:val="62"/>
              <w:spacing w:line="360" w:lineRule="auto"/>
              <w:rPr>
                <w:b w:val="0"/>
                <w:bCs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7" w:type="dxa"/>
            <w:vMerge w:val="continue"/>
            <w:vAlign w:val="center"/>
          </w:tcPr>
          <w:p>
            <w:pPr>
              <w:pStyle w:val="62"/>
              <w:spacing w:line="360" w:lineRule="auto"/>
              <w:rPr>
                <w:highlight w:val="none"/>
              </w:rPr>
            </w:pPr>
          </w:p>
        </w:tc>
        <w:tc>
          <w:tcPr>
            <w:tcW w:w="1491" w:type="dxa"/>
            <w:vMerge w:val="continue"/>
            <w:vAlign w:val="center"/>
          </w:tcPr>
          <w:p>
            <w:pPr>
              <w:widowControl/>
              <w:ind w:right="-108" w:firstLine="0" w:firstLineChars="0"/>
              <w:jc w:val="center"/>
              <w:rPr>
                <w:sz w:val="21"/>
                <w:szCs w:val="21"/>
                <w:highlight w:val="none"/>
              </w:rPr>
            </w:pPr>
          </w:p>
        </w:tc>
        <w:tc>
          <w:tcPr>
            <w:tcW w:w="2172" w:type="dxa"/>
            <w:vAlign w:val="center"/>
          </w:tcPr>
          <w:p>
            <w:pPr>
              <w:widowControl/>
              <w:ind w:firstLine="0" w:firstLineChars="0"/>
              <w:jc w:val="center"/>
              <w:rPr>
                <w:rFonts w:hint="eastAsia" w:eastAsia="宋体"/>
                <w:sz w:val="21"/>
                <w:szCs w:val="21"/>
                <w:highlight w:val="none"/>
                <w:lang w:eastAsia="zh-CN"/>
              </w:rPr>
            </w:pPr>
            <w:r>
              <w:rPr>
                <w:rFonts w:hint="eastAsia"/>
                <w:sz w:val="21"/>
                <w:szCs w:val="21"/>
                <w:highlight w:val="none"/>
                <w:lang w:eastAsia="zh-CN"/>
              </w:rPr>
              <w:t>振动筛</w:t>
            </w:r>
          </w:p>
        </w:tc>
        <w:tc>
          <w:tcPr>
            <w:tcW w:w="1405" w:type="dxa"/>
            <w:vAlign w:val="center"/>
          </w:tcPr>
          <w:p>
            <w:pPr>
              <w:pStyle w:val="62"/>
              <w:spacing w:line="360" w:lineRule="auto"/>
              <w:ind w:firstLine="0" w:firstLineChars="0"/>
              <w:rPr>
                <w:rFonts w:hint="default" w:eastAsia="宋体"/>
                <w:highlight w:val="none"/>
                <w:lang w:val="en-US" w:eastAsia="zh-CN"/>
              </w:rPr>
            </w:pPr>
            <w:r>
              <w:rPr>
                <w:rFonts w:hint="eastAsia"/>
                <w:highlight w:val="none"/>
                <w:lang w:val="en-US" w:eastAsia="zh-CN"/>
              </w:rPr>
              <w:t>3YKR3280</w:t>
            </w:r>
          </w:p>
        </w:tc>
        <w:tc>
          <w:tcPr>
            <w:tcW w:w="1168" w:type="dxa"/>
            <w:vAlign w:val="center"/>
          </w:tcPr>
          <w:p>
            <w:pPr>
              <w:pStyle w:val="62"/>
              <w:spacing w:line="360" w:lineRule="auto"/>
              <w:rPr>
                <w:rFonts w:hint="eastAsia" w:eastAsia="宋体"/>
                <w:highlight w:val="none"/>
                <w:lang w:eastAsia="zh-CN"/>
              </w:rPr>
            </w:pPr>
            <w:r>
              <w:rPr>
                <w:rFonts w:hint="eastAsia"/>
                <w:highlight w:val="none"/>
                <w:lang w:val="en-US" w:eastAsia="zh-CN"/>
              </w:rPr>
              <w:t>2</w:t>
            </w:r>
          </w:p>
        </w:tc>
        <w:tc>
          <w:tcPr>
            <w:tcW w:w="1837" w:type="dxa"/>
            <w:vMerge w:val="continue"/>
            <w:vAlign w:val="center"/>
          </w:tcPr>
          <w:p>
            <w:pPr>
              <w:pStyle w:val="62"/>
              <w:spacing w:line="360" w:lineRule="auto"/>
              <w:rPr>
                <w:b w:val="0"/>
                <w:bCs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7" w:type="dxa"/>
            <w:vMerge w:val="continue"/>
            <w:vAlign w:val="center"/>
          </w:tcPr>
          <w:p>
            <w:pPr>
              <w:pStyle w:val="62"/>
              <w:spacing w:line="360" w:lineRule="auto"/>
              <w:rPr>
                <w:highlight w:val="none"/>
              </w:rPr>
            </w:pPr>
          </w:p>
        </w:tc>
        <w:tc>
          <w:tcPr>
            <w:tcW w:w="1491" w:type="dxa"/>
            <w:vMerge w:val="continue"/>
            <w:vAlign w:val="center"/>
          </w:tcPr>
          <w:p>
            <w:pPr>
              <w:ind w:firstLine="0" w:firstLineChars="0"/>
              <w:jc w:val="center"/>
              <w:rPr>
                <w:rFonts w:hint="eastAsia" w:eastAsia="宋体"/>
                <w:color w:val="auto"/>
                <w:sz w:val="21"/>
                <w:szCs w:val="21"/>
                <w:highlight w:val="none"/>
                <w:lang w:eastAsia="zh-CN"/>
              </w:rPr>
            </w:pPr>
          </w:p>
        </w:tc>
        <w:tc>
          <w:tcPr>
            <w:tcW w:w="2172" w:type="dxa"/>
            <w:vAlign w:val="center"/>
          </w:tcPr>
          <w:p>
            <w:pPr>
              <w:pStyle w:val="62"/>
              <w:spacing w:line="360" w:lineRule="auto"/>
              <w:rPr>
                <w:rFonts w:hint="eastAsia" w:eastAsia="宋体"/>
                <w:color w:val="auto"/>
                <w:highlight w:val="none"/>
                <w:lang w:eastAsia="zh-CN"/>
              </w:rPr>
            </w:pPr>
            <w:r>
              <w:rPr>
                <w:rFonts w:hint="eastAsia"/>
                <w:color w:val="auto"/>
                <w:highlight w:val="none"/>
                <w:lang w:eastAsia="zh-CN"/>
              </w:rPr>
              <w:t>振动筛</w:t>
            </w:r>
          </w:p>
        </w:tc>
        <w:tc>
          <w:tcPr>
            <w:tcW w:w="1405" w:type="dxa"/>
            <w:vAlign w:val="center"/>
          </w:tcPr>
          <w:p>
            <w:pPr>
              <w:pStyle w:val="62"/>
              <w:spacing w:line="360" w:lineRule="auto"/>
              <w:ind w:firstLine="0" w:firstLineChars="0"/>
              <w:rPr>
                <w:color w:val="auto"/>
                <w:highlight w:val="none"/>
              </w:rPr>
            </w:pPr>
            <w:r>
              <w:rPr>
                <w:rFonts w:hint="eastAsia"/>
                <w:highlight w:val="none"/>
                <w:lang w:val="en-US" w:eastAsia="zh-CN"/>
              </w:rPr>
              <w:t>2YKR3073</w:t>
            </w:r>
          </w:p>
        </w:tc>
        <w:tc>
          <w:tcPr>
            <w:tcW w:w="1168" w:type="dxa"/>
            <w:vAlign w:val="center"/>
          </w:tcPr>
          <w:p>
            <w:pPr>
              <w:pStyle w:val="62"/>
              <w:spacing w:line="360" w:lineRule="auto"/>
              <w:rPr>
                <w:rFonts w:hint="eastAsia" w:eastAsia="宋体"/>
                <w:color w:val="auto"/>
                <w:highlight w:val="none"/>
                <w:lang w:eastAsia="zh-CN"/>
              </w:rPr>
            </w:pPr>
            <w:r>
              <w:rPr>
                <w:rFonts w:hint="eastAsia"/>
                <w:color w:val="auto"/>
                <w:highlight w:val="none"/>
                <w:lang w:val="en-US" w:eastAsia="zh-CN"/>
              </w:rPr>
              <w:t>2</w:t>
            </w:r>
          </w:p>
        </w:tc>
        <w:tc>
          <w:tcPr>
            <w:tcW w:w="1837" w:type="dxa"/>
            <w:vMerge w:val="continue"/>
            <w:vAlign w:val="center"/>
          </w:tcPr>
          <w:p>
            <w:pPr>
              <w:ind w:firstLine="0" w:firstLineChars="0"/>
              <w:jc w:val="center"/>
              <w:rPr>
                <w:rFonts w:hint="default" w:eastAsia="宋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7" w:type="dxa"/>
            <w:vMerge w:val="continue"/>
            <w:vAlign w:val="center"/>
          </w:tcPr>
          <w:p>
            <w:pPr>
              <w:pStyle w:val="62"/>
              <w:spacing w:line="360" w:lineRule="auto"/>
              <w:rPr>
                <w:highlight w:val="none"/>
              </w:rPr>
            </w:pPr>
          </w:p>
        </w:tc>
        <w:tc>
          <w:tcPr>
            <w:tcW w:w="1491" w:type="dxa"/>
            <w:vMerge w:val="continue"/>
            <w:vAlign w:val="center"/>
          </w:tcPr>
          <w:p>
            <w:pPr>
              <w:ind w:firstLine="0" w:firstLineChars="0"/>
              <w:jc w:val="center"/>
              <w:rPr>
                <w:rFonts w:hint="eastAsia" w:eastAsia="宋体"/>
                <w:color w:val="auto"/>
                <w:sz w:val="21"/>
                <w:szCs w:val="21"/>
                <w:highlight w:val="none"/>
                <w:lang w:eastAsia="zh-CN"/>
              </w:rPr>
            </w:pPr>
          </w:p>
        </w:tc>
        <w:tc>
          <w:tcPr>
            <w:tcW w:w="2172" w:type="dxa"/>
            <w:vAlign w:val="center"/>
          </w:tcPr>
          <w:p>
            <w:pPr>
              <w:pStyle w:val="62"/>
              <w:spacing w:line="360" w:lineRule="auto"/>
              <w:rPr>
                <w:rFonts w:hint="eastAsia" w:eastAsia="宋体"/>
                <w:color w:val="auto"/>
                <w:highlight w:val="none"/>
                <w:lang w:eastAsia="zh-CN"/>
              </w:rPr>
            </w:pPr>
            <w:r>
              <w:rPr>
                <w:rFonts w:hint="eastAsia"/>
                <w:color w:val="auto"/>
                <w:highlight w:val="none"/>
                <w:lang w:eastAsia="zh-CN"/>
              </w:rPr>
              <w:t>振动筛</w:t>
            </w:r>
          </w:p>
        </w:tc>
        <w:tc>
          <w:tcPr>
            <w:tcW w:w="1405" w:type="dxa"/>
            <w:vAlign w:val="center"/>
          </w:tcPr>
          <w:p>
            <w:pPr>
              <w:pStyle w:val="62"/>
              <w:spacing w:line="360" w:lineRule="auto"/>
              <w:ind w:firstLine="0" w:firstLineChars="0"/>
              <w:rPr>
                <w:color w:val="auto"/>
                <w:highlight w:val="none"/>
              </w:rPr>
            </w:pPr>
            <w:r>
              <w:rPr>
                <w:rFonts w:hint="eastAsia"/>
                <w:highlight w:val="none"/>
                <w:lang w:val="en-US" w:eastAsia="zh-CN"/>
              </w:rPr>
              <w:t>2YKR2160</w:t>
            </w:r>
          </w:p>
        </w:tc>
        <w:tc>
          <w:tcPr>
            <w:tcW w:w="1168" w:type="dxa"/>
            <w:vAlign w:val="center"/>
          </w:tcPr>
          <w:p>
            <w:pPr>
              <w:pStyle w:val="62"/>
              <w:spacing w:line="360" w:lineRule="auto"/>
              <w:rPr>
                <w:rFonts w:hint="eastAsia" w:eastAsia="宋体"/>
                <w:color w:val="auto"/>
                <w:highlight w:val="none"/>
                <w:lang w:eastAsia="zh-CN"/>
              </w:rPr>
            </w:pPr>
            <w:r>
              <w:rPr>
                <w:rFonts w:hint="eastAsia"/>
                <w:color w:val="auto"/>
                <w:highlight w:val="none"/>
                <w:lang w:val="en-US" w:eastAsia="zh-CN"/>
              </w:rPr>
              <w:t>2</w:t>
            </w:r>
          </w:p>
        </w:tc>
        <w:tc>
          <w:tcPr>
            <w:tcW w:w="1837" w:type="dxa"/>
            <w:vMerge w:val="continue"/>
            <w:vAlign w:val="center"/>
          </w:tcPr>
          <w:p>
            <w:pPr>
              <w:ind w:firstLine="0" w:firstLineChars="0"/>
              <w:jc w:val="center"/>
              <w:rPr>
                <w:rFonts w:hint="eastAsia" w:eastAsia="宋体"/>
                <w:b/>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7" w:type="dxa"/>
            <w:vMerge w:val="continue"/>
            <w:vAlign w:val="center"/>
          </w:tcPr>
          <w:p>
            <w:pPr>
              <w:pStyle w:val="62"/>
              <w:spacing w:line="360" w:lineRule="auto"/>
              <w:rPr>
                <w:highlight w:val="none"/>
              </w:rPr>
            </w:pPr>
          </w:p>
        </w:tc>
        <w:tc>
          <w:tcPr>
            <w:tcW w:w="1491" w:type="dxa"/>
            <w:vMerge w:val="continue"/>
            <w:vAlign w:val="center"/>
          </w:tcPr>
          <w:p>
            <w:pPr>
              <w:ind w:firstLine="0" w:firstLineChars="0"/>
              <w:jc w:val="center"/>
              <w:rPr>
                <w:rFonts w:hint="eastAsia" w:eastAsia="宋体"/>
                <w:color w:val="auto"/>
                <w:sz w:val="21"/>
                <w:szCs w:val="21"/>
                <w:highlight w:val="none"/>
                <w:lang w:eastAsia="zh-CN"/>
              </w:rPr>
            </w:pPr>
          </w:p>
        </w:tc>
        <w:tc>
          <w:tcPr>
            <w:tcW w:w="2172" w:type="dxa"/>
            <w:vAlign w:val="center"/>
          </w:tcPr>
          <w:p>
            <w:pPr>
              <w:pStyle w:val="62"/>
              <w:spacing w:line="360" w:lineRule="auto"/>
              <w:rPr>
                <w:rFonts w:hint="eastAsia"/>
                <w:color w:val="auto"/>
                <w:highlight w:val="none"/>
                <w:lang w:eastAsia="zh-CN"/>
              </w:rPr>
            </w:pPr>
            <w:r>
              <w:rPr>
                <w:rFonts w:hint="eastAsia"/>
                <w:color w:val="auto"/>
                <w:highlight w:val="none"/>
                <w:lang w:eastAsia="zh-CN"/>
              </w:rPr>
              <w:t>皮带输送机</w:t>
            </w:r>
          </w:p>
        </w:tc>
        <w:tc>
          <w:tcPr>
            <w:tcW w:w="1405" w:type="dxa"/>
            <w:vAlign w:val="center"/>
          </w:tcPr>
          <w:p>
            <w:pPr>
              <w:pStyle w:val="62"/>
              <w:spacing w:line="360" w:lineRule="auto"/>
              <w:ind w:firstLine="0" w:firstLineChars="0"/>
              <w:rPr>
                <w:rFonts w:hint="default"/>
                <w:highlight w:val="none"/>
                <w:lang w:val="en-US" w:eastAsia="zh-CN"/>
              </w:rPr>
            </w:pPr>
            <w:r>
              <w:rPr>
                <w:rFonts w:hint="eastAsia"/>
                <w:highlight w:val="none"/>
                <w:lang w:val="en-US" w:eastAsia="zh-CN"/>
              </w:rPr>
              <w:t>B1400</w:t>
            </w:r>
          </w:p>
        </w:tc>
        <w:tc>
          <w:tcPr>
            <w:tcW w:w="1168" w:type="dxa"/>
            <w:vAlign w:val="center"/>
          </w:tcPr>
          <w:p>
            <w:pPr>
              <w:pStyle w:val="62"/>
              <w:spacing w:line="360" w:lineRule="auto"/>
              <w:rPr>
                <w:rFonts w:hint="default"/>
                <w:color w:val="auto"/>
                <w:highlight w:val="none"/>
                <w:lang w:val="en-US" w:eastAsia="zh-CN"/>
              </w:rPr>
            </w:pPr>
            <w:r>
              <w:rPr>
                <w:rFonts w:hint="eastAsia"/>
                <w:color w:val="auto"/>
                <w:highlight w:val="none"/>
                <w:lang w:val="en-US" w:eastAsia="zh-CN"/>
              </w:rPr>
              <w:t>8</w:t>
            </w:r>
          </w:p>
        </w:tc>
        <w:tc>
          <w:tcPr>
            <w:tcW w:w="1837" w:type="dxa"/>
            <w:vMerge w:val="continue"/>
            <w:vAlign w:val="center"/>
          </w:tcPr>
          <w:p>
            <w:pPr>
              <w:ind w:firstLine="0" w:firstLineChars="0"/>
              <w:jc w:val="center"/>
              <w:rPr>
                <w:rFonts w:hint="eastAsia" w:eastAsia="宋体"/>
                <w:b/>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7" w:type="dxa"/>
            <w:vMerge w:val="continue"/>
            <w:vAlign w:val="center"/>
          </w:tcPr>
          <w:p>
            <w:pPr>
              <w:pStyle w:val="62"/>
              <w:spacing w:line="360" w:lineRule="auto"/>
              <w:rPr>
                <w:highlight w:val="none"/>
              </w:rPr>
            </w:pPr>
          </w:p>
        </w:tc>
        <w:tc>
          <w:tcPr>
            <w:tcW w:w="1491" w:type="dxa"/>
            <w:vMerge w:val="continue"/>
            <w:vAlign w:val="center"/>
          </w:tcPr>
          <w:p>
            <w:pPr>
              <w:widowControl/>
              <w:ind w:right="-108" w:firstLine="0" w:firstLineChars="0"/>
              <w:jc w:val="center"/>
              <w:rPr>
                <w:sz w:val="21"/>
                <w:szCs w:val="21"/>
                <w:highlight w:val="none"/>
              </w:rPr>
            </w:pPr>
          </w:p>
        </w:tc>
        <w:tc>
          <w:tcPr>
            <w:tcW w:w="2172" w:type="dxa"/>
            <w:vAlign w:val="center"/>
          </w:tcPr>
          <w:p>
            <w:pPr>
              <w:widowControl/>
              <w:ind w:firstLine="0" w:firstLineChars="0"/>
              <w:jc w:val="center"/>
              <w:rPr>
                <w:rFonts w:hint="eastAsia" w:eastAsia="宋体"/>
                <w:sz w:val="21"/>
                <w:szCs w:val="21"/>
                <w:highlight w:val="none"/>
                <w:lang w:eastAsia="zh-CN"/>
              </w:rPr>
            </w:pPr>
            <w:r>
              <w:rPr>
                <w:rFonts w:hint="eastAsia"/>
                <w:sz w:val="21"/>
                <w:szCs w:val="21"/>
                <w:highlight w:val="none"/>
                <w:lang w:eastAsia="zh-CN"/>
              </w:rPr>
              <w:t>负压抽风机</w:t>
            </w:r>
          </w:p>
        </w:tc>
        <w:tc>
          <w:tcPr>
            <w:tcW w:w="1405" w:type="dxa"/>
            <w:vAlign w:val="center"/>
          </w:tcPr>
          <w:p>
            <w:pPr>
              <w:pStyle w:val="62"/>
              <w:spacing w:line="360" w:lineRule="auto"/>
              <w:rPr>
                <w:highlight w:val="none"/>
              </w:rPr>
            </w:pPr>
            <w:r>
              <w:rPr>
                <w:rFonts w:hint="eastAsia"/>
                <w:highlight w:val="none"/>
              </w:rPr>
              <w:t>台</w:t>
            </w:r>
          </w:p>
        </w:tc>
        <w:tc>
          <w:tcPr>
            <w:tcW w:w="1168" w:type="dxa"/>
            <w:vAlign w:val="center"/>
          </w:tcPr>
          <w:p>
            <w:pPr>
              <w:pStyle w:val="62"/>
              <w:spacing w:line="360" w:lineRule="auto"/>
              <w:rPr>
                <w:rFonts w:hint="eastAsia" w:eastAsia="宋体"/>
                <w:highlight w:val="none"/>
                <w:lang w:eastAsia="zh-CN"/>
              </w:rPr>
            </w:pPr>
            <w:r>
              <w:rPr>
                <w:rFonts w:hint="eastAsia"/>
                <w:highlight w:val="none"/>
                <w:lang w:val="en-US" w:eastAsia="zh-CN"/>
              </w:rPr>
              <w:t>2</w:t>
            </w:r>
          </w:p>
        </w:tc>
        <w:tc>
          <w:tcPr>
            <w:tcW w:w="1837" w:type="dxa"/>
            <w:vMerge w:val="continue"/>
            <w:vAlign w:val="center"/>
          </w:tcPr>
          <w:p>
            <w:pPr>
              <w:ind w:firstLine="0" w:firstLineChars="0"/>
              <w:jc w:val="center"/>
              <w:rPr>
                <w:b/>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7" w:type="dxa"/>
            <w:vAlign w:val="center"/>
          </w:tcPr>
          <w:p>
            <w:pPr>
              <w:pStyle w:val="62"/>
              <w:spacing w:line="360" w:lineRule="auto"/>
              <w:rPr>
                <w:rFonts w:hint="default" w:eastAsia="宋体"/>
                <w:highlight w:val="none"/>
                <w:lang w:val="en-US" w:eastAsia="zh-CN"/>
              </w:rPr>
            </w:pPr>
            <w:r>
              <w:rPr>
                <w:rFonts w:hint="eastAsia"/>
                <w:highlight w:val="none"/>
                <w:lang w:val="en-US" w:eastAsia="zh-CN"/>
              </w:rPr>
              <w:t>3</w:t>
            </w:r>
          </w:p>
        </w:tc>
        <w:tc>
          <w:tcPr>
            <w:tcW w:w="1491" w:type="dxa"/>
            <w:vAlign w:val="center"/>
          </w:tcPr>
          <w:p>
            <w:pPr>
              <w:widowControl/>
              <w:ind w:right="-108" w:firstLine="0" w:firstLineChars="0"/>
              <w:jc w:val="center"/>
              <w:rPr>
                <w:rFonts w:hint="eastAsia" w:eastAsia="宋体"/>
                <w:sz w:val="21"/>
                <w:szCs w:val="21"/>
                <w:highlight w:val="none"/>
                <w:lang w:eastAsia="zh-CN"/>
              </w:rPr>
            </w:pPr>
            <w:r>
              <w:rPr>
                <w:rFonts w:hint="eastAsia"/>
                <w:sz w:val="21"/>
                <w:szCs w:val="21"/>
                <w:highlight w:val="none"/>
                <w:lang w:eastAsia="zh-CN"/>
              </w:rPr>
              <w:t>水泵</w:t>
            </w:r>
          </w:p>
        </w:tc>
        <w:tc>
          <w:tcPr>
            <w:tcW w:w="3577" w:type="dxa"/>
            <w:gridSpan w:val="2"/>
            <w:vAlign w:val="center"/>
          </w:tcPr>
          <w:p>
            <w:pPr>
              <w:pStyle w:val="62"/>
              <w:spacing w:line="360" w:lineRule="auto"/>
              <w:rPr>
                <w:rFonts w:hint="eastAsia" w:eastAsia="宋体"/>
                <w:highlight w:val="none"/>
                <w:lang w:eastAsia="zh-CN"/>
              </w:rPr>
            </w:pPr>
            <w:r>
              <w:rPr>
                <w:rFonts w:hint="eastAsia"/>
                <w:sz w:val="21"/>
                <w:szCs w:val="21"/>
                <w:highlight w:val="none"/>
                <w:lang w:eastAsia="zh-CN"/>
              </w:rPr>
              <w:t>IS80-50-200型</w:t>
            </w:r>
          </w:p>
        </w:tc>
        <w:tc>
          <w:tcPr>
            <w:tcW w:w="1168" w:type="dxa"/>
            <w:vAlign w:val="center"/>
          </w:tcPr>
          <w:p>
            <w:pPr>
              <w:pStyle w:val="62"/>
              <w:spacing w:line="360" w:lineRule="auto"/>
              <w:rPr>
                <w:rFonts w:hint="eastAsia" w:eastAsia="宋体"/>
                <w:highlight w:val="none"/>
                <w:lang w:val="en-US" w:eastAsia="zh-CN"/>
              </w:rPr>
            </w:pPr>
            <w:r>
              <w:rPr>
                <w:rFonts w:hint="eastAsia"/>
                <w:highlight w:val="none"/>
                <w:lang w:val="en-US" w:eastAsia="zh-CN"/>
              </w:rPr>
              <w:t>2</w:t>
            </w:r>
          </w:p>
        </w:tc>
        <w:tc>
          <w:tcPr>
            <w:tcW w:w="1837" w:type="dxa"/>
            <w:vMerge w:val="continue"/>
            <w:vAlign w:val="center"/>
          </w:tcPr>
          <w:p>
            <w:pPr>
              <w:ind w:firstLine="0" w:firstLineChars="0"/>
              <w:jc w:val="center"/>
              <w:rPr>
                <w:rFonts w:hint="eastAsia" w:eastAsia="宋体"/>
                <w:b w:val="0"/>
                <w:bCs w:val="0"/>
                <w:sz w:val="21"/>
                <w:szCs w:val="21"/>
                <w:highlight w:val="none"/>
                <w:lang w:eastAsia="zh-CN"/>
              </w:rPr>
            </w:pPr>
          </w:p>
        </w:tc>
      </w:tr>
    </w:tbl>
    <w:p>
      <w:pPr>
        <w:bidi w:val="0"/>
        <w:rPr>
          <w:highlight w:val="none"/>
        </w:rPr>
      </w:pPr>
    </w:p>
    <w:p>
      <w:pPr>
        <w:pStyle w:val="5"/>
        <w:adjustRightInd w:val="0"/>
        <w:snapToGrid w:val="0"/>
        <w:rPr>
          <w:rFonts w:hint="default"/>
          <w:highlight w:val="none"/>
        </w:rPr>
      </w:pPr>
      <w:bookmarkStart w:id="309" w:name="_Toc4000"/>
      <w:r>
        <w:rPr>
          <w:rFonts w:hint="eastAsia"/>
          <w:highlight w:val="none"/>
          <w:lang w:val="en-US" w:eastAsia="zh-CN"/>
        </w:rPr>
        <w:t>2</w:t>
      </w:r>
      <w:r>
        <w:rPr>
          <w:highlight w:val="none"/>
        </w:rPr>
        <w:t>.1.5主要原辅料消耗情况</w:t>
      </w:r>
      <w:bookmarkEnd w:id="309"/>
    </w:p>
    <w:p>
      <w:pPr>
        <w:ind w:firstLine="0" w:firstLineChars="0"/>
        <w:jc w:val="center"/>
        <w:rPr>
          <w:b/>
          <w:bCs/>
          <w:sz w:val="21"/>
          <w:szCs w:val="21"/>
          <w:highlight w:val="none"/>
        </w:rPr>
      </w:pPr>
      <w:r>
        <w:rPr>
          <w:b/>
          <w:bCs/>
          <w:sz w:val="21"/>
          <w:szCs w:val="21"/>
          <w:highlight w:val="none"/>
        </w:rPr>
        <w:t>表</w:t>
      </w:r>
      <w:r>
        <w:rPr>
          <w:rFonts w:hint="eastAsia"/>
          <w:b/>
          <w:bCs/>
          <w:sz w:val="21"/>
          <w:szCs w:val="21"/>
          <w:highlight w:val="none"/>
          <w:lang w:val="en-US" w:eastAsia="zh-CN"/>
        </w:rPr>
        <w:t>2</w:t>
      </w:r>
      <w:r>
        <w:rPr>
          <w:b/>
          <w:bCs/>
          <w:sz w:val="21"/>
          <w:szCs w:val="21"/>
          <w:highlight w:val="none"/>
        </w:rPr>
        <w:t>-3  主要原辅料消耗情况</w:t>
      </w:r>
    </w:p>
    <w:tbl>
      <w:tblPr>
        <w:tblStyle w:val="29"/>
        <w:tblW w:w="8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16"/>
        <w:gridCol w:w="1530"/>
        <w:gridCol w:w="1410"/>
        <w:gridCol w:w="1710"/>
        <w:gridCol w:w="2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5" w:hRule="atLeast"/>
          <w:jc w:val="center"/>
        </w:trPr>
        <w:tc>
          <w:tcPr>
            <w:tcW w:w="1116" w:type="dxa"/>
            <w:shd w:val="clear" w:color="auto" w:fill="auto"/>
            <w:vAlign w:val="center"/>
          </w:tcPr>
          <w:p>
            <w:pPr>
              <w:ind w:firstLine="0" w:firstLineChars="0"/>
              <w:jc w:val="center"/>
              <w:rPr>
                <w:b/>
                <w:bCs/>
                <w:color w:val="auto"/>
                <w:sz w:val="21"/>
                <w:szCs w:val="21"/>
                <w:highlight w:val="none"/>
              </w:rPr>
            </w:pPr>
            <w:r>
              <w:rPr>
                <w:b/>
                <w:bCs/>
                <w:color w:val="auto"/>
                <w:sz w:val="21"/>
                <w:szCs w:val="21"/>
                <w:highlight w:val="none"/>
              </w:rPr>
              <w:t>序 号</w:t>
            </w:r>
          </w:p>
        </w:tc>
        <w:tc>
          <w:tcPr>
            <w:tcW w:w="1530" w:type="dxa"/>
            <w:shd w:val="clear" w:color="auto" w:fill="auto"/>
            <w:vAlign w:val="center"/>
          </w:tcPr>
          <w:p>
            <w:pPr>
              <w:ind w:firstLine="0" w:firstLineChars="0"/>
              <w:jc w:val="center"/>
              <w:rPr>
                <w:b/>
                <w:bCs/>
                <w:color w:val="auto"/>
                <w:sz w:val="21"/>
                <w:szCs w:val="21"/>
                <w:highlight w:val="none"/>
              </w:rPr>
            </w:pPr>
            <w:r>
              <w:rPr>
                <w:b/>
                <w:bCs/>
                <w:color w:val="auto"/>
                <w:sz w:val="21"/>
                <w:szCs w:val="21"/>
                <w:highlight w:val="none"/>
              </w:rPr>
              <w:t>原辅材料</w:t>
            </w:r>
          </w:p>
        </w:tc>
        <w:tc>
          <w:tcPr>
            <w:tcW w:w="1410" w:type="dxa"/>
            <w:shd w:val="clear" w:color="auto" w:fill="auto"/>
            <w:vAlign w:val="center"/>
          </w:tcPr>
          <w:p>
            <w:pPr>
              <w:ind w:firstLine="0" w:firstLineChars="0"/>
              <w:jc w:val="center"/>
              <w:rPr>
                <w:b/>
                <w:bCs/>
                <w:color w:val="auto"/>
                <w:sz w:val="21"/>
                <w:szCs w:val="21"/>
                <w:highlight w:val="none"/>
              </w:rPr>
            </w:pPr>
            <w:r>
              <w:rPr>
                <w:rFonts w:hint="eastAsia"/>
                <w:b/>
                <w:bCs/>
                <w:color w:val="auto"/>
                <w:sz w:val="21"/>
                <w:szCs w:val="21"/>
                <w:highlight w:val="none"/>
                <w:lang w:eastAsia="zh-CN"/>
              </w:rPr>
              <w:t>年</w:t>
            </w:r>
            <w:r>
              <w:rPr>
                <w:b/>
                <w:bCs/>
                <w:color w:val="auto"/>
                <w:sz w:val="21"/>
                <w:szCs w:val="21"/>
                <w:highlight w:val="none"/>
              </w:rPr>
              <w:t>消耗量</w:t>
            </w:r>
          </w:p>
        </w:tc>
        <w:tc>
          <w:tcPr>
            <w:tcW w:w="1710" w:type="dxa"/>
            <w:shd w:val="clear" w:color="auto" w:fill="auto"/>
            <w:vAlign w:val="center"/>
          </w:tcPr>
          <w:p>
            <w:pPr>
              <w:ind w:firstLine="0" w:firstLineChars="0"/>
              <w:jc w:val="center"/>
              <w:rPr>
                <w:rFonts w:hint="eastAsia"/>
                <w:b/>
                <w:bCs/>
                <w:color w:val="auto"/>
                <w:sz w:val="21"/>
                <w:szCs w:val="21"/>
                <w:highlight w:val="none"/>
                <w:lang w:eastAsia="zh-CN"/>
              </w:rPr>
            </w:pPr>
            <w:r>
              <w:rPr>
                <w:rFonts w:hint="eastAsia"/>
                <w:b/>
                <w:bCs/>
                <w:color w:val="auto"/>
                <w:sz w:val="21"/>
                <w:szCs w:val="21"/>
                <w:highlight w:val="none"/>
                <w:lang w:eastAsia="zh-CN"/>
              </w:rPr>
              <w:t>最大存储量</w:t>
            </w:r>
          </w:p>
        </w:tc>
        <w:tc>
          <w:tcPr>
            <w:tcW w:w="2974" w:type="dxa"/>
            <w:shd w:val="clear" w:color="auto" w:fill="auto"/>
            <w:vAlign w:val="center"/>
          </w:tcPr>
          <w:p>
            <w:pPr>
              <w:ind w:firstLine="0" w:firstLineChars="0"/>
              <w:jc w:val="center"/>
              <w:rPr>
                <w:b/>
                <w:bCs/>
                <w:color w:val="auto"/>
                <w:sz w:val="21"/>
                <w:szCs w:val="21"/>
                <w:highlight w:val="none"/>
              </w:rPr>
            </w:pPr>
            <w:r>
              <w:rPr>
                <w:b/>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5" w:hRule="atLeast"/>
          <w:jc w:val="center"/>
        </w:trPr>
        <w:tc>
          <w:tcPr>
            <w:tcW w:w="1116" w:type="dxa"/>
            <w:vAlign w:val="center"/>
          </w:tcPr>
          <w:p>
            <w:pPr>
              <w:ind w:firstLine="0" w:firstLineChars="0"/>
              <w:jc w:val="center"/>
              <w:rPr>
                <w:color w:val="auto"/>
                <w:sz w:val="21"/>
                <w:szCs w:val="21"/>
                <w:highlight w:val="none"/>
              </w:rPr>
            </w:pPr>
            <w:r>
              <w:rPr>
                <w:color w:val="auto"/>
                <w:sz w:val="21"/>
                <w:szCs w:val="21"/>
                <w:highlight w:val="none"/>
              </w:rPr>
              <w:t>1</w:t>
            </w:r>
          </w:p>
        </w:tc>
        <w:tc>
          <w:tcPr>
            <w:tcW w:w="1530" w:type="dxa"/>
            <w:vAlign w:val="center"/>
          </w:tcPr>
          <w:p>
            <w:pPr>
              <w:ind w:firstLine="0" w:firstLineChars="0"/>
              <w:jc w:val="center"/>
              <w:rPr>
                <w:color w:val="auto"/>
                <w:sz w:val="21"/>
                <w:szCs w:val="21"/>
                <w:highlight w:val="none"/>
              </w:rPr>
            </w:pPr>
            <w:r>
              <w:rPr>
                <w:color w:val="auto"/>
                <w:sz w:val="21"/>
                <w:szCs w:val="21"/>
                <w:highlight w:val="none"/>
              </w:rPr>
              <w:t>炸药</w:t>
            </w:r>
          </w:p>
        </w:tc>
        <w:tc>
          <w:tcPr>
            <w:tcW w:w="1410" w:type="dxa"/>
            <w:vAlign w:val="center"/>
          </w:tcPr>
          <w:p>
            <w:pPr>
              <w:ind w:firstLine="0" w:firstLineChars="0"/>
              <w:jc w:val="center"/>
              <w:rPr>
                <w:color w:val="auto"/>
                <w:sz w:val="21"/>
                <w:szCs w:val="21"/>
                <w:highlight w:val="none"/>
              </w:rPr>
            </w:pPr>
            <w:r>
              <w:rPr>
                <w:rFonts w:hint="eastAsia"/>
                <w:color w:val="auto"/>
                <w:sz w:val="21"/>
                <w:szCs w:val="21"/>
                <w:highlight w:val="none"/>
                <w:lang w:val="en-US" w:eastAsia="zh-CN"/>
              </w:rPr>
              <w:t>50</w:t>
            </w:r>
            <w:r>
              <w:rPr>
                <w:color w:val="auto"/>
                <w:sz w:val="21"/>
                <w:szCs w:val="21"/>
                <w:highlight w:val="none"/>
              </w:rPr>
              <w:t>t/a</w:t>
            </w:r>
          </w:p>
        </w:tc>
        <w:tc>
          <w:tcPr>
            <w:tcW w:w="1710" w:type="dxa"/>
            <w:vAlign w:val="center"/>
          </w:tcPr>
          <w:p>
            <w:pPr>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2974" w:type="dxa"/>
            <w:vAlign w:val="center"/>
          </w:tcPr>
          <w:p>
            <w:pPr>
              <w:ind w:firstLine="0" w:firstLineChars="0"/>
              <w:jc w:val="center"/>
              <w:rPr>
                <w:color w:val="auto"/>
                <w:sz w:val="21"/>
                <w:szCs w:val="21"/>
                <w:highlight w:val="none"/>
              </w:rPr>
            </w:pPr>
            <w:r>
              <w:rPr>
                <w:rFonts w:hint="eastAsia"/>
                <w:color w:val="auto"/>
                <w:sz w:val="21"/>
                <w:szCs w:val="21"/>
                <w:highlight w:val="none"/>
              </w:rPr>
              <w:t>由</w:t>
            </w:r>
            <w:r>
              <w:rPr>
                <w:color w:val="auto"/>
                <w:sz w:val="21"/>
                <w:szCs w:val="21"/>
                <w:highlight w:val="none"/>
              </w:rPr>
              <w:t>爆破公司统一配送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5" w:hRule="atLeast"/>
          <w:jc w:val="center"/>
        </w:trPr>
        <w:tc>
          <w:tcPr>
            <w:tcW w:w="1116" w:type="dxa"/>
            <w:vAlign w:val="center"/>
          </w:tcPr>
          <w:p>
            <w:pPr>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val="en-US" w:eastAsia="zh-CN"/>
              </w:rPr>
              <w:t>2</w:t>
            </w:r>
          </w:p>
        </w:tc>
        <w:tc>
          <w:tcPr>
            <w:tcW w:w="1530" w:type="dxa"/>
            <w:vAlign w:val="center"/>
          </w:tcPr>
          <w:p>
            <w:pPr>
              <w:ind w:firstLine="0" w:firstLineChars="0"/>
              <w:jc w:val="center"/>
              <w:rPr>
                <w:color w:val="auto"/>
                <w:sz w:val="21"/>
                <w:szCs w:val="21"/>
                <w:highlight w:val="none"/>
              </w:rPr>
            </w:pPr>
            <w:r>
              <w:rPr>
                <w:rFonts w:hint="eastAsia"/>
                <w:color w:val="auto"/>
                <w:sz w:val="21"/>
                <w:szCs w:val="21"/>
                <w:highlight w:val="none"/>
              </w:rPr>
              <w:t>润滑油</w:t>
            </w:r>
          </w:p>
        </w:tc>
        <w:tc>
          <w:tcPr>
            <w:tcW w:w="1410" w:type="dxa"/>
            <w:vAlign w:val="center"/>
          </w:tcPr>
          <w:p>
            <w:pPr>
              <w:ind w:firstLine="0" w:firstLineChars="0"/>
              <w:jc w:val="center"/>
              <w:rPr>
                <w:color w:val="auto"/>
                <w:sz w:val="21"/>
                <w:szCs w:val="21"/>
                <w:highlight w:val="none"/>
              </w:rPr>
            </w:pPr>
            <w:r>
              <w:rPr>
                <w:rFonts w:hint="eastAsia"/>
                <w:color w:val="auto"/>
                <w:sz w:val="21"/>
                <w:szCs w:val="21"/>
                <w:highlight w:val="none"/>
                <w:lang w:val="en-US" w:eastAsia="zh-CN"/>
              </w:rPr>
              <w:t>2</w:t>
            </w:r>
            <w:r>
              <w:rPr>
                <w:rFonts w:hint="eastAsia"/>
                <w:color w:val="auto"/>
                <w:sz w:val="21"/>
                <w:szCs w:val="21"/>
                <w:highlight w:val="none"/>
              </w:rPr>
              <w:t>5t/a</w:t>
            </w:r>
          </w:p>
        </w:tc>
        <w:tc>
          <w:tcPr>
            <w:tcW w:w="1710" w:type="dxa"/>
            <w:vAlign w:val="center"/>
          </w:tcPr>
          <w:p>
            <w:pPr>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1t</w:t>
            </w:r>
          </w:p>
        </w:tc>
        <w:tc>
          <w:tcPr>
            <w:tcW w:w="2974" w:type="dxa"/>
            <w:vAlign w:val="center"/>
          </w:tcPr>
          <w:p>
            <w:pPr>
              <w:ind w:firstLine="0" w:firstLineChars="0"/>
              <w:jc w:val="center"/>
              <w:rPr>
                <w:color w:val="auto"/>
                <w:sz w:val="21"/>
                <w:szCs w:val="21"/>
                <w:highlight w:val="none"/>
              </w:rPr>
            </w:pPr>
            <w:r>
              <w:rPr>
                <w:rFonts w:hint="eastAsia"/>
                <w:color w:val="auto"/>
                <w:sz w:val="21"/>
                <w:szCs w:val="21"/>
                <w:highlight w:val="none"/>
              </w:rPr>
              <w:t>桶装，按需定期购货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5" w:hRule="atLeast"/>
          <w:jc w:val="center"/>
        </w:trPr>
        <w:tc>
          <w:tcPr>
            <w:tcW w:w="1116" w:type="dxa"/>
            <w:vAlign w:val="center"/>
          </w:tcPr>
          <w:p>
            <w:pPr>
              <w:ind w:firstLine="0" w:firstLineChars="0"/>
              <w:jc w:val="center"/>
              <w:rPr>
                <w:color w:val="auto"/>
                <w:sz w:val="21"/>
                <w:szCs w:val="21"/>
                <w:highlight w:val="none"/>
              </w:rPr>
            </w:pPr>
            <w:r>
              <w:rPr>
                <w:color w:val="auto"/>
                <w:sz w:val="21"/>
                <w:szCs w:val="21"/>
                <w:highlight w:val="none"/>
              </w:rPr>
              <w:t>3</w:t>
            </w:r>
          </w:p>
        </w:tc>
        <w:tc>
          <w:tcPr>
            <w:tcW w:w="1530" w:type="dxa"/>
            <w:vAlign w:val="center"/>
          </w:tcPr>
          <w:p>
            <w:pPr>
              <w:ind w:firstLine="0" w:firstLineChars="0"/>
              <w:jc w:val="center"/>
              <w:rPr>
                <w:color w:val="auto"/>
                <w:sz w:val="21"/>
                <w:szCs w:val="21"/>
                <w:highlight w:val="none"/>
              </w:rPr>
            </w:pPr>
            <w:r>
              <w:rPr>
                <w:color w:val="auto"/>
                <w:sz w:val="21"/>
                <w:szCs w:val="21"/>
                <w:highlight w:val="none"/>
              </w:rPr>
              <w:t>电</w:t>
            </w:r>
          </w:p>
        </w:tc>
        <w:tc>
          <w:tcPr>
            <w:tcW w:w="1410" w:type="dxa"/>
            <w:vAlign w:val="center"/>
          </w:tcPr>
          <w:p>
            <w:pPr>
              <w:ind w:firstLine="0" w:firstLineChars="0"/>
              <w:jc w:val="center"/>
              <w:rPr>
                <w:color w:val="auto"/>
                <w:sz w:val="21"/>
                <w:szCs w:val="21"/>
                <w:highlight w:val="none"/>
              </w:rPr>
            </w:pPr>
            <w:r>
              <w:rPr>
                <w:rFonts w:hint="eastAsia"/>
                <w:color w:val="auto"/>
                <w:sz w:val="21"/>
                <w:szCs w:val="21"/>
                <w:highlight w:val="none"/>
              </w:rPr>
              <w:t>660</w:t>
            </w:r>
            <w:r>
              <w:rPr>
                <w:color w:val="auto"/>
                <w:sz w:val="21"/>
                <w:szCs w:val="21"/>
                <w:highlight w:val="none"/>
              </w:rPr>
              <w:t>万度/a</w:t>
            </w:r>
          </w:p>
        </w:tc>
        <w:tc>
          <w:tcPr>
            <w:tcW w:w="1710" w:type="dxa"/>
            <w:vAlign w:val="center"/>
          </w:tcPr>
          <w:p>
            <w:pPr>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2974" w:type="dxa"/>
            <w:vAlign w:val="center"/>
          </w:tcPr>
          <w:p>
            <w:pPr>
              <w:ind w:firstLine="0" w:firstLineChars="0"/>
              <w:jc w:val="center"/>
              <w:rPr>
                <w:color w:val="auto"/>
                <w:sz w:val="21"/>
                <w:szCs w:val="21"/>
                <w:highlight w:val="none"/>
              </w:rPr>
            </w:pPr>
            <w:r>
              <w:rPr>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7" w:hRule="atLeast"/>
          <w:jc w:val="center"/>
        </w:trPr>
        <w:tc>
          <w:tcPr>
            <w:tcW w:w="1116" w:type="dxa"/>
            <w:vAlign w:val="center"/>
          </w:tcPr>
          <w:p>
            <w:pPr>
              <w:ind w:firstLine="0" w:firstLineChars="0"/>
              <w:jc w:val="center"/>
              <w:rPr>
                <w:color w:val="auto"/>
                <w:sz w:val="21"/>
                <w:szCs w:val="21"/>
                <w:highlight w:val="none"/>
              </w:rPr>
            </w:pPr>
            <w:r>
              <w:rPr>
                <w:color w:val="auto"/>
                <w:sz w:val="21"/>
                <w:szCs w:val="21"/>
                <w:highlight w:val="none"/>
              </w:rPr>
              <w:t>4</w:t>
            </w:r>
          </w:p>
        </w:tc>
        <w:tc>
          <w:tcPr>
            <w:tcW w:w="1530" w:type="dxa"/>
            <w:vAlign w:val="center"/>
          </w:tcPr>
          <w:p>
            <w:pPr>
              <w:ind w:firstLine="0" w:firstLineChars="0"/>
              <w:jc w:val="center"/>
              <w:rPr>
                <w:color w:val="auto"/>
                <w:sz w:val="21"/>
                <w:szCs w:val="21"/>
                <w:highlight w:val="none"/>
              </w:rPr>
            </w:pPr>
            <w:r>
              <w:rPr>
                <w:rFonts w:hint="eastAsia"/>
                <w:color w:val="auto"/>
                <w:sz w:val="21"/>
                <w:szCs w:val="21"/>
                <w:highlight w:val="none"/>
              </w:rPr>
              <w:t>零号</w:t>
            </w:r>
            <w:r>
              <w:rPr>
                <w:color w:val="auto"/>
                <w:sz w:val="21"/>
                <w:szCs w:val="21"/>
                <w:highlight w:val="none"/>
              </w:rPr>
              <w:t>柴油</w:t>
            </w:r>
          </w:p>
        </w:tc>
        <w:tc>
          <w:tcPr>
            <w:tcW w:w="1410" w:type="dxa"/>
            <w:vAlign w:val="center"/>
          </w:tcPr>
          <w:p>
            <w:pPr>
              <w:ind w:firstLine="0" w:firstLineChars="0"/>
              <w:jc w:val="center"/>
              <w:rPr>
                <w:color w:val="auto"/>
                <w:sz w:val="21"/>
                <w:szCs w:val="21"/>
                <w:highlight w:val="none"/>
              </w:rPr>
            </w:pPr>
            <w:r>
              <w:rPr>
                <w:rFonts w:hint="eastAsia"/>
                <w:color w:val="auto"/>
                <w:sz w:val="21"/>
                <w:szCs w:val="21"/>
                <w:highlight w:val="none"/>
                <w:lang w:val="en-US" w:eastAsia="zh-CN"/>
              </w:rPr>
              <w:t>150</w:t>
            </w:r>
            <w:r>
              <w:rPr>
                <w:color w:val="auto"/>
                <w:sz w:val="21"/>
                <w:szCs w:val="21"/>
                <w:highlight w:val="none"/>
              </w:rPr>
              <w:t>t/a</w:t>
            </w:r>
          </w:p>
        </w:tc>
        <w:tc>
          <w:tcPr>
            <w:tcW w:w="1710" w:type="dxa"/>
            <w:vAlign w:val="center"/>
          </w:tcPr>
          <w:p>
            <w:pPr>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10t</w:t>
            </w:r>
          </w:p>
        </w:tc>
        <w:tc>
          <w:tcPr>
            <w:tcW w:w="2974" w:type="dxa"/>
            <w:vAlign w:val="center"/>
          </w:tcPr>
          <w:p>
            <w:pPr>
              <w:ind w:firstLine="0" w:firstLineChars="0"/>
              <w:jc w:val="center"/>
              <w:rPr>
                <w:color w:val="auto"/>
                <w:sz w:val="21"/>
                <w:szCs w:val="21"/>
                <w:highlight w:val="none"/>
              </w:rPr>
            </w:pPr>
            <w:r>
              <w:rPr>
                <w:rFonts w:hint="eastAsia"/>
                <w:color w:val="auto"/>
                <w:sz w:val="21"/>
                <w:szCs w:val="21"/>
                <w:highlight w:val="none"/>
              </w:rPr>
              <w:t>由附近加油站定期运送至矿区</w:t>
            </w:r>
            <w:r>
              <w:rPr>
                <w:rFonts w:hint="eastAsia"/>
                <w:color w:val="auto"/>
                <w:sz w:val="21"/>
                <w:szCs w:val="21"/>
                <w:highlight w:val="none"/>
                <w:lang w:val="en-US" w:eastAsia="zh-CN"/>
              </w:rPr>
              <w:t>10</w:t>
            </w:r>
            <w:r>
              <w:rPr>
                <w:rFonts w:hint="eastAsia"/>
                <w:color w:val="auto"/>
                <w:sz w:val="21"/>
                <w:szCs w:val="21"/>
                <w:highlight w:val="none"/>
              </w:rPr>
              <w:t>t地埋式柴油储罐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1116" w:type="dxa"/>
            <w:vAlign w:val="center"/>
          </w:tcPr>
          <w:p>
            <w:pPr>
              <w:ind w:firstLine="0" w:firstLineChars="0"/>
              <w:jc w:val="center"/>
              <w:rPr>
                <w:color w:val="auto"/>
                <w:sz w:val="21"/>
                <w:szCs w:val="21"/>
                <w:highlight w:val="none"/>
              </w:rPr>
            </w:pPr>
            <w:r>
              <w:rPr>
                <w:color w:val="auto"/>
                <w:sz w:val="21"/>
                <w:szCs w:val="21"/>
                <w:highlight w:val="none"/>
              </w:rPr>
              <w:t>5</w:t>
            </w:r>
          </w:p>
        </w:tc>
        <w:tc>
          <w:tcPr>
            <w:tcW w:w="1530" w:type="dxa"/>
            <w:vAlign w:val="center"/>
          </w:tcPr>
          <w:p>
            <w:pPr>
              <w:ind w:firstLine="0" w:firstLineChars="0"/>
              <w:jc w:val="center"/>
              <w:rPr>
                <w:color w:val="auto"/>
                <w:sz w:val="21"/>
                <w:szCs w:val="21"/>
                <w:highlight w:val="none"/>
              </w:rPr>
            </w:pPr>
            <w:r>
              <w:rPr>
                <w:color w:val="auto"/>
                <w:sz w:val="21"/>
                <w:szCs w:val="21"/>
                <w:highlight w:val="none"/>
              </w:rPr>
              <w:t>水</w:t>
            </w:r>
          </w:p>
        </w:tc>
        <w:tc>
          <w:tcPr>
            <w:tcW w:w="1410" w:type="dxa"/>
            <w:vAlign w:val="center"/>
          </w:tcPr>
          <w:p>
            <w:pPr>
              <w:ind w:firstLine="0" w:firstLineChars="0"/>
              <w:jc w:val="center"/>
              <w:rPr>
                <w:color w:val="auto"/>
                <w:sz w:val="21"/>
                <w:szCs w:val="21"/>
                <w:highlight w:val="none"/>
              </w:rPr>
            </w:pPr>
            <w:r>
              <w:rPr>
                <w:rFonts w:hint="eastAsia"/>
                <w:color w:val="auto"/>
                <w:sz w:val="21"/>
                <w:szCs w:val="21"/>
                <w:highlight w:val="none"/>
                <w:lang w:val="en-US" w:eastAsia="zh-CN"/>
              </w:rPr>
              <w:t>2</w:t>
            </w:r>
            <w:r>
              <w:rPr>
                <w:rFonts w:hint="eastAsia"/>
                <w:color w:val="auto"/>
                <w:sz w:val="21"/>
                <w:szCs w:val="21"/>
                <w:highlight w:val="none"/>
              </w:rPr>
              <w:t>0000</w:t>
            </w:r>
            <w:r>
              <w:rPr>
                <w:color w:val="auto"/>
                <w:sz w:val="21"/>
                <w:szCs w:val="21"/>
                <w:highlight w:val="none"/>
              </w:rPr>
              <w:t>t/a</w:t>
            </w:r>
          </w:p>
        </w:tc>
        <w:tc>
          <w:tcPr>
            <w:tcW w:w="1710" w:type="dxa"/>
            <w:vAlign w:val="center"/>
          </w:tcPr>
          <w:p>
            <w:pPr>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2974" w:type="dxa"/>
            <w:vAlign w:val="center"/>
          </w:tcPr>
          <w:p>
            <w:pPr>
              <w:ind w:firstLine="0" w:firstLineChars="0"/>
              <w:jc w:val="center"/>
              <w:rPr>
                <w:rFonts w:hint="eastAsia" w:eastAsia="宋体"/>
                <w:color w:val="auto"/>
                <w:sz w:val="21"/>
                <w:szCs w:val="21"/>
                <w:highlight w:val="none"/>
                <w:lang w:eastAsia="zh-CN"/>
              </w:rPr>
            </w:pPr>
            <w:r>
              <w:rPr>
                <w:rFonts w:hint="eastAsia"/>
                <w:color w:val="auto"/>
                <w:sz w:val="21"/>
                <w:szCs w:val="21"/>
                <w:highlight w:val="none"/>
              </w:rPr>
              <w:t>由</w:t>
            </w:r>
            <w:r>
              <w:rPr>
                <w:rFonts w:hint="eastAsia"/>
                <w:color w:val="auto"/>
                <w:sz w:val="21"/>
                <w:szCs w:val="21"/>
                <w:highlight w:val="none"/>
                <w:lang w:eastAsia="zh-CN"/>
              </w:rPr>
              <w:t>当地供水管网接入</w:t>
            </w:r>
          </w:p>
        </w:tc>
      </w:tr>
    </w:tbl>
    <w:p>
      <w:pPr>
        <w:pStyle w:val="17"/>
        <w:ind w:firstLine="0" w:firstLineChars="0"/>
        <w:rPr>
          <w:highlight w:val="none"/>
        </w:rPr>
      </w:pPr>
    </w:p>
    <w:p>
      <w:pPr>
        <w:pStyle w:val="5"/>
        <w:adjustRightInd w:val="0"/>
        <w:snapToGrid w:val="0"/>
        <w:rPr>
          <w:rFonts w:hint="default"/>
          <w:highlight w:val="none"/>
        </w:rPr>
      </w:pPr>
      <w:bookmarkStart w:id="310" w:name="_Toc26060"/>
      <w:r>
        <w:rPr>
          <w:rFonts w:hint="eastAsia"/>
          <w:highlight w:val="none"/>
          <w:lang w:val="en-US" w:eastAsia="zh-CN"/>
        </w:rPr>
        <w:t>2</w:t>
      </w:r>
      <w:r>
        <w:rPr>
          <w:highlight w:val="none"/>
        </w:rPr>
        <w:t>.1.6主要经济技术指标</w:t>
      </w:r>
      <w:bookmarkEnd w:id="310"/>
    </w:p>
    <w:p>
      <w:pPr>
        <w:pStyle w:val="17"/>
        <w:ind w:firstLine="0" w:firstLineChars="0"/>
        <w:jc w:val="center"/>
        <w:rPr>
          <w:rFonts w:ascii="Times New Roman" w:hAnsi="Times New Roman"/>
          <w:b/>
          <w:bCs/>
          <w:sz w:val="21"/>
          <w:szCs w:val="21"/>
          <w:highlight w:val="none"/>
        </w:rPr>
      </w:pPr>
      <w:r>
        <w:rPr>
          <w:rFonts w:ascii="Times New Roman" w:hAnsi="Times New Roman"/>
          <w:b/>
          <w:bCs/>
          <w:sz w:val="21"/>
          <w:szCs w:val="21"/>
          <w:highlight w:val="none"/>
        </w:rPr>
        <w:t>表3-4  主要经济技术指标</w:t>
      </w:r>
    </w:p>
    <w:tbl>
      <w:tblPr>
        <w:tblStyle w:val="29"/>
        <w:tblW w:w="893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96"/>
        <w:gridCol w:w="546"/>
        <w:gridCol w:w="2223"/>
        <w:gridCol w:w="1260"/>
        <w:gridCol w:w="2160"/>
        <w:gridCol w:w="205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jc w:val="center"/>
        </w:trPr>
        <w:tc>
          <w:tcPr>
            <w:tcW w:w="696" w:type="dxa"/>
            <w:shd w:val="clear" w:color="auto" w:fill="auto"/>
            <w:vAlign w:val="center"/>
          </w:tcPr>
          <w:p>
            <w:pPr>
              <w:ind w:firstLine="0" w:firstLineChars="0"/>
              <w:jc w:val="center"/>
              <w:rPr>
                <w:b/>
                <w:bCs/>
                <w:sz w:val="21"/>
                <w:szCs w:val="21"/>
                <w:highlight w:val="none"/>
              </w:rPr>
            </w:pPr>
            <w:r>
              <w:rPr>
                <w:b/>
                <w:bCs/>
                <w:sz w:val="21"/>
                <w:szCs w:val="21"/>
                <w:highlight w:val="none"/>
              </w:rPr>
              <w:t>序号</w:t>
            </w:r>
          </w:p>
        </w:tc>
        <w:tc>
          <w:tcPr>
            <w:tcW w:w="2769" w:type="dxa"/>
            <w:gridSpan w:val="2"/>
            <w:shd w:val="clear" w:color="auto" w:fill="auto"/>
            <w:vAlign w:val="center"/>
          </w:tcPr>
          <w:p>
            <w:pPr>
              <w:ind w:firstLine="0" w:firstLineChars="0"/>
              <w:jc w:val="center"/>
              <w:rPr>
                <w:b/>
                <w:bCs/>
                <w:sz w:val="21"/>
                <w:szCs w:val="21"/>
                <w:highlight w:val="none"/>
              </w:rPr>
            </w:pPr>
            <w:r>
              <w:rPr>
                <w:b/>
                <w:bCs/>
                <w:sz w:val="21"/>
                <w:szCs w:val="21"/>
                <w:highlight w:val="none"/>
              </w:rPr>
              <w:t>项  目</w:t>
            </w:r>
          </w:p>
        </w:tc>
        <w:tc>
          <w:tcPr>
            <w:tcW w:w="1260" w:type="dxa"/>
            <w:shd w:val="clear" w:color="auto" w:fill="auto"/>
            <w:vAlign w:val="center"/>
          </w:tcPr>
          <w:p>
            <w:pPr>
              <w:ind w:firstLine="0" w:firstLineChars="0"/>
              <w:jc w:val="center"/>
              <w:rPr>
                <w:b/>
                <w:bCs/>
                <w:sz w:val="21"/>
                <w:szCs w:val="21"/>
                <w:highlight w:val="none"/>
              </w:rPr>
            </w:pPr>
            <w:r>
              <w:rPr>
                <w:b/>
                <w:bCs/>
                <w:sz w:val="21"/>
                <w:szCs w:val="21"/>
                <w:highlight w:val="none"/>
              </w:rPr>
              <w:t>单位</w:t>
            </w:r>
          </w:p>
        </w:tc>
        <w:tc>
          <w:tcPr>
            <w:tcW w:w="2160" w:type="dxa"/>
            <w:shd w:val="clear" w:color="auto" w:fill="auto"/>
            <w:vAlign w:val="center"/>
          </w:tcPr>
          <w:p>
            <w:pPr>
              <w:ind w:firstLine="0" w:firstLineChars="0"/>
              <w:jc w:val="center"/>
              <w:rPr>
                <w:b/>
                <w:bCs/>
                <w:sz w:val="21"/>
                <w:szCs w:val="21"/>
                <w:highlight w:val="none"/>
              </w:rPr>
            </w:pPr>
            <w:r>
              <w:rPr>
                <w:b/>
                <w:bCs/>
                <w:sz w:val="21"/>
                <w:szCs w:val="21"/>
                <w:highlight w:val="none"/>
              </w:rPr>
              <w:t>指  标</w:t>
            </w:r>
          </w:p>
        </w:tc>
        <w:tc>
          <w:tcPr>
            <w:tcW w:w="2053" w:type="dxa"/>
            <w:shd w:val="clear" w:color="auto" w:fill="auto"/>
            <w:vAlign w:val="center"/>
          </w:tcPr>
          <w:p>
            <w:pPr>
              <w:ind w:firstLine="0" w:firstLineChars="0"/>
              <w:jc w:val="center"/>
              <w:rPr>
                <w:b/>
                <w:bCs/>
                <w:sz w:val="21"/>
                <w:szCs w:val="21"/>
                <w:highlight w:val="none"/>
              </w:rPr>
            </w:pPr>
            <w:r>
              <w:rPr>
                <w:b/>
                <w:bCs/>
                <w:sz w:val="21"/>
                <w:szCs w:val="21"/>
                <w:highlight w:val="none"/>
              </w:rPr>
              <w:t>备  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96" w:type="dxa"/>
            <w:vAlign w:val="center"/>
          </w:tcPr>
          <w:p>
            <w:pPr>
              <w:ind w:firstLine="0" w:firstLineChars="0"/>
              <w:jc w:val="center"/>
              <w:rPr>
                <w:sz w:val="21"/>
                <w:szCs w:val="21"/>
                <w:highlight w:val="none"/>
              </w:rPr>
            </w:pPr>
            <w:r>
              <w:rPr>
                <w:sz w:val="21"/>
                <w:szCs w:val="21"/>
                <w:highlight w:val="none"/>
              </w:rPr>
              <w:t>1</w:t>
            </w:r>
          </w:p>
        </w:tc>
        <w:tc>
          <w:tcPr>
            <w:tcW w:w="2769" w:type="dxa"/>
            <w:gridSpan w:val="2"/>
            <w:vAlign w:val="center"/>
          </w:tcPr>
          <w:p>
            <w:pPr>
              <w:ind w:firstLine="0" w:firstLineChars="0"/>
              <w:jc w:val="center"/>
              <w:rPr>
                <w:sz w:val="21"/>
                <w:szCs w:val="21"/>
                <w:highlight w:val="none"/>
              </w:rPr>
            </w:pPr>
            <w:r>
              <w:rPr>
                <w:sz w:val="21"/>
                <w:szCs w:val="21"/>
                <w:highlight w:val="none"/>
              </w:rPr>
              <w:t>矿</w:t>
            </w:r>
            <w:r>
              <w:rPr>
                <w:rFonts w:hint="eastAsia"/>
                <w:sz w:val="21"/>
                <w:szCs w:val="21"/>
                <w:highlight w:val="none"/>
              </w:rPr>
              <w:t>区</w:t>
            </w:r>
            <w:r>
              <w:rPr>
                <w:sz w:val="21"/>
                <w:szCs w:val="21"/>
                <w:highlight w:val="none"/>
              </w:rPr>
              <w:t>资源量</w:t>
            </w:r>
          </w:p>
        </w:tc>
        <w:tc>
          <w:tcPr>
            <w:tcW w:w="1260" w:type="dxa"/>
            <w:vAlign w:val="center"/>
          </w:tcPr>
          <w:p>
            <w:pPr>
              <w:ind w:firstLine="0" w:firstLineChars="0"/>
              <w:jc w:val="center"/>
              <w:rPr>
                <w:sz w:val="21"/>
                <w:szCs w:val="21"/>
                <w:highlight w:val="none"/>
              </w:rPr>
            </w:pPr>
            <w:r>
              <w:rPr>
                <w:sz w:val="21"/>
                <w:szCs w:val="21"/>
                <w:highlight w:val="none"/>
              </w:rPr>
              <w:t>万t</w:t>
            </w:r>
          </w:p>
        </w:tc>
        <w:tc>
          <w:tcPr>
            <w:tcW w:w="2160" w:type="dxa"/>
            <w:vAlign w:val="center"/>
          </w:tcPr>
          <w:p>
            <w:pPr>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1371.10</w:t>
            </w:r>
          </w:p>
        </w:tc>
        <w:tc>
          <w:tcPr>
            <w:tcW w:w="2053" w:type="dxa"/>
            <w:vAlign w:val="center"/>
          </w:tcPr>
          <w:p>
            <w:pPr>
              <w:ind w:firstLine="0" w:firstLineChars="0"/>
              <w:jc w:val="center"/>
              <w:rPr>
                <w:sz w:val="21"/>
                <w:szCs w:val="21"/>
                <w:highlight w:val="none"/>
              </w:rPr>
            </w:pPr>
            <w:r>
              <w:rPr>
                <w:rFonts w:hint="eastAsia"/>
                <w:sz w:val="21"/>
                <w:szCs w:val="21"/>
                <w:highlight w:val="none"/>
              </w:rPr>
              <w:t>经评审备案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96" w:type="dxa"/>
            <w:vAlign w:val="center"/>
          </w:tcPr>
          <w:p>
            <w:pPr>
              <w:ind w:firstLine="0" w:firstLineChars="0"/>
              <w:jc w:val="center"/>
              <w:rPr>
                <w:sz w:val="21"/>
                <w:szCs w:val="21"/>
                <w:highlight w:val="none"/>
              </w:rPr>
            </w:pPr>
            <w:r>
              <w:rPr>
                <w:sz w:val="21"/>
                <w:szCs w:val="21"/>
                <w:highlight w:val="none"/>
              </w:rPr>
              <w:t>2</w:t>
            </w:r>
          </w:p>
        </w:tc>
        <w:tc>
          <w:tcPr>
            <w:tcW w:w="2769" w:type="dxa"/>
            <w:gridSpan w:val="2"/>
            <w:vAlign w:val="center"/>
          </w:tcPr>
          <w:p>
            <w:pPr>
              <w:ind w:firstLine="0" w:firstLineChars="0"/>
              <w:jc w:val="center"/>
              <w:rPr>
                <w:sz w:val="21"/>
                <w:szCs w:val="21"/>
                <w:highlight w:val="none"/>
              </w:rPr>
            </w:pPr>
            <w:r>
              <w:rPr>
                <w:sz w:val="21"/>
                <w:szCs w:val="21"/>
                <w:highlight w:val="none"/>
              </w:rPr>
              <w:t>设计圈定矿量</w:t>
            </w:r>
          </w:p>
        </w:tc>
        <w:tc>
          <w:tcPr>
            <w:tcW w:w="1260" w:type="dxa"/>
            <w:vAlign w:val="center"/>
          </w:tcPr>
          <w:p>
            <w:pPr>
              <w:ind w:firstLine="0" w:firstLineChars="0"/>
              <w:jc w:val="center"/>
              <w:rPr>
                <w:sz w:val="21"/>
                <w:szCs w:val="21"/>
                <w:highlight w:val="none"/>
              </w:rPr>
            </w:pPr>
            <w:r>
              <w:rPr>
                <w:sz w:val="21"/>
                <w:szCs w:val="21"/>
                <w:highlight w:val="none"/>
              </w:rPr>
              <w:t>万t</w:t>
            </w:r>
          </w:p>
        </w:tc>
        <w:tc>
          <w:tcPr>
            <w:tcW w:w="2160" w:type="dxa"/>
            <w:vAlign w:val="center"/>
          </w:tcPr>
          <w:p>
            <w:pPr>
              <w:ind w:firstLine="0" w:firstLineChars="0"/>
              <w:jc w:val="center"/>
              <w:rPr>
                <w:rFonts w:hint="default"/>
                <w:sz w:val="21"/>
                <w:szCs w:val="21"/>
                <w:highlight w:val="none"/>
                <w:lang w:val="en-US"/>
              </w:rPr>
            </w:pPr>
            <w:r>
              <w:rPr>
                <w:rFonts w:hint="eastAsia"/>
                <w:sz w:val="21"/>
                <w:szCs w:val="21"/>
                <w:highlight w:val="none"/>
                <w:lang w:val="en-US" w:eastAsia="zh-CN"/>
              </w:rPr>
              <w:t>299.05</w:t>
            </w:r>
          </w:p>
        </w:tc>
        <w:tc>
          <w:tcPr>
            <w:tcW w:w="2053" w:type="dxa"/>
            <w:vAlign w:val="center"/>
          </w:tcPr>
          <w:p>
            <w:pPr>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96" w:type="dxa"/>
            <w:vAlign w:val="center"/>
          </w:tcPr>
          <w:p>
            <w:pPr>
              <w:ind w:firstLine="0" w:firstLineChars="0"/>
              <w:jc w:val="center"/>
              <w:rPr>
                <w:sz w:val="21"/>
                <w:szCs w:val="21"/>
                <w:highlight w:val="none"/>
              </w:rPr>
            </w:pPr>
            <w:r>
              <w:rPr>
                <w:rFonts w:hint="eastAsia"/>
                <w:sz w:val="21"/>
                <w:szCs w:val="21"/>
                <w:highlight w:val="none"/>
              </w:rPr>
              <w:t>3</w:t>
            </w:r>
          </w:p>
        </w:tc>
        <w:tc>
          <w:tcPr>
            <w:tcW w:w="2769" w:type="dxa"/>
            <w:gridSpan w:val="2"/>
            <w:vAlign w:val="center"/>
          </w:tcPr>
          <w:p>
            <w:pPr>
              <w:ind w:firstLine="0" w:firstLineChars="0"/>
              <w:jc w:val="center"/>
              <w:rPr>
                <w:sz w:val="21"/>
                <w:szCs w:val="21"/>
                <w:highlight w:val="none"/>
              </w:rPr>
            </w:pPr>
            <w:r>
              <w:rPr>
                <w:sz w:val="21"/>
                <w:szCs w:val="21"/>
                <w:highlight w:val="none"/>
              </w:rPr>
              <w:t>矿石平均品位(</w:t>
            </w:r>
            <w:r>
              <w:rPr>
                <w:rFonts w:hint="eastAsia"/>
                <w:sz w:val="21"/>
                <w:szCs w:val="21"/>
                <w:highlight w:val="none"/>
              </w:rPr>
              <w:t>Ca</w:t>
            </w:r>
            <w:r>
              <w:rPr>
                <w:sz w:val="21"/>
                <w:szCs w:val="21"/>
                <w:highlight w:val="none"/>
              </w:rPr>
              <w:t>O)</w:t>
            </w:r>
          </w:p>
        </w:tc>
        <w:tc>
          <w:tcPr>
            <w:tcW w:w="1260" w:type="dxa"/>
            <w:vAlign w:val="center"/>
          </w:tcPr>
          <w:p>
            <w:pPr>
              <w:ind w:firstLine="0" w:firstLineChars="0"/>
              <w:jc w:val="center"/>
              <w:rPr>
                <w:sz w:val="21"/>
                <w:szCs w:val="21"/>
                <w:highlight w:val="none"/>
              </w:rPr>
            </w:pPr>
            <w:r>
              <w:rPr>
                <w:sz w:val="21"/>
                <w:szCs w:val="21"/>
                <w:highlight w:val="none"/>
              </w:rPr>
              <w:t>%</w:t>
            </w:r>
          </w:p>
        </w:tc>
        <w:tc>
          <w:tcPr>
            <w:tcW w:w="2160" w:type="dxa"/>
            <w:vAlign w:val="center"/>
          </w:tcPr>
          <w:p>
            <w:pPr>
              <w:ind w:firstLine="0" w:firstLineChars="0"/>
              <w:jc w:val="center"/>
              <w:rPr>
                <w:sz w:val="21"/>
                <w:szCs w:val="21"/>
                <w:highlight w:val="none"/>
              </w:rPr>
            </w:pPr>
            <w:r>
              <w:rPr>
                <w:rFonts w:hint="eastAsia"/>
                <w:sz w:val="21"/>
                <w:szCs w:val="21"/>
                <w:highlight w:val="none"/>
              </w:rPr>
              <w:t>54</w:t>
            </w:r>
          </w:p>
        </w:tc>
        <w:tc>
          <w:tcPr>
            <w:tcW w:w="2053" w:type="dxa"/>
            <w:vAlign w:val="center"/>
          </w:tcPr>
          <w:p>
            <w:pPr>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96" w:type="dxa"/>
            <w:vAlign w:val="center"/>
          </w:tcPr>
          <w:p>
            <w:pPr>
              <w:ind w:firstLine="0" w:firstLineChars="0"/>
              <w:jc w:val="center"/>
              <w:rPr>
                <w:sz w:val="21"/>
                <w:szCs w:val="21"/>
                <w:highlight w:val="none"/>
              </w:rPr>
            </w:pPr>
            <w:r>
              <w:rPr>
                <w:rFonts w:hint="eastAsia"/>
                <w:sz w:val="21"/>
                <w:szCs w:val="21"/>
                <w:highlight w:val="none"/>
              </w:rPr>
              <w:t>4</w:t>
            </w:r>
          </w:p>
        </w:tc>
        <w:tc>
          <w:tcPr>
            <w:tcW w:w="2769" w:type="dxa"/>
            <w:gridSpan w:val="2"/>
            <w:vAlign w:val="center"/>
          </w:tcPr>
          <w:p>
            <w:pPr>
              <w:ind w:firstLine="0" w:firstLineChars="0"/>
              <w:jc w:val="center"/>
              <w:rPr>
                <w:sz w:val="21"/>
                <w:szCs w:val="21"/>
                <w:highlight w:val="none"/>
              </w:rPr>
            </w:pPr>
            <w:r>
              <w:rPr>
                <w:rFonts w:hint="eastAsia"/>
                <w:sz w:val="21"/>
                <w:szCs w:val="21"/>
                <w:highlight w:val="none"/>
              </w:rPr>
              <w:t>设计</w:t>
            </w:r>
            <w:r>
              <w:rPr>
                <w:sz w:val="21"/>
                <w:szCs w:val="21"/>
                <w:highlight w:val="none"/>
              </w:rPr>
              <w:t>资源利用率</w:t>
            </w:r>
          </w:p>
        </w:tc>
        <w:tc>
          <w:tcPr>
            <w:tcW w:w="1260" w:type="dxa"/>
            <w:vAlign w:val="center"/>
          </w:tcPr>
          <w:p>
            <w:pPr>
              <w:ind w:firstLine="0" w:firstLineChars="0"/>
              <w:jc w:val="center"/>
              <w:rPr>
                <w:sz w:val="21"/>
                <w:szCs w:val="21"/>
                <w:highlight w:val="none"/>
              </w:rPr>
            </w:pPr>
            <w:r>
              <w:rPr>
                <w:sz w:val="21"/>
                <w:szCs w:val="21"/>
                <w:highlight w:val="none"/>
              </w:rPr>
              <w:t>%</w:t>
            </w:r>
          </w:p>
        </w:tc>
        <w:tc>
          <w:tcPr>
            <w:tcW w:w="2160" w:type="dxa"/>
            <w:vAlign w:val="center"/>
          </w:tcPr>
          <w:p>
            <w:pPr>
              <w:ind w:firstLine="0" w:firstLineChars="0"/>
              <w:jc w:val="center"/>
              <w:rPr>
                <w:sz w:val="21"/>
                <w:szCs w:val="21"/>
                <w:highlight w:val="none"/>
              </w:rPr>
            </w:pPr>
            <w:r>
              <w:rPr>
                <w:rFonts w:hint="eastAsia"/>
                <w:sz w:val="21"/>
                <w:szCs w:val="21"/>
                <w:highlight w:val="none"/>
              </w:rPr>
              <w:t>85.7</w:t>
            </w:r>
          </w:p>
        </w:tc>
        <w:tc>
          <w:tcPr>
            <w:tcW w:w="2053" w:type="dxa"/>
            <w:vAlign w:val="center"/>
          </w:tcPr>
          <w:p>
            <w:pPr>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96" w:type="dxa"/>
            <w:vAlign w:val="center"/>
          </w:tcPr>
          <w:p>
            <w:pPr>
              <w:ind w:firstLine="0" w:firstLineChars="0"/>
              <w:jc w:val="center"/>
              <w:rPr>
                <w:sz w:val="21"/>
                <w:szCs w:val="21"/>
                <w:highlight w:val="none"/>
              </w:rPr>
            </w:pPr>
            <w:r>
              <w:rPr>
                <w:rFonts w:hint="eastAsia"/>
                <w:sz w:val="21"/>
                <w:szCs w:val="21"/>
                <w:highlight w:val="none"/>
              </w:rPr>
              <w:t>5</w:t>
            </w:r>
          </w:p>
        </w:tc>
        <w:tc>
          <w:tcPr>
            <w:tcW w:w="2769" w:type="dxa"/>
            <w:gridSpan w:val="2"/>
            <w:vAlign w:val="center"/>
          </w:tcPr>
          <w:p>
            <w:pPr>
              <w:ind w:firstLine="0" w:firstLineChars="0"/>
              <w:jc w:val="center"/>
              <w:rPr>
                <w:sz w:val="21"/>
                <w:szCs w:val="21"/>
                <w:highlight w:val="none"/>
              </w:rPr>
            </w:pPr>
            <w:r>
              <w:rPr>
                <w:sz w:val="21"/>
                <w:szCs w:val="21"/>
                <w:highlight w:val="none"/>
              </w:rPr>
              <w:t>平均剥采比</w:t>
            </w:r>
          </w:p>
        </w:tc>
        <w:tc>
          <w:tcPr>
            <w:tcW w:w="1260" w:type="dxa"/>
            <w:vAlign w:val="center"/>
          </w:tcPr>
          <w:p>
            <w:pPr>
              <w:ind w:firstLine="0" w:firstLineChars="0"/>
              <w:jc w:val="center"/>
              <w:rPr>
                <w:sz w:val="21"/>
                <w:szCs w:val="21"/>
                <w:highlight w:val="none"/>
              </w:rPr>
            </w:pPr>
            <w:r>
              <w:rPr>
                <w:rFonts w:hint="eastAsia"/>
                <w:sz w:val="21"/>
                <w:szCs w:val="21"/>
                <w:highlight w:val="none"/>
              </w:rPr>
              <w:t>t</w:t>
            </w:r>
            <w:r>
              <w:rPr>
                <w:sz w:val="21"/>
                <w:szCs w:val="21"/>
                <w:highlight w:val="none"/>
              </w:rPr>
              <w:t>/</w:t>
            </w:r>
            <w:r>
              <w:rPr>
                <w:rFonts w:hint="eastAsia"/>
                <w:sz w:val="21"/>
                <w:szCs w:val="21"/>
                <w:highlight w:val="none"/>
              </w:rPr>
              <w:t>t</w:t>
            </w:r>
          </w:p>
        </w:tc>
        <w:tc>
          <w:tcPr>
            <w:tcW w:w="2160" w:type="dxa"/>
            <w:vAlign w:val="center"/>
          </w:tcPr>
          <w:p>
            <w:pPr>
              <w:ind w:firstLine="0" w:firstLineChars="0"/>
              <w:jc w:val="center"/>
              <w:rPr>
                <w:sz w:val="21"/>
                <w:szCs w:val="21"/>
                <w:highlight w:val="none"/>
              </w:rPr>
            </w:pPr>
            <w:r>
              <w:rPr>
                <w:rFonts w:hint="eastAsia"/>
                <w:sz w:val="21"/>
                <w:szCs w:val="21"/>
                <w:highlight w:val="none"/>
              </w:rPr>
              <w:t>0.00</w:t>
            </w:r>
            <w:r>
              <w:rPr>
                <w:rFonts w:hint="eastAsia"/>
                <w:sz w:val="21"/>
                <w:szCs w:val="21"/>
                <w:highlight w:val="none"/>
                <w:lang w:val="en-US" w:eastAsia="zh-CN"/>
              </w:rPr>
              <w:t>1</w:t>
            </w:r>
            <w:r>
              <w:rPr>
                <w:rFonts w:hint="eastAsia"/>
                <w:sz w:val="21"/>
                <w:szCs w:val="21"/>
                <w:highlight w:val="none"/>
              </w:rPr>
              <w:t>8：</w:t>
            </w:r>
            <w:r>
              <w:rPr>
                <w:sz w:val="21"/>
                <w:szCs w:val="21"/>
                <w:highlight w:val="none"/>
              </w:rPr>
              <w:t>1</w:t>
            </w:r>
          </w:p>
        </w:tc>
        <w:tc>
          <w:tcPr>
            <w:tcW w:w="2053" w:type="dxa"/>
            <w:vAlign w:val="center"/>
          </w:tcPr>
          <w:p>
            <w:pPr>
              <w:ind w:firstLine="0" w:firstLineChars="0"/>
              <w:jc w:val="center"/>
              <w:rPr>
                <w:rFonts w:hint="eastAsia" w:eastAsia="宋体"/>
                <w:sz w:val="21"/>
                <w:szCs w:val="21"/>
                <w:highlight w:val="none"/>
                <w:lang w:eastAsia="zh-CN"/>
              </w:rPr>
            </w:pPr>
            <w:r>
              <w:rPr>
                <w:rFonts w:hint="eastAsia"/>
                <w:sz w:val="21"/>
                <w:szCs w:val="21"/>
                <w:highlight w:val="none"/>
                <w:lang w:eastAsia="zh-CN"/>
              </w:rPr>
              <w:t>矿体裸露地表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96" w:type="dxa"/>
            <w:vAlign w:val="center"/>
          </w:tcPr>
          <w:p>
            <w:pPr>
              <w:ind w:firstLine="0" w:firstLineChars="0"/>
              <w:jc w:val="center"/>
              <w:rPr>
                <w:sz w:val="21"/>
                <w:szCs w:val="21"/>
                <w:highlight w:val="none"/>
              </w:rPr>
            </w:pPr>
            <w:r>
              <w:rPr>
                <w:rFonts w:hint="eastAsia"/>
                <w:sz w:val="21"/>
                <w:szCs w:val="21"/>
                <w:highlight w:val="none"/>
              </w:rPr>
              <w:t>6</w:t>
            </w:r>
          </w:p>
        </w:tc>
        <w:tc>
          <w:tcPr>
            <w:tcW w:w="2769" w:type="dxa"/>
            <w:gridSpan w:val="2"/>
            <w:vAlign w:val="center"/>
          </w:tcPr>
          <w:p>
            <w:pPr>
              <w:ind w:firstLine="0" w:firstLineChars="0"/>
              <w:jc w:val="center"/>
              <w:rPr>
                <w:sz w:val="21"/>
                <w:szCs w:val="21"/>
                <w:highlight w:val="none"/>
              </w:rPr>
            </w:pPr>
            <w:r>
              <w:rPr>
                <w:sz w:val="21"/>
                <w:szCs w:val="21"/>
                <w:highlight w:val="none"/>
              </w:rPr>
              <w:t>矿山设计规模</w:t>
            </w:r>
          </w:p>
        </w:tc>
        <w:tc>
          <w:tcPr>
            <w:tcW w:w="1260" w:type="dxa"/>
            <w:vAlign w:val="center"/>
          </w:tcPr>
          <w:p>
            <w:pPr>
              <w:ind w:firstLine="0" w:firstLineChars="0"/>
              <w:jc w:val="center"/>
              <w:rPr>
                <w:sz w:val="21"/>
                <w:szCs w:val="21"/>
                <w:highlight w:val="none"/>
              </w:rPr>
            </w:pPr>
            <w:r>
              <w:rPr>
                <w:sz w:val="21"/>
                <w:szCs w:val="21"/>
                <w:highlight w:val="none"/>
              </w:rPr>
              <w:t>万t/a</w:t>
            </w:r>
          </w:p>
        </w:tc>
        <w:tc>
          <w:tcPr>
            <w:tcW w:w="2160" w:type="dxa"/>
            <w:vAlign w:val="center"/>
          </w:tcPr>
          <w:p>
            <w:pPr>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30</w:t>
            </w:r>
          </w:p>
        </w:tc>
        <w:tc>
          <w:tcPr>
            <w:tcW w:w="2053" w:type="dxa"/>
            <w:vAlign w:val="center"/>
          </w:tcPr>
          <w:p>
            <w:pPr>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96" w:type="dxa"/>
            <w:vAlign w:val="center"/>
          </w:tcPr>
          <w:p>
            <w:pPr>
              <w:ind w:firstLine="0" w:firstLineChars="0"/>
              <w:jc w:val="center"/>
              <w:rPr>
                <w:sz w:val="21"/>
                <w:szCs w:val="21"/>
                <w:highlight w:val="none"/>
              </w:rPr>
            </w:pPr>
            <w:r>
              <w:rPr>
                <w:rFonts w:hint="eastAsia"/>
                <w:sz w:val="21"/>
                <w:szCs w:val="21"/>
                <w:highlight w:val="none"/>
              </w:rPr>
              <w:t>7</w:t>
            </w:r>
          </w:p>
        </w:tc>
        <w:tc>
          <w:tcPr>
            <w:tcW w:w="2769" w:type="dxa"/>
            <w:gridSpan w:val="2"/>
            <w:vAlign w:val="center"/>
          </w:tcPr>
          <w:p>
            <w:pPr>
              <w:ind w:firstLine="0" w:firstLineChars="0"/>
              <w:jc w:val="center"/>
              <w:rPr>
                <w:sz w:val="21"/>
                <w:szCs w:val="21"/>
                <w:highlight w:val="none"/>
              </w:rPr>
            </w:pPr>
            <w:r>
              <w:rPr>
                <w:sz w:val="21"/>
                <w:szCs w:val="21"/>
                <w:highlight w:val="none"/>
              </w:rPr>
              <w:t>矿山服务年限</w:t>
            </w:r>
          </w:p>
        </w:tc>
        <w:tc>
          <w:tcPr>
            <w:tcW w:w="1260" w:type="dxa"/>
            <w:vAlign w:val="center"/>
          </w:tcPr>
          <w:p>
            <w:pPr>
              <w:ind w:firstLine="0" w:firstLineChars="0"/>
              <w:jc w:val="center"/>
              <w:rPr>
                <w:sz w:val="21"/>
                <w:szCs w:val="21"/>
                <w:highlight w:val="none"/>
              </w:rPr>
            </w:pPr>
            <w:r>
              <w:rPr>
                <w:sz w:val="21"/>
                <w:szCs w:val="21"/>
                <w:highlight w:val="none"/>
              </w:rPr>
              <w:t>a</w:t>
            </w:r>
          </w:p>
        </w:tc>
        <w:tc>
          <w:tcPr>
            <w:tcW w:w="2160" w:type="dxa"/>
            <w:vAlign w:val="center"/>
          </w:tcPr>
          <w:p>
            <w:pPr>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6.8</w:t>
            </w:r>
          </w:p>
        </w:tc>
        <w:tc>
          <w:tcPr>
            <w:tcW w:w="2053" w:type="dxa"/>
            <w:vAlign w:val="center"/>
          </w:tcPr>
          <w:p>
            <w:pPr>
              <w:ind w:firstLine="0" w:firstLineChars="0"/>
              <w:jc w:val="center"/>
              <w:rPr>
                <w:sz w:val="21"/>
                <w:szCs w:val="21"/>
                <w:highlight w:val="none"/>
              </w:rPr>
            </w:pPr>
            <w:r>
              <w:rPr>
                <w:rFonts w:hint="eastAsia"/>
                <w:sz w:val="21"/>
                <w:szCs w:val="21"/>
                <w:highlight w:val="none"/>
              </w:rPr>
              <w:t>不含基建期</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96" w:type="dxa"/>
            <w:vAlign w:val="center"/>
          </w:tcPr>
          <w:p>
            <w:pPr>
              <w:ind w:firstLine="0" w:firstLineChars="0"/>
              <w:jc w:val="center"/>
              <w:rPr>
                <w:sz w:val="21"/>
                <w:szCs w:val="21"/>
                <w:highlight w:val="none"/>
              </w:rPr>
            </w:pPr>
            <w:r>
              <w:rPr>
                <w:rFonts w:hint="eastAsia"/>
                <w:sz w:val="21"/>
                <w:szCs w:val="21"/>
                <w:highlight w:val="none"/>
              </w:rPr>
              <w:t>8</w:t>
            </w:r>
          </w:p>
        </w:tc>
        <w:tc>
          <w:tcPr>
            <w:tcW w:w="2769" w:type="dxa"/>
            <w:gridSpan w:val="2"/>
            <w:vAlign w:val="center"/>
          </w:tcPr>
          <w:p>
            <w:pPr>
              <w:ind w:firstLine="0" w:firstLineChars="0"/>
              <w:jc w:val="center"/>
              <w:rPr>
                <w:sz w:val="21"/>
                <w:szCs w:val="21"/>
                <w:highlight w:val="none"/>
              </w:rPr>
            </w:pPr>
            <w:r>
              <w:rPr>
                <w:sz w:val="21"/>
                <w:szCs w:val="21"/>
                <w:highlight w:val="none"/>
              </w:rPr>
              <w:t>矿石回采率</w:t>
            </w:r>
          </w:p>
        </w:tc>
        <w:tc>
          <w:tcPr>
            <w:tcW w:w="1260" w:type="dxa"/>
            <w:vAlign w:val="center"/>
          </w:tcPr>
          <w:p>
            <w:pPr>
              <w:ind w:firstLine="0" w:firstLineChars="0"/>
              <w:jc w:val="center"/>
              <w:rPr>
                <w:sz w:val="21"/>
                <w:szCs w:val="21"/>
                <w:highlight w:val="none"/>
              </w:rPr>
            </w:pPr>
            <w:r>
              <w:rPr>
                <w:sz w:val="21"/>
                <w:szCs w:val="21"/>
                <w:highlight w:val="none"/>
              </w:rPr>
              <w:t>%</w:t>
            </w:r>
          </w:p>
        </w:tc>
        <w:tc>
          <w:tcPr>
            <w:tcW w:w="2160" w:type="dxa"/>
            <w:vAlign w:val="center"/>
          </w:tcPr>
          <w:p>
            <w:pPr>
              <w:ind w:firstLine="0" w:firstLineChars="0"/>
              <w:jc w:val="center"/>
              <w:rPr>
                <w:sz w:val="21"/>
                <w:szCs w:val="21"/>
                <w:highlight w:val="none"/>
              </w:rPr>
            </w:pPr>
            <w:r>
              <w:rPr>
                <w:sz w:val="21"/>
                <w:szCs w:val="21"/>
                <w:highlight w:val="none"/>
              </w:rPr>
              <w:t>9</w:t>
            </w:r>
            <w:r>
              <w:rPr>
                <w:rFonts w:hint="eastAsia"/>
                <w:sz w:val="21"/>
                <w:szCs w:val="21"/>
                <w:highlight w:val="none"/>
              </w:rPr>
              <w:t>7</w:t>
            </w:r>
          </w:p>
        </w:tc>
        <w:tc>
          <w:tcPr>
            <w:tcW w:w="2053" w:type="dxa"/>
            <w:vAlign w:val="center"/>
          </w:tcPr>
          <w:p>
            <w:pPr>
              <w:ind w:firstLine="0" w:firstLineChars="0"/>
              <w:jc w:val="center"/>
              <w:rPr>
                <w:sz w:val="21"/>
                <w:szCs w:val="21"/>
                <w:highlight w:val="none"/>
              </w:rPr>
            </w:pPr>
            <w:r>
              <w:rPr>
                <w:rFonts w:hint="eastAsia"/>
                <w:sz w:val="21"/>
                <w:szCs w:val="21"/>
                <w:highlight w:val="none"/>
              </w:rPr>
              <w:t>开采回采率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96" w:type="dxa"/>
            <w:vAlign w:val="center"/>
          </w:tcPr>
          <w:p>
            <w:pPr>
              <w:ind w:firstLine="0" w:firstLineChars="0"/>
              <w:jc w:val="center"/>
              <w:rPr>
                <w:sz w:val="21"/>
                <w:szCs w:val="21"/>
                <w:highlight w:val="none"/>
              </w:rPr>
            </w:pPr>
            <w:r>
              <w:rPr>
                <w:rFonts w:hint="eastAsia"/>
                <w:sz w:val="21"/>
                <w:szCs w:val="21"/>
                <w:highlight w:val="none"/>
              </w:rPr>
              <w:t>9</w:t>
            </w:r>
          </w:p>
        </w:tc>
        <w:tc>
          <w:tcPr>
            <w:tcW w:w="2769" w:type="dxa"/>
            <w:gridSpan w:val="2"/>
            <w:vAlign w:val="center"/>
          </w:tcPr>
          <w:p>
            <w:pPr>
              <w:ind w:firstLine="0" w:firstLineChars="0"/>
              <w:jc w:val="center"/>
              <w:rPr>
                <w:sz w:val="21"/>
                <w:szCs w:val="21"/>
                <w:highlight w:val="none"/>
              </w:rPr>
            </w:pPr>
            <w:r>
              <w:rPr>
                <w:rFonts w:hint="eastAsia"/>
                <w:sz w:val="21"/>
                <w:szCs w:val="21"/>
                <w:highlight w:val="none"/>
              </w:rPr>
              <w:t>废石混入率</w:t>
            </w:r>
          </w:p>
        </w:tc>
        <w:tc>
          <w:tcPr>
            <w:tcW w:w="1260" w:type="dxa"/>
            <w:vAlign w:val="center"/>
          </w:tcPr>
          <w:p>
            <w:pPr>
              <w:ind w:firstLine="0" w:firstLineChars="0"/>
              <w:jc w:val="center"/>
              <w:rPr>
                <w:sz w:val="21"/>
                <w:szCs w:val="21"/>
                <w:highlight w:val="none"/>
              </w:rPr>
            </w:pPr>
            <w:r>
              <w:rPr>
                <w:sz w:val="21"/>
                <w:szCs w:val="21"/>
                <w:highlight w:val="none"/>
              </w:rPr>
              <w:t>%</w:t>
            </w:r>
          </w:p>
        </w:tc>
        <w:tc>
          <w:tcPr>
            <w:tcW w:w="2160" w:type="dxa"/>
            <w:vAlign w:val="center"/>
          </w:tcPr>
          <w:p>
            <w:pPr>
              <w:ind w:firstLine="0" w:firstLineChars="0"/>
              <w:jc w:val="center"/>
              <w:rPr>
                <w:sz w:val="21"/>
                <w:szCs w:val="21"/>
                <w:highlight w:val="none"/>
              </w:rPr>
            </w:pPr>
            <w:r>
              <w:rPr>
                <w:rFonts w:hint="eastAsia"/>
                <w:sz w:val="21"/>
                <w:szCs w:val="21"/>
                <w:highlight w:val="none"/>
              </w:rPr>
              <w:t>&lt;3</w:t>
            </w:r>
          </w:p>
        </w:tc>
        <w:tc>
          <w:tcPr>
            <w:tcW w:w="2053" w:type="dxa"/>
            <w:vAlign w:val="center"/>
          </w:tcPr>
          <w:p>
            <w:pPr>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96" w:type="dxa"/>
            <w:vAlign w:val="center"/>
          </w:tcPr>
          <w:p>
            <w:pPr>
              <w:ind w:firstLine="0" w:firstLineChars="0"/>
              <w:jc w:val="center"/>
              <w:rPr>
                <w:sz w:val="21"/>
                <w:szCs w:val="21"/>
                <w:highlight w:val="none"/>
              </w:rPr>
            </w:pPr>
            <w:r>
              <w:rPr>
                <w:rFonts w:hint="eastAsia"/>
                <w:sz w:val="21"/>
                <w:szCs w:val="21"/>
                <w:highlight w:val="none"/>
              </w:rPr>
              <w:t>10</w:t>
            </w:r>
          </w:p>
        </w:tc>
        <w:tc>
          <w:tcPr>
            <w:tcW w:w="2769" w:type="dxa"/>
            <w:gridSpan w:val="2"/>
            <w:vAlign w:val="center"/>
          </w:tcPr>
          <w:p>
            <w:pPr>
              <w:ind w:firstLine="0" w:firstLineChars="0"/>
              <w:jc w:val="center"/>
              <w:rPr>
                <w:sz w:val="21"/>
                <w:szCs w:val="21"/>
                <w:highlight w:val="none"/>
              </w:rPr>
            </w:pPr>
            <w:r>
              <w:rPr>
                <w:sz w:val="21"/>
                <w:szCs w:val="21"/>
                <w:highlight w:val="none"/>
              </w:rPr>
              <w:t>开拓运输方式</w:t>
            </w:r>
          </w:p>
        </w:tc>
        <w:tc>
          <w:tcPr>
            <w:tcW w:w="1260" w:type="dxa"/>
            <w:vAlign w:val="center"/>
          </w:tcPr>
          <w:p>
            <w:pPr>
              <w:ind w:firstLine="0" w:firstLineChars="0"/>
              <w:jc w:val="center"/>
              <w:rPr>
                <w:sz w:val="21"/>
                <w:szCs w:val="21"/>
                <w:highlight w:val="none"/>
              </w:rPr>
            </w:pPr>
          </w:p>
        </w:tc>
        <w:tc>
          <w:tcPr>
            <w:tcW w:w="2160" w:type="dxa"/>
            <w:vAlign w:val="center"/>
          </w:tcPr>
          <w:p>
            <w:pPr>
              <w:ind w:firstLine="0" w:firstLineChars="0"/>
              <w:jc w:val="center"/>
              <w:rPr>
                <w:sz w:val="21"/>
                <w:szCs w:val="21"/>
                <w:highlight w:val="none"/>
              </w:rPr>
            </w:pPr>
            <w:r>
              <w:rPr>
                <w:sz w:val="21"/>
                <w:szCs w:val="21"/>
                <w:highlight w:val="none"/>
              </w:rPr>
              <w:t>公路</w:t>
            </w:r>
            <w:r>
              <w:rPr>
                <w:rFonts w:hint="eastAsia"/>
                <w:sz w:val="21"/>
                <w:szCs w:val="21"/>
                <w:highlight w:val="none"/>
              </w:rPr>
              <w:t>开拓汽车</w:t>
            </w:r>
            <w:r>
              <w:rPr>
                <w:sz w:val="21"/>
                <w:szCs w:val="21"/>
                <w:highlight w:val="none"/>
              </w:rPr>
              <w:t>运输</w:t>
            </w:r>
          </w:p>
        </w:tc>
        <w:tc>
          <w:tcPr>
            <w:tcW w:w="2053" w:type="dxa"/>
            <w:vAlign w:val="center"/>
          </w:tcPr>
          <w:p>
            <w:pPr>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96" w:type="dxa"/>
            <w:vAlign w:val="center"/>
          </w:tcPr>
          <w:p>
            <w:pPr>
              <w:ind w:firstLine="0" w:firstLineChars="0"/>
              <w:jc w:val="center"/>
              <w:rPr>
                <w:sz w:val="21"/>
                <w:szCs w:val="21"/>
                <w:highlight w:val="none"/>
              </w:rPr>
            </w:pPr>
            <w:r>
              <w:rPr>
                <w:rFonts w:hint="eastAsia"/>
                <w:sz w:val="21"/>
                <w:szCs w:val="21"/>
                <w:highlight w:val="none"/>
              </w:rPr>
              <w:t>11</w:t>
            </w:r>
          </w:p>
        </w:tc>
        <w:tc>
          <w:tcPr>
            <w:tcW w:w="2769" w:type="dxa"/>
            <w:gridSpan w:val="2"/>
            <w:vAlign w:val="center"/>
          </w:tcPr>
          <w:p>
            <w:pPr>
              <w:ind w:firstLine="0" w:firstLineChars="0"/>
              <w:jc w:val="center"/>
              <w:rPr>
                <w:sz w:val="21"/>
                <w:szCs w:val="21"/>
                <w:highlight w:val="none"/>
              </w:rPr>
            </w:pPr>
            <w:r>
              <w:rPr>
                <w:sz w:val="21"/>
                <w:szCs w:val="21"/>
                <w:highlight w:val="none"/>
              </w:rPr>
              <w:t>开采方式</w:t>
            </w:r>
          </w:p>
        </w:tc>
        <w:tc>
          <w:tcPr>
            <w:tcW w:w="1260" w:type="dxa"/>
            <w:vAlign w:val="center"/>
          </w:tcPr>
          <w:p>
            <w:pPr>
              <w:ind w:firstLine="0" w:firstLineChars="0"/>
              <w:jc w:val="center"/>
              <w:rPr>
                <w:sz w:val="21"/>
                <w:szCs w:val="21"/>
                <w:highlight w:val="none"/>
              </w:rPr>
            </w:pPr>
          </w:p>
        </w:tc>
        <w:tc>
          <w:tcPr>
            <w:tcW w:w="2160" w:type="dxa"/>
            <w:vAlign w:val="center"/>
          </w:tcPr>
          <w:p>
            <w:pPr>
              <w:ind w:firstLine="0" w:firstLineChars="0"/>
              <w:jc w:val="center"/>
              <w:rPr>
                <w:sz w:val="21"/>
                <w:szCs w:val="21"/>
                <w:highlight w:val="none"/>
              </w:rPr>
            </w:pPr>
            <w:r>
              <w:rPr>
                <w:rFonts w:hint="eastAsia"/>
                <w:sz w:val="21"/>
                <w:szCs w:val="21"/>
                <w:highlight w:val="none"/>
              </w:rPr>
              <w:t>露天</w:t>
            </w:r>
          </w:p>
        </w:tc>
        <w:tc>
          <w:tcPr>
            <w:tcW w:w="2053" w:type="dxa"/>
            <w:vAlign w:val="center"/>
          </w:tcPr>
          <w:p>
            <w:pPr>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96" w:type="dxa"/>
            <w:vMerge w:val="restart"/>
            <w:vAlign w:val="center"/>
          </w:tcPr>
          <w:p>
            <w:pPr>
              <w:ind w:firstLine="0" w:firstLineChars="0"/>
              <w:jc w:val="center"/>
              <w:rPr>
                <w:sz w:val="21"/>
                <w:szCs w:val="21"/>
                <w:highlight w:val="none"/>
              </w:rPr>
            </w:pPr>
            <w:r>
              <w:rPr>
                <w:rFonts w:hint="eastAsia"/>
                <w:sz w:val="21"/>
                <w:szCs w:val="21"/>
                <w:highlight w:val="none"/>
              </w:rPr>
              <w:t>12</w:t>
            </w:r>
          </w:p>
        </w:tc>
        <w:tc>
          <w:tcPr>
            <w:tcW w:w="2769" w:type="dxa"/>
            <w:gridSpan w:val="2"/>
            <w:vAlign w:val="center"/>
          </w:tcPr>
          <w:p>
            <w:pPr>
              <w:ind w:firstLine="0" w:firstLineChars="0"/>
              <w:jc w:val="center"/>
              <w:rPr>
                <w:sz w:val="21"/>
                <w:szCs w:val="21"/>
                <w:highlight w:val="none"/>
              </w:rPr>
            </w:pPr>
            <w:r>
              <w:rPr>
                <w:sz w:val="21"/>
                <w:szCs w:val="21"/>
                <w:highlight w:val="none"/>
              </w:rPr>
              <w:t>采场要素</w:t>
            </w:r>
          </w:p>
        </w:tc>
        <w:tc>
          <w:tcPr>
            <w:tcW w:w="1260" w:type="dxa"/>
            <w:vAlign w:val="center"/>
          </w:tcPr>
          <w:p>
            <w:pPr>
              <w:ind w:firstLine="0" w:firstLineChars="0"/>
              <w:jc w:val="center"/>
              <w:rPr>
                <w:sz w:val="21"/>
                <w:szCs w:val="21"/>
                <w:highlight w:val="none"/>
              </w:rPr>
            </w:pPr>
          </w:p>
        </w:tc>
        <w:tc>
          <w:tcPr>
            <w:tcW w:w="2160" w:type="dxa"/>
            <w:vAlign w:val="center"/>
          </w:tcPr>
          <w:p>
            <w:pPr>
              <w:ind w:firstLine="0" w:firstLineChars="0"/>
              <w:jc w:val="center"/>
              <w:rPr>
                <w:sz w:val="21"/>
                <w:szCs w:val="21"/>
                <w:highlight w:val="none"/>
              </w:rPr>
            </w:pPr>
          </w:p>
        </w:tc>
        <w:tc>
          <w:tcPr>
            <w:tcW w:w="2053" w:type="dxa"/>
            <w:vAlign w:val="center"/>
          </w:tcPr>
          <w:p>
            <w:pPr>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96" w:type="dxa"/>
            <w:vMerge w:val="continue"/>
            <w:vAlign w:val="center"/>
          </w:tcPr>
          <w:p>
            <w:pPr>
              <w:ind w:firstLine="0" w:firstLineChars="0"/>
              <w:jc w:val="center"/>
              <w:rPr>
                <w:sz w:val="21"/>
                <w:szCs w:val="21"/>
                <w:highlight w:val="none"/>
              </w:rPr>
            </w:pPr>
          </w:p>
        </w:tc>
        <w:tc>
          <w:tcPr>
            <w:tcW w:w="2769" w:type="dxa"/>
            <w:gridSpan w:val="2"/>
            <w:vAlign w:val="center"/>
          </w:tcPr>
          <w:p>
            <w:pPr>
              <w:ind w:firstLine="0" w:firstLineChars="0"/>
              <w:jc w:val="center"/>
              <w:rPr>
                <w:sz w:val="21"/>
                <w:szCs w:val="21"/>
                <w:highlight w:val="none"/>
              </w:rPr>
            </w:pPr>
            <w:r>
              <w:rPr>
                <w:sz w:val="21"/>
                <w:szCs w:val="21"/>
                <w:highlight w:val="none"/>
              </w:rPr>
              <w:t>露天采场最高台阶标高</w:t>
            </w:r>
          </w:p>
        </w:tc>
        <w:tc>
          <w:tcPr>
            <w:tcW w:w="1260" w:type="dxa"/>
            <w:vAlign w:val="center"/>
          </w:tcPr>
          <w:p>
            <w:pPr>
              <w:ind w:firstLine="0" w:firstLineChars="0"/>
              <w:jc w:val="center"/>
              <w:rPr>
                <w:sz w:val="21"/>
                <w:szCs w:val="21"/>
                <w:highlight w:val="none"/>
              </w:rPr>
            </w:pPr>
            <w:r>
              <w:rPr>
                <w:sz w:val="21"/>
                <w:szCs w:val="21"/>
                <w:highlight w:val="none"/>
              </w:rPr>
              <w:t>m</w:t>
            </w:r>
          </w:p>
        </w:tc>
        <w:tc>
          <w:tcPr>
            <w:tcW w:w="2160" w:type="dxa"/>
            <w:vAlign w:val="center"/>
          </w:tcPr>
          <w:p>
            <w:pPr>
              <w:ind w:firstLine="0" w:firstLineChars="0"/>
              <w:jc w:val="center"/>
              <w:rPr>
                <w:rFonts w:hint="default" w:eastAsia="宋体"/>
                <w:sz w:val="21"/>
                <w:szCs w:val="21"/>
                <w:highlight w:val="none"/>
                <w:lang w:val="en-US" w:eastAsia="zh-CN"/>
              </w:rPr>
            </w:pPr>
            <w:r>
              <w:rPr>
                <w:rFonts w:hint="eastAsia"/>
                <w:sz w:val="21"/>
                <w:szCs w:val="21"/>
                <w:highlight w:val="none"/>
              </w:rPr>
              <w:t>+</w:t>
            </w:r>
            <w:r>
              <w:rPr>
                <w:rFonts w:hint="eastAsia"/>
                <w:sz w:val="21"/>
                <w:szCs w:val="21"/>
                <w:highlight w:val="none"/>
                <w:lang w:val="en-US" w:eastAsia="zh-CN"/>
              </w:rPr>
              <w:t>1730</w:t>
            </w:r>
          </w:p>
        </w:tc>
        <w:tc>
          <w:tcPr>
            <w:tcW w:w="2053" w:type="dxa"/>
            <w:vAlign w:val="center"/>
          </w:tcPr>
          <w:p>
            <w:pPr>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96" w:type="dxa"/>
            <w:vMerge w:val="continue"/>
            <w:vAlign w:val="center"/>
          </w:tcPr>
          <w:p>
            <w:pPr>
              <w:ind w:firstLine="0" w:firstLineChars="0"/>
              <w:jc w:val="center"/>
              <w:rPr>
                <w:sz w:val="21"/>
                <w:szCs w:val="21"/>
                <w:highlight w:val="none"/>
              </w:rPr>
            </w:pPr>
          </w:p>
        </w:tc>
        <w:tc>
          <w:tcPr>
            <w:tcW w:w="2769" w:type="dxa"/>
            <w:gridSpan w:val="2"/>
            <w:vAlign w:val="center"/>
          </w:tcPr>
          <w:p>
            <w:pPr>
              <w:ind w:firstLine="0" w:firstLineChars="0"/>
              <w:jc w:val="center"/>
              <w:rPr>
                <w:sz w:val="21"/>
                <w:szCs w:val="21"/>
                <w:highlight w:val="none"/>
              </w:rPr>
            </w:pPr>
            <w:r>
              <w:rPr>
                <w:sz w:val="21"/>
                <w:szCs w:val="21"/>
                <w:highlight w:val="none"/>
              </w:rPr>
              <w:t>露天采场最低台阶标高</w:t>
            </w:r>
          </w:p>
        </w:tc>
        <w:tc>
          <w:tcPr>
            <w:tcW w:w="1260" w:type="dxa"/>
            <w:vAlign w:val="center"/>
          </w:tcPr>
          <w:p>
            <w:pPr>
              <w:ind w:firstLine="0" w:firstLineChars="0"/>
              <w:jc w:val="center"/>
              <w:rPr>
                <w:sz w:val="21"/>
                <w:szCs w:val="21"/>
                <w:highlight w:val="none"/>
              </w:rPr>
            </w:pPr>
            <w:r>
              <w:rPr>
                <w:sz w:val="21"/>
                <w:szCs w:val="21"/>
                <w:highlight w:val="none"/>
              </w:rPr>
              <w:t>m</w:t>
            </w:r>
          </w:p>
        </w:tc>
        <w:tc>
          <w:tcPr>
            <w:tcW w:w="2160" w:type="dxa"/>
            <w:vAlign w:val="center"/>
          </w:tcPr>
          <w:p>
            <w:pPr>
              <w:ind w:firstLine="0" w:firstLineChars="0"/>
              <w:jc w:val="center"/>
              <w:rPr>
                <w:rFonts w:hint="default" w:eastAsia="宋体"/>
                <w:sz w:val="21"/>
                <w:szCs w:val="21"/>
                <w:highlight w:val="none"/>
                <w:lang w:val="en-US" w:eastAsia="zh-CN"/>
              </w:rPr>
            </w:pPr>
            <w:r>
              <w:rPr>
                <w:rFonts w:hint="eastAsia"/>
                <w:sz w:val="21"/>
                <w:szCs w:val="21"/>
                <w:highlight w:val="none"/>
              </w:rPr>
              <w:t>+1</w:t>
            </w:r>
            <w:r>
              <w:rPr>
                <w:rFonts w:hint="eastAsia"/>
                <w:sz w:val="21"/>
                <w:szCs w:val="21"/>
                <w:highlight w:val="none"/>
                <w:lang w:val="en-US" w:eastAsia="zh-CN"/>
              </w:rPr>
              <w:t>680</w:t>
            </w:r>
          </w:p>
        </w:tc>
        <w:tc>
          <w:tcPr>
            <w:tcW w:w="2053" w:type="dxa"/>
            <w:vAlign w:val="center"/>
          </w:tcPr>
          <w:p>
            <w:pPr>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96" w:type="dxa"/>
            <w:vMerge w:val="continue"/>
            <w:vAlign w:val="center"/>
          </w:tcPr>
          <w:p>
            <w:pPr>
              <w:ind w:firstLine="0" w:firstLineChars="0"/>
              <w:jc w:val="center"/>
              <w:rPr>
                <w:sz w:val="21"/>
                <w:szCs w:val="21"/>
                <w:highlight w:val="none"/>
              </w:rPr>
            </w:pPr>
          </w:p>
        </w:tc>
        <w:tc>
          <w:tcPr>
            <w:tcW w:w="2769" w:type="dxa"/>
            <w:gridSpan w:val="2"/>
            <w:vAlign w:val="center"/>
          </w:tcPr>
          <w:p>
            <w:pPr>
              <w:ind w:firstLine="0" w:firstLineChars="0"/>
              <w:jc w:val="center"/>
              <w:rPr>
                <w:sz w:val="21"/>
                <w:szCs w:val="21"/>
                <w:highlight w:val="none"/>
              </w:rPr>
            </w:pPr>
            <w:r>
              <w:rPr>
                <w:sz w:val="21"/>
                <w:szCs w:val="21"/>
                <w:highlight w:val="none"/>
              </w:rPr>
              <w:t>最大开采深度</w:t>
            </w:r>
          </w:p>
        </w:tc>
        <w:tc>
          <w:tcPr>
            <w:tcW w:w="1260" w:type="dxa"/>
            <w:vAlign w:val="center"/>
          </w:tcPr>
          <w:p>
            <w:pPr>
              <w:ind w:firstLine="0" w:firstLineChars="0"/>
              <w:jc w:val="center"/>
              <w:rPr>
                <w:sz w:val="21"/>
                <w:szCs w:val="21"/>
                <w:highlight w:val="none"/>
              </w:rPr>
            </w:pPr>
            <w:r>
              <w:rPr>
                <w:sz w:val="21"/>
                <w:szCs w:val="21"/>
                <w:highlight w:val="none"/>
              </w:rPr>
              <w:t>m</w:t>
            </w:r>
          </w:p>
        </w:tc>
        <w:tc>
          <w:tcPr>
            <w:tcW w:w="2160" w:type="dxa"/>
            <w:vAlign w:val="center"/>
          </w:tcPr>
          <w:p>
            <w:pPr>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66</w:t>
            </w:r>
          </w:p>
        </w:tc>
        <w:tc>
          <w:tcPr>
            <w:tcW w:w="2053" w:type="dxa"/>
            <w:vAlign w:val="center"/>
          </w:tcPr>
          <w:p>
            <w:pPr>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96" w:type="dxa"/>
            <w:vMerge w:val="continue"/>
            <w:vAlign w:val="center"/>
          </w:tcPr>
          <w:p>
            <w:pPr>
              <w:ind w:firstLine="0" w:firstLineChars="0"/>
              <w:jc w:val="center"/>
              <w:rPr>
                <w:sz w:val="21"/>
                <w:szCs w:val="21"/>
                <w:highlight w:val="none"/>
              </w:rPr>
            </w:pPr>
          </w:p>
        </w:tc>
        <w:tc>
          <w:tcPr>
            <w:tcW w:w="2769" w:type="dxa"/>
            <w:gridSpan w:val="2"/>
            <w:vAlign w:val="center"/>
          </w:tcPr>
          <w:p>
            <w:pPr>
              <w:ind w:firstLine="0" w:firstLineChars="0"/>
              <w:jc w:val="center"/>
              <w:rPr>
                <w:sz w:val="21"/>
                <w:szCs w:val="21"/>
                <w:highlight w:val="none"/>
              </w:rPr>
            </w:pPr>
            <w:r>
              <w:rPr>
                <w:sz w:val="21"/>
                <w:szCs w:val="21"/>
                <w:highlight w:val="none"/>
              </w:rPr>
              <w:t>开采境界上口尺寸</w:t>
            </w:r>
          </w:p>
        </w:tc>
        <w:tc>
          <w:tcPr>
            <w:tcW w:w="1260" w:type="dxa"/>
            <w:vAlign w:val="center"/>
          </w:tcPr>
          <w:p>
            <w:pPr>
              <w:ind w:firstLine="0" w:firstLineChars="0"/>
              <w:jc w:val="center"/>
              <w:rPr>
                <w:sz w:val="21"/>
                <w:szCs w:val="21"/>
                <w:highlight w:val="none"/>
              </w:rPr>
            </w:pPr>
            <w:r>
              <w:rPr>
                <w:sz w:val="21"/>
                <w:szCs w:val="21"/>
                <w:highlight w:val="none"/>
              </w:rPr>
              <w:t>m</w:t>
            </w:r>
          </w:p>
        </w:tc>
        <w:tc>
          <w:tcPr>
            <w:tcW w:w="2160" w:type="dxa"/>
            <w:vAlign w:val="center"/>
          </w:tcPr>
          <w:p>
            <w:pPr>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360</w:t>
            </w:r>
            <w:r>
              <w:rPr>
                <w:rFonts w:hint="eastAsia"/>
                <w:sz w:val="21"/>
                <w:szCs w:val="21"/>
                <w:highlight w:val="none"/>
              </w:rPr>
              <w:t>×</w:t>
            </w:r>
            <w:r>
              <w:rPr>
                <w:rFonts w:hint="eastAsia"/>
                <w:sz w:val="21"/>
                <w:szCs w:val="21"/>
                <w:highlight w:val="none"/>
                <w:lang w:val="en-US" w:eastAsia="zh-CN"/>
              </w:rPr>
              <w:t>200</w:t>
            </w:r>
          </w:p>
        </w:tc>
        <w:tc>
          <w:tcPr>
            <w:tcW w:w="2053" w:type="dxa"/>
            <w:vAlign w:val="center"/>
          </w:tcPr>
          <w:p>
            <w:pPr>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0" w:hRule="atLeast"/>
          <w:jc w:val="center"/>
        </w:trPr>
        <w:tc>
          <w:tcPr>
            <w:tcW w:w="696" w:type="dxa"/>
            <w:vMerge w:val="continue"/>
            <w:vAlign w:val="center"/>
          </w:tcPr>
          <w:p>
            <w:pPr>
              <w:ind w:firstLine="0" w:firstLineChars="0"/>
              <w:jc w:val="center"/>
              <w:rPr>
                <w:sz w:val="21"/>
                <w:szCs w:val="21"/>
                <w:highlight w:val="none"/>
              </w:rPr>
            </w:pPr>
          </w:p>
        </w:tc>
        <w:tc>
          <w:tcPr>
            <w:tcW w:w="2769" w:type="dxa"/>
            <w:gridSpan w:val="2"/>
            <w:vAlign w:val="center"/>
          </w:tcPr>
          <w:p>
            <w:pPr>
              <w:ind w:firstLine="0" w:firstLineChars="0"/>
              <w:jc w:val="center"/>
              <w:rPr>
                <w:sz w:val="21"/>
                <w:szCs w:val="21"/>
                <w:highlight w:val="none"/>
              </w:rPr>
            </w:pPr>
            <w:r>
              <w:rPr>
                <w:sz w:val="21"/>
                <w:szCs w:val="21"/>
                <w:highlight w:val="none"/>
              </w:rPr>
              <w:t>台阶高度</w:t>
            </w:r>
          </w:p>
        </w:tc>
        <w:tc>
          <w:tcPr>
            <w:tcW w:w="1260" w:type="dxa"/>
            <w:vAlign w:val="center"/>
          </w:tcPr>
          <w:p>
            <w:pPr>
              <w:ind w:firstLine="0" w:firstLineChars="0"/>
              <w:jc w:val="center"/>
              <w:rPr>
                <w:sz w:val="21"/>
                <w:szCs w:val="21"/>
                <w:highlight w:val="none"/>
              </w:rPr>
            </w:pPr>
            <w:r>
              <w:rPr>
                <w:sz w:val="21"/>
                <w:szCs w:val="21"/>
                <w:highlight w:val="none"/>
              </w:rPr>
              <w:t>m</w:t>
            </w:r>
          </w:p>
        </w:tc>
        <w:tc>
          <w:tcPr>
            <w:tcW w:w="2160" w:type="dxa"/>
            <w:vAlign w:val="center"/>
          </w:tcPr>
          <w:p>
            <w:pPr>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10</w:t>
            </w:r>
          </w:p>
        </w:tc>
        <w:tc>
          <w:tcPr>
            <w:tcW w:w="2053" w:type="dxa"/>
            <w:vAlign w:val="center"/>
          </w:tcPr>
          <w:p>
            <w:pPr>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96" w:type="dxa"/>
            <w:vMerge w:val="continue"/>
            <w:vAlign w:val="center"/>
          </w:tcPr>
          <w:p>
            <w:pPr>
              <w:ind w:firstLine="0" w:firstLineChars="0"/>
              <w:jc w:val="center"/>
              <w:rPr>
                <w:sz w:val="21"/>
                <w:szCs w:val="21"/>
                <w:highlight w:val="none"/>
              </w:rPr>
            </w:pPr>
          </w:p>
        </w:tc>
        <w:tc>
          <w:tcPr>
            <w:tcW w:w="2769" w:type="dxa"/>
            <w:gridSpan w:val="2"/>
            <w:vAlign w:val="center"/>
          </w:tcPr>
          <w:p>
            <w:pPr>
              <w:ind w:firstLine="0" w:firstLineChars="0"/>
              <w:jc w:val="center"/>
              <w:rPr>
                <w:sz w:val="21"/>
                <w:szCs w:val="21"/>
                <w:highlight w:val="none"/>
              </w:rPr>
            </w:pPr>
            <w:r>
              <w:rPr>
                <w:sz w:val="21"/>
                <w:szCs w:val="21"/>
                <w:highlight w:val="none"/>
              </w:rPr>
              <w:t>采场终了边坡角</w:t>
            </w:r>
          </w:p>
        </w:tc>
        <w:tc>
          <w:tcPr>
            <w:tcW w:w="1260" w:type="dxa"/>
            <w:vAlign w:val="center"/>
          </w:tcPr>
          <w:p>
            <w:pPr>
              <w:ind w:firstLine="0" w:firstLineChars="0"/>
              <w:jc w:val="center"/>
              <w:rPr>
                <w:sz w:val="21"/>
                <w:szCs w:val="21"/>
                <w:highlight w:val="none"/>
              </w:rPr>
            </w:pPr>
          </w:p>
        </w:tc>
        <w:tc>
          <w:tcPr>
            <w:tcW w:w="2160" w:type="dxa"/>
            <w:vAlign w:val="center"/>
          </w:tcPr>
          <w:p>
            <w:pPr>
              <w:ind w:firstLine="0" w:firstLineChars="0"/>
              <w:jc w:val="center"/>
              <w:rPr>
                <w:sz w:val="21"/>
                <w:szCs w:val="21"/>
                <w:highlight w:val="none"/>
              </w:rPr>
            </w:pPr>
          </w:p>
        </w:tc>
        <w:tc>
          <w:tcPr>
            <w:tcW w:w="2053" w:type="dxa"/>
            <w:vAlign w:val="center"/>
          </w:tcPr>
          <w:p>
            <w:pPr>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96" w:type="dxa"/>
            <w:vMerge w:val="continue"/>
            <w:vAlign w:val="center"/>
          </w:tcPr>
          <w:p>
            <w:pPr>
              <w:ind w:firstLine="0" w:firstLineChars="0"/>
              <w:jc w:val="center"/>
              <w:rPr>
                <w:sz w:val="21"/>
                <w:szCs w:val="21"/>
                <w:highlight w:val="none"/>
              </w:rPr>
            </w:pPr>
          </w:p>
        </w:tc>
        <w:tc>
          <w:tcPr>
            <w:tcW w:w="2769" w:type="dxa"/>
            <w:gridSpan w:val="2"/>
            <w:vAlign w:val="center"/>
          </w:tcPr>
          <w:p>
            <w:pPr>
              <w:ind w:firstLine="0" w:firstLineChars="0"/>
              <w:jc w:val="center"/>
              <w:rPr>
                <w:sz w:val="21"/>
                <w:szCs w:val="21"/>
                <w:highlight w:val="none"/>
              </w:rPr>
            </w:pPr>
            <w:r>
              <w:rPr>
                <w:rFonts w:hint="eastAsia"/>
                <w:sz w:val="21"/>
                <w:szCs w:val="21"/>
                <w:highlight w:val="none"/>
              </w:rPr>
              <w:t>东侧</w:t>
            </w:r>
          </w:p>
        </w:tc>
        <w:tc>
          <w:tcPr>
            <w:tcW w:w="1260" w:type="dxa"/>
            <w:vAlign w:val="center"/>
          </w:tcPr>
          <w:p>
            <w:pPr>
              <w:ind w:firstLine="0" w:firstLineChars="0"/>
              <w:jc w:val="center"/>
              <w:rPr>
                <w:sz w:val="21"/>
                <w:szCs w:val="21"/>
                <w:highlight w:val="none"/>
              </w:rPr>
            </w:pPr>
            <w:r>
              <w:rPr>
                <w:rFonts w:hint="eastAsia"/>
                <w:sz w:val="21"/>
                <w:szCs w:val="21"/>
                <w:highlight w:val="none"/>
              </w:rPr>
              <w:t>48</w:t>
            </w:r>
            <w:r>
              <w:rPr>
                <w:sz w:val="21"/>
                <w:szCs w:val="21"/>
                <w:highlight w:val="none"/>
              </w:rPr>
              <w:t>°</w:t>
            </w:r>
          </w:p>
        </w:tc>
        <w:tc>
          <w:tcPr>
            <w:tcW w:w="2160" w:type="dxa"/>
            <w:vAlign w:val="center"/>
          </w:tcPr>
          <w:p>
            <w:pPr>
              <w:ind w:firstLine="0" w:firstLineChars="0"/>
              <w:jc w:val="center"/>
              <w:rPr>
                <w:sz w:val="21"/>
                <w:szCs w:val="21"/>
                <w:highlight w:val="none"/>
              </w:rPr>
            </w:pPr>
            <w:r>
              <w:rPr>
                <w:sz w:val="21"/>
                <w:szCs w:val="21"/>
                <w:highlight w:val="none"/>
              </w:rPr>
              <w:t>最大边坡高度</w:t>
            </w:r>
            <w:r>
              <w:rPr>
                <w:rFonts w:hint="eastAsia"/>
                <w:sz w:val="21"/>
                <w:szCs w:val="21"/>
                <w:highlight w:val="none"/>
              </w:rPr>
              <w:t>103</w:t>
            </w:r>
            <w:r>
              <w:rPr>
                <w:sz w:val="21"/>
                <w:szCs w:val="21"/>
                <w:highlight w:val="none"/>
              </w:rPr>
              <w:t>m</w:t>
            </w:r>
          </w:p>
        </w:tc>
        <w:tc>
          <w:tcPr>
            <w:tcW w:w="2053" w:type="dxa"/>
            <w:vAlign w:val="center"/>
          </w:tcPr>
          <w:p>
            <w:pPr>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96" w:type="dxa"/>
            <w:vMerge w:val="continue"/>
            <w:vAlign w:val="center"/>
          </w:tcPr>
          <w:p>
            <w:pPr>
              <w:ind w:firstLine="0" w:firstLineChars="0"/>
              <w:jc w:val="center"/>
              <w:rPr>
                <w:sz w:val="21"/>
                <w:szCs w:val="21"/>
                <w:highlight w:val="none"/>
              </w:rPr>
            </w:pPr>
          </w:p>
        </w:tc>
        <w:tc>
          <w:tcPr>
            <w:tcW w:w="2769" w:type="dxa"/>
            <w:gridSpan w:val="2"/>
            <w:vAlign w:val="center"/>
          </w:tcPr>
          <w:p>
            <w:pPr>
              <w:ind w:firstLine="0" w:firstLineChars="0"/>
              <w:jc w:val="center"/>
              <w:rPr>
                <w:sz w:val="21"/>
                <w:szCs w:val="21"/>
                <w:highlight w:val="none"/>
              </w:rPr>
            </w:pPr>
            <w:r>
              <w:rPr>
                <w:rFonts w:hint="eastAsia"/>
                <w:sz w:val="21"/>
                <w:szCs w:val="21"/>
                <w:highlight w:val="none"/>
              </w:rPr>
              <w:t>南侧</w:t>
            </w:r>
          </w:p>
        </w:tc>
        <w:tc>
          <w:tcPr>
            <w:tcW w:w="1260" w:type="dxa"/>
            <w:vAlign w:val="center"/>
          </w:tcPr>
          <w:p>
            <w:pPr>
              <w:ind w:firstLine="0" w:firstLineChars="0"/>
              <w:jc w:val="center"/>
              <w:rPr>
                <w:sz w:val="21"/>
                <w:szCs w:val="21"/>
                <w:highlight w:val="none"/>
              </w:rPr>
            </w:pPr>
            <w:r>
              <w:rPr>
                <w:rFonts w:hint="eastAsia"/>
                <w:sz w:val="21"/>
                <w:szCs w:val="21"/>
                <w:highlight w:val="none"/>
              </w:rPr>
              <w:t>48</w:t>
            </w:r>
            <w:r>
              <w:rPr>
                <w:sz w:val="21"/>
                <w:szCs w:val="21"/>
                <w:highlight w:val="none"/>
              </w:rPr>
              <w:t>°</w:t>
            </w:r>
          </w:p>
        </w:tc>
        <w:tc>
          <w:tcPr>
            <w:tcW w:w="2160" w:type="dxa"/>
            <w:vAlign w:val="center"/>
          </w:tcPr>
          <w:p>
            <w:pPr>
              <w:ind w:firstLine="0" w:firstLineChars="0"/>
              <w:jc w:val="center"/>
              <w:rPr>
                <w:sz w:val="21"/>
                <w:szCs w:val="21"/>
                <w:highlight w:val="none"/>
              </w:rPr>
            </w:pPr>
            <w:r>
              <w:rPr>
                <w:sz w:val="21"/>
                <w:szCs w:val="21"/>
                <w:highlight w:val="none"/>
              </w:rPr>
              <w:t>最大边坡高度</w:t>
            </w:r>
            <w:r>
              <w:rPr>
                <w:rFonts w:hint="eastAsia"/>
                <w:sz w:val="21"/>
                <w:szCs w:val="21"/>
                <w:highlight w:val="none"/>
              </w:rPr>
              <w:t>84</w:t>
            </w:r>
            <w:r>
              <w:rPr>
                <w:sz w:val="21"/>
                <w:szCs w:val="21"/>
                <w:highlight w:val="none"/>
              </w:rPr>
              <w:t>m</w:t>
            </w:r>
          </w:p>
        </w:tc>
        <w:tc>
          <w:tcPr>
            <w:tcW w:w="2053" w:type="dxa"/>
            <w:vAlign w:val="center"/>
          </w:tcPr>
          <w:p>
            <w:pPr>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96" w:type="dxa"/>
            <w:vMerge w:val="continue"/>
            <w:vAlign w:val="center"/>
          </w:tcPr>
          <w:p>
            <w:pPr>
              <w:ind w:firstLine="0" w:firstLineChars="0"/>
              <w:jc w:val="center"/>
              <w:rPr>
                <w:sz w:val="21"/>
                <w:szCs w:val="21"/>
                <w:highlight w:val="none"/>
              </w:rPr>
            </w:pPr>
          </w:p>
        </w:tc>
        <w:tc>
          <w:tcPr>
            <w:tcW w:w="2769" w:type="dxa"/>
            <w:gridSpan w:val="2"/>
            <w:vAlign w:val="center"/>
          </w:tcPr>
          <w:p>
            <w:pPr>
              <w:ind w:firstLine="0" w:firstLineChars="0"/>
              <w:jc w:val="center"/>
              <w:rPr>
                <w:color w:val="auto"/>
                <w:sz w:val="21"/>
                <w:szCs w:val="21"/>
                <w:highlight w:val="none"/>
              </w:rPr>
            </w:pPr>
            <w:r>
              <w:rPr>
                <w:rFonts w:hint="eastAsia"/>
                <w:color w:val="auto"/>
                <w:sz w:val="21"/>
                <w:szCs w:val="21"/>
                <w:highlight w:val="none"/>
              </w:rPr>
              <w:t>西侧</w:t>
            </w:r>
          </w:p>
        </w:tc>
        <w:tc>
          <w:tcPr>
            <w:tcW w:w="1260" w:type="dxa"/>
            <w:vAlign w:val="center"/>
          </w:tcPr>
          <w:p>
            <w:pPr>
              <w:ind w:firstLine="0" w:firstLineChars="0"/>
              <w:jc w:val="center"/>
              <w:rPr>
                <w:color w:val="auto"/>
                <w:sz w:val="21"/>
                <w:szCs w:val="21"/>
                <w:highlight w:val="none"/>
              </w:rPr>
            </w:pPr>
            <w:r>
              <w:rPr>
                <w:rFonts w:hint="eastAsia"/>
                <w:color w:val="auto"/>
                <w:sz w:val="21"/>
                <w:szCs w:val="21"/>
                <w:highlight w:val="none"/>
              </w:rPr>
              <w:t>30°</w:t>
            </w:r>
          </w:p>
        </w:tc>
        <w:tc>
          <w:tcPr>
            <w:tcW w:w="2160" w:type="dxa"/>
            <w:vAlign w:val="center"/>
          </w:tcPr>
          <w:p>
            <w:pPr>
              <w:ind w:firstLine="0" w:firstLineChars="0"/>
              <w:jc w:val="center"/>
              <w:rPr>
                <w:color w:val="auto"/>
                <w:sz w:val="21"/>
                <w:szCs w:val="21"/>
                <w:highlight w:val="none"/>
              </w:rPr>
            </w:pPr>
            <w:r>
              <w:rPr>
                <w:color w:val="auto"/>
                <w:sz w:val="21"/>
                <w:szCs w:val="21"/>
                <w:highlight w:val="none"/>
              </w:rPr>
              <w:t>最大边坡高度</w:t>
            </w:r>
            <w:r>
              <w:rPr>
                <w:rFonts w:hint="eastAsia"/>
                <w:color w:val="auto"/>
                <w:sz w:val="21"/>
                <w:szCs w:val="21"/>
                <w:highlight w:val="none"/>
              </w:rPr>
              <w:t>94</w:t>
            </w:r>
            <w:r>
              <w:rPr>
                <w:color w:val="auto"/>
                <w:sz w:val="21"/>
                <w:szCs w:val="21"/>
                <w:highlight w:val="none"/>
              </w:rPr>
              <w:t>m</w:t>
            </w:r>
          </w:p>
        </w:tc>
        <w:tc>
          <w:tcPr>
            <w:tcW w:w="2053" w:type="dxa"/>
            <w:vAlign w:val="center"/>
          </w:tcPr>
          <w:p>
            <w:pPr>
              <w:ind w:firstLine="0" w:firstLineChars="0"/>
              <w:jc w:val="center"/>
              <w:rPr>
                <w:color w:val="auto"/>
                <w:sz w:val="21"/>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96" w:type="dxa"/>
            <w:vMerge w:val="continue"/>
            <w:vAlign w:val="center"/>
          </w:tcPr>
          <w:p>
            <w:pPr>
              <w:ind w:firstLine="0" w:firstLineChars="0"/>
              <w:jc w:val="center"/>
              <w:rPr>
                <w:sz w:val="21"/>
                <w:szCs w:val="21"/>
                <w:highlight w:val="none"/>
              </w:rPr>
            </w:pPr>
          </w:p>
        </w:tc>
        <w:tc>
          <w:tcPr>
            <w:tcW w:w="2769" w:type="dxa"/>
            <w:gridSpan w:val="2"/>
            <w:vAlign w:val="center"/>
          </w:tcPr>
          <w:p>
            <w:pPr>
              <w:ind w:firstLine="0" w:firstLineChars="0"/>
              <w:jc w:val="center"/>
              <w:rPr>
                <w:sz w:val="21"/>
                <w:szCs w:val="21"/>
                <w:highlight w:val="none"/>
              </w:rPr>
            </w:pPr>
            <w:r>
              <w:rPr>
                <w:rFonts w:hint="eastAsia"/>
                <w:sz w:val="21"/>
                <w:szCs w:val="21"/>
                <w:highlight w:val="none"/>
              </w:rPr>
              <w:t>北侧</w:t>
            </w:r>
          </w:p>
        </w:tc>
        <w:tc>
          <w:tcPr>
            <w:tcW w:w="1260" w:type="dxa"/>
            <w:vAlign w:val="center"/>
          </w:tcPr>
          <w:p>
            <w:pPr>
              <w:ind w:firstLine="0" w:firstLineChars="0"/>
              <w:jc w:val="center"/>
              <w:rPr>
                <w:sz w:val="21"/>
                <w:szCs w:val="21"/>
                <w:highlight w:val="none"/>
              </w:rPr>
            </w:pPr>
            <w:r>
              <w:rPr>
                <w:rFonts w:hint="eastAsia"/>
                <w:sz w:val="21"/>
                <w:szCs w:val="21"/>
                <w:highlight w:val="none"/>
              </w:rPr>
              <w:t>48</w:t>
            </w:r>
            <w:r>
              <w:rPr>
                <w:sz w:val="21"/>
                <w:szCs w:val="21"/>
                <w:highlight w:val="none"/>
              </w:rPr>
              <w:t>°</w:t>
            </w:r>
          </w:p>
        </w:tc>
        <w:tc>
          <w:tcPr>
            <w:tcW w:w="2160" w:type="dxa"/>
            <w:vAlign w:val="center"/>
          </w:tcPr>
          <w:p>
            <w:pPr>
              <w:ind w:firstLine="0" w:firstLineChars="0"/>
              <w:jc w:val="center"/>
              <w:rPr>
                <w:sz w:val="21"/>
                <w:szCs w:val="21"/>
                <w:highlight w:val="none"/>
              </w:rPr>
            </w:pPr>
            <w:r>
              <w:rPr>
                <w:sz w:val="21"/>
                <w:szCs w:val="21"/>
                <w:highlight w:val="none"/>
              </w:rPr>
              <w:t>最大边坡高度</w:t>
            </w:r>
            <w:r>
              <w:rPr>
                <w:rFonts w:hint="eastAsia"/>
                <w:sz w:val="21"/>
                <w:szCs w:val="21"/>
                <w:highlight w:val="none"/>
              </w:rPr>
              <w:t>100</w:t>
            </w:r>
            <w:r>
              <w:rPr>
                <w:sz w:val="21"/>
                <w:szCs w:val="21"/>
                <w:highlight w:val="none"/>
              </w:rPr>
              <w:t>m</w:t>
            </w:r>
          </w:p>
        </w:tc>
        <w:tc>
          <w:tcPr>
            <w:tcW w:w="2053" w:type="dxa"/>
            <w:vAlign w:val="center"/>
          </w:tcPr>
          <w:p>
            <w:pPr>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96" w:type="dxa"/>
            <w:vAlign w:val="center"/>
          </w:tcPr>
          <w:p>
            <w:pPr>
              <w:ind w:firstLine="0" w:firstLineChars="0"/>
              <w:jc w:val="center"/>
              <w:rPr>
                <w:sz w:val="21"/>
                <w:szCs w:val="21"/>
                <w:highlight w:val="none"/>
              </w:rPr>
            </w:pPr>
            <w:r>
              <w:rPr>
                <w:rFonts w:hint="eastAsia"/>
                <w:sz w:val="21"/>
                <w:szCs w:val="21"/>
                <w:highlight w:val="none"/>
              </w:rPr>
              <w:t>13</w:t>
            </w:r>
          </w:p>
        </w:tc>
        <w:tc>
          <w:tcPr>
            <w:tcW w:w="2769" w:type="dxa"/>
            <w:gridSpan w:val="2"/>
            <w:vAlign w:val="center"/>
          </w:tcPr>
          <w:p>
            <w:pPr>
              <w:ind w:firstLine="0" w:firstLineChars="0"/>
              <w:jc w:val="center"/>
              <w:rPr>
                <w:sz w:val="21"/>
                <w:szCs w:val="21"/>
                <w:highlight w:val="none"/>
              </w:rPr>
            </w:pPr>
            <w:r>
              <w:rPr>
                <w:sz w:val="21"/>
                <w:szCs w:val="21"/>
                <w:highlight w:val="none"/>
              </w:rPr>
              <w:t>开采境界面积</w:t>
            </w:r>
          </w:p>
        </w:tc>
        <w:tc>
          <w:tcPr>
            <w:tcW w:w="1260" w:type="dxa"/>
            <w:vAlign w:val="center"/>
          </w:tcPr>
          <w:p>
            <w:pPr>
              <w:ind w:firstLine="0" w:firstLineChars="0"/>
              <w:jc w:val="center"/>
              <w:rPr>
                <w:sz w:val="21"/>
                <w:szCs w:val="21"/>
                <w:highlight w:val="none"/>
              </w:rPr>
            </w:pPr>
            <w:r>
              <w:rPr>
                <w:sz w:val="21"/>
                <w:szCs w:val="21"/>
                <w:highlight w:val="none"/>
              </w:rPr>
              <w:t>公顷</w:t>
            </w:r>
          </w:p>
        </w:tc>
        <w:tc>
          <w:tcPr>
            <w:tcW w:w="2160" w:type="dxa"/>
            <w:vAlign w:val="center"/>
          </w:tcPr>
          <w:p>
            <w:pPr>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9.5</w:t>
            </w:r>
          </w:p>
        </w:tc>
        <w:tc>
          <w:tcPr>
            <w:tcW w:w="2053" w:type="dxa"/>
            <w:vAlign w:val="center"/>
          </w:tcPr>
          <w:p>
            <w:pPr>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96" w:type="dxa"/>
            <w:vAlign w:val="center"/>
          </w:tcPr>
          <w:p>
            <w:pPr>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14</w:t>
            </w:r>
          </w:p>
        </w:tc>
        <w:tc>
          <w:tcPr>
            <w:tcW w:w="2769" w:type="dxa"/>
            <w:gridSpan w:val="2"/>
            <w:vAlign w:val="center"/>
          </w:tcPr>
          <w:p>
            <w:pPr>
              <w:ind w:firstLine="0" w:firstLineChars="0"/>
              <w:jc w:val="center"/>
              <w:rPr>
                <w:sz w:val="21"/>
                <w:szCs w:val="21"/>
                <w:highlight w:val="none"/>
              </w:rPr>
            </w:pPr>
            <w:r>
              <w:rPr>
                <w:rFonts w:hint="eastAsia"/>
                <w:sz w:val="21"/>
                <w:szCs w:val="21"/>
                <w:highlight w:val="none"/>
              </w:rPr>
              <w:t>全矿劳动定员</w:t>
            </w:r>
          </w:p>
        </w:tc>
        <w:tc>
          <w:tcPr>
            <w:tcW w:w="1260" w:type="dxa"/>
            <w:vAlign w:val="center"/>
          </w:tcPr>
          <w:p>
            <w:pPr>
              <w:ind w:firstLine="0" w:firstLineChars="0"/>
              <w:jc w:val="center"/>
              <w:rPr>
                <w:sz w:val="21"/>
                <w:szCs w:val="21"/>
                <w:highlight w:val="none"/>
              </w:rPr>
            </w:pPr>
            <w:r>
              <w:rPr>
                <w:sz w:val="21"/>
                <w:szCs w:val="21"/>
                <w:highlight w:val="none"/>
              </w:rPr>
              <w:t>人</w:t>
            </w:r>
          </w:p>
        </w:tc>
        <w:tc>
          <w:tcPr>
            <w:tcW w:w="2160" w:type="dxa"/>
            <w:vAlign w:val="center"/>
          </w:tcPr>
          <w:p>
            <w:pPr>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20</w:t>
            </w:r>
          </w:p>
        </w:tc>
        <w:tc>
          <w:tcPr>
            <w:tcW w:w="2053" w:type="dxa"/>
            <w:vAlign w:val="center"/>
          </w:tcPr>
          <w:p>
            <w:pPr>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96" w:type="dxa"/>
            <w:vAlign w:val="center"/>
          </w:tcPr>
          <w:p>
            <w:pPr>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15</w:t>
            </w:r>
          </w:p>
        </w:tc>
        <w:tc>
          <w:tcPr>
            <w:tcW w:w="2769" w:type="dxa"/>
            <w:gridSpan w:val="2"/>
            <w:vAlign w:val="center"/>
          </w:tcPr>
          <w:p>
            <w:pPr>
              <w:ind w:firstLine="0" w:firstLineChars="0"/>
              <w:jc w:val="center"/>
              <w:rPr>
                <w:sz w:val="21"/>
                <w:szCs w:val="21"/>
                <w:highlight w:val="none"/>
              </w:rPr>
            </w:pPr>
            <w:r>
              <w:rPr>
                <w:rFonts w:hint="eastAsia"/>
                <w:sz w:val="21"/>
                <w:szCs w:val="21"/>
                <w:highlight w:val="none"/>
              </w:rPr>
              <w:t>矿石平均经营成本</w:t>
            </w:r>
          </w:p>
        </w:tc>
        <w:tc>
          <w:tcPr>
            <w:tcW w:w="1260" w:type="dxa"/>
            <w:vAlign w:val="center"/>
          </w:tcPr>
          <w:p>
            <w:pPr>
              <w:ind w:firstLine="0" w:firstLineChars="0"/>
              <w:jc w:val="center"/>
              <w:rPr>
                <w:sz w:val="21"/>
                <w:szCs w:val="21"/>
                <w:highlight w:val="none"/>
              </w:rPr>
            </w:pPr>
            <w:r>
              <w:rPr>
                <w:sz w:val="21"/>
                <w:szCs w:val="21"/>
                <w:highlight w:val="none"/>
              </w:rPr>
              <w:t>元/t</w:t>
            </w:r>
          </w:p>
        </w:tc>
        <w:tc>
          <w:tcPr>
            <w:tcW w:w="2160" w:type="dxa"/>
            <w:vAlign w:val="center"/>
          </w:tcPr>
          <w:p>
            <w:pPr>
              <w:ind w:firstLine="0" w:firstLineChars="0"/>
              <w:jc w:val="center"/>
              <w:rPr>
                <w:sz w:val="21"/>
                <w:szCs w:val="21"/>
                <w:highlight w:val="none"/>
              </w:rPr>
            </w:pPr>
            <w:r>
              <w:rPr>
                <w:rFonts w:hint="eastAsia"/>
                <w:sz w:val="21"/>
                <w:szCs w:val="21"/>
                <w:highlight w:val="none"/>
              </w:rPr>
              <w:t>6.84</w:t>
            </w:r>
          </w:p>
        </w:tc>
        <w:tc>
          <w:tcPr>
            <w:tcW w:w="2053" w:type="dxa"/>
            <w:vAlign w:val="center"/>
          </w:tcPr>
          <w:p>
            <w:pPr>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96" w:type="dxa"/>
            <w:vMerge w:val="restart"/>
            <w:vAlign w:val="center"/>
          </w:tcPr>
          <w:p>
            <w:pPr>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16</w:t>
            </w:r>
          </w:p>
        </w:tc>
        <w:tc>
          <w:tcPr>
            <w:tcW w:w="2769" w:type="dxa"/>
            <w:gridSpan w:val="2"/>
            <w:vAlign w:val="center"/>
          </w:tcPr>
          <w:p>
            <w:pPr>
              <w:ind w:firstLine="0" w:firstLineChars="0"/>
              <w:jc w:val="center"/>
              <w:rPr>
                <w:sz w:val="21"/>
                <w:szCs w:val="21"/>
                <w:highlight w:val="none"/>
              </w:rPr>
            </w:pPr>
            <w:r>
              <w:rPr>
                <w:rFonts w:hint="eastAsia"/>
                <w:sz w:val="21"/>
                <w:szCs w:val="21"/>
                <w:highlight w:val="none"/>
              </w:rPr>
              <w:t>项目总投资</w:t>
            </w:r>
          </w:p>
        </w:tc>
        <w:tc>
          <w:tcPr>
            <w:tcW w:w="1260" w:type="dxa"/>
            <w:vAlign w:val="center"/>
          </w:tcPr>
          <w:p>
            <w:pPr>
              <w:ind w:firstLine="0" w:firstLineChars="0"/>
              <w:jc w:val="center"/>
              <w:rPr>
                <w:sz w:val="21"/>
                <w:szCs w:val="21"/>
                <w:highlight w:val="none"/>
              </w:rPr>
            </w:pPr>
            <w:r>
              <w:rPr>
                <w:rFonts w:hint="eastAsia"/>
                <w:sz w:val="21"/>
                <w:szCs w:val="21"/>
                <w:highlight w:val="none"/>
              </w:rPr>
              <w:t>万元</w:t>
            </w:r>
          </w:p>
        </w:tc>
        <w:tc>
          <w:tcPr>
            <w:tcW w:w="2160" w:type="dxa"/>
            <w:vAlign w:val="center"/>
          </w:tcPr>
          <w:p>
            <w:pPr>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568</w:t>
            </w:r>
          </w:p>
        </w:tc>
        <w:tc>
          <w:tcPr>
            <w:tcW w:w="2053" w:type="dxa"/>
            <w:vAlign w:val="center"/>
          </w:tcPr>
          <w:p>
            <w:pPr>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96" w:type="dxa"/>
            <w:vMerge w:val="continue"/>
            <w:vAlign w:val="center"/>
          </w:tcPr>
          <w:p>
            <w:pPr>
              <w:ind w:firstLine="0" w:firstLineChars="0"/>
              <w:jc w:val="center"/>
              <w:rPr>
                <w:rFonts w:hint="default" w:eastAsia="宋体"/>
                <w:sz w:val="21"/>
                <w:szCs w:val="21"/>
                <w:highlight w:val="none"/>
                <w:lang w:val="en-US" w:eastAsia="zh-CN"/>
              </w:rPr>
            </w:pPr>
          </w:p>
        </w:tc>
        <w:tc>
          <w:tcPr>
            <w:tcW w:w="546" w:type="dxa"/>
            <w:vMerge w:val="restart"/>
            <w:tcBorders>
              <w:right w:val="single" w:color="auto" w:sz="4" w:space="0"/>
            </w:tcBorders>
            <w:vAlign w:val="center"/>
          </w:tcPr>
          <w:p>
            <w:pPr>
              <w:ind w:firstLine="0" w:firstLineChars="0"/>
              <w:jc w:val="center"/>
              <w:rPr>
                <w:sz w:val="21"/>
                <w:szCs w:val="21"/>
                <w:highlight w:val="none"/>
              </w:rPr>
            </w:pPr>
            <w:r>
              <w:rPr>
                <w:rFonts w:hint="eastAsia"/>
                <w:sz w:val="21"/>
                <w:szCs w:val="21"/>
                <w:highlight w:val="none"/>
              </w:rPr>
              <w:t>投资构成</w:t>
            </w:r>
          </w:p>
        </w:tc>
        <w:tc>
          <w:tcPr>
            <w:tcW w:w="2223" w:type="dxa"/>
            <w:tcBorders>
              <w:left w:val="single" w:color="auto" w:sz="4" w:space="0"/>
            </w:tcBorders>
            <w:vAlign w:val="center"/>
          </w:tcPr>
          <w:p>
            <w:pPr>
              <w:ind w:firstLine="0" w:firstLineChars="0"/>
              <w:jc w:val="center"/>
              <w:rPr>
                <w:sz w:val="21"/>
                <w:szCs w:val="21"/>
                <w:highlight w:val="none"/>
              </w:rPr>
            </w:pPr>
            <w:r>
              <w:rPr>
                <w:rFonts w:hint="eastAsia"/>
                <w:sz w:val="21"/>
                <w:szCs w:val="21"/>
                <w:highlight w:val="none"/>
              </w:rPr>
              <w:t>1、建设投资</w:t>
            </w:r>
          </w:p>
        </w:tc>
        <w:tc>
          <w:tcPr>
            <w:tcW w:w="1260" w:type="dxa"/>
            <w:vAlign w:val="center"/>
          </w:tcPr>
          <w:p>
            <w:pPr>
              <w:ind w:firstLine="0" w:firstLineChars="0"/>
              <w:jc w:val="center"/>
              <w:rPr>
                <w:sz w:val="21"/>
                <w:szCs w:val="21"/>
                <w:highlight w:val="none"/>
              </w:rPr>
            </w:pPr>
          </w:p>
        </w:tc>
        <w:tc>
          <w:tcPr>
            <w:tcW w:w="2160" w:type="dxa"/>
            <w:vAlign w:val="center"/>
          </w:tcPr>
          <w:p>
            <w:pPr>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400</w:t>
            </w:r>
          </w:p>
        </w:tc>
        <w:tc>
          <w:tcPr>
            <w:tcW w:w="2053" w:type="dxa"/>
            <w:vAlign w:val="center"/>
          </w:tcPr>
          <w:p>
            <w:pPr>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96" w:type="dxa"/>
            <w:vMerge w:val="continue"/>
            <w:vAlign w:val="center"/>
          </w:tcPr>
          <w:p>
            <w:pPr>
              <w:ind w:firstLine="0" w:firstLineChars="0"/>
              <w:jc w:val="center"/>
              <w:rPr>
                <w:sz w:val="21"/>
                <w:szCs w:val="21"/>
                <w:highlight w:val="none"/>
              </w:rPr>
            </w:pPr>
          </w:p>
        </w:tc>
        <w:tc>
          <w:tcPr>
            <w:tcW w:w="546" w:type="dxa"/>
            <w:vMerge w:val="continue"/>
            <w:tcBorders>
              <w:right w:val="single" w:color="auto" w:sz="4" w:space="0"/>
            </w:tcBorders>
            <w:vAlign w:val="center"/>
          </w:tcPr>
          <w:p>
            <w:pPr>
              <w:ind w:firstLine="0" w:firstLineChars="0"/>
              <w:jc w:val="center"/>
              <w:rPr>
                <w:sz w:val="21"/>
                <w:szCs w:val="21"/>
                <w:highlight w:val="none"/>
              </w:rPr>
            </w:pPr>
          </w:p>
        </w:tc>
        <w:tc>
          <w:tcPr>
            <w:tcW w:w="2223" w:type="dxa"/>
            <w:tcBorders>
              <w:left w:val="single" w:color="auto" w:sz="4" w:space="0"/>
            </w:tcBorders>
            <w:vAlign w:val="center"/>
          </w:tcPr>
          <w:p>
            <w:pPr>
              <w:ind w:firstLine="0" w:firstLineChars="0"/>
              <w:jc w:val="center"/>
              <w:rPr>
                <w:sz w:val="21"/>
                <w:szCs w:val="21"/>
                <w:highlight w:val="none"/>
              </w:rPr>
            </w:pPr>
            <w:r>
              <w:rPr>
                <w:rFonts w:hint="eastAsia"/>
                <w:sz w:val="21"/>
                <w:szCs w:val="21"/>
                <w:highlight w:val="none"/>
              </w:rPr>
              <w:t>其中:建筑工程费</w:t>
            </w:r>
          </w:p>
        </w:tc>
        <w:tc>
          <w:tcPr>
            <w:tcW w:w="1260" w:type="dxa"/>
            <w:vAlign w:val="center"/>
          </w:tcPr>
          <w:p>
            <w:pPr>
              <w:ind w:firstLine="0" w:firstLineChars="0"/>
              <w:jc w:val="center"/>
              <w:rPr>
                <w:sz w:val="21"/>
                <w:szCs w:val="21"/>
                <w:highlight w:val="none"/>
              </w:rPr>
            </w:pPr>
            <w:r>
              <w:rPr>
                <w:rFonts w:hint="eastAsia"/>
                <w:sz w:val="21"/>
                <w:szCs w:val="21"/>
                <w:highlight w:val="none"/>
              </w:rPr>
              <w:t>万元</w:t>
            </w:r>
          </w:p>
        </w:tc>
        <w:tc>
          <w:tcPr>
            <w:tcW w:w="2160" w:type="dxa"/>
            <w:vAlign w:val="center"/>
          </w:tcPr>
          <w:p>
            <w:pPr>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50</w:t>
            </w:r>
          </w:p>
        </w:tc>
        <w:tc>
          <w:tcPr>
            <w:tcW w:w="2053" w:type="dxa"/>
            <w:vAlign w:val="center"/>
          </w:tcPr>
          <w:p>
            <w:pPr>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96" w:type="dxa"/>
            <w:vMerge w:val="continue"/>
            <w:vAlign w:val="center"/>
          </w:tcPr>
          <w:p>
            <w:pPr>
              <w:ind w:firstLine="0" w:firstLineChars="0"/>
              <w:jc w:val="center"/>
              <w:rPr>
                <w:sz w:val="21"/>
                <w:szCs w:val="21"/>
                <w:highlight w:val="none"/>
              </w:rPr>
            </w:pPr>
          </w:p>
        </w:tc>
        <w:tc>
          <w:tcPr>
            <w:tcW w:w="546" w:type="dxa"/>
            <w:vMerge w:val="continue"/>
            <w:tcBorders>
              <w:right w:val="single" w:color="auto" w:sz="4" w:space="0"/>
            </w:tcBorders>
            <w:vAlign w:val="center"/>
          </w:tcPr>
          <w:p>
            <w:pPr>
              <w:ind w:firstLine="0" w:firstLineChars="0"/>
              <w:jc w:val="center"/>
              <w:rPr>
                <w:sz w:val="21"/>
                <w:szCs w:val="21"/>
                <w:highlight w:val="none"/>
              </w:rPr>
            </w:pPr>
          </w:p>
        </w:tc>
        <w:tc>
          <w:tcPr>
            <w:tcW w:w="2223" w:type="dxa"/>
            <w:tcBorders>
              <w:left w:val="single" w:color="auto" w:sz="4" w:space="0"/>
            </w:tcBorders>
            <w:vAlign w:val="center"/>
          </w:tcPr>
          <w:p>
            <w:pPr>
              <w:ind w:firstLine="0" w:firstLineChars="0"/>
              <w:jc w:val="center"/>
              <w:rPr>
                <w:sz w:val="21"/>
                <w:szCs w:val="21"/>
                <w:highlight w:val="none"/>
              </w:rPr>
            </w:pPr>
            <w:r>
              <w:rPr>
                <w:rFonts w:hint="eastAsia"/>
                <w:sz w:val="21"/>
                <w:szCs w:val="21"/>
                <w:highlight w:val="none"/>
              </w:rPr>
              <w:t>设备费用</w:t>
            </w:r>
          </w:p>
        </w:tc>
        <w:tc>
          <w:tcPr>
            <w:tcW w:w="1260" w:type="dxa"/>
            <w:vAlign w:val="center"/>
          </w:tcPr>
          <w:p>
            <w:pPr>
              <w:ind w:firstLine="0" w:firstLineChars="0"/>
              <w:jc w:val="center"/>
              <w:rPr>
                <w:sz w:val="21"/>
                <w:szCs w:val="21"/>
                <w:highlight w:val="none"/>
              </w:rPr>
            </w:pPr>
            <w:r>
              <w:rPr>
                <w:rFonts w:hint="eastAsia"/>
                <w:sz w:val="21"/>
                <w:szCs w:val="21"/>
                <w:highlight w:val="none"/>
              </w:rPr>
              <w:t>万元</w:t>
            </w:r>
          </w:p>
        </w:tc>
        <w:tc>
          <w:tcPr>
            <w:tcW w:w="2160" w:type="dxa"/>
            <w:vAlign w:val="center"/>
          </w:tcPr>
          <w:p>
            <w:pPr>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300</w:t>
            </w:r>
          </w:p>
        </w:tc>
        <w:tc>
          <w:tcPr>
            <w:tcW w:w="2053" w:type="dxa"/>
            <w:vAlign w:val="center"/>
          </w:tcPr>
          <w:p>
            <w:pPr>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96" w:type="dxa"/>
            <w:vMerge w:val="continue"/>
            <w:vAlign w:val="center"/>
          </w:tcPr>
          <w:p>
            <w:pPr>
              <w:ind w:firstLine="0" w:firstLineChars="0"/>
              <w:jc w:val="center"/>
              <w:rPr>
                <w:sz w:val="21"/>
                <w:szCs w:val="21"/>
                <w:highlight w:val="none"/>
              </w:rPr>
            </w:pPr>
          </w:p>
        </w:tc>
        <w:tc>
          <w:tcPr>
            <w:tcW w:w="546" w:type="dxa"/>
            <w:vMerge w:val="continue"/>
            <w:tcBorders>
              <w:right w:val="single" w:color="auto" w:sz="4" w:space="0"/>
            </w:tcBorders>
            <w:vAlign w:val="center"/>
          </w:tcPr>
          <w:p>
            <w:pPr>
              <w:ind w:firstLine="0" w:firstLineChars="0"/>
              <w:jc w:val="center"/>
              <w:rPr>
                <w:sz w:val="21"/>
                <w:szCs w:val="21"/>
                <w:highlight w:val="none"/>
              </w:rPr>
            </w:pPr>
          </w:p>
        </w:tc>
        <w:tc>
          <w:tcPr>
            <w:tcW w:w="2223" w:type="dxa"/>
            <w:tcBorders>
              <w:left w:val="single" w:color="auto" w:sz="4" w:space="0"/>
            </w:tcBorders>
            <w:vAlign w:val="center"/>
          </w:tcPr>
          <w:p>
            <w:pPr>
              <w:ind w:firstLine="0" w:firstLineChars="0"/>
              <w:jc w:val="center"/>
              <w:rPr>
                <w:sz w:val="21"/>
                <w:szCs w:val="21"/>
                <w:highlight w:val="none"/>
              </w:rPr>
            </w:pPr>
            <w:r>
              <w:rPr>
                <w:rFonts w:hint="eastAsia"/>
                <w:sz w:val="21"/>
                <w:szCs w:val="21"/>
                <w:highlight w:val="none"/>
              </w:rPr>
              <w:t>安装费用</w:t>
            </w:r>
          </w:p>
        </w:tc>
        <w:tc>
          <w:tcPr>
            <w:tcW w:w="1260" w:type="dxa"/>
            <w:vAlign w:val="center"/>
          </w:tcPr>
          <w:p>
            <w:pPr>
              <w:ind w:firstLine="0" w:firstLineChars="0"/>
              <w:jc w:val="center"/>
              <w:rPr>
                <w:sz w:val="21"/>
                <w:szCs w:val="21"/>
                <w:highlight w:val="none"/>
              </w:rPr>
            </w:pPr>
            <w:r>
              <w:rPr>
                <w:rFonts w:hint="eastAsia"/>
                <w:sz w:val="21"/>
                <w:szCs w:val="21"/>
                <w:highlight w:val="none"/>
              </w:rPr>
              <w:t>万元</w:t>
            </w:r>
          </w:p>
        </w:tc>
        <w:tc>
          <w:tcPr>
            <w:tcW w:w="2160" w:type="dxa"/>
            <w:vAlign w:val="center"/>
          </w:tcPr>
          <w:p>
            <w:pPr>
              <w:ind w:firstLine="0" w:firstLineChars="0"/>
              <w:jc w:val="center"/>
              <w:rPr>
                <w:sz w:val="21"/>
                <w:szCs w:val="21"/>
                <w:highlight w:val="none"/>
              </w:rPr>
            </w:pPr>
            <w:r>
              <w:rPr>
                <w:rFonts w:hint="eastAsia"/>
                <w:sz w:val="21"/>
                <w:szCs w:val="21"/>
                <w:highlight w:val="none"/>
              </w:rPr>
              <w:t>0.0</w:t>
            </w:r>
          </w:p>
        </w:tc>
        <w:tc>
          <w:tcPr>
            <w:tcW w:w="2053" w:type="dxa"/>
            <w:vAlign w:val="center"/>
          </w:tcPr>
          <w:p>
            <w:pPr>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96" w:type="dxa"/>
            <w:vMerge w:val="continue"/>
            <w:vAlign w:val="center"/>
          </w:tcPr>
          <w:p>
            <w:pPr>
              <w:ind w:firstLine="0" w:firstLineChars="0"/>
              <w:jc w:val="center"/>
              <w:rPr>
                <w:sz w:val="21"/>
                <w:szCs w:val="21"/>
                <w:highlight w:val="none"/>
              </w:rPr>
            </w:pPr>
          </w:p>
        </w:tc>
        <w:tc>
          <w:tcPr>
            <w:tcW w:w="546" w:type="dxa"/>
            <w:vMerge w:val="continue"/>
            <w:tcBorders>
              <w:right w:val="single" w:color="auto" w:sz="4" w:space="0"/>
            </w:tcBorders>
            <w:vAlign w:val="center"/>
          </w:tcPr>
          <w:p>
            <w:pPr>
              <w:ind w:firstLine="0" w:firstLineChars="0"/>
              <w:jc w:val="center"/>
              <w:rPr>
                <w:sz w:val="21"/>
                <w:szCs w:val="21"/>
                <w:highlight w:val="none"/>
              </w:rPr>
            </w:pPr>
          </w:p>
        </w:tc>
        <w:tc>
          <w:tcPr>
            <w:tcW w:w="2223" w:type="dxa"/>
            <w:tcBorders>
              <w:left w:val="single" w:color="auto" w:sz="4" w:space="0"/>
            </w:tcBorders>
            <w:vAlign w:val="center"/>
          </w:tcPr>
          <w:p>
            <w:pPr>
              <w:ind w:firstLine="0" w:firstLineChars="0"/>
              <w:jc w:val="center"/>
              <w:rPr>
                <w:sz w:val="21"/>
                <w:szCs w:val="21"/>
                <w:highlight w:val="none"/>
              </w:rPr>
            </w:pPr>
            <w:r>
              <w:rPr>
                <w:rFonts w:hint="eastAsia"/>
                <w:sz w:val="21"/>
                <w:szCs w:val="21"/>
                <w:highlight w:val="none"/>
              </w:rPr>
              <w:t>其它费用</w:t>
            </w:r>
          </w:p>
        </w:tc>
        <w:tc>
          <w:tcPr>
            <w:tcW w:w="1260" w:type="dxa"/>
            <w:vAlign w:val="center"/>
          </w:tcPr>
          <w:p>
            <w:pPr>
              <w:ind w:firstLine="0" w:firstLineChars="0"/>
              <w:jc w:val="center"/>
              <w:rPr>
                <w:sz w:val="21"/>
                <w:szCs w:val="21"/>
                <w:highlight w:val="none"/>
              </w:rPr>
            </w:pPr>
            <w:r>
              <w:rPr>
                <w:rFonts w:hint="eastAsia"/>
                <w:sz w:val="21"/>
                <w:szCs w:val="21"/>
                <w:highlight w:val="none"/>
              </w:rPr>
              <w:t>万元</w:t>
            </w:r>
          </w:p>
        </w:tc>
        <w:tc>
          <w:tcPr>
            <w:tcW w:w="2160" w:type="dxa"/>
            <w:vAlign w:val="center"/>
          </w:tcPr>
          <w:p>
            <w:pPr>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50</w:t>
            </w:r>
          </w:p>
        </w:tc>
        <w:tc>
          <w:tcPr>
            <w:tcW w:w="2053" w:type="dxa"/>
            <w:vAlign w:val="center"/>
          </w:tcPr>
          <w:p>
            <w:pPr>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96" w:type="dxa"/>
            <w:vMerge w:val="continue"/>
            <w:vAlign w:val="center"/>
          </w:tcPr>
          <w:p>
            <w:pPr>
              <w:ind w:firstLine="0" w:firstLineChars="0"/>
              <w:jc w:val="center"/>
              <w:rPr>
                <w:sz w:val="21"/>
                <w:szCs w:val="21"/>
                <w:highlight w:val="none"/>
              </w:rPr>
            </w:pPr>
          </w:p>
        </w:tc>
        <w:tc>
          <w:tcPr>
            <w:tcW w:w="546" w:type="dxa"/>
            <w:vMerge w:val="continue"/>
            <w:tcBorders>
              <w:right w:val="single" w:color="auto" w:sz="4" w:space="0"/>
            </w:tcBorders>
            <w:vAlign w:val="center"/>
          </w:tcPr>
          <w:p>
            <w:pPr>
              <w:ind w:firstLine="0" w:firstLineChars="0"/>
              <w:jc w:val="center"/>
              <w:rPr>
                <w:sz w:val="21"/>
                <w:szCs w:val="21"/>
                <w:highlight w:val="none"/>
              </w:rPr>
            </w:pPr>
          </w:p>
        </w:tc>
        <w:tc>
          <w:tcPr>
            <w:tcW w:w="2223" w:type="dxa"/>
            <w:tcBorders>
              <w:left w:val="single" w:color="auto" w:sz="4" w:space="0"/>
            </w:tcBorders>
            <w:vAlign w:val="center"/>
          </w:tcPr>
          <w:p>
            <w:pPr>
              <w:ind w:firstLine="0" w:firstLineChars="0"/>
              <w:jc w:val="center"/>
              <w:rPr>
                <w:sz w:val="21"/>
                <w:szCs w:val="21"/>
                <w:highlight w:val="none"/>
              </w:rPr>
            </w:pPr>
            <w:r>
              <w:rPr>
                <w:rFonts w:hint="eastAsia"/>
                <w:sz w:val="21"/>
                <w:szCs w:val="21"/>
                <w:highlight w:val="none"/>
              </w:rPr>
              <w:t>基本预备费</w:t>
            </w:r>
          </w:p>
        </w:tc>
        <w:tc>
          <w:tcPr>
            <w:tcW w:w="1260" w:type="dxa"/>
            <w:vAlign w:val="center"/>
          </w:tcPr>
          <w:p>
            <w:pPr>
              <w:ind w:firstLine="0" w:firstLineChars="0"/>
              <w:jc w:val="center"/>
              <w:rPr>
                <w:sz w:val="21"/>
                <w:szCs w:val="21"/>
                <w:highlight w:val="none"/>
              </w:rPr>
            </w:pPr>
            <w:r>
              <w:rPr>
                <w:rFonts w:hint="eastAsia"/>
                <w:sz w:val="21"/>
                <w:szCs w:val="21"/>
                <w:highlight w:val="none"/>
              </w:rPr>
              <w:t>万元</w:t>
            </w:r>
          </w:p>
        </w:tc>
        <w:tc>
          <w:tcPr>
            <w:tcW w:w="2160" w:type="dxa"/>
            <w:vAlign w:val="center"/>
          </w:tcPr>
          <w:p>
            <w:pPr>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168</w:t>
            </w:r>
          </w:p>
        </w:tc>
        <w:tc>
          <w:tcPr>
            <w:tcW w:w="2053" w:type="dxa"/>
            <w:vAlign w:val="center"/>
          </w:tcPr>
          <w:p>
            <w:pPr>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96" w:type="dxa"/>
            <w:vMerge w:val="restart"/>
            <w:vAlign w:val="center"/>
          </w:tcPr>
          <w:p>
            <w:pPr>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17</w:t>
            </w:r>
          </w:p>
        </w:tc>
        <w:tc>
          <w:tcPr>
            <w:tcW w:w="546" w:type="dxa"/>
            <w:vMerge w:val="restart"/>
            <w:tcBorders>
              <w:right w:val="single" w:color="auto" w:sz="4" w:space="0"/>
            </w:tcBorders>
            <w:vAlign w:val="center"/>
          </w:tcPr>
          <w:p>
            <w:pPr>
              <w:ind w:firstLine="0" w:firstLineChars="0"/>
              <w:jc w:val="center"/>
              <w:rPr>
                <w:sz w:val="21"/>
                <w:szCs w:val="21"/>
                <w:highlight w:val="none"/>
              </w:rPr>
            </w:pPr>
            <w:r>
              <w:rPr>
                <w:rFonts w:hint="eastAsia"/>
                <w:sz w:val="21"/>
                <w:szCs w:val="21"/>
                <w:highlight w:val="none"/>
              </w:rPr>
              <w:t>技</w:t>
            </w:r>
          </w:p>
          <w:p>
            <w:pPr>
              <w:ind w:firstLine="0" w:firstLineChars="0"/>
              <w:jc w:val="center"/>
              <w:rPr>
                <w:sz w:val="21"/>
                <w:szCs w:val="21"/>
                <w:highlight w:val="none"/>
              </w:rPr>
            </w:pPr>
            <w:r>
              <w:rPr>
                <w:rFonts w:hint="eastAsia"/>
                <w:sz w:val="21"/>
                <w:szCs w:val="21"/>
                <w:highlight w:val="none"/>
              </w:rPr>
              <w:t>术</w:t>
            </w:r>
          </w:p>
          <w:p>
            <w:pPr>
              <w:ind w:firstLine="0" w:firstLineChars="0"/>
              <w:jc w:val="center"/>
              <w:rPr>
                <w:sz w:val="21"/>
                <w:szCs w:val="21"/>
                <w:highlight w:val="none"/>
              </w:rPr>
            </w:pPr>
            <w:r>
              <w:rPr>
                <w:rFonts w:hint="eastAsia"/>
                <w:sz w:val="21"/>
                <w:szCs w:val="21"/>
                <w:highlight w:val="none"/>
              </w:rPr>
              <w:t>经</w:t>
            </w:r>
          </w:p>
          <w:p>
            <w:pPr>
              <w:ind w:firstLine="0" w:firstLineChars="0"/>
              <w:jc w:val="center"/>
              <w:rPr>
                <w:sz w:val="21"/>
                <w:szCs w:val="21"/>
                <w:highlight w:val="none"/>
              </w:rPr>
            </w:pPr>
            <w:r>
              <w:rPr>
                <w:rFonts w:hint="eastAsia"/>
                <w:sz w:val="21"/>
                <w:szCs w:val="21"/>
                <w:highlight w:val="none"/>
              </w:rPr>
              <w:t>济</w:t>
            </w:r>
          </w:p>
          <w:p>
            <w:pPr>
              <w:ind w:firstLine="0" w:firstLineChars="0"/>
              <w:jc w:val="center"/>
              <w:rPr>
                <w:sz w:val="21"/>
                <w:szCs w:val="21"/>
                <w:highlight w:val="none"/>
              </w:rPr>
            </w:pPr>
            <w:r>
              <w:rPr>
                <w:rFonts w:hint="eastAsia"/>
                <w:sz w:val="21"/>
                <w:szCs w:val="21"/>
                <w:highlight w:val="none"/>
              </w:rPr>
              <w:t>指</w:t>
            </w:r>
          </w:p>
          <w:p>
            <w:pPr>
              <w:ind w:firstLine="0" w:firstLineChars="0"/>
              <w:jc w:val="center"/>
              <w:rPr>
                <w:sz w:val="21"/>
                <w:szCs w:val="21"/>
                <w:highlight w:val="none"/>
              </w:rPr>
            </w:pPr>
            <w:r>
              <w:rPr>
                <w:rFonts w:hint="eastAsia"/>
                <w:sz w:val="21"/>
                <w:szCs w:val="21"/>
                <w:highlight w:val="none"/>
              </w:rPr>
              <w:t>标</w:t>
            </w:r>
          </w:p>
        </w:tc>
        <w:tc>
          <w:tcPr>
            <w:tcW w:w="2223" w:type="dxa"/>
            <w:tcBorders>
              <w:left w:val="single" w:color="auto" w:sz="4" w:space="0"/>
            </w:tcBorders>
            <w:vAlign w:val="center"/>
          </w:tcPr>
          <w:p>
            <w:pPr>
              <w:ind w:firstLine="0" w:firstLineChars="0"/>
              <w:jc w:val="center"/>
              <w:rPr>
                <w:sz w:val="21"/>
                <w:szCs w:val="21"/>
                <w:highlight w:val="none"/>
              </w:rPr>
            </w:pPr>
            <w:r>
              <w:rPr>
                <w:rFonts w:hint="eastAsia"/>
                <w:sz w:val="21"/>
                <w:szCs w:val="21"/>
                <w:highlight w:val="none"/>
              </w:rPr>
              <w:t>年均销收入</w:t>
            </w:r>
          </w:p>
        </w:tc>
        <w:tc>
          <w:tcPr>
            <w:tcW w:w="1260" w:type="dxa"/>
            <w:vAlign w:val="center"/>
          </w:tcPr>
          <w:p>
            <w:pPr>
              <w:ind w:firstLine="0" w:firstLineChars="0"/>
              <w:jc w:val="center"/>
              <w:rPr>
                <w:sz w:val="21"/>
                <w:szCs w:val="21"/>
                <w:highlight w:val="none"/>
              </w:rPr>
            </w:pPr>
            <w:r>
              <w:rPr>
                <w:rFonts w:hint="eastAsia"/>
                <w:sz w:val="21"/>
                <w:szCs w:val="21"/>
                <w:highlight w:val="none"/>
              </w:rPr>
              <w:t>万元</w:t>
            </w:r>
          </w:p>
        </w:tc>
        <w:tc>
          <w:tcPr>
            <w:tcW w:w="2160" w:type="dxa"/>
            <w:vAlign w:val="center"/>
          </w:tcPr>
          <w:p>
            <w:pPr>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480</w:t>
            </w:r>
          </w:p>
        </w:tc>
        <w:tc>
          <w:tcPr>
            <w:tcW w:w="2053" w:type="dxa"/>
            <w:vAlign w:val="center"/>
          </w:tcPr>
          <w:p>
            <w:pPr>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96" w:type="dxa"/>
            <w:vMerge w:val="continue"/>
            <w:vAlign w:val="center"/>
          </w:tcPr>
          <w:p>
            <w:pPr>
              <w:ind w:firstLine="0" w:firstLineChars="0"/>
              <w:jc w:val="center"/>
              <w:rPr>
                <w:sz w:val="21"/>
                <w:szCs w:val="21"/>
                <w:highlight w:val="none"/>
              </w:rPr>
            </w:pPr>
          </w:p>
        </w:tc>
        <w:tc>
          <w:tcPr>
            <w:tcW w:w="546" w:type="dxa"/>
            <w:vMerge w:val="continue"/>
            <w:tcBorders>
              <w:right w:val="single" w:color="auto" w:sz="4" w:space="0"/>
            </w:tcBorders>
            <w:vAlign w:val="center"/>
          </w:tcPr>
          <w:p>
            <w:pPr>
              <w:ind w:firstLine="0" w:firstLineChars="0"/>
              <w:jc w:val="center"/>
              <w:rPr>
                <w:sz w:val="21"/>
                <w:szCs w:val="21"/>
                <w:highlight w:val="none"/>
              </w:rPr>
            </w:pPr>
          </w:p>
        </w:tc>
        <w:tc>
          <w:tcPr>
            <w:tcW w:w="2223" w:type="dxa"/>
            <w:tcBorders>
              <w:left w:val="single" w:color="auto" w:sz="4" w:space="0"/>
            </w:tcBorders>
            <w:vAlign w:val="center"/>
          </w:tcPr>
          <w:p>
            <w:pPr>
              <w:ind w:firstLine="0" w:firstLineChars="0"/>
              <w:jc w:val="center"/>
              <w:rPr>
                <w:sz w:val="21"/>
                <w:szCs w:val="21"/>
                <w:highlight w:val="none"/>
              </w:rPr>
            </w:pPr>
            <w:r>
              <w:rPr>
                <w:rFonts w:hint="eastAsia"/>
                <w:sz w:val="21"/>
                <w:szCs w:val="21"/>
                <w:highlight w:val="none"/>
              </w:rPr>
              <w:t>年均总成本费用</w:t>
            </w:r>
          </w:p>
        </w:tc>
        <w:tc>
          <w:tcPr>
            <w:tcW w:w="1260" w:type="dxa"/>
            <w:vAlign w:val="center"/>
          </w:tcPr>
          <w:p>
            <w:pPr>
              <w:ind w:firstLine="0" w:firstLineChars="0"/>
              <w:jc w:val="center"/>
              <w:rPr>
                <w:sz w:val="21"/>
                <w:szCs w:val="21"/>
                <w:highlight w:val="none"/>
              </w:rPr>
            </w:pPr>
            <w:r>
              <w:rPr>
                <w:rFonts w:hint="eastAsia"/>
                <w:sz w:val="21"/>
                <w:szCs w:val="21"/>
                <w:highlight w:val="none"/>
              </w:rPr>
              <w:t>万元</w:t>
            </w:r>
          </w:p>
        </w:tc>
        <w:tc>
          <w:tcPr>
            <w:tcW w:w="2160" w:type="dxa"/>
            <w:vAlign w:val="center"/>
          </w:tcPr>
          <w:p>
            <w:pPr>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276</w:t>
            </w:r>
          </w:p>
        </w:tc>
        <w:tc>
          <w:tcPr>
            <w:tcW w:w="2053" w:type="dxa"/>
            <w:vAlign w:val="center"/>
          </w:tcPr>
          <w:p>
            <w:pPr>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96" w:type="dxa"/>
            <w:vMerge w:val="continue"/>
            <w:vAlign w:val="center"/>
          </w:tcPr>
          <w:p>
            <w:pPr>
              <w:ind w:firstLine="0" w:firstLineChars="0"/>
              <w:jc w:val="center"/>
              <w:rPr>
                <w:sz w:val="21"/>
                <w:szCs w:val="21"/>
                <w:highlight w:val="none"/>
              </w:rPr>
            </w:pPr>
          </w:p>
        </w:tc>
        <w:tc>
          <w:tcPr>
            <w:tcW w:w="546" w:type="dxa"/>
            <w:vMerge w:val="continue"/>
            <w:tcBorders>
              <w:right w:val="single" w:color="auto" w:sz="4" w:space="0"/>
            </w:tcBorders>
            <w:vAlign w:val="center"/>
          </w:tcPr>
          <w:p>
            <w:pPr>
              <w:ind w:firstLine="0" w:firstLineChars="0"/>
              <w:jc w:val="center"/>
              <w:rPr>
                <w:sz w:val="21"/>
                <w:szCs w:val="21"/>
                <w:highlight w:val="none"/>
              </w:rPr>
            </w:pPr>
          </w:p>
        </w:tc>
        <w:tc>
          <w:tcPr>
            <w:tcW w:w="2223" w:type="dxa"/>
            <w:tcBorders>
              <w:left w:val="single" w:color="auto" w:sz="4" w:space="0"/>
            </w:tcBorders>
            <w:vAlign w:val="center"/>
          </w:tcPr>
          <w:p>
            <w:pPr>
              <w:ind w:firstLine="0" w:firstLineChars="0"/>
              <w:jc w:val="center"/>
              <w:rPr>
                <w:sz w:val="21"/>
                <w:szCs w:val="21"/>
                <w:highlight w:val="none"/>
              </w:rPr>
            </w:pPr>
            <w:r>
              <w:rPr>
                <w:rFonts w:hint="eastAsia"/>
                <w:sz w:val="21"/>
                <w:szCs w:val="21"/>
                <w:highlight w:val="none"/>
              </w:rPr>
              <w:t>年均销售税金及附加</w:t>
            </w:r>
          </w:p>
        </w:tc>
        <w:tc>
          <w:tcPr>
            <w:tcW w:w="1260" w:type="dxa"/>
            <w:vAlign w:val="center"/>
          </w:tcPr>
          <w:p>
            <w:pPr>
              <w:ind w:firstLine="0" w:firstLineChars="0"/>
              <w:jc w:val="center"/>
              <w:rPr>
                <w:sz w:val="21"/>
                <w:szCs w:val="21"/>
                <w:highlight w:val="none"/>
              </w:rPr>
            </w:pPr>
            <w:r>
              <w:rPr>
                <w:rFonts w:hint="eastAsia"/>
                <w:sz w:val="21"/>
                <w:szCs w:val="21"/>
                <w:highlight w:val="none"/>
              </w:rPr>
              <w:t>万元</w:t>
            </w:r>
          </w:p>
        </w:tc>
        <w:tc>
          <w:tcPr>
            <w:tcW w:w="2160" w:type="dxa"/>
            <w:vAlign w:val="center"/>
          </w:tcPr>
          <w:p>
            <w:pPr>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111.8</w:t>
            </w:r>
          </w:p>
        </w:tc>
        <w:tc>
          <w:tcPr>
            <w:tcW w:w="2053" w:type="dxa"/>
            <w:vAlign w:val="center"/>
          </w:tcPr>
          <w:p>
            <w:pPr>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96" w:type="dxa"/>
            <w:vMerge w:val="continue"/>
            <w:vAlign w:val="center"/>
          </w:tcPr>
          <w:p>
            <w:pPr>
              <w:ind w:firstLine="420"/>
              <w:jc w:val="center"/>
              <w:rPr>
                <w:sz w:val="21"/>
                <w:szCs w:val="21"/>
                <w:highlight w:val="none"/>
              </w:rPr>
            </w:pPr>
          </w:p>
        </w:tc>
        <w:tc>
          <w:tcPr>
            <w:tcW w:w="546" w:type="dxa"/>
            <w:vMerge w:val="continue"/>
            <w:tcBorders>
              <w:right w:val="single" w:color="auto" w:sz="4" w:space="0"/>
            </w:tcBorders>
            <w:vAlign w:val="center"/>
          </w:tcPr>
          <w:p>
            <w:pPr>
              <w:widowControl/>
              <w:ind w:firstLine="420"/>
              <w:jc w:val="center"/>
              <w:textAlignment w:val="bottom"/>
              <w:rPr>
                <w:snapToGrid w:val="0"/>
                <w:sz w:val="21"/>
                <w:szCs w:val="21"/>
                <w:highlight w:val="none"/>
              </w:rPr>
            </w:pPr>
          </w:p>
        </w:tc>
        <w:tc>
          <w:tcPr>
            <w:tcW w:w="2223" w:type="dxa"/>
            <w:tcBorders>
              <w:left w:val="single" w:color="auto" w:sz="4" w:space="0"/>
            </w:tcBorders>
            <w:vAlign w:val="center"/>
          </w:tcPr>
          <w:p>
            <w:pPr>
              <w:ind w:firstLine="0" w:firstLineChars="0"/>
              <w:jc w:val="center"/>
              <w:rPr>
                <w:sz w:val="21"/>
                <w:szCs w:val="21"/>
                <w:highlight w:val="none"/>
              </w:rPr>
            </w:pPr>
            <w:r>
              <w:rPr>
                <w:rFonts w:hint="eastAsia"/>
                <w:sz w:val="21"/>
                <w:szCs w:val="21"/>
                <w:highlight w:val="none"/>
              </w:rPr>
              <w:t>年均利润总额</w:t>
            </w:r>
          </w:p>
        </w:tc>
        <w:tc>
          <w:tcPr>
            <w:tcW w:w="1260" w:type="dxa"/>
            <w:vAlign w:val="center"/>
          </w:tcPr>
          <w:p>
            <w:pPr>
              <w:ind w:firstLine="0" w:firstLineChars="0"/>
              <w:jc w:val="center"/>
              <w:rPr>
                <w:sz w:val="21"/>
                <w:szCs w:val="21"/>
                <w:highlight w:val="none"/>
              </w:rPr>
            </w:pPr>
            <w:r>
              <w:rPr>
                <w:rFonts w:hint="eastAsia"/>
                <w:sz w:val="21"/>
                <w:szCs w:val="21"/>
                <w:highlight w:val="none"/>
              </w:rPr>
              <w:t>万元</w:t>
            </w:r>
          </w:p>
        </w:tc>
        <w:tc>
          <w:tcPr>
            <w:tcW w:w="2160" w:type="dxa"/>
            <w:vAlign w:val="center"/>
          </w:tcPr>
          <w:p>
            <w:pPr>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92.2</w:t>
            </w:r>
          </w:p>
        </w:tc>
        <w:tc>
          <w:tcPr>
            <w:tcW w:w="2053" w:type="dxa"/>
            <w:vAlign w:val="center"/>
          </w:tcPr>
          <w:p>
            <w:pPr>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96" w:type="dxa"/>
            <w:vMerge w:val="continue"/>
            <w:vAlign w:val="center"/>
          </w:tcPr>
          <w:p>
            <w:pPr>
              <w:ind w:firstLine="420"/>
              <w:jc w:val="center"/>
              <w:rPr>
                <w:sz w:val="21"/>
                <w:szCs w:val="21"/>
                <w:highlight w:val="none"/>
              </w:rPr>
            </w:pPr>
          </w:p>
        </w:tc>
        <w:tc>
          <w:tcPr>
            <w:tcW w:w="546" w:type="dxa"/>
            <w:vMerge w:val="continue"/>
            <w:tcBorders>
              <w:right w:val="single" w:color="auto" w:sz="4" w:space="0"/>
            </w:tcBorders>
            <w:vAlign w:val="center"/>
          </w:tcPr>
          <w:p>
            <w:pPr>
              <w:widowControl/>
              <w:ind w:firstLine="420"/>
              <w:jc w:val="center"/>
              <w:textAlignment w:val="bottom"/>
              <w:rPr>
                <w:snapToGrid w:val="0"/>
                <w:sz w:val="21"/>
                <w:szCs w:val="21"/>
                <w:highlight w:val="none"/>
              </w:rPr>
            </w:pPr>
          </w:p>
        </w:tc>
        <w:tc>
          <w:tcPr>
            <w:tcW w:w="2223" w:type="dxa"/>
            <w:tcBorders>
              <w:left w:val="single" w:color="auto" w:sz="4" w:space="0"/>
            </w:tcBorders>
            <w:vAlign w:val="center"/>
          </w:tcPr>
          <w:p>
            <w:pPr>
              <w:ind w:firstLine="0" w:firstLineChars="0"/>
              <w:jc w:val="center"/>
              <w:rPr>
                <w:rFonts w:hint="eastAsia" w:eastAsia="宋体"/>
                <w:sz w:val="21"/>
                <w:szCs w:val="21"/>
                <w:highlight w:val="none"/>
                <w:lang w:eastAsia="zh-CN"/>
              </w:rPr>
            </w:pPr>
            <w:r>
              <w:rPr>
                <w:rFonts w:hint="eastAsia"/>
                <w:sz w:val="21"/>
                <w:szCs w:val="21"/>
                <w:highlight w:val="none"/>
                <w:lang w:eastAsia="zh-CN"/>
              </w:rPr>
              <w:t>投资回收期</w:t>
            </w:r>
          </w:p>
        </w:tc>
        <w:tc>
          <w:tcPr>
            <w:tcW w:w="1260" w:type="dxa"/>
            <w:vAlign w:val="center"/>
          </w:tcPr>
          <w:p>
            <w:pPr>
              <w:ind w:firstLine="0" w:firstLineChars="0"/>
              <w:jc w:val="center"/>
              <w:rPr>
                <w:rFonts w:hint="eastAsia" w:eastAsia="宋体"/>
                <w:sz w:val="21"/>
                <w:szCs w:val="21"/>
                <w:highlight w:val="none"/>
                <w:lang w:eastAsia="zh-CN"/>
              </w:rPr>
            </w:pPr>
            <w:r>
              <w:rPr>
                <w:rFonts w:hint="eastAsia"/>
                <w:sz w:val="21"/>
                <w:szCs w:val="21"/>
                <w:highlight w:val="none"/>
                <w:lang w:eastAsia="zh-CN"/>
              </w:rPr>
              <w:t>年</w:t>
            </w:r>
          </w:p>
        </w:tc>
        <w:tc>
          <w:tcPr>
            <w:tcW w:w="2160" w:type="dxa"/>
            <w:vAlign w:val="center"/>
          </w:tcPr>
          <w:p>
            <w:pPr>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3.25</w:t>
            </w:r>
          </w:p>
        </w:tc>
        <w:tc>
          <w:tcPr>
            <w:tcW w:w="2053" w:type="dxa"/>
            <w:vAlign w:val="center"/>
          </w:tcPr>
          <w:p>
            <w:pPr>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96" w:type="dxa"/>
            <w:vMerge w:val="continue"/>
            <w:vAlign w:val="center"/>
          </w:tcPr>
          <w:p>
            <w:pPr>
              <w:ind w:firstLine="420"/>
              <w:jc w:val="center"/>
              <w:rPr>
                <w:sz w:val="21"/>
                <w:szCs w:val="21"/>
                <w:highlight w:val="none"/>
              </w:rPr>
            </w:pPr>
          </w:p>
        </w:tc>
        <w:tc>
          <w:tcPr>
            <w:tcW w:w="546" w:type="dxa"/>
            <w:vMerge w:val="continue"/>
            <w:tcBorders>
              <w:right w:val="single" w:color="auto" w:sz="4" w:space="0"/>
            </w:tcBorders>
            <w:vAlign w:val="center"/>
          </w:tcPr>
          <w:p>
            <w:pPr>
              <w:widowControl/>
              <w:ind w:firstLine="420"/>
              <w:jc w:val="center"/>
              <w:textAlignment w:val="bottom"/>
              <w:rPr>
                <w:snapToGrid w:val="0"/>
                <w:sz w:val="21"/>
                <w:szCs w:val="21"/>
                <w:highlight w:val="none"/>
              </w:rPr>
            </w:pPr>
          </w:p>
        </w:tc>
        <w:tc>
          <w:tcPr>
            <w:tcW w:w="2223" w:type="dxa"/>
            <w:tcBorders>
              <w:left w:val="single" w:color="auto" w:sz="4" w:space="0"/>
            </w:tcBorders>
            <w:vAlign w:val="center"/>
          </w:tcPr>
          <w:p>
            <w:pPr>
              <w:ind w:firstLine="0" w:firstLineChars="0"/>
              <w:jc w:val="center"/>
              <w:rPr>
                <w:rFonts w:hint="eastAsia" w:eastAsia="宋体"/>
                <w:sz w:val="21"/>
                <w:szCs w:val="21"/>
                <w:highlight w:val="none"/>
                <w:lang w:eastAsia="zh-CN"/>
              </w:rPr>
            </w:pPr>
            <w:r>
              <w:rPr>
                <w:rFonts w:hint="eastAsia"/>
                <w:sz w:val="21"/>
                <w:szCs w:val="21"/>
                <w:highlight w:val="none"/>
                <w:lang w:eastAsia="zh-CN"/>
              </w:rPr>
              <w:t>投资利润率</w:t>
            </w:r>
          </w:p>
        </w:tc>
        <w:tc>
          <w:tcPr>
            <w:tcW w:w="1260" w:type="dxa"/>
            <w:vAlign w:val="center"/>
          </w:tcPr>
          <w:p>
            <w:pPr>
              <w:ind w:firstLine="0" w:firstLineChars="0"/>
              <w:jc w:val="center"/>
              <w:rPr>
                <w:rFonts w:hint="eastAsia" w:eastAsia="宋体"/>
                <w:sz w:val="21"/>
                <w:szCs w:val="21"/>
                <w:highlight w:val="none"/>
                <w:lang w:eastAsia="zh-CN"/>
              </w:rPr>
            </w:pPr>
            <w:r>
              <w:rPr>
                <w:rFonts w:hint="eastAsia"/>
                <w:sz w:val="21"/>
                <w:szCs w:val="21"/>
                <w:highlight w:val="none"/>
                <w:lang w:val="en-US" w:eastAsia="zh-CN"/>
              </w:rPr>
              <w:t>%</w:t>
            </w:r>
          </w:p>
        </w:tc>
        <w:tc>
          <w:tcPr>
            <w:tcW w:w="2160" w:type="dxa"/>
            <w:vAlign w:val="center"/>
          </w:tcPr>
          <w:p>
            <w:pPr>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30.73</w:t>
            </w:r>
          </w:p>
        </w:tc>
        <w:tc>
          <w:tcPr>
            <w:tcW w:w="2053" w:type="dxa"/>
            <w:vAlign w:val="center"/>
          </w:tcPr>
          <w:p>
            <w:pPr>
              <w:ind w:firstLine="0" w:firstLineChars="0"/>
              <w:jc w:val="center"/>
              <w:rPr>
                <w:sz w:val="21"/>
                <w:szCs w:val="21"/>
                <w:highlight w:val="none"/>
              </w:rPr>
            </w:pPr>
          </w:p>
        </w:tc>
      </w:tr>
    </w:tbl>
    <w:p>
      <w:pPr>
        <w:pStyle w:val="17"/>
        <w:ind w:firstLine="0" w:firstLineChars="0"/>
        <w:rPr>
          <w:highlight w:val="none"/>
        </w:rPr>
      </w:pPr>
    </w:p>
    <w:p>
      <w:pPr>
        <w:pStyle w:val="5"/>
        <w:adjustRightInd w:val="0"/>
        <w:snapToGrid w:val="0"/>
        <w:rPr>
          <w:rFonts w:hint="default"/>
          <w:highlight w:val="none"/>
        </w:rPr>
      </w:pPr>
      <w:bookmarkStart w:id="311" w:name="_Toc19724"/>
      <w:r>
        <w:rPr>
          <w:rFonts w:hint="eastAsia"/>
          <w:highlight w:val="none"/>
          <w:lang w:val="en-US" w:eastAsia="zh-CN"/>
        </w:rPr>
        <w:t>2</w:t>
      </w:r>
      <w:r>
        <w:rPr>
          <w:highlight w:val="none"/>
        </w:rPr>
        <w:t>.1.6总平面布置</w:t>
      </w:r>
      <w:bookmarkEnd w:id="311"/>
    </w:p>
    <w:p>
      <w:pPr>
        <w:ind w:firstLine="480"/>
        <w:rPr>
          <w:highlight w:val="none"/>
          <w:lang w:val="zh-CN"/>
        </w:rPr>
      </w:pPr>
      <w:r>
        <w:rPr>
          <w:rFonts w:hint="eastAsia"/>
          <w:highlight w:val="none"/>
          <w:lang w:val="zh-CN"/>
        </w:rPr>
        <w:t>总平面布置将矿区按照各自的使用功能，划分为矿山开采区、矿石加工区、办公生活区等功能区，各功能区布置内容如下：</w:t>
      </w:r>
    </w:p>
    <w:p>
      <w:pPr>
        <w:ind w:firstLine="480"/>
        <w:rPr>
          <w:highlight w:val="none"/>
          <w:lang w:val="zh-CN"/>
        </w:rPr>
      </w:pPr>
      <w:r>
        <w:rPr>
          <w:rFonts w:hint="eastAsia"/>
          <w:highlight w:val="none"/>
          <w:lang w:val="zh-CN"/>
        </w:rPr>
        <w:t>矿山开采区布置内容有开拓运输道路、基建采准工作面、矿山基建削顶平台等。</w:t>
      </w:r>
    </w:p>
    <w:p>
      <w:pPr>
        <w:ind w:firstLine="480"/>
        <w:rPr>
          <w:highlight w:val="none"/>
          <w:lang w:val="zh-CN"/>
        </w:rPr>
      </w:pPr>
      <w:r>
        <w:rPr>
          <w:rFonts w:hint="eastAsia"/>
          <w:highlight w:val="none"/>
          <w:lang w:val="zh-CN"/>
        </w:rPr>
        <w:t>矿石加工区布置在采场的中部偏南侧，布置内容有</w:t>
      </w:r>
      <w:r>
        <w:rPr>
          <w:rFonts w:ascii="Times New Roman" w:hAnsi="Times New Roman" w:eastAsia="宋体"/>
          <w:spacing w:val="-6"/>
          <w:highlight w:val="none"/>
        </w:rPr>
        <w:t>原料堆场、破碎筛分车间、成品料仓、装车区、机修车间</w:t>
      </w:r>
      <w:r>
        <w:rPr>
          <w:rFonts w:ascii="Times New Roman" w:hAnsi="Times New Roman" w:eastAsia="宋体"/>
          <w:highlight w:val="none"/>
        </w:rPr>
        <w:t>和控制室组成</w:t>
      </w:r>
      <w:r>
        <w:rPr>
          <w:rFonts w:hint="eastAsia"/>
          <w:highlight w:val="none"/>
          <w:lang w:val="zh-CN"/>
        </w:rPr>
        <w:t>等。</w:t>
      </w:r>
    </w:p>
    <w:p>
      <w:pPr>
        <w:ind w:firstLine="480"/>
        <w:rPr>
          <w:highlight w:val="none"/>
          <w:lang w:val="zh-CN"/>
        </w:rPr>
      </w:pPr>
      <w:r>
        <w:rPr>
          <w:rFonts w:hint="eastAsia"/>
          <w:highlight w:val="none"/>
          <w:lang w:val="zh-CN"/>
        </w:rPr>
        <w:t>办公生活区布置在工业场地东侧，设有办公室、综合材料库、食堂等设施，其它的生活辅助设施由厂区统一设置。</w:t>
      </w:r>
    </w:p>
    <w:p>
      <w:pPr>
        <w:pStyle w:val="17"/>
        <w:ind w:firstLine="480"/>
        <w:rPr>
          <w:rFonts w:ascii="Times New Roman" w:hAnsi="Times New Roman"/>
          <w:highlight w:val="none"/>
        </w:rPr>
      </w:pPr>
      <w:r>
        <w:rPr>
          <w:rFonts w:hint="eastAsia" w:ascii="Times New Roman" w:hAnsi="Times New Roman"/>
          <w:highlight w:val="none"/>
          <w:lang w:val="zh-CN"/>
        </w:rPr>
        <w:t>总平面布置详见附图</w:t>
      </w:r>
      <w:r>
        <w:rPr>
          <w:rFonts w:hint="eastAsia" w:ascii="Times New Roman" w:hAnsi="Times New Roman"/>
          <w:highlight w:val="none"/>
          <w:lang w:val="en-US" w:eastAsia="zh-CN"/>
        </w:rPr>
        <w:t>2，项目环保设施布置详见图3</w:t>
      </w:r>
      <w:r>
        <w:rPr>
          <w:rFonts w:hint="eastAsia" w:ascii="Times New Roman" w:hAnsi="Times New Roman"/>
          <w:highlight w:val="none"/>
        </w:rPr>
        <w:t>。</w:t>
      </w:r>
    </w:p>
    <w:p>
      <w:pPr>
        <w:pStyle w:val="5"/>
        <w:adjustRightInd w:val="0"/>
        <w:snapToGrid w:val="0"/>
        <w:rPr>
          <w:rFonts w:hint="default"/>
          <w:highlight w:val="none"/>
        </w:rPr>
      </w:pPr>
      <w:bookmarkStart w:id="312" w:name="_Toc3701"/>
      <w:r>
        <w:rPr>
          <w:rFonts w:hint="eastAsia"/>
          <w:highlight w:val="none"/>
          <w:lang w:val="en-US" w:eastAsia="zh-CN"/>
        </w:rPr>
        <w:t>2</w:t>
      </w:r>
      <w:r>
        <w:rPr>
          <w:highlight w:val="none"/>
        </w:rPr>
        <w:t>.1.7劳动定员及工作制度</w:t>
      </w:r>
      <w:bookmarkEnd w:id="312"/>
    </w:p>
    <w:p>
      <w:pPr>
        <w:pStyle w:val="17"/>
        <w:ind w:firstLine="480"/>
        <w:rPr>
          <w:rFonts w:hint="eastAsia" w:ascii="Times New Roman" w:hAnsi="Times New Roman"/>
          <w:highlight w:val="none"/>
          <w:lang w:eastAsia="zh-CN"/>
        </w:rPr>
      </w:pPr>
      <w:r>
        <w:rPr>
          <w:rFonts w:hint="eastAsia" w:ascii="Times New Roman" w:hAnsi="Times New Roman"/>
          <w:highlight w:val="none"/>
        </w:rPr>
        <w:t>劳动定员：矿山劳动定员</w:t>
      </w:r>
      <w:r>
        <w:rPr>
          <w:rFonts w:hint="eastAsia" w:ascii="Times New Roman" w:hAnsi="Times New Roman"/>
          <w:highlight w:val="none"/>
          <w:lang w:val="en-US" w:eastAsia="zh-CN"/>
        </w:rPr>
        <w:t>20</w:t>
      </w:r>
      <w:r>
        <w:rPr>
          <w:rFonts w:hint="eastAsia" w:ascii="Times New Roman" w:hAnsi="Times New Roman"/>
          <w:highlight w:val="none"/>
        </w:rPr>
        <w:t>人，</w:t>
      </w:r>
      <w:r>
        <w:rPr>
          <w:rFonts w:hint="eastAsia" w:ascii="Times New Roman" w:hAnsi="Times New Roman"/>
          <w:highlight w:val="none"/>
          <w:lang w:eastAsia="zh-CN"/>
        </w:rPr>
        <w:t>不在项目区食宿；</w:t>
      </w:r>
    </w:p>
    <w:p>
      <w:pPr>
        <w:pStyle w:val="17"/>
        <w:ind w:firstLine="480"/>
        <w:rPr>
          <w:rFonts w:hint="eastAsia" w:ascii="Times New Roman" w:hAnsi="Times New Roman" w:eastAsia="宋体"/>
          <w:color w:val="FF0000"/>
          <w:highlight w:val="none"/>
          <w:lang w:eastAsia="zh-CN"/>
        </w:rPr>
      </w:pPr>
      <w:r>
        <w:rPr>
          <w:rFonts w:hint="eastAsia" w:ascii="Times New Roman" w:hAnsi="Times New Roman"/>
          <w:highlight w:val="none"/>
          <w:lang w:eastAsia="zh-CN"/>
        </w:rPr>
        <w:t>工作制度：年工作</w:t>
      </w:r>
      <w:r>
        <w:rPr>
          <w:rFonts w:hint="eastAsia" w:ascii="Times New Roman" w:hAnsi="Times New Roman"/>
          <w:highlight w:val="none"/>
          <w:lang w:val="en-US" w:eastAsia="zh-CN"/>
        </w:rPr>
        <w:t>300天，每天1班制，每班8小时</w:t>
      </w:r>
      <w:r>
        <w:rPr>
          <w:rFonts w:hint="eastAsia" w:ascii="Times New Roman" w:hAnsi="Times New Roman"/>
          <w:color w:val="auto"/>
          <w:highlight w:val="none"/>
          <w:lang w:eastAsia="zh-CN"/>
        </w:rPr>
        <w:t>。</w:t>
      </w:r>
    </w:p>
    <w:p>
      <w:pPr>
        <w:pStyle w:val="5"/>
        <w:adjustRightInd w:val="0"/>
        <w:snapToGrid w:val="0"/>
        <w:rPr>
          <w:rFonts w:hint="default"/>
          <w:highlight w:val="none"/>
        </w:rPr>
      </w:pPr>
      <w:bookmarkStart w:id="313" w:name="_Toc1903"/>
      <w:r>
        <w:rPr>
          <w:rFonts w:hint="eastAsia"/>
          <w:highlight w:val="none"/>
          <w:lang w:val="en-US" w:eastAsia="zh-CN"/>
        </w:rPr>
        <w:t>2</w:t>
      </w:r>
      <w:r>
        <w:rPr>
          <w:highlight w:val="none"/>
        </w:rPr>
        <w:t>.1.8矿区概况</w:t>
      </w:r>
      <w:bookmarkEnd w:id="313"/>
    </w:p>
    <w:p>
      <w:pPr>
        <w:pStyle w:val="6"/>
        <w:ind w:firstLine="482"/>
        <w:rPr>
          <w:rFonts w:cs="Times New Roman"/>
          <w:highlight w:val="none"/>
        </w:rPr>
      </w:pPr>
      <w:r>
        <w:rPr>
          <w:rFonts w:hint="eastAsia" w:cs="Times New Roman"/>
          <w:highlight w:val="none"/>
          <w:lang w:val="en-US" w:eastAsia="zh-CN"/>
        </w:rPr>
        <w:t>2</w:t>
      </w:r>
      <w:r>
        <w:rPr>
          <w:rFonts w:cs="Times New Roman"/>
          <w:highlight w:val="none"/>
        </w:rPr>
        <w:t>.1.</w:t>
      </w:r>
      <w:r>
        <w:rPr>
          <w:rFonts w:hint="eastAsia" w:cs="Times New Roman"/>
          <w:highlight w:val="none"/>
        </w:rPr>
        <w:t>8</w:t>
      </w:r>
      <w:r>
        <w:rPr>
          <w:rFonts w:cs="Times New Roman"/>
          <w:highlight w:val="none"/>
        </w:rPr>
        <w:t>.1矿区范围</w:t>
      </w:r>
    </w:p>
    <w:p>
      <w:pPr>
        <w:ind w:firstLine="480"/>
        <w:rPr>
          <w:b/>
          <w:sz w:val="21"/>
          <w:szCs w:val="21"/>
          <w:highlight w:val="none"/>
        </w:rPr>
      </w:pPr>
      <w:r>
        <w:rPr>
          <w:rFonts w:hint="eastAsia"/>
          <w:highlight w:val="none"/>
        </w:rPr>
        <w:t>矿区范围由</w:t>
      </w:r>
      <w:r>
        <w:rPr>
          <w:rFonts w:hint="eastAsia"/>
          <w:highlight w:val="none"/>
          <w:lang w:val="en-US" w:eastAsia="zh-CN"/>
        </w:rPr>
        <w:t>9</w:t>
      </w:r>
      <w:r>
        <w:rPr>
          <w:rFonts w:hint="eastAsia"/>
          <w:highlight w:val="none"/>
        </w:rPr>
        <w:t>个拐点圈定，矿区总面积为0.</w:t>
      </w:r>
      <w:r>
        <w:rPr>
          <w:rFonts w:hint="eastAsia"/>
          <w:highlight w:val="none"/>
          <w:lang w:val="en-US" w:eastAsia="zh-CN"/>
        </w:rPr>
        <w:t>095</w:t>
      </w:r>
      <w:r>
        <w:rPr>
          <w:rFonts w:hint="eastAsia"/>
          <w:highlight w:val="none"/>
        </w:rPr>
        <w:t>km</w:t>
      </w:r>
      <w:r>
        <w:rPr>
          <w:rFonts w:hint="eastAsia" w:ascii="宋体" w:hAnsi="宋体"/>
          <w:highlight w:val="none"/>
        </w:rPr>
        <w:t>²</w:t>
      </w:r>
      <w:r>
        <w:rPr>
          <w:rFonts w:hint="eastAsia"/>
          <w:highlight w:val="none"/>
        </w:rPr>
        <w:t>，边界拐点坐标见表</w:t>
      </w:r>
      <w:r>
        <w:rPr>
          <w:rFonts w:hint="eastAsia"/>
          <w:highlight w:val="none"/>
          <w:lang w:val="en-US" w:eastAsia="zh-CN"/>
        </w:rPr>
        <w:t>2</w:t>
      </w:r>
      <w:r>
        <w:rPr>
          <w:rFonts w:hint="eastAsia"/>
          <w:highlight w:val="none"/>
        </w:rPr>
        <w:t>-5：</w:t>
      </w:r>
    </w:p>
    <w:p>
      <w:pPr>
        <w:ind w:firstLine="422"/>
        <w:jc w:val="center"/>
        <w:rPr>
          <w:b/>
          <w:sz w:val="21"/>
          <w:szCs w:val="21"/>
          <w:highlight w:val="none"/>
        </w:rPr>
      </w:pPr>
      <w:r>
        <w:rPr>
          <w:b/>
          <w:sz w:val="21"/>
          <w:szCs w:val="21"/>
          <w:highlight w:val="none"/>
        </w:rPr>
        <w:t>表</w:t>
      </w:r>
      <w:r>
        <w:rPr>
          <w:rFonts w:hint="eastAsia"/>
          <w:b/>
          <w:sz w:val="21"/>
          <w:szCs w:val="21"/>
          <w:highlight w:val="none"/>
          <w:lang w:val="en-US" w:eastAsia="zh-CN"/>
        </w:rPr>
        <w:t>2</w:t>
      </w:r>
      <w:r>
        <w:rPr>
          <w:rFonts w:hint="eastAsia"/>
          <w:b/>
          <w:sz w:val="21"/>
          <w:szCs w:val="21"/>
          <w:highlight w:val="none"/>
        </w:rPr>
        <w:t>-5</w:t>
      </w:r>
      <w:r>
        <w:rPr>
          <w:b/>
          <w:sz w:val="21"/>
          <w:szCs w:val="21"/>
          <w:highlight w:val="none"/>
        </w:rPr>
        <w:t xml:space="preserve">    砚山县</w:t>
      </w:r>
      <w:r>
        <w:rPr>
          <w:rFonts w:hint="eastAsia"/>
          <w:b/>
          <w:sz w:val="21"/>
          <w:szCs w:val="21"/>
          <w:highlight w:val="none"/>
          <w:lang w:eastAsia="zh-CN"/>
        </w:rPr>
        <w:t>卡子</w:t>
      </w:r>
      <w:r>
        <w:rPr>
          <w:b/>
          <w:sz w:val="21"/>
          <w:szCs w:val="21"/>
          <w:highlight w:val="none"/>
        </w:rPr>
        <w:t>石灰岩矿划定矿区范围坐标表</w:t>
      </w:r>
    </w:p>
    <w:tbl>
      <w:tblPr>
        <w:tblStyle w:val="29"/>
        <w:tblW w:w="9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1485"/>
        <w:gridCol w:w="1455"/>
        <w:gridCol w:w="1290"/>
        <w:gridCol w:w="1230"/>
        <w:gridCol w:w="1215"/>
        <w:gridCol w:w="1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8" w:type="dxa"/>
            <w:vMerge w:val="restart"/>
            <w:noWrap w:val="0"/>
            <w:vAlign w:val="center"/>
          </w:tcPr>
          <w:p>
            <w:pPr>
              <w:ind w:left="0" w:leftChars="0" w:firstLine="0" w:firstLineChars="0"/>
              <w:jc w:val="center"/>
              <w:rPr>
                <w:rFonts w:eastAsia="仿宋_GB2312"/>
                <w:color w:val="000000"/>
                <w:sz w:val="21"/>
                <w:szCs w:val="21"/>
                <w:highlight w:val="none"/>
              </w:rPr>
            </w:pPr>
            <w:r>
              <w:rPr>
                <w:rFonts w:eastAsia="仿宋_GB2312"/>
                <w:color w:val="000000"/>
                <w:sz w:val="21"/>
                <w:szCs w:val="21"/>
                <w:highlight w:val="none"/>
              </w:rPr>
              <w:t>拐点</w:t>
            </w:r>
          </w:p>
          <w:p>
            <w:pPr>
              <w:ind w:left="0" w:leftChars="0" w:firstLine="0" w:firstLineChars="0"/>
              <w:jc w:val="center"/>
              <w:rPr>
                <w:rFonts w:eastAsia="仿宋_GB2312"/>
                <w:color w:val="000000"/>
                <w:sz w:val="21"/>
                <w:szCs w:val="21"/>
                <w:highlight w:val="none"/>
              </w:rPr>
            </w:pPr>
            <w:r>
              <w:rPr>
                <w:rFonts w:eastAsia="仿宋_GB2312"/>
                <w:color w:val="000000"/>
                <w:sz w:val="21"/>
                <w:szCs w:val="21"/>
                <w:highlight w:val="none"/>
              </w:rPr>
              <w:t>编号</w:t>
            </w:r>
          </w:p>
        </w:tc>
        <w:tc>
          <w:tcPr>
            <w:tcW w:w="2940" w:type="dxa"/>
            <w:gridSpan w:val="2"/>
            <w:noWrap w:val="0"/>
            <w:vAlign w:val="center"/>
          </w:tcPr>
          <w:p>
            <w:pPr>
              <w:ind w:left="0" w:leftChars="0" w:firstLine="0" w:firstLineChars="0"/>
              <w:jc w:val="center"/>
              <w:rPr>
                <w:rFonts w:eastAsia="仿宋_GB2312"/>
                <w:color w:val="000000"/>
                <w:sz w:val="21"/>
                <w:szCs w:val="21"/>
                <w:highlight w:val="none"/>
              </w:rPr>
            </w:pPr>
            <w:r>
              <w:rPr>
                <w:rFonts w:eastAsia="仿宋_GB2312"/>
                <w:color w:val="000000"/>
                <w:sz w:val="21"/>
                <w:szCs w:val="21"/>
                <w:highlight w:val="none"/>
              </w:rPr>
              <w:t>1980年西安坐标系</w:t>
            </w:r>
          </w:p>
        </w:tc>
        <w:tc>
          <w:tcPr>
            <w:tcW w:w="2520" w:type="dxa"/>
            <w:gridSpan w:val="2"/>
            <w:noWrap w:val="0"/>
            <w:vAlign w:val="center"/>
          </w:tcPr>
          <w:p>
            <w:pPr>
              <w:ind w:left="0" w:leftChars="0" w:firstLine="0" w:firstLineChars="0"/>
              <w:jc w:val="center"/>
              <w:rPr>
                <w:rFonts w:eastAsia="仿宋_GB2312"/>
                <w:color w:val="000000"/>
                <w:sz w:val="21"/>
                <w:szCs w:val="21"/>
                <w:highlight w:val="none"/>
              </w:rPr>
            </w:pPr>
            <w:r>
              <w:rPr>
                <w:rFonts w:eastAsia="仿宋_GB2312"/>
                <w:color w:val="000000"/>
                <w:sz w:val="21"/>
                <w:szCs w:val="21"/>
                <w:highlight w:val="none"/>
              </w:rPr>
              <w:t>经纬度</w:t>
            </w:r>
          </w:p>
        </w:tc>
        <w:tc>
          <w:tcPr>
            <w:tcW w:w="2588" w:type="dxa"/>
            <w:gridSpan w:val="2"/>
            <w:noWrap w:val="0"/>
            <w:vAlign w:val="center"/>
          </w:tcPr>
          <w:p>
            <w:pPr>
              <w:ind w:left="0" w:leftChars="0" w:firstLine="0" w:firstLineChars="0"/>
              <w:jc w:val="center"/>
              <w:rPr>
                <w:rFonts w:hint="eastAsia" w:eastAsia="仿宋_GB2312"/>
                <w:color w:val="000000"/>
                <w:sz w:val="21"/>
                <w:szCs w:val="21"/>
                <w:highlight w:val="none"/>
                <w:lang w:val="en-US" w:eastAsia="zh-CN"/>
              </w:rPr>
            </w:pPr>
            <w:r>
              <w:rPr>
                <w:rFonts w:hint="eastAsia" w:eastAsia="仿宋_GB2312"/>
                <w:color w:val="000000"/>
                <w:sz w:val="21"/>
                <w:szCs w:val="21"/>
                <w:highlight w:val="none"/>
                <w:lang w:val="en-US" w:eastAsia="zh-CN"/>
              </w:rPr>
              <w:t>2000</w:t>
            </w:r>
            <w:r>
              <w:rPr>
                <w:rFonts w:eastAsia="仿宋_GB2312"/>
                <w:color w:val="000000"/>
                <w:sz w:val="21"/>
                <w:szCs w:val="21"/>
                <w:highlight w:val="none"/>
              </w:rPr>
              <w:t>坐标系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8" w:type="dxa"/>
            <w:vMerge w:val="continue"/>
            <w:noWrap w:val="0"/>
            <w:vAlign w:val="center"/>
          </w:tcPr>
          <w:p>
            <w:pPr>
              <w:jc w:val="center"/>
              <w:rPr>
                <w:rFonts w:eastAsia="仿宋_GB2312"/>
                <w:sz w:val="21"/>
                <w:szCs w:val="21"/>
                <w:highlight w:val="none"/>
              </w:rPr>
            </w:pPr>
          </w:p>
        </w:tc>
        <w:tc>
          <w:tcPr>
            <w:tcW w:w="1485" w:type="dxa"/>
            <w:noWrap w:val="0"/>
            <w:vAlign w:val="center"/>
          </w:tcPr>
          <w:p>
            <w:pPr>
              <w:ind w:left="0" w:leftChars="0" w:firstLine="0" w:firstLineChars="0"/>
              <w:jc w:val="center"/>
              <w:rPr>
                <w:rFonts w:eastAsia="仿宋_GB2312"/>
                <w:sz w:val="21"/>
                <w:szCs w:val="21"/>
                <w:highlight w:val="none"/>
              </w:rPr>
            </w:pPr>
            <w:r>
              <w:rPr>
                <w:rFonts w:eastAsia="仿宋_GB2312"/>
                <w:color w:val="000000"/>
                <w:sz w:val="21"/>
                <w:szCs w:val="21"/>
                <w:highlight w:val="none"/>
              </w:rPr>
              <w:t>X坐标</w:t>
            </w:r>
          </w:p>
        </w:tc>
        <w:tc>
          <w:tcPr>
            <w:tcW w:w="1455" w:type="dxa"/>
            <w:noWrap w:val="0"/>
            <w:vAlign w:val="center"/>
          </w:tcPr>
          <w:p>
            <w:pPr>
              <w:ind w:left="0" w:leftChars="0" w:firstLine="0" w:firstLineChars="0"/>
              <w:jc w:val="center"/>
              <w:rPr>
                <w:rFonts w:eastAsia="仿宋_GB2312"/>
                <w:sz w:val="21"/>
                <w:szCs w:val="21"/>
                <w:highlight w:val="none"/>
              </w:rPr>
            </w:pPr>
            <w:r>
              <w:rPr>
                <w:rFonts w:eastAsia="仿宋_GB2312"/>
                <w:color w:val="000000"/>
                <w:sz w:val="21"/>
                <w:szCs w:val="21"/>
                <w:highlight w:val="none"/>
              </w:rPr>
              <w:t>Y坐标</w:t>
            </w:r>
          </w:p>
        </w:tc>
        <w:tc>
          <w:tcPr>
            <w:tcW w:w="1290" w:type="dxa"/>
            <w:noWrap w:val="0"/>
            <w:vAlign w:val="center"/>
          </w:tcPr>
          <w:p>
            <w:pPr>
              <w:ind w:left="0" w:leftChars="0" w:firstLine="0" w:firstLineChars="0"/>
              <w:jc w:val="center"/>
              <w:rPr>
                <w:rFonts w:eastAsia="仿宋_GB2312"/>
                <w:sz w:val="21"/>
                <w:szCs w:val="21"/>
                <w:highlight w:val="none"/>
              </w:rPr>
            </w:pPr>
            <w:r>
              <w:rPr>
                <w:rFonts w:eastAsia="仿宋_GB2312"/>
                <w:color w:val="000000"/>
                <w:sz w:val="21"/>
                <w:szCs w:val="21"/>
                <w:highlight w:val="none"/>
              </w:rPr>
              <w:t>X坐标</w:t>
            </w:r>
          </w:p>
        </w:tc>
        <w:tc>
          <w:tcPr>
            <w:tcW w:w="1230" w:type="dxa"/>
            <w:noWrap w:val="0"/>
            <w:vAlign w:val="center"/>
          </w:tcPr>
          <w:p>
            <w:pPr>
              <w:ind w:left="0" w:leftChars="0" w:firstLine="0" w:firstLineChars="0"/>
              <w:jc w:val="center"/>
              <w:rPr>
                <w:rFonts w:eastAsia="仿宋_GB2312"/>
                <w:color w:val="000000"/>
                <w:sz w:val="21"/>
                <w:szCs w:val="21"/>
                <w:highlight w:val="none"/>
              </w:rPr>
            </w:pPr>
            <w:r>
              <w:rPr>
                <w:rFonts w:eastAsia="仿宋_GB2312"/>
                <w:color w:val="000000"/>
                <w:sz w:val="21"/>
                <w:szCs w:val="21"/>
                <w:highlight w:val="none"/>
              </w:rPr>
              <w:t>Y坐标</w:t>
            </w:r>
          </w:p>
        </w:tc>
        <w:tc>
          <w:tcPr>
            <w:tcW w:w="1215" w:type="dxa"/>
            <w:noWrap w:val="0"/>
            <w:vAlign w:val="center"/>
          </w:tcPr>
          <w:p>
            <w:pPr>
              <w:ind w:left="0" w:leftChars="0" w:firstLine="0" w:firstLineChars="0"/>
              <w:jc w:val="center"/>
              <w:rPr>
                <w:rFonts w:eastAsia="仿宋_GB2312"/>
                <w:color w:val="000000"/>
                <w:sz w:val="21"/>
                <w:szCs w:val="21"/>
                <w:highlight w:val="none"/>
              </w:rPr>
            </w:pPr>
            <w:r>
              <w:rPr>
                <w:rFonts w:eastAsia="仿宋_GB2312"/>
                <w:color w:val="000000"/>
                <w:sz w:val="21"/>
                <w:szCs w:val="21"/>
                <w:highlight w:val="none"/>
              </w:rPr>
              <w:t>X坐标</w:t>
            </w:r>
          </w:p>
        </w:tc>
        <w:tc>
          <w:tcPr>
            <w:tcW w:w="1373" w:type="dxa"/>
            <w:noWrap w:val="0"/>
            <w:vAlign w:val="center"/>
          </w:tcPr>
          <w:p>
            <w:pPr>
              <w:ind w:left="0" w:leftChars="0" w:firstLine="0" w:firstLineChars="0"/>
              <w:jc w:val="center"/>
              <w:rPr>
                <w:rFonts w:eastAsia="仿宋_GB2312"/>
                <w:sz w:val="21"/>
                <w:szCs w:val="21"/>
                <w:highlight w:val="none"/>
              </w:rPr>
            </w:pPr>
            <w:r>
              <w:rPr>
                <w:rFonts w:eastAsia="仿宋_GB2312"/>
                <w:color w:val="000000"/>
                <w:sz w:val="21"/>
                <w:szCs w:val="21"/>
                <w:highlight w:val="none"/>
              </w:rPr>
              <w:t>Y坐标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1068" w:type="dxa"/>
            <w:noWrap w:val="0"/>
            <w:vAlign w:val="center"/>
          </w:tcPr>
          <w:p>
            <w:pPr>
              <w:ind w:left="0" w:leftChars="0" w:firstLine="0" w:firstLineChars="0"/>
              <w:jc w:val="center"/>
              <w:rPr>
                <w:rFonts w:eastAsia="仿宋_GB2312"/>
                <w:bCs/>
                <w:sz w:val="21"/>
                <w:szCs w:val="21"/>
                <w:highlight w:val="none"/>
              </w:rPr>
            </w:pPr>
            <w:r>
              <w:rPr>
                <w:rFonts w:eastAsia="仿宋_GB2312"/>
                <w:bCs/>
                <w:sz w:val="21"/>
                <w:szCs w:val="21"/>
                <w:highlight w:val="none"/>
              </w:rPr>
              <w:t>1</w:t>
            </w:r>
          </w:p>
        </w:tc>
        <w:tc>
          <w:tcPr>
            <w:tcW w:w="1485" w:type="dxa"/>
            <w:noWrap w:val="0"/>
            <w:vAlign w:val="center"/>
          </w:tcPr>
          <w:p>
            <w:pPr>
              <w:widowControl w:val="0"/>
              <w:ind w:left="0" w:leftChars="0" w:firstLine="0" w:firstLineChars="0"/>
              <w:jc w:val="center"/>
              <w:rPr>
                <w:rFonts w:hint="eastAsia" w:ascii="Times New Roman" w:hAnsi="Times New Roman" w:eastAsia="仿宋_GB2312" w:cs="Times New Roman"/>
                <w:kern w:val="2"/>
                <w:sz w:val="21"/>
                <w:szCs w:val="21"/>
                <w:highlight w:val="none"/>
                <w:lang w:val="en-US" w:eastAsia="zh-CN" w:bidi="ar-SA"/>
              </w:rPr>
            </w:pPr>
            <w:r>
              <w:rPr>
                <w:rFonts w:hint="eastAsia" w:ascii="Times New Roman" w:hAnsi="Times New Roman" w:eastAsia="仿宋_GB2312" w:cs="Times New Roman"/>
                <w:kern w:val="2"/>
                <w:sz w:val="21"/>
                <w:szCs w:val="21"/>
                <w:highlight w:val="none"/>
                <w:lang w:val="en-US" w:eastAsia="zh-CN" w:bidi="ar-SA"/>
              </w:rPr>
              <w:t>2639815.84</w:t>
            </w:r>
          </w:p>
        </w:tc>
        <w:tc>
          <w:tcPr>
            <w:tcW w:w="1455" w:type="dxa"/>
            <w:noWrap w:val="0"/>
            <w:vAlign w:val="center"/>
          </w:tcPr>
          <w:p>
            <w:pPr>
              <w:widowControl w:val="0"/>
              <w:ind w:left="0" w:leftChars="0" w:firstLine="0" w:firstLineChars="0"/>
              <w:jc w:val="center"/>
              <w:rPr>
                <w:rFonts w:hint="eastAsia" w:ascii="Times New Roman" w:hAnsi="Times New Roman" w:eastAsia="仿宋_GB2312" w:cs="Times New Roman"/>
                <w:kern w:val="2"/>
                <w:sz w:val="21"/>
                <w:szCs w:val="21"/>
                <w:highlight w:val="none"/>
                <w:lang w:val="en-US" w:eastAsia="zh-CN" w:bidi="ar-SA"/>
              </w:rPr>
            </w:pPr>
            <w:r>
              <w:rPr>
                <w:rFonts w:hint="eastAsia" w:ascii="Times New Roman" w:hAnsi="Times New Roman" w:eastAsia="仿宋_GB2312" w:cs="Times New Roman"/>
                <w:kern w:val="2"/>
                <w:sz w:val="21"/>
                <w:szCs w:val="21"/>
                <w:highlight w:val="none"/>
                <w:lang w:val="en-US" w:eastAsia="zh-CN" w:bidi="ar-SA"/>
              </w:rPr>
              <w:t>35453094.85</w:t>
            </w:r>
          </w:p>
        </w:tc>
        <w:tc>
          <w:tcPr>
            <w:tcW w:w="1290" w:type="dxa"/>
            <w:noWrap w:val="0"/>
            <w:vAlign w:val="center"/>
          </w:tcPr>
          <w:p>
            <w:pPr>
              <w:widowControl w:val="0"/>
              <w:ind w:firstLine="0" w:firstLineChars="0"/>
              <w:jc w:val="center"/>
              <w:rPr>
                <w:rFonts w:ascii="Times New Roman" w:hAnsi="Times New Roman" w:eastAsia="仿宋_GB2312" w:cs="Times New Roman"/>
                <w:kern w:val="2"/>
                <w:sz w:val="21"/>
                <w:szCs w:val="21"/>
                <w:highlight w:val="none"/>
                <w:lang w:val="en-US" w:eastAsia="zh-CN" w:bidi="ar-SA"/>
              </w:rPr>
            </w:pPr>
            <w:r>
              <w:rPr>
                <w:rFonts w:ascii="Times New Roman" w:hAnsi="Times New Roman" w:eastAsia="仿宋_GB2312" w:cs="Times New Roman"/>
                <w:kern w:val="2"/>
                <w:sz w:val="21"/>
                <w:szCs w:val="21"/>
                <w:highlight w:val="none"/>
                <w:lang w:val="en-US" w:eastAsia="zh-CN" w:bidi="ar-SA"/>
              </w:rPr>
              <w:t>104°</w:t>
            </w:r>
            <w:r>
              <w:rPr>
                <w:rFonts w:hint="eastAsia" w:ascii="Times New Roman" w:hAnsi="Times New Roman" w:eastAsia="仿宋_GB2312" w:cs="Times New Roman"/>
                <w:kern w:val="2"/>
                <w:sz w:val="21"/>
                <w:szCs w:val="21"/>
                <w:highlight w:val="none"/>
                <w:lang w:val="en-US" w:eastAsia="zh-CN" w:bidi="ar-SA"/>
              </w:rPr>
              <w:t>32</w:t>
            </w:r>
            <w:r>
              <w:rPr>
                <w:rFonts w:ascii="Times New Roman" w:hAnsi="Times New Roman" w:eastAsia="仿宋_GB2312" w:cs="Times New Roman"/>
                <w:kern w:val="2"/>
                <w:sz w:val="21"/>
                <w:szCs w:val="21"/>
                <w:highlight w:val="none"/>
                <w:lang w:val="en-US" w:eastAsia="zh-CN" w:bidi="ar-SA"/>
              </w:rPr>
              <w:t>′</w:t>
            </w:r>
            <w:r>
              <w:rPr>
                <w:rFonts w:hint="eastAsia" w:ascii="Times New Roman" w:hAnsi="Times New Roman" w:eastAsia="仿宋_GB2312" w:cs="Times New Roman"/>
                <w:kern w:val="2"/>
                <w:sz w:val="21"/>
                <w:szCs w:val="21"/>
                <w:highlight w:val="none"/>
                <w:lang w:val="en-US" w:eastAsia="zh-CN" w:bidi="ar-SA"/>
              </w:rPr>
              <w:t>22</w:t>
            </w:r>
            <w:r>
              <w:rPr>
                <w:rFonts w:ascii="Times New Roman" w:hAnsi="Times New Roman" w:eastAsia="仿宋_GB2312" w:cs="Times New Roman"/>
                <w:kern w:val="2"/>
                <w:sz w:val="21"/>
                <w:szCs w:val="21"/>
                <w:highlight w:val="none"/>
                <w:lang w:val="en-US" w:eastAsia="zh-CN" w:bidi="ar-SA"/>
              </w:rPr>
              <w:t>″</w:t>
            </w:r>
          </w:p>
        </w:tc>
        <w:tc>
          <w:tcPr>
            <w:tcW w:w="1230" w:type="dxa"/>
            <w:noWrap w:val="0"/>
            <w:vAlign w:val="center"/>
          </w:tcPr>
          <w:p>
            <w:pPr>
              <w:widowControl w:val="0"/>
              <w:ind w:firstLine="0" w:firstLineChars="0"/>
              <w:jc w:val="center"/>
              <w:rPr>
                <w:rFonts w:ascii="Times New Roman" w:hAnsi="Times New Roman" w:eastAsia="仿宋_GB2312" w:cs="Times New Roman"/>
                <w:kern w:val="2"/>
                <w:sz w:val="21"/>
                <w:szCs w:val="21"/>
                <w:highlight w:val="none"/>
                <w:lang w:val="en-US" w:eastAsia="zh-CN" w:bidi="ar-SA"/>
              </w:rPr>
            </w:pPr>
            <w:r>
              <w:rPr>
                <w:rFonts w:ascii="Times New Roman" w:hAnsi="Times New Roman" w:eastAsia="仿宋_GB2312" w:cs="Times New Roman"/>
                <w:kern w:val="2"/>
                <w:sz w:val="21"/>
                <w:szCs w:val="21"/>
                <w:highlight w:val="none"/>
                <w:lang w:val="en-US" w:eastAsia="zh-CN" w:bidi="ar-SA"/>
              </w:rPr>
              <w:t>23°</w:t>
            </w:r>
            <w:r>
              <w:rPr>
                <w:rFonts w:hint="eastAsia" w:ascii="Times New Roman" w:hAnsi="Times New Roman" w:eastAsia="仿宋_GB2312" w:cs="Times New Roman"/>
                <w:kern w:val="2"/>
                <w:sz w:val="21"/>
                <w:szCs w:val="21"/>
                <w:highlight w:val="none"/>
                <w:lang w:val="en-US" w:eastAsia="zh-CN" w:bidi="ar-SA"/>
              </w:rPr>
              <w:t>51</w:t>
            </w:r>
            <w:r>
              <w:rPr>
                <w:rFonts w:ascii="Times New Roman" w:hAnsi="Times New Roman" w:eastAsia="仿宋_GB2312" w:cs="Times New Roman"/>
                <w:kern w:val="2"/>
                <w:sz w:val="21"/>
                <w:szCs w:val="21"/>
                <w:highlight w:val="none"/>
                <w:lang w:val="en-US" w:eastAsia="zh-CN" w:bidi="ar-SA"/>
              </w:rPr>
              <w:t>′</w:t>
            </w:r>
            <w:r>
              <w:rPr>
                <w:rFonts w:hint="eastAsia" w:ascii="Times New Roman" w:hAnsi="Times New Roman" w:eastAsia="仿宋_GB2312" w:cs="Times New Roman"/>
                <w:kern w:val="2"/>
                <w:sz w:val="21"/>
                <w:szCs w:val="21"/>
                <w:highlight w:val="none"/>
                <w:lang w:val="en-US" w:eastAsia="zh-CN" w:bidi="ar-SA"/>
              </w:rPr>
              <w:t>33</w:t>
            </w:r>
            <w:r>
              <w:rPr>
                <w:rFonts w:ascii="Times New Roman" w:hAnsi="Times New Roman" w:eastAsia="仿宋_GB2312" w:cs="Times New Roman"/>
                <w:kern w:val="2"/>
                <w:sz w:val="21"/>
                <w:szCs w:val="21"/>
                <w:highlight w:val="none"/>
                <w:lang w:val="en-US" w:eastAsia="zh-CN" w:bidi="ar-SA"/>
              </w:rPr>
              <w:t>″</w:t>
            </w:r>
          </w:p>
        </w:tc>
        <w:tc>
          <w:tcPr>
            <w:tcW w:w="1215" w:type="dxa"/>
            <w:noWrap w:val="0"/>
            <w:vAlign w:val="center"/>
          </w:tcPr>
          <w:p>
            <w:pPr>
              <w:widowControl w:val="0"/>
              <w:ind w:firstLine="0" w:firstLineChars="0"/>
              <w:jc w:val="center"/>
              <w:rPr>
                <w:rFonts w:ascii="Times New Roman" w:hAnsi="Times New Roman" w:eastAsia="仿宋_GB2312" w:cs="Times New Roman"/>
                <w:kern w:val="2"/>
                <w:sz w:val="21"/>
                <w:szCs w:val="21"/>
                <w:highlight w:val="none"/>
                <w:lang w:val="en-US" w:eastAsia="zh-CN" w:bidi="ar-SA"/>
              </w:rPr>
            </w:pPr>
            <w:r>
              <w:rPr>
                <w:rFonts w:ascii="Times New Roman" w:hAnsi="Times New Roman" w:eastAsia="仿宋_GB2312" w:cs="Times New Roman"/>
                <w:kern w:val="2"/>
                <w:sz w:val="21"/>
                <w:szCs w:val="21"/>
                <w:highlight w:val="none"/>
                <w:lang w:val="en-US" w:eastAsia="zh-CN" w:bidi="ar-SA"/>
              </w:rPr>
              <w:t>2639819.98</w:t>
            </w:r>
          </w:p>
        </w:tc>
        <w:tc>
          <w:tcPr>
            <w:tcW w:w="1373" w:type="dxa"/>
            <w:noWrap w:val="0"/>
            <w:vAlign w:val="center"/>
          </w:tcPr>
          <w:p>
            <w:pPr>
              <w:widowControl w:val="0"/>
              <w:ind w:firstLine="0" w:firstLineChars="0"/>
              <w:jc w:val="center"/>
              <w:rPr>
                <w:rFonts w:ascii="Times New Roman" w:hAnsi="Times New Roman" w:eastAsia="仿宋_GB2312" w:cs="Times New Roman"/>
                <w:kern w:val="2"/>
                <w:sz w:val="21"/>
                <w:szCs w:val="21"/>
                <w:highlight w:val="none"/>
                <w:lang w:val="en-US" w:eastAsia="zh-CN" w:bidi="ar-SA"/>
              </w:rPr>
            </w:pPr>
            <w:r>
              <w:rPr>
                <w:rFonts w:ascii="Times New Roman" w:hAnsi="Times New Roman" w:eastAsia="仿宋_GB2312" w:cs="Times New Roman"/>
                <w:kern w:val="2"/>
                <w:sz w:val="21"/>
                <w:szCs w:val="21"/>
                <w:highlight w:val="none"/>
                <w:lang w:val="en-US" w:eastAsia="zh-CN" w:bidi="ar-SA"/>
              </w:rPr>
              <w:t>35453207.68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8" w:type="dxa"/>
            <w:noWrap w:val="0"/>
            <w:vAlign w:val="center"/>
          </w:tcPr>
          <w:p>
            <w:pPr>
              <w:ind w:left="0" w:leftChars="0" w:firstLine="0" w:firstLineChars="0"/>
              <w:jc w:val="center"/>
              <w:rPr>
                <w:rFonts w:eastAsia="仿宋_GB2312"/>
                <w:bCs/>
                <w:sz w:val="21"/>
                <w:szCs w:val="21"/>
                <w:highlight w:val="none"/>
              </w:rPr>
            </w:pPr>
            <w:r>
              <w:rPr>
                <w:rFonts w:eastAsia="仿宋_GB2312"/>
                <w:bCs/>
                <w:sz w:val="21"/>
                <w:szCs w:val="21"/>
                <w:highlight w:val="none"/>
              </w:rPr>
              <w:t>2</w:t>
            </w:r>
          </w:p>
        </w:tc>
        <w:tc>
          <w:tcPr>
            <w:tcW w:w="1485" w:type="dxa"/>
            <w:noWrap w:val="0"/>
            <w:vAlign w:val="center"/>
          </w:tcPr>
          <w:p>
            <w:pPr>
              <w:widowControl w:val="0"/>
              <w:ind w:left="0" w:leftChars="0" w:firstLine="0" w:firstLineChars="0"/>
              <w:jc w:val="center"/>
              <w:rPr>
                <w:rFonts w:hint="eastAsia" w:ascii="Times New Roman" w:hAnsi="Times New Roman" w:eastAsia="仿宋_GB2312" w:cs="Times New Roman"/>
                <w:kern w:val="2"/>
                <w:sz w:val="21"/>
                <w:szCs w:val="21"/>
                <w:highlight w:val="none"/>
                <w:lang w:val="en-US" w:eastAsia="zh-CN" w:bidi="ar-SA"/>
              </w:rPr>
            </w:pPr>
            <w:r>
              <w:rPr>
                <w:rFonts w:hint="eastAsia" w:ascii="Times New Roman" w:hAnsi="Times New Roman" w:eastAsia="仿宋_GB2312" w:cs="Times New Roman"/>
                <w:kern w:val="2"/>
                <w:sz w:val="21"/>
                <w:szCs w:val="21"/>
                <w:highlight w:val="none"/>
                <w:lang w:val="en-US" w:eastAsia="zh-CN" w:bidi="ar-SA"/>
              </w:rPr>
              <w:t>2639917.69</w:t>
            </w:r>
          </w:p>
        </w:tc>
        <w:tc>
          <w:tcPr>
            <w:tcW w:w="1455" w:type="dxa"/>
            <w:noWrap w:val="0"/>
            <w:vAlign w:val="center"/>
          </w:tcPr>
          <w:p>
            <w:pPr>
              <w:widowControl w:val="0"/>
              <w:ind w:left="0" w:leftChars="0" w:firstLine="0" w:firstLineChars="0"/>
              <w:jc w:val="center"/>
              <w:rPr>
                <w:rFonts w:hint="eastAsia" w:ascii="Times New Roman" w:hAnsi="Times New Roman" w:eastAsia="仿宋_GB2312" w:cs="Times New Roman"/>
                <w:kern w:val="2"/>
                <w:sz w:val="21"/>
                <w:szCs w:val="21"/>
                <w:highlight w:val="none"/>
                <w:lang w:val="en-US" w:eastAsia="zh-CN" w:bidi="ar-SA"/>
              </w:rPr>
            </w:pPr>
            <w:r>
              <w:rPr>
                <w:rFonts w:hint="eastAsia" w:ascii="Times New Roman" w:hAnsi="Times New Roman" w:eastAsia="仿宋_GB2312" w:cs="Times New Roman"/>
                <w:kern w:val="2"/>
                <w:sz w:val="21"/>
                <w:szCs w:val="21"/>
                <w:highlight w:val="none"/>
                <w:lang w:val="en-US" w:eastAsia="zh-CN" w:bidi="ar-SA"/>
              </w:rPr>
              <w:t>35453224.34</w:t>
            </w:r>
          </w:p>
        </w:tc>
        <w:tc>
          <w:tcPr>
            <w:tcW w:w="1290" w:type="dxa"/>
            <w:noWrap w:val="0"/>
            <w:vAlign w:val="center"/>
          </w:tcPr>
          <w:p>
            <w:pPr>
              <w:widowControl w:val="0"/>
              <w:ind w:firstLine="0" w:firstLineChars="0"/>
              <w:jc w:val="center"/>
              <w:rPr>
                <w:rFonts w:ascii="Times New Roman" w:hAnsi="Times New Roman" w:eastAsia="仿宋_GB2312" w:cs="Times New Roman"/>
                <w:kern w:val="2"/>
                <w:sz w:val="21"/>
                <w:szCs w:val="21"/>
                <w:highlight w:val="none"/>
                <w:lang w:val="en-US" w:eastAsia="zh-CN" w:bidi="ar-SA"/>
              </w:rPr>
            </w:pPr>
            <w:r>
              <w:rPr>
                <w:rFonts w:ascii="Times New Roman" w:hAnsi="Times New Roman" w:eastAsia="仿宋_GB2312" w:cs="Times New Roman"/>
                <w:kern w:val="2"/>
                <w:sz w:val="21"/>
                <w:szCs w:val="21"/>
                <w:highlight w:val="none"/>
                <w:lang w:val="en-US" w:eastAsia="zh-CN" w:bidi="ar-SA"/>
              </w:rPr>
              <w:t>104°</w:t>
            </w:r>
            <w:r>
              <w:rPr>
                <w:rFonts w:hint="eastAsia" w:ascii="Times New Roman" w:hAnsi="Times New Roman" w:eastAsia="仿宋_GB2312" w:cs="Times New Roman"/>
                <w:kern w:val="2"/>
                <w:sz w:val="21"/>
                <w:szCs w:val="21"/>
                <w:highlight w:val="none"/>
                <w:lang w:val="en-US" w:eastAsia="zh-CN" w:bidi="ar-SA"/>
              </w:rPr>
              <w:t>32</w:t>
            </w:r>
            <w:r>
              <w:rPr>
                <w:rFonts w:ascii="Times New Roman" w:hAnsi="Times New Roman" w:eastAsia="仿宋_GB2312" w:cs="Times New Roman"/>
                <w:kern w:val="2"/>
                <w:sz w:val="21"/>
                <w:szCs w:val="21"/>
                <w:highlight w:val="none"/>
                <w:lang w:val="en-US" w:eastAsia="zh-CN" w:bidi="ar-SA"/>
              </w:rPr>
              <w:t>′</w:t>
            </w:r>
            <w:r>
              <w:rPr>
                <w:rFonts w:hint="eastAsia" w:ascii="Times New Roman" w:hAnsi="Times New Roman" w:eastAsia="仿宋_GB2312" w:cs="Times New Roman"/>
                <w:kern w:val="2"/>
                <w:sz w:val="21"/>
                <w:szCs w:val="21"/>
                <w:highlight w:val="none"/>
                <w:lang w:val="en-US" w:eastAsia="zh-CN" w:bidi="ar-SA"/>
              </w:rPr>
              <w:t>26</w:t>
            </w:r>
            <w:r>
              <w:rPr>
                <w:rFonts w:ascii="Times New Roman" w:hAnsi="Times New Roman" w:eastAsia="仿宋_GB2312" w:cs="Times New Roman"/>
                <w:kern w:val="2"/>
                <w:sz w:val="21"/>
                <w:szCs w:val="21"/>
                <w:highlight w:val="none"/>
                <w:lang w:val="en-US" w:eastAsia="zh-CN" w:bidi="ar-SA"/>
              </w:rPr>
              <w:t>″</w:t>
            </w:r>
          </w:p>
        </w:tc>
        <w:tc>
          <w:tcPr>
            <w:tcW w:w="1230" w:type="dxa"/>
            <w:noWrap w:val="0"/>
            <w:vAlign w:val="center"/>
          </w:tcPr>
          <w:p>
            <w:pPr>
              <w:widowControl w:val="0"/>
              <w:ind w:firstLine="0" w:firstLineChars="0"/>
              <w:jc w:val="center"/>
              <w:rPr>
                <w:rFonts w:ascii="Times New Roman" w:hAnsi="Times New Roman" w:eastAsia="仿宋_GB2312" w:cs="Times New Roman"/>
                <w:kern w:val="2"/>
                <w:sz w:val="21"/>
                <w:szCs w:val="21"/>
                <w:highlight w:val="none"/>
                <w:lang w:val="en-US" w:eastAsia="zh-CN" w:bidi="ar-SA"/>
              </w:rPr>
            </w:pPr>
            <w:r>
              <w:rPr>
                <w:rFonts w:ascii="Times New Roman" w:hAnsi="Times New Roman" w:eastAsia="仿宋_GB2312" w:cs="Times New Roman"/>
                <w:kern w:val="2"/>
                <w:sz w:val="21"/>
                <w:szCs w:val="21"/>
                <w:highlight w:val="none"/>
                <w:lang w:val="en-US" w:eastAsia="zh-CN" w:bidi="ar-SA"/>
              </w:rPr>
              <w:t>23°</w:t>
            </w:r>
            <w:r>
              <w:rPr>
                <w:rFonts w:hint="eastAsia" w:ascii="Times New Roman" w:hAnsi="Times New Roman" w:eastAsia="仿宋_GB2312" w:cs="Times New Roman"/>
                <w:kern w:val="2"/>
                <w:sz w:val="21"/>
                <w:szCs w:val="21"/>
                <w:highlight w:val="none"/>
                <w:lang w:val="en-US" w:eastAsia="zh-CN" w:bidi="ar-SA"/>
              </w:rPr>
              <w:t>51</w:t>
            </w:r>
            <w:r>
              <w:rPr>
                <w:rFonts w:ascii="Times New Roman" w:hAnsi="Times New Roman" w:eastAsia="仿宋_GB2312" w:cs="Times New Roman"/>
                <w:kern w:val="2"/>
                <w:sz w:val="21"/>
                <w:szCs w:val="21"/>
                <w:highlight w:val="none"/>
                <w:lang w:val="en-US" w:eastAsia="zh-CN" w:bidi="ar-SA"/>
              </w:rPr>
              <w:t>′</w:t>
            </w:r>
            <w:r>
              <w:rPr>
                <w:rFonts w:hint="eastAsia" w:ascii="Times New Roman" w:hAnsi="Times New Roman" w:eastAsia="仿宋_GB2312" w:cs="Times New Roman"/>
                <w:kern w:val="2"/>
                <w:sz w:val="21"/>
                <w:szCs w:val="21"/>
                <w:highlight w:val="none"/>
                <w:lang w:val="en-US" w:eastAsia="zh-CN" w:bidi="ar-SA"/>
              </w:rPr>
              <w:t>36</w:t>
            </w:r>
            <w:r>
              <w:rPr>
                <w:rFonts w:ascii="Times New Roman" w:hAnsi="Times New Roman" w:eastAsia="仿宋_GB2312" w:cs="Times New Roman"/>
                <w:kern w:val="2"/>
                <w:sz w:val="21"/>
                <w:szCs w:val="21"/>
                <w:highlight w:val="none"/>
                <w:lang w:val="en-US" w:eastAsia="zh-CN" w:bidi="ar-SA"/>
              </w:rPr>
              <w:t>″</w:t>
            </w:r>
          </w:p>
        </w:tc>
        <w:tc>
          <w:tcPr>
            <w:tcW w:w="1215" w:type="dxa"/>
            <w:noWrap w:val="0"/>
            <w:vAlign w:val="center"/>
          </w:tcPr>
          <w:p>
            <w:pPr>
              <w:widowControl w:val="0"/>
              <w:ind w:firstLine="0" w:firstLineChars="0"/>
              <w:jc w:val="center"/>
              <w:rPr>
                <w:rFonts w:ascii="Times New Roman" w:hAnsi="Times New Roman" w:eastAsia="仿宋_GB2312" w:cs="Times New Roman"/>
                <w:kern w:val="2"/>
                <w:sz w:val="21"/>
                <w:szCs w:val="21"/>
                <w:highlight w:val="none"/>
                <w:lang w:val="en-US" w:eastAsia="zh-CN" w:bidi="ar-SA"/>
              </w:rPr>
            </w:pPr>
            <w:r>
              <w:rPr>
                <w:rFonts w:ascii="Times New Roman" w:hAnsi="Times New Roman" w:eastAsia="仿宋_GB2312" w:cs="Times New Roman"/>
                <w:kern w:val="2"/>
                <w:sz w:val="21"/>
                <w:szCs w:val="21"/>
                <w:highlight w:val="none"/>
                <w:lang w:val="en-US" w:eastAsia="zh-CN" w:bidi="ar-SA"/>
              </w:rPr>
              <w:t>2639921.83</w:t>
            </w:r>
          </w:p>
        </w:tc>
        <w:tc>
          <w:tcPr>
            <w:tcW w:w="1373" w:type="dxa"/>
            <w:noWrap w:val="0"/>
            <w:vAlign w:val="center"/>
          </w:tcPr>
          <w:p>
            <w:pPr>
              <w:widowControl w:val="0"/>
              <w:ind w:firstLine="0" w:firstLineChars="0"/>
              <w:jc w:val="center"/>
              <w:rPr>
                <w:rFonts w:ascii="Times New Roman" w:hAnsi="Times New Roman" w:eastAsia="仿宋_GB2312" w:cs="Times New Roman"/>
                <w:kern w:val="2"/>
                <w:sz w:val="21"/>
                <w:szCs w:val="21"/>
                <w:highlight w:val="none"/>
                <w:lang w:val="en-US" w:eastAsia="zh-CN" w:bidi="ar-SA"/>
              </w:rPr>
            </w:pPr>
            <w:r>
              <w:rPr>
                <w:rFonts w:ascii="Times New Roman" w:hAnsi="Times New Roman" w:eastAsia="仿宋_GB2312" w:cs="Times New Roman"/>
                <w:kern w:val="2"/>
                <w:sz w:val="21"/>
                <w:szCs w:val="21"/>
                <w:highlight w:val="none"/>
                <w:lang w:val="en-US" w:eastAsia="zh-CN" w:bidi="ar-SA"/>
              </w:rPr>
              <w:t>35453337.17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8" w:type="dxa"/>
            <w:noWrap w:val="0"/>
            <w:vAlign w:val="center"/>
          </w:tcPr>
          <w:p>
            <w:pPr>
              <w:ind w:left="0" w:leftChars="0" w:firstLine="0" w:firstLineChars="0"/>
              <w:jc w:val="center"/>
              <w:rPr>
                <w:rFonts w:eastAsia="仿宋_GB2312"/>
                <w:bCs/>
                <w:sz w:val="21"/>
                <w:szCs w:val="21"/>
                <w:highlight w:val="none"/>
              </w:rPr>
            </w:pPr>
            <w:r>
              <w:rPr>
                <w:rFonts w:eastAsia="仿宋_GB2312"/>
                <w:bCs/>
                <w:sz w:val="21"/>
                <w:szCs w:val="21"/>
                <w:highlight w:val="none"/>
              </w:rPr>
              <w:t>3</w:t>
            </w:r>
          </w:p>
        </w:tc>
        <w:tc>
          <w:tcPr>
            <w:tcW w:w="1485" w:type="dxa"/>
            <w:noWrap w:val="0"/>
            <w:vAlign w:val="center"/>
          </w:tcPr>
          <w:p>
            <w:pPr>
              <w:widowControl w:val="0"/>
              <w:ind w:left="0" w:leftChars="0" w:firstLine="0" w:firstLineChars="0"/>
              <w:jc w:val="center"/>
              <w:rPr>
                <w:rFonts w:hint="eastAsia" w:ascii="Times New Roman" w:hAnsi="Times New Roman" w:eastAsia="仿宋_GB2312" w:cs="Times New Roman"/>
                <w:kern w:val="2"/>
                <w:sz w:val="21"/>
                <w:szCs w:val="21"/>
                <w:highlight w:val="none"/>
                <w:lang w:val="en-US" w:eastAsia="zh-CN" w:bidi="ar-SA"/>
              </w:rPr>
            </w:pPr>
            <w:r>
              <w:rPr>
                <w:rFonts w:hint="eastAsia" w:ascii="Times New Roman" w:hAnsi="Times New Roman" w:eastAsia="仿宋_GB2312" w:cs="Times New Roman"/>
                <w:kern w:val="2"/>
                <w:sz w:val="21"/>
                <w:szCs w:val="21"/>
                <w:highlight w:val="none"/>
                <w:lang w:val="en-US" w:eastAsia="zh-CN" w:bidi="ar-SA"/>
              </w:rPr>
              <w:t>2640016.36</w:t>
            </w:r>
          </w:p>
        </w:tc>
        <w:tc>
          <w:tcPr>
            <w:tcW w:w="1455" w:type="dxa"/>
            <w:noWrap w:val="0"/>
            <w:vAlign w:val="center"/>
          </w:tcPr>
          <w:p>
            <w:pPr>
              <w:widowControl w:val="0"/>
              <w:ind w:left="0" w:leftChars="0" w:firstLine="0" w:firstLineChars="0"/>
              <w:jc w:val="center"/>
              <w:rPr>
                <w:rFonts w:hint="eastAsia" w:ascii="Times New Roman" w:hAnsi="Times New Roman" w:eastAsia="仿宋_GB2312" w:cs="Times New Roman"/>
                <w:kern w:val="2"/>
                <w:sz w:val="21"/>
                <w:szCs w:val="21"/>
                <w:highlight w:val="none"/>
                <w:lang w:val="en-US" w:eastAsia="zh-CN" w:bidi="ar-SA"/>
              </w:rPr>
            </w:pPr>
            <w:r>
              <w:rPr>
                <w:rFonts w:hint="eastAsia" w:ascii="Times New Roman" w:hAnsi="Times New Roman" w:eastAsia="仿宋_GB2312" w:cs="Times New Roman"/>
                <w:kern w:val="2"/>
                <w:sz w:val="21"/>
                <w:szCs w:val="21"/>
                <w:highlight w:val="none"/>
                <w:lang w:val="en-US" w:eastAsia="zh-CN" w:bidi="ar-SA"/>
              </w:rPr>
              <w:t>35453279.34</w:t>
            </w:r>
          </w:p>
        </w:tc>
        <w:tc>
          <w:tcPr>
            <w:tcW w:w="1290" w:type="dxa"/>
            <w:noWrap w:val="0"/>
            <w:vAlign w:val="center"/>
          </w:tcPr>
          <w:p>
            <w:pPr>
              <w:widowControl w:val="0"/>
              <w:ind w:firstLine="0" w:firstLineChars="0"/>
              <w:jc w:val="center"/>
              <w:rPr>
                <w:rFonts w:ascii="Times New Roman" w:hAnsi="Times New Roman" w:eastAsia="仿宋_GB2312" w:cs="Times New Roman"/>
                <w:kern w:val="2"/>
                <w:sz w:val="21"/>
                <w:szCs w:val="21"/>
                <w:highlight w:val="none"/>
                <w:lang w:val="en-US" w:eastAsia="zh-CN" w:bidi="ar-SA"/>
              </w:rPr>
            </w:pPr>
            <w:r>
              <w:rPr>
                <w:rFonts w:ascii="Times New Roman" w:hAnsi="Times New Roman" w:eastAsia="仿宋_GB2312" w:cs="Times New Roman"/>
                <w:kern w:val="2"/>
                <w:sz w:val="21"/>
                <w:szCs w:val="21"/>
                <w:highlight w:val="none"/>
                <w:lang w:val="en-US" w:eastAsia="zh-CN" w:bidi="ar-SA"/>
              </w:rPr>
              <w:t>104°</w:t>
            </w:r>
            <w:r>
              <w:rPr>
                <w:rFonts w:hint="eastAsia" w:ascii="Times New Roman" w:hAnsi="Times New Roman" w:eastAsia="仿宋_GB2312" w:cs="Times New Roman"/>
                <w:kern w:val="2"/>
                <w:sz w:val="21"/>
                <w:szCs w:val="21"/>
                <w:highlight w:val="none"/>
                <w:lang w:val="en-US" w:eastAsia="zh-CN" w:bidi="ar-SA"/>
              </w:rPr>
              <w:t>32</w:t>
            </w:r>
            <w:r>
              <w:rPr>
                <w:rFonts w:ascii="Times New Roman" w:hAnsi="Times New Roman" w:eastAsia="仿宋_GB2312" w:cs="Times New Roman"/>
                <w:kern w:val="2"/>
                <w:sz w:val="21"/>
                <w:szCs w:val="21"/>
                <w:highlight w:val="none"/>
                <w:lang w:val="en-US" w:eastAsia="zh-CN" w:bidi="ar-SA"/>
              </w:rPr>
              <w:t>′</w:t>
            </w:r>
            <w:r>
              <w:rPr>
                <w:rFonts w:hint="eastAsia" w:ascii="Times New Roman" w:hAnsi="Times New Roman" w:eastAsia="仿宋_GB2312" w:cs="Times New Roman"/>
                <w:kern w:val="2"/>
                <w:sz w:val="21"/>
                <w:szCs w:val="21"/>
                <w:highlight w:val="none"/>
                <w:lang w:val="en-US" w:eastAsia="zh-CN" w:bidi="ar-SA"/>
              </w:rPr>
              <w:t>31</w:t>
            </w:r>
            <w:r>
              <w:rPr>
                <w:rFonts w:ascii="Times New Roman" w:hAnsi="Times New Roman" w:eastAsia="仿宋_GB2312" w:cs="Times New Roman"/>
                <w:kern w:val="2"/>
                <w:sz w:val="21"/>
                <w:szCs w:val="21"/>
                <w:highlight w:val="none"/>
                <w:lang w:val="en-US" w:eastAsia="zh-CN" w:bidi="ar-SA"/>
              </w:rPr>
              <w:t>″</w:t>
            </w:r>
          </w:p>
        </w:tc>
        <w:tc>
          <w:tcPr>
            <w:tcW w:w="1230" w:type="dxa"/>
            <w:noWrap w:val="0"/>
            <w:vAlign w:val="center"/>
          </w:tcPr>
          <w:p>
            <w:pPr>
              <w:widowControl w:val="0"/>
              <w:ind w:firstLine="0" w:firstLineChars="0"/>
              <w:jc w:val="center"/>
              <w:rPr>
                <w:rFonts w:ascii="Times New Roman" w:hAnsi="Times New Roman" w:eastAsia="仿宋_GB2312" w:cs="Times New Roman"/>
                <w:kern w:val="2"/>
                <w:sz w:val="21"/>
                <w:szCs w:val="21"/>
                <w:highlight w:val="none"/>
                <w:lang w:val="en-US" w:eastAsia="zh-CN" w:bidi="ar-SA"/>
              </w:rPr>
            </w:pPr>
            <w:r>
              <w:rPr>
                <w:rFonts w:ascii="Times New Roman" w:hAnsi="Times New Roman" w:eastAsia="仿宋_GB2312" w:cs="Times New Roman"/>
                <w:kern w:val="2"/>
                <w:sz w:val="21"/>
                <w:szCs w:val="21"/>
                <w:highlight w:val="none"/>
                <w:lang w:val="en-US" w:eastAsia="zh-CN" w:bidi="ar-SA"/>
              </w:rPr>
              <w:t>23°</w:t>
            </w:r>
            <w:r>
              <w:rPr>
                <w:rFonts w:hint="eastAsia" w:ascii="Times New Roman" w:hAnsi="Times New Roman" w:eastAsia="仿宋_GB2312" w:cs="Times New Roman"/>
                <w:kern w:val="2"/>
                <w:sz w:val="21"/>
                <w:szCs w:val="21"/>
                <w:highlight w:val="none"/>
                <w:lang w:val="en-US" w:eastAsia="zh-CN" w:bidi="ar-SA"/>
              </w:rPr>
              <w:t>51</w:t>
            </w:r>
            <w:r>
              <w:rPr>
                <w:rFonts w:ascii="Times New Roman" w:hAnsi="Times New Roman" w:eastAsia="仿宋_GB2312" w:cs="Times New Roman"/>
                <w:kern w:val="2"/>
                <w:sz w:val="21"/>
                <w:szCs w:val="21"/>
                <w:highlight w:val="none"/>
                <w:lang w:val="en-US" w:eastAsia="zh-CN" w:bidi="ar-SA"/>
              </w:rPr>
              <w:t>′</w:t>
            </w:r>
            <w:r>
              <w:rPr>
                <w:rFonts w:hint="eastAsia" w:ascii="Times New Roman" w:hAnsi="Times New Roman" w:eastAsia="仿宋_GB2312" w:cs="Times New Roman"/>
                <w:kern w:val="2"/>
                <w:sz w:val="21"/>
                <w:szCs w:val="21"/>
                <w:highlight w:val="none"/>
                <w:lang w:val="en-US" w:eastAsia="zh-CN" w:bidi="ar-SA"/>
              </w:rPr>
              <w:t>43</w:t>
            </w:r>
            <w:r>
              <w:rPr>
                <w:rFonts w:ascii="Times New Roman" w:hAnsi="Times New Roman" w:eastAsia="仿宋_GB2312" w:cs="Times New Roman"/>
                <w:kern w:val="2"/>
                <w:sz w:val="21"/>
                <w:szCs w:val="21"/>
                <w:highlight w:val="none"/>
                <w:lang w:val="en-US" w:eastAsia="zh-CN" w:bidi="ar-SA"/>
              </w:rPr>
              <w:t>″</w:t>
            </w:r>
          </w:p>
        </w:tc>
        <w:tc>
          <w:tcPr>
            <w:tcW w:w="1215" w:type="dxa"/>
            <w:noWrap w:val="0"/>
            <w:vAlign w:val="center"/>
          </w:tcPr>
          <w:p>
            <w:pPr>
              <w:widowControl w:val="0"/>
              <w:ind w:firstLine="0" w:firstLineChars="0"/>
              <w:jc w:val="center"/>
              <w:rPr>
                <w:rFonts w:ascii="Times New Roman" w:hAnsi="Times New Roman" w:eastAsia="仿宋_GB2312" w:cs="Times New Roman"/>
                <w:kern w:val="2"/>
                <w:sz w:val="21"/>
                <w:szCs w:val="21"/>
                <w:highlight w:val="none"/>
                <w:lang w:val="en-US" w:eastAsia="zh-CN" w:bidi="ar-SA"/>
              </w:rPr>
            </w:pPr>
            <w:r>
              <w:rPr>
                <w:rFonts w:ascii="Times New Roman" w:hAnsi="Times New Roman" w:eastAsia="仿宋_GB2312" w:cs="Times New Roman"/>
                <w:kern w:val="2"/>
                <w:sz w:val="21"/>
                <w:szCs w:val="21"/>
                <w:highlight w:val="none"/>
                <w:lang w:val="en-US" w:eastAsia="zh-CN" w:bidi="ar-SA"/>
              </w:rPr>
              <w:t>2640020.5</w:t>
            </w:r>
            <w:r>
              <w:rPr>
                <w:rFonts w:hint="eastAsia" w:ascii="Times New Roman" w:hAnsi="Times New Roman" w:eastAsia="仿宋_GB2312" w:cs="Times New Roman"/>
                <w:kern w:val="2"/>
                <w:sz w:val="21"/>
                <w:szCs w:val="21"/>
                <w:highlight w:val="none"/>
                <w:lang w:val="en-US" w:eastAsia="zh-CN" w:bidi="ar-SA"/>
              </w:rPr>
              <w:t>1</w:t>
            </w:r>
          </w:p>
        </w:tc>
        <w:tc>
          <w:tcPr>
            <w:tcW w:w="1373" w:type="dxa"/>
            <w:noWrap w:val="0"/>
            <w:vAlign w:val="center"/>
          </w:tcPr>
          <w:p>
            <w:pPr>
              <w:widowControl w:val="0"/>
              <w:ind w:firstLine="0" w:firstLineChars="0"/>
              <w:jc w:val="center"/>
              <w:rPr>
                <w:rFonts w:ascii="Times New Roman" w:hAnsi="Times New Roman" w:eastAsia="仿宋_GB2312" w:cs="Times New Roman"/>
                <w:kern w:val="2"/>
                <w:sz w:val="21"/>
                <w:szCs w:val="21"/>
                <w:highlight w:val="none"/>
                <w:lang w:val="en-US" w:eastAsia="zh-CN" w:bidi="ar-SA"/>
              </w:rPr>
            </w:pPr>
            <w:r>
              <w:rPr>
                <w:rFonts w:ascii="Times New Roman" w:hAnsi="Times New Roman" w:eastAsia="仿宋_GB2312" w:cs="Times New Roman"/>
                <w:kern w:val="2"/>
                <w:sz w:val="21"/>
                <w:szCs w:val="21"/>
                <w:highlight w:val="none"/>
                <w:lang w:val="en-US" w:eastAsia="zh-CN" w:bidi="ar-SA"/>
              </w:rPr>
              <w:t>35453392.17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8" w:type="dxa"/>
            <w:noWrap w:val="0"/>
            <w:vAlign w:val="center"/>
          </w:tcPr>
          <w:p>
            <w:pPr>
              <w:ind w:left="0" w:leftChars="0" w:firstLine="0" w:firstLineChars="0"/>
              <w:jc w:val="center"/>
              <w:rPr>
                <w:rFonts w:eastAsia="仿宋_GB2312"/>
                <w:bCs/>
                <w:sz w:val="21"/>
                <w:szCs w:val="21"/>
                <w:highlight w:val="none"/>
              </w:rPr>
            </w:pPr>
            <w:r>
              <w:rPr>
                <w:rFonts w:eastAsia="仿宋_GB2312"/>
                <w:bCs/>
                <w:sz w:val="21"/>
                <w:szCs w:val="21"/>
                <w:highlight w:val="none"/>
              </w:rPr>
              <w:t>4</w:t>
            </w:r>
          </w:p>
        </w:tc>
        <w:tc>
          <w:tcPr>
            <w:tcW w:w="1485" w:type="dxa"/>
            <w:noWrap w:val="0"/>
            <w:vAlign w:val="center"/>
          </w:tcPr>
          <w:p>
            <w:pPr>
              <w:widowControl w:val="0"/>
              <w:ind w:left="0" w:leftChars="0" w:firstLine="0" w:firstLineChars="0"/>
              <w:jc w:val="center"/>
              <w:rPr>
                <w:rFonts w:hint="eastAsia" w:ascii="Times New Roman" w:hAnsi="Times New Roman" w:eastAsia="仿宋_GB2312" w:cs="Times New Roman"/>
                <w:kern w:val="2"/>
                <w:sz w:val="21"/>
                <w:szCs w:val="21"/>
                <w:highlight w:val="none"/>
                <w:lang w:val="en-US" w:eastAsia="zh-CN" w:bidi="ar-SA"/>
              </w:rPr>
            </w:pPr>
            <w:r>
              <w:rPr>
                <w:rFonts w:hint="eastAsia" w:ascii="Times New Roman" w:hAnsi="Times New Roman" w:eastAsia="仿宋_GB2312" w:cs="Times New Roman"/>
                <w:kern w:val="2"/>
                <w:sz w:val="21"/>
                <w:szCs w:val="21"/>
                <w:highlight w:val="none"/>
                <w:lang w:val="en-US" w:eastAsia="zh-CN" w:bidi="ar-SA"/>
              </w:rPr>
              <w:t>2640016.36</w:t>
            </w:r>
          </w:p>
        </w:tc>
        <w:tc>
          <w:tcPr>
            <w:tcW w:w="1455" w:type="dxa"/>
            <w:noWrap w:val="0"/>
            <w:vAlign w:val="center"/>
          </w:tcPr>
          <w:p>
            <w:pPr>
              <w:widowControl w:val="0"/>
              <w:ind w:left="0" w:leftChars="0" w:firstLine="0" w:firstLineChars="0"/>
              <w:jc w:val="center"/>
              <w:rPr>
                <w:rFonts w:hint="eastAsia" w:ascii="Times New Roman" w:hAnsi="Times New Roman" w:eastAsia="仿宋_GB2312" w:cs="Times New Roman"/>
                <w:kern w:val="2"/>
                <w:sz w:val="21"/>
                <w:szCs w:val="21"/>
                <w:highlight w:val="none"/>
                <w:lang w:val="en-US" w:eastAsia="zh-CN" w:bidi="ar-SA"/>
              </w:rPr>
            </w:pPr>
            <w:r>
              <w:rPr>
                <w:rFonts w:hint="eastAsia" w:ascii="Times New Roman" w:hAnsi="Times New Roman" w:eastAsia="仿宋_GB2312" w:cs="Times New Roman"/>
                <w:kern w:val="2"/>
                <w:sz w:val="21"/>
                <w:szCs w:val="21"/>
                <w:highlight w:val="none"/>
                <w:lang w:val="en-US" w:eastAsia="zh-CN" w:bidi="ar-SA"/>
              </w:rPr>
              <w:t>35453502.17</w:t>
            </w:r>
          </w:p>
        </w:tc>
        <w:tc>
          <w:tcPr>
            <w:tcW w:w="1290" w:type="dxa"/>
            <w:noWrap w:val="0"/>
            <w:vAlign w:val="center"/>
          </w:tcPr>
          <w:p>
            <w:pPr>
              <w:widowControl w:val="0"/>
              <w:ind w:firstLine="0" w:firstLineChars="0"/>
              <w:jc w:val="center"/>
              <w:rPr>
                <w:rFonts w:ascii="Times New Roman" w:hAnsi="Times New Roman" w:eastAsia="仿宋_GB2312" w:cs="Times New Roman"/>
                <w:kern w:val="2"/>
                <w:sz w:val="21"/>
                <w:szCs w:val="21"/>
                <w:highlight w:val="none"/>
                <w:lang w:val="en-US" w:eastAsia="zh-CN" w:bidi="ar-SA"/>
              </w:rPr>
            </w:pPr>
            <w:r>
              <w:rPr>
                <w:rFonts w:ascii="Times New Roman" w:hAnsi="Times New Roman" w:eastAsia="仿宋_GB2312" w:cs="Times New Roman"/>
                <w:kern w:val="2"/>
                <w:sz w:val="21"/>
                <w:szCs w:val="21"/>
                <w:highlight w:val="none"/>
                <w:lang w:val="en-US" w:eastAsia="zh-CN" w:bidi="ar-SA"/>
              </w:rPr>
              <w:t>104°</w:t>
            </w:r>
            <w:r>
              <w:rPr>
                <w:rFonts w:hint="eastAsia" w:ascii="Times New Roman" w:hAnsi="Times New Roman" w:eastAsia="仿宋_GB2312" w:cs="Times New Roman"/>
                <w:kern w:val="2"/>
                <w:sz w:val="21"/>
                <w:szCs w:val="21"/>
                <w:highlight w:val="none"/>
                <w:lang w:val="en-US" w:eastAsia="zh-CN" w:bidi="ar-SA"/>
              </w:rPr>
              <w:t>32</w:t>
            </w:r>
            <w:r>
              <w:rPr>
                <w:rFonts w:ascii="Times New Roman" w:hAnsi="Times New Roman" w:eastAsia="仿宋_GB2312" w:cs="Times New Roman"/>
                <w:kern w:val="2"/>
                <w:sz w:val="21"/>
                <w:szCs w:val="21"/>
                <w:highlight w:val="none"/>
                <w:lang w:val="en-US" w:eastAsia="zh-CN" w:bidi="ar-SA"/>
              </w:rPr>
              <w:t>′</w:t>
            </w:r>
            <w:r>
              <w:rPr>
                <w:rFonts w:hint="eastAsia" w:ascii="Times New Roman" w:hAnsi="Times New Roman" w:eastAsia="仿宋_GB2312" w:cs="Times New Roman"/>
                <w:kern w:val="2"/>
                <w:sz w:val="21"/>
                <w:szCs w:val="21"/>
                <w:highlight w:val="none"/>
                <w:lang w:val="en-US" w:eastAsia="zh-CN" w:bidi="ar-SA"/>
              </w:rPr>
              <w:t>39</w:t>
            </w:r>
            <w:r>
              <w:rPr>
                <w:rFonts w:ascii="Times New Roman" w:hAnsi="Times New Roman" w:eastAsia="仿宋_GB2312" w:cs="Times New Roman"/>
                <w:kern w:val="2"/>
                <w:sz w:val="21"/>
                <w:szCs w:val="21"/>
                <w:highlight w:val="none"/>
                <w:lang w:val="en-US" w:eastAsia="zh-CN" w:bidi="ar-SA"/>
              </w:rPr>
              <w:t>″</w:t>
            </w:r>
          </w:p>
        </w:tc>
        <w:tc>
          <w:tcPr>
            <w:tcW w:w="1230" w:type="dxa"/>
            <w:noWrap w:val="0"/>
            <w:vAlign w:val="center"/>
          </w:tcPr>
          <w:p>
            <w:pPr>
              <w:widowControl w:val="0"/>
              <w:ind w:firstLine="0" w:firstLineChars="0"/>
              <w:jc w:val="center"/>
              <w:rPr>
                <w:rFonts w:ascii="Times New Roman" w:hAnsi="Times New Roman" w:eastAsia="仿宋_GB2312" w:cs="Times New Roman"/>
                <w:kern w:val="2"/>
                <w:sz w:val="21"/>
                <w:szCs w:val="21"/>
                <w:highlight w:val="none"/>
                <w:lang w:val="en-US" w:eastAsia="zh-CN" w:bidi="ar-SA"/>
              </w:rPr>
            </w:pPr>
            <w:r>
              <w:rPr>
                <w:rFonts w:ascii="Times New Roman" w:hAnsi="Times New Roman" w:eastAsia="仿宋_GB2312" w:cs="Times New Roman"/>
                <w:kern w:val="2"/>
                <w:sz w:val="21"/>
                <w:szCs w:val="21"/>
                <w:highlight w:val="none"/>
                <w:lang w:val="en-US" w:eastAsia="zh-CN" w:bidi="ar-SA"/>
              </w:rPr>
              <w:t>23°</w:t>
            </w:r>
            <w:r>
              <w:rPr>
                <w:rFonts w:hint="eastAsia" w:ascii="Times New Roman" w:hAnsi="Times New Roman" w:eastAsia="仿宋_GB2312" w:cs="Times New Roman"/>
                <w:kern w:val="2"/>
                <w:sz w:val="21"/>
                <w:szCs w:val="21"/>
                <w:highlight w:val="none"/>
                <w:lang w:val="en-US" w:eastAsia="zh-CN" w:bidi="ar-SA"/>
              </w:rPr>
              <w:t>51</w:t>
            </w:r>
            <w:r>
              <w:rPr>
                <w:rFonts w:ascii="Times New Roman" w:hAnsi="Times New Roman" w:eastAsia="仿宋_GB2312" w:cs="Times New Roman"/>
                <w:kern w:val="2"/>
                <w:sz w:val="21"/>
                <w:szCs w:val="21"/>
                <w:highlight w:val="none"/>
                <w:lang w:val="en-US" w:eastAsia="zh-CN" w:bidi="ar-SA"/>
              </w:rPr>
              <w:t>′</w:t>
            </w:r>
            <w:r>
              <w:rPr>
                <w:rFonts w:hint="eastAsia" w:ascii="Times New Roman" w:hAnsi="Times New Roman" w:eastAsia="仿宋_GB2312" w:cs="Times New Roman"/>
                <w:kern w:val="2"/>
                <w:sz w:val="21"/>
                <w:szCs w:val="21"/>
                <w:highlight w:val="none"/>
                <w:lang w:val="en-US" w:eastAsia="zh-CN" w:bidi="ar-SA"/>
              </w:rPr>
              <w:t>43</w:t>
            </w:r>
            <w:r>
              <w:rPr>
                <w:rFonts w:ascii="Times New Roman" w:hAnsi="Times New Roman" w:eastAsia="仿宋_GB2312" w:cs="Times New Roman"/>
                <w:kern w:val="2"/>
                <w:sz w:val="21"/>
                <w:szCs w:val="21"/>
                <w:highlight w:val="none"/>
                <w:lang w:val="en-US" w:eastAsia="zh-CN" w:bidi="ar-SA"/>
              </w:rPr>
              <w:t>″</w:t>
            </w:r>
          </w:p>
        </w:tc>
        <w:tc>
          <w:tcPr>
            <w:tcW w:w="1215" w:type="dxa"/>
            <w:noWrap w:val="0"/>
            <w:vAlign w:val="center"/>
          </w:tcPr>
          <w:p>
            <w:pPr>
              <w:widowControl w:val="0"/>
              <w:ind w:firstLine="0" w:firstLineChars="0"/>
              <w:jc w:val="center"/>
              <w:rPr>
                <w:rFonts w:ascii="Times New Roman" w:hAnsi="Times New Roman" w:eastAsia="仿宋_GB2312" w:cs="Times New Roman"/>
                <w:kern w:val="2"/>
                <w:sz w:val="21"/>
                <w:szCs w:val="21"/>
                <w:highlight w:val="none"/>
                <w:lang w:val="en-US" w:eastAsia="zh-CN" w:bidi="ar-SA"/>
              </w:rPr>
            </w:pPr>
            <w:r>
              <w:rPr>
                <w:rFonts w:ascii="Times New Roman" w:hAnsi="Times New Roman" w:eastAsia="仿宋_GB2312" w:cs="Times New Roman"/>
                <w:kern w:val="2"/>
                <w:sz w:val="21"/>
                <w:szCs w:val="21"/>
                <w:highlight w:val="none"/>
                <w:lang w:val="en-US" w:eastAsia="zh-CN" w:bidi="ar-SA"/>
              </w:rPr>
              <w:t>2640020.5</w:t>
            </w:r>
            <w:r>
              <w:rPr>
                <w:rFonts w:hint="eastAsia" w:ascii="Times New Roman" w:hAnsi="Times New Roman" w:eastAsia="仿宋_GB2312" w:cs="Times New Roman"/>
                <w:kern w:val="2"/>
                <w:sz w:val="21"/>
                <w:szCs w:val="21"/>
                <w:highlight w:val="none"/>
                <w:lang w:val="en-US" w:eastAsia="zh-CN" w:bidi="ar-SA"/>
              </w:rPr>
              <w:t>1</w:t>
            </w:r>
          </w:p>
        </w:tc>
        <w:tc>
          <w:tcPr>
            <w:tcW w:w="1373" w:type="dxa"/>
            <w:noWrap w:val="0"/>
            <w:vAlign w:val="center"/>
          </w:tcPr>
          <w:p>
            <w:pPr>
              <w:widowControl w:val="0"/>
              <w:ind w:firstLine="0" w:firstLineChars="0"/>
              <w:jc w:val="center"/>
              <w:rPr>
                <w:rFonts w:ascii="Times New Roman" w:hAnsi="Times New Roman" w:eastAsia="仿宋_GB2312" w:cs="Times New Roman"/>
                <w:kern w:val="2"/>
                <w:sz w:val="21"/>
                <w:szCs w:val="21"/>
                <w:highlight w:val="none"/>
                <w:lang w:val="en-US" w:eastAsia="zh-CN" w:bidi="ar-SA"/>
              </w:rPr>
            </w:pPr>
            <w:r>
              <w:rPr>
                <w:rFonts w:ascii="Times New Roman" w:hAnsi="Times New Roman" w:eastAsia="仿宋_GB2312" w:cs="Times New Roman"/>
                <w:kern w:val="2"/>
                <w:sz w:val="21"/>
                <w:szCs w:val="21"/>
                <w:highlight w:val="none"/>
                <w:lang w:val="en-US" w:eastAsia="zh-CN" w:bidi="ar-SA"/>
              </w:rPr>
              <w:t>35453615.00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8" w:type="dxa"/>
            <w:noWrap w:val="0"/>
            <w:vAlign w:val="center"/>
          </w:tcPr>
          <w:p>
            <w:pPr>
              <w:ind w:left="0" w:leftChars="0" w:firstLine="0" w:firstLineChars="0"/>
              <w:jc w:val="center"/>
              <w:rPr>
                <w:rFonts w:hint="eastAsia" w:eastAsia="仿宋_GB2312"/>
                <w:bCs/>
                <w:sz w:val="21"/>
                <w:szCs w:val="21"/>
                <w:highlight w:val="none"/>
              </w:rPr>
            </w:pPr>
            <w:r>
              <w:rPr>
                <w:rFonts w:hint="eastAsia" w:eastAsia="仿宋_GB2312"/>
                <w:bCs/>
                <w:sz w:val="21"/>
                <w:szCs w:val="21"/>
                <w:highlight w:val="none"/>
              </w:rPr>
              <w:t>5</w:t>
            </w:r>
          </w:p>
        </w:tc>
        <w:tc>
          <w:tcPr>
            <w:tcW w:w="1485" w:type="dxa"/>
            <w:noWrap w:val="0"/>
            <w:vAlign w:val="center"/>
          </w:tcPr>
          <w:p>
            <w:pPr>
              <w:widowControl w:val="0"/>
              <w:ind w:left="0" w:leftChars="0" w:firstLine="0" w:firstLineChars="0"/>
              <w:jc w:val="center"/>
              <w:rPr>
                <w:rFonts w:hint="eastAsia" w:ascii="Times New Roman" w:hAnsi="Times New Roman" w:eastAsia="仿宋_GB2312" w:cs="Times New Roman"/>
                <w:kern w:val="2"/>
                <w:sz w:val="21"/>
                <w:szCs w:val="21"/>
                <w:highlight w:val="none"/>
                <w:lang w:val="en-US" w:eastAsia="zh-CN" w:bidi="ar-SA"/>
              </w:rPr>
            </w:pPr>
            <w:r>
              <w:rPr>
                <w:rFonts w:hint="eastAsia" w:ascii="Times New Roman" w:hAnsi="Times New Roman" w:eastAsia="仿宋_GB2312" w:cs="Times New Roman"/>
                <w:kern w:val="2"/>
                <w:sz w:val="21"/>
                <w:szCs w:val="21"/>
                <w:highlight w:val="none"/>
                <w:lang w:val="en-US" w:eastAsia="zh-CN" w:bidi="ar-SA"/>
              </w:rPr>
              <w:t>2640094.51</w:t>
            </w:r>
          </w:p>
        </w:tc>
        <w:tc>
          <w:tcPr>
            <w:tcW w:w="1455" w:type="dxa"/>
            <w:noWrap w:val="0"/>
            <w:vAlign w:val="center"/>
          </w:tcPr>
          <w:p>
            <w:pPr>
              <w:widowControl w:val="0"/>
              <w:ind w:left="0" w:leftChars="0" w:firstLine="0" w:firstLineChars="0"/>
              <w:jc w:val="center"/>
              <w:rPr>
                <w:rFonts w:hint="eastAsia" w:ascii="Times New Roman" w:hAnsi="Times New Roman" w:eastAsia="仿宋_GB2312" w:cs="Times New Roman"/>
                <w:kern w:val="2"/>
                <w:sz w:val="21"/>
                <w:szCs w:val="21"/>
                <w:highlight w:val="none"/>
                <w:lang w:val="en-US" w:eastAsia="zh-CN" w:bidi="ar-SA"/>
              </w:rPr>
            </w:pPr>
            <w:r>
              <w:rPr>
                <w:rFonts w:hint="eastAsia" w:ascii="Times New Roman" w:hAnsi="Times New Roman" w:eastAsia="仿宋_GB2312" w:cs="Times New Roman"/>
                <w:kern w:val="2"/>
                <w:sz w:val="21"/>
                <w:szCs w:val="21"/>
                <w:highlight w:val="none"/>
                <w:lang w:val="en-US" w:eastAsia="zh-CN" w:bidi="ar-SA"/>
              </w:rPr>
              <w:t>35453502.17</w:t>
            </w:r>
          </w:p>
        </w:tc>
        <w:tc>
          <w:tcPr>
            <w:tcW w:w="1290" w:type="dxa"/>
            <w:noWrap w:val="0"/>
            <w:vAlign w:val="center"/>
          </w:tcPr>
          <w:p>
            <w:pPr>
              <w:widowControl w:val="0"/>
              <w:ind w:firstLine="0" w:firstLineChars="0"/>
              <w:jc w:val="center"/>
              <w:rPr>
                <w:rFonts w:ascii="Times New Roman" w:hAnsi="Times New Roman" w:eastAsia="仿宋_GB2312" w:cs="Times New Roman"/>
                <w:kern w:val="2"/>
                <w:sz w:val="21"/>
                <w:szCs w:val="21"/>
                <w:highlight w:val="none"/>
                <w:lang w:val="en-US" w:eastAsia="zh-CN" w:bidi="ar-SA"/>
              </w:rPr>
            </w:pPr>
            <w:r>
              <w:rPr>
                <w:rFonts w:ascii="Times New Roman" w:hAnsi="Times New Roman" w:eastAsia="仿宋_GB2312" w:cs="Times New Roman"/>
                <w:kern w:val="2"/>
                <w:sz w:val="21"/>
                <w:szCs w:val="21"/>
                <w:highlight w:val="none"/>
                <w:lang w:val="en-US" w:eastAsia="zh-CN" w:bidi="ar-SA"/>
              </w:rPr>
              <w:t>104°</w:t>
            </w:r>
            <w:r>
              <w:rPr>
                <w:rFonts w:hint="eastAsia" w:ascii="Times New Roman" w:hAnsi="Times New Roman" w:eastAsia="仿宋_GB2312" w:cs="Times New Roman"/>
                <w:kern w:val="2"/>
                <w:sz w:val="21"/>
                <w:szCs w:val="21"/>
                <w:highlight w:val="none"/>
                <w:lang w:val="en-US" w:eastAsia="zh-CN" w:bidi="ar-SA"/>
              </w:rPr>
              <w:t>32</w:t>
            </w:r>
            <w:r>
              <w:rPr>
                <w:rFonts w:ascii="Times New Roman" w:hAnsi="Times New Roman" w:eastAsia="仿宋_GB2312" w:cs="Times New Roman"/>
                <w:kern w:val="2"/>
                <w:sz w:val="21"/>
                <w:szCs w:val="21"/>
                <w:highlight w:val="none"/>
                <w:lang w:val="en-US" w:eastAsia="zh-CN" w:bidi="ar-SA"/>
              </w:rPr>
              <w:t>′</w:t>
            </w:r>
            <w:r>
              <w:rPr>
                <w:rFonts w:hint="eastAsia" w:ascii="Times New Roman" w:hAnsi="Times New Roman" w:eastAsia="仿宋_GB2312" w:cs="Times New Roman"/>
                <w:kern w:val="2"/>
                <w:sz w:val="21"/>
                <w:szCs w:val="21"/>
                <w:highlight w:val="none"/>
                <w:lang w:val="en-US" w:eastAsia="zh-CN" w:bidi="ar-SA"/>
              </w:rPr>
              <w:t>47</w:t>
            </w:r>
            <w:r>
              <w:rPr>
                <w:rFonts w:ascii="Times New Roman" w:hAnsi="Times New Roman" w:eastAsia="仿宋_GB2312" w:cs="Times New Roman"/>
                <w:kern w:val="2"/>
                <w:sz w:val="21"/>
                <w:szCs w:val="21"/>
                <w:highlight w:val="none"/>
                <w:lang w:val="en-US" w:eastAsia="zh-CN" w:bidi="ar-SA"/>
              </w:rPr>
              <w:t>″</w:t>
            </w:r>
          </w:p>
        </w:tc>
        <w:tc>
          <w:tcPr>
            <w:tcW w:w="1230" w:type="dxa"/>
            <w:noWrap w:val="0"/>
            <w:vAlign w:val="center"/>
          </w:tcPr>
          <w:p>
            <w:pPr>
              <w:widowControl w:val="0"/>
              <w:ind w:firstLine="0" w:firstLineChars="0"/>
              <w:jc w:val="center"/>
              <w:rPr>
                <w:rFonts w:ascii="Times New Roman" w:hAnsi="Times New Roman" w:eastAsia="仿宋_GB2312" w:cs="Times New Roman"/>
                <w:kern w:val="2"/>
                <w:sz w:val="21"/>
                <w:szCs w:val="21"/>
                <w:highlight w:val="none"/>
                <w:lang w:val="en-US" w:eastAsia="zh-CN" w:bidi="ar-SA"/>
              </w:rPr>
            </w:pPr>
            <w:r>
              <w:rPr>
                <w:rFonts w:ascii="Times New Roman" w:hAnsi="Times New Roman" w:eastAsia="仿宋_GB2312" w:cs="Times New Roman"/>
                <w:kern w:val="2"/>
                <w:sz w:val="21"/>
                <w:szCs w:val="21"/>
                <w:highlight w:val="none"/>
                <w:lang w:val="en-US" w:eastAsia="zh-CN" w:bidi="ar-SA"/>
              </w:rPr>
              <w:t>23°</w:t>
            </w:r>
            <w:r>
              <w:rPr>
                <w:rFonts w:hint="eastAsia" w:ascii="Times New Roman" w:hAnsi="Times New Roman" w:eastAsia="仿宋_GB2312" w:cs="Times New Roman"/>
                <w:kern w:val="2"/>
                <w:sz w:val="21"/>
                <w:szCs w:val="21"/>
                <w:highlight w:val="none"/>
                <w:lang w:val="en-US" w:eastAsia="zh-CN" w:bidi="ar-SA"/>
              </w:rPr>
              <w:t>51</w:t>
            </w:r>
            <w:r>
              <w:rPr>
                <w:rFonts w:ascii="Times New Roman" w:hAnsi="Times New Roman" w:eastAsia="仿宋_GB2312" w:cs="Times New Roman"/>
                <w:kern w:val="2"/>
                <w:sz w:val="21"/>
                <w:szCs w:val="21"/>
                <w:highlight w:val="none"/>
                <w:lang w:val="en-US" w:eastAsia="zh-CN" w:bidi="ar-SA"/>
              </w:rPr>
              <w:t>′</w:t>
            </w:r>
            <w:r>
              <w:rPr>
                <w:rFonts w:hint="eastAsia" w:ascii="Times New Roman" w:hAnsi="Times New Roman" w:eastAsia="仿宋_GB2312" w:cs="Times New Roman"/>
                <w:kern w:val="2"/>
                <w:sz w:val="21"/>
                <w:szCs w:val="21"/>
                <w:highlight w:val="none"/>
                <w:lang w:val="en-US" w:eastAsia="zh-CN" w:bidi="ar-SA"/>
              </w:rPr>
              <w:t>38</w:t>
            </w:r>
            <w:r>
              <w:rPr>
                <w:rFonts w:ascii="Times New Roman" w:hAnsi="Times New Roman" w:eastAsia="仿宋_GB2312" w:cs="Times New Roman"/>
                <w:kern w:val="2"/>
                <w:sz w:val="21"/>
                <w:szCs w:val="21"/>
                <w:highlight w:val="none"/>
                <w:lang w:val="en-US" w:eastAsia="zh-CN" w:bidi="ar-SA"/>
              </w:rPr>
              <w:t>″</w:t>
            </w:r>
          </w:p>
        </w:tc>
        <w:tc>
          <w:tcPr>
            <w:tcW w:w="1215" w:type="dxa"/>
            <w:noWrap w:val="0"/>
            <w:vAlign w:val="center"/>
          </w:tcPr>
          <w:p>
            <w:pPr>
              <w:widowControl w:val="0"/>
              <w:ind w:firstLine="0" w:firstLineChars="0"/>
              <w:jc w:val="center"/>
              <w:rPr>
                <w:rFonts w:ascii="Times New Roman" w:hAnsi="Times New Roman" w:eastAsia="仿宋_GB2312" w:cs="Times New Roman"/>
                <w:kern w:val="2"/>
                <w:sz w:val="21"/>
                <w:szCs w:val="21"/>
                <w:highlight w:val="none"/>
                <w:lang w:val="en-US" w:eastAsia="zh-CN" w:bidi="ar-SA"/>
              </w:rPr>
            </w:pPr>
            <w:r>
              <w:rPr>
                <w:rFonts w:ascii="Times New Roman" w:hAnsi="Times New Roman" w:eastAsia="仿宋_GB2312" w:cs="Times New Roman"/>
                <w:kern w:val="2"/>
                <w:sz w:val="21"/>
                <w:szCs w:val="21"/>
                <w:highlight w:val="none"/>
                <w:lang w:val="en-US" w:eastAsia="zh-CN" w:bidi="ar-SA"/>
              </w:rPr>
              <w:t>2640098.6</w:t>
            </w:r>
            <w:r>
              <w:rPr>
                <w:rFonts w:hint="eastAsia" w:ascii="Times New Roman" w:hAnsi="Times New Roman" w:eastAsia="仿宋_GB2312" w:cs="Times New Roman"/>
                <w:kern w:val="2"/>
                <w:sz w:val="21"/>
                <w:szCs w:val="21"/>
                <w:highlight w:val="none"/>
                <w:lang w:val="en-US" w:eastAsia="zh-CN" w:bidi="ar-SA"/>
              </w:rPr>
              <w:t>6</w:t>
            </w:r>
          </w:p>
        </w:tc>
        <w:tc>
          <w:tcPr>
            <w:tcW w:w="1373" w:type="dxa"/>
            <w:noWrap w:val="0"/>
            <w:vAlign w:val="center"/>
          </w:tcPr>
          <w:p>
            <w:pPr>
              <w:widowControl w:val="0"/>
              <w:ind w:firstLine="0" w:firstLineChars="0"/>
              <w:jc w:val="center"/>
              <w:rPr>
                <w:rFonts w:ascii="Times New Roman" w:hAnsi="Times New Roman" w:eastAsia="仿宋_GB2312" w:cs="Times New Roman"/>
                <w:kern w:val="2"/>
                <w:sz w:val="21"/>
                <w:szCs w:val="21"/>
                <w:highlight w:val="none"/>
                <w:lang w:val="en-US" w:eastAsia="zh-CN" w:bidi="ar-SA"/>
              </w:rPr>
            </w:pPr>
            <w:r>
              <w:rPr>
                <w:rFonts w:ascii="Times New Roman" w:hAnsi="Times New Roman" w:eastAsia="仿宋_GB2312" w:cs="Times New Roman"/>
                <w:kern w:val="2"/>
                <w:sz w:val="21"/>
                <w:szCs w:val="21"/>
                <w:highlight w:val="none"/>
                <w:lang w:val="en-US" w:eastAsia="zh-CN" w:bidi="ar-SA"/>
              </w:rPr>
              <w:t>35453615.00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8" w:type="dxa"/>
            <w:noWrap w:val="0"/>
            <w:vAlign w:val="center"/>
          </w:tcPr>
          <w:p>
            <w:pPr>
              <w:ind w:left="0" w:leftChars="0" w:firstLine="0" w:firstLineChars="0"/>
              <w:jc w:val="center"/>
              <w:rPr>
                <w:rFonts w:hint="eastAsia" w:eastAsia="仿宋_GB2312"/>
                <w:bCs/>
                <w:sz w:val="21"/>
                <w:szCs w:val="21"/>
                <w:highlight w:val="none"/>
              </w:rPr>
            </w:pPr>
            <w:r>
              <w:rPr>
                <w:rFonts w:hint="eastAsia" w:eastAsia="仿宋_GB2312"/>
                <w:bCs/>
                <w:sz w:val="21"/>
                <w:szCs w:val="21"/>
                <w:highlight w:val="none"/>
              </w:rPr>
              <w:t>6</w:t>
            </w:r>
          </w:p>
        </w:tc>
        <w:tc>
          <w:tcPr>
            <w:tcW w:w="1485" w:type="dxa"/>
            <w:noWrap w:val="0"/>
            <w:vAlign w:val="center"/>
          </w:tcPr>
          <w:p>
            <w:pPr>
              <w:widowControl w:val="0"/>
              <w:ind w:left="0" w:leftChars="0" w:firstLine="0" w:firstLineChars="0"/>
              <w:jc w:val="center"/>
              <w:rPr>
                <w:rFonts w:hint="eastAsia" w:ascii="Times New Roman" w:hAnsi="Times New Roman" w:eastAsia="仿宋_GB2312" w:cs="Times New Roman"/>
                <w:kern w:val="2"/>
                <w:sz w:val="21"/>
                <w:szCs w:val="21"/>
                <w:highlight w:val="none"/>
                <w:lang w:val="en-US" w:eastAsia="zh-CN" w:bidi="ar-SA"/>
              </w:rPr>
            </w:pPr>
            <w:r>
              <w:rPr>
                <w:rFonts w:hint="eastAsia" w:ascii="Times New Roman" w:hAnsi="Times New Roman" w:eastAsia="仿宋_GB2312" w:cs="Times New Roman"/>
                <w:kern w:val="2"/>
                <w:sz w:val="21"/>
                <w:szCs w:val="21"/>
                <w:highlight w:val="none"/>
                <w:lang w:val="en-US" w:eastAsia="zh-CN" w:bidi="ar-SA"/>
              </w:rPr>
              <w:t>2639975.22</w:t>
            </w:r>
          </w:p>
        </w:tc>
        <w:tc>
          <w:tcPr>
            <w:tcW w:w="1455" w:type="dxa"/>
            <w:noWrap w:val="0"/>
            <w:vAlign w:val="center"/>
          </w:tcPr>
          <w:p>
            <w:pPr>
              <w:widowControl w:val="0"/>
              <w:ind w:left="0" w:leftChars="0" w:firstLine="0" w:firstLineChars="0"/>
              <w:jc w:val="center"/>
              <w:rPr>
                <w:rFonts w:hint="eastAsia" w:ascii="Times New Roman" w:hAnsi="Times New Roman" w:eastAsia="仿宋_GB2312" w:cs="Times New Roman"/>
                <w:kern w:val="2"/>
                <w:sz w:val="21"/>
                <w:szCs w:val="21"/>
                <w:highlight w:val="none"/>
                <w:lang w:val="en-US" w:eastAsia="zh-CN" w:bidi="ar-SA"/>
              </w:rPr>
            </w:pPr>
            <w:r>
              <w:rPr>
                <w:rFonts w:hint="eastAsia" w:ascii="Times New Roman" w:hAnsi="Times New Roman" w:eastAsia="仿宋_GB2312" w:cs="Times New Roman"/>
                <w:kern w:val="2"/>
                <w:sz w:val="21"/>
                <w:szCs w:val="21"/>
                <w:highlight w:val="none"/>
                <w:lang w:val="en-US" w:eastAsia="zh-CN" w:bidi="ar-SA"/>
              </w:rPr>
              <w:t>35453674.09</w:t>
            </w:r>
          </w:p>
        </w:tc>
        <w:tc>
          <w:tcPr>
            <w:tcW w:w="1290" w:type="dxa"/>
            <w:noWrap w:val="0"/>
            <w:vAlign w:val="center"/>
          </w:tcPr>
          <w:p>
            <w:pPr>
              <w:widowControl w:val="0"/>
              <w:ind w:firstLine="0" w:firstLineChars="0"/>
              <w:jc w:val="center"/>
              <w:rPr>
                <w:rFonts w:ascii="Times New Roman" w:hAnsi="Times New Roman" w:eastAsia="仿宋_GB2312" w:cs="Times New Roman"/>
                <w:kern w:val="2"/>
                <w:sz w:val="21"/>
                <w:szCs w:val="21"/>
                <w:highlight w:val="none"/>
                <w:lang w:val="en-US" w:eastAsia="zh-CN" w:bidi="ar-SA"/>
              </w:rPr>
            </w:pPr>
            <w:r>
              <w:rPr>
                <w:rFonts w:ascii="Times New Roman" w:hAnsi="Times New Roman" w:eastAsia="仿宋_GB2312" w:cs="Times New Roman"/>
                <w:kern w:val="2"/>
                <w:sz w:val="21"/>
                <w:szCs w:val="21"/>
                <w:highlight w:val="none"/>
                <w:lang w:val="en-US" w:eastAsia="zh-CN" w:bidi="ar-SA"/>
              </w:rPr>
              <w:t>104°</w:t>
            </w:r>
            <w:r>
              <w:rPr>
                <w:rFonts w:hint="eastAsia" w:ascii="Times New Roman" w:hAnsi="Times New Roman" w:eastAsia="仿宋_GB2312" w:cs="Times New Roman"/>
                <w:kern w:val="2"/>
                <w:sz w:val="21"/>
                <w:szCs w:val="21"/>
                <w:highlight w:val="none"/>
                <w:lang w:val="en-US" w:eastAsia="zh-CN" w:bidi="ar-SA"/>
              </w:rPr>
              <w:t>32</w:t>
            </w:r>
            <w:r>
              <w:rPr>
                <w:rFonts w:ascii="Times New Roman" w:hAnsi="Times New Roman" w:eastAsia="仿宋_GB2312" w:cs="Times New Roman"/>
                <w:kern w:val="2"/>
                <w:sz w:val="21"/>
                <w:szCs w:val="21"/>
                <w:highlight w:val="none"/>
                <w:lang w:val="en-US" w:eastAsia="zh-CN" w:bidi="ar-SA"/>
              </w:rPr>
              <w:t>′</w:t>
            </w:r>
            <w:r>
              <w:rPr>
                <w:rFonts w:hint="eastAsia" w:ascii="Times New Roman" w:hAnsi="Times New Roman" w:eastAsia="仿宋_GB2312" w:cs="Times New Roman"/>
                <w:kern w:val="2"/>
                <w:sz w:val="21"/>
                <w:szCs w:val="21"/>
                <w:highlight w:val="none"/>
                <w:lang w:val="en-US" w:eastAsia="zh-CN" w:bidi="ar-SA"/>
              </w:rPr>
              <w:t>42</w:t>
            </w:r>
            <w:r>
              <w:rPr>
                <w:rFonts w:ascii="Times New Roman" w:hAnsi="Times New Roman" w:eastAsia="仿宋_GB2312" w:cs="Times New Roman"/>
                <w:kern w:val="2"/>
                <w:sz w:val="21"/>
                <w:szCs w:val="21"/>
                <w:highlight w:val="none"/>
                <w:lang w:val="en-US" w:eastAsia="zh-CN" w:bidi="ar-SA"/>
              </w:rPr>
              <w:t>″</w:t>
            </w:r>
          </w:p>
        </w:tc>
        <w:tc>
          <w:tcPr>
            <w:tcW w:w="1230" w:type="dxa"/>
            <w:noWrap w:val="0"/>
            <w:vAlign w:val="center"/>
          </w:tcPr>
          <w:p>
            <w:pPr>
              <w:widowControl w:val="0"/>
              <w:ind w:firstLine="0" w:firstLineChars="0"/>
              <w:jc w:val="center"/>
              <w:rPr>
                <w:rFonts w:ascii="Times New Roman" w:hAnsi="Times New Roman" w:eastAsia="仿宋_GB2312" w:cs="Times New Roman"/>
                <w:kern w:val="2"/>
                <w:sz w:val="21"/>
                <w:szCs w:val="21"/>
                <w:highlight w:val="none"/>
                <w:lang w:val="en-US" w:eastAsia="zh-CN" w:bidi="ar-SA"/>
              </w:rPr>
            </w:pPr>
            <w:r>
              <w:rPr>
                <w:rFonts w:ascii="Times New Roman" w:hAnsi="Times New Roman" w:eastAsia="仿宋_GB2312" w:cs="Times New Roman"/>
                <w:kern w:val="2"/>
                <w:sz w:val="21"/>
                <w:szCs w:val="21"/>
                <w:highlight w:val="none"/>
                <w:lang w:val="en-US" w:eastAsia="zh-CN" w:bidi="ar-SA"/>
              </w:rPr>
              <w:t>23°</w:t>
            </w:r>
            <w:r>
              <w:rPr>
                <w:rFonts w:hint="eastAsia" w:ascii="Times New Roman" w:hAnsi="Times New Roman" w:eastAsia="仿宋_GB2312" w:cs="Times New Roman"/>
                <w:kern w:val="2"/>
                <w:sz w:val="21"/>
                <w:szCs w:val="21"/>
                <w:highlight w:val="none"/>
                <w:lang w:val="en-US" w:eastAsia="zh-CN" w:bidi="ar-SA"/>
              </w:rPr>
              <w:t>51</w:t>
            </w:r>
            <w:r>
              <w:rPr>
                <w:rFonts w:ascii="Times New Roman" w:hAnsi="Times New Roman" w:eastAsia="仿宋_GB2312" w:cs="Times New Roman"/>
                <w:kern w:val="2"/>
                <w:sz w:val="21"/>
                <w:szCs w:val="21"/>
                <w:highlight w:val="none"/>
                <w:lang w:val="en-US" w:eastAsia="zh-CN" w:bidi="ar-SA"/>
              </w:rPr>
              <w:t>′</w:t>
            </w:r>
            <w:r>
              <w:rPr>
                <w:rFonts w:hint="eastAsia" w:ascii="Times New Roman" w:hAnsi="Times New Roman" w:eastAsia="仿宋_GB2312" w:cs="Times New Roman"/>
                <w:kern w:val="2"/>
                <w:sz w:val="21"/>
                <w:szCs w:val="21"/>
                <w:highlight w:val="none"/>
                <w:lang w:val="en-US" w:eastAsia="zh-CN" w:bidi="ar-SA"/>
              </w:rPr>
              <w:t>34</w:t>
            </w:r>
            <w:r>
              <w:rPr>
                <w:rFonts w:ascii="Times New Roman" w:hAnsi="Times New Roman" w:eastAsia="仿宋_GB2312" w:cs="Times New Roman"/>
                <w:kern w:val="2"/>
                <w:sz w:val="21"/>
                <w:szCs w:val="21"/>
                <w:highlight w:val="none"/>
                <w:lang w:val="en-US" w:eastAsia="zh-CN" w:bidi="ar-SA"/>
              </w:rPr>
              <w:t>″</w:t>
            </w:r>
          </w:p>
        </w:tc>
        <w:tc>
          <w:tcPr>
            <w:tcW w:w="1215" w:type="dxa"/>
            <w:noWrap w:val="0"/>
            <w:vAlign w:val="center"/>
          </w:tcPr>
          <w:p>
            <w:pPr>
              <w:widowControl w:val="0"/>
              <w:ind w:firstLine="0" w:firstLineChars="0"/>
              <w:jc w:val="center"/>
              <w:rPr>
                <w:rFonts w:ascii="Times New Roman" w:hAnsi="Times New Roman" w:eastAsia="仿宋_GB2312" w:cs="Times New Roman"/>
                <w:kern w:val="2"/>
                <w:sz w:val="21"/>
                <w:szCs w:val="21"/>
                <w:highlight w:val="none"/>
                <w:lang w:val="en-US" w:eastAsia="zh-CN" w:bidi="ar-SA"/>
              </w:rPr>
            </w:pPr>
            <w:r>
              <w:rPr>
                <w:rFonts w:ascii="Times New Roman" w:hAnsi="Times New Roman" w:eastAsia="仿宋_GB2312" w:cs="Times New Roman"/>
                <w:kern w:val="2"/>
                <w:sz w:val="21"/>
                <w:szCs w:val="21"/>
                <w:highlight w:val="none"/>
                <w:lang w:val="en-US" w:eastAsia="zh-CN" w:bidi="ar-SA"/>
              </w:rPr>
              <w:t>2639979.3</w:t>
            </w:r>
            <w:r>
              <w:rPr>
                <w:rFonts w:hint="eastAsia" w:ascii="Times New Roman" w:hAnsi="Times New Roman" w:eastAsia="仿宋_GB2312" w:cs="Times New Roman"/>
                <w:kern w:val="2"/>
                <w:sz w:val="21"/>
                <w:szCs w:val="21"/>
                <w:highlight w:val="none"/>
                <w:lang w:val="en-US" w:eastAsia="zh-CN" w:bidi="ar-SA"/>
              </w:rPr>
              <w:t>7</w:t>
            </w:r>
          </w:p>
        </w:tc>
        <w:tc>
          <w:tcPr>
            <w:tcW w:w="1373" w:type="dxa"/>
            <w:noWrap w:val="0"/>
            <w:vAlign w:val="center"/>
          </w:tcPr>
          <w:p>
            <w:pPr>
              <w:widowControl w:val="0"/>
              <w:ind w:firstLine="0" w:firstLineChars="0"/>
              <w:jc w:val="center"/>
              <w:rPr>
                <w:rFonts w:ascii="Times New Roman" w:hAnsi="Times New Roman" w:eastAsia="仿宋_GB2312" w:cs="Times New Roman"/>
                <w:kern w:val="2"/>
                <w:sz w:val="21"/>
                <w:szCs w:val="21"/>
                <w:highlight w:val="none"/>
                <w:lang w:val="en-US" w:eastAsia="zh-CN" w:bidi="ar-SA"/>
              </w:rPr>
            </w:pPr>
            <w:r>
              <w:rPr>
                <w:rFonts w:ascii="Times New Roman" w:hAnsi="Times New Roman" w:eastAsia="仿宋_GB2312" w:cs="Times New Roman"/>
                <w:kern w:val="2"/>
                <w:sz w:val="21"/>
                <w:szCs w:val="21"/>
                <w:highlight w:val="none"/>
                <w:lang w:val="en-US" w:eastAsia="zh-CN" w:bidi="ar-SA"/>
              </w:rPr>
              <w:t>35453786.92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8" w:type="dxa"/>
            <w:noWrap w:val="0"/>
            <w:vAlign w:val="center"/>
          </w:tcPr>
          <w:p>
            <w:pPr>
              <w:ind w:left="0" w:leftChars="0" w:firstLine="0" w:firstLineChars="0"/>
              <w:jc w:val="center"/>
              <w:rPr>
                <w:rFonts w:hint="eastAsia" w:eastAsia="仿宋_GB2312"/>
                <w:bCs/>
                <w:sz w:val="21"/>
                <w:szCs w:val="21"/>
                <w:highlight w:val="none"/>
              </w:rPr>
            </w:pPr>
            <w:r>
              <w:rPr>
                <w:rFonts w:hint="eastAsia" w:eastAsia="仿宋_GB2312"/>
                <w:bCs/>
                <w:sz w:val="21"/>
                <w:szCs w:val="21"/>
                <w:highlight w:val="none"/>
              </w:rPr>
              <w:t>7</w:t>
            </w:r>
          </w:p>
        </w:tc>
        <w:tc>
          <w:tcPr>
            <w:tcW w:w="1485" w:type="dxa"/>
            <w:noWrap w:val="0"/>
            <w:vAlign w:val="center"/>
          </w:tcPr>
          <w:p>
            <w:pPr>
              <w:widowControl w:val="0"/>
              <w:ind w:left="0" w:leftChars="0" w:firstLine="0" w:firstLineChars="0"/>
              <w:jc w:val="center"/>
              <w:rPr>
                <w:rFonts w:hint="eastAsia" w:ascii="Times New Roman" w:hAnsi="Times New Roman" w:eastAsia="仿宋_GB2312" w:cs="Times New Roman"/>
                <w:kern w:val="2"/>
                <w:sz w:val="21"/>
                <w:szCs w:val="21"/>
                <w:highlight w:val="none"/>
                <w:lang w:val="en-US" w:eastAsia="zh-CN" w:bidi="ar-SA"/>
              </w:rPr>
            </w:pPr>
            <w:r>
              <w:rPr>
                <w:rFonts w:hint="eastAsia" w:ascii="Times New Roman" w:hAnsi="Times New Roman" w:eastAsia="仿宋_GB2312" w:cs="Times New Roman"/>
                <w:kern w:val="2"/>
                <w:sz w:val="21"/>
                <w:szCs w:val="21"/>
                <w:highlight w:val="none"/>
                <w:lang w:val="en-US" w:eastAsia="zh-CN" w:bidi="ar-SA"/>
              </w:rPr>
              <w:t>2639855.66</w:t>
            </w:r>
          </w:p>
        </w:tc>
        <w:tc>
          <w:tcPr>
            <w:tcW w:w="1455" w:type="dxa"/>
            <w:noWrap w:val="0"/>
            <w:vAlign w:val="center"/>
          </w:tcPr>
          <w:p>
            <w:pPr>
              <w:widowControl w:val="0"/>
              <w:ind w:left="0" w:leftChars="0" w:firstLine="0" w:firstLineChars="0"/>
              <w:jc w:val="center"/>
              <w:rPr>
                <w:rFonts w:hint="eastAsia" w:ascii="Times New Roman" w:hAnsi="Times New Roman" w:eastAsia="仿宋_GB2312" w:cs="Times New Roman"/>
                <w:kern w:val="2"/>
                <w:sz w:val="21"/>
                <w:szCs w:val="21"/>
                <w:highlight w:val="none"/>
                <w:lang w:val="en-US" w:eastAsia="zh-CN" w:bidi="ar-SA"/>
              </w:rPr>
            </w:pPr>
            <w:r>
              <w:rPr>
                <w:rFonts w:hint="eastAsia" w:ascii="Times New Roman" w:hAnsi="Times New Roman" w:eastAsia="仿宋_GB2312" w:cs="Times New Roman"/>
                <w:kern w:val="2"/>
                <w:sz w:val="21"/>
                <w:szCs w:val="21"/>
                <w:highlight w:val="none"/>
                <w:lang w:val="en-US" w:eastAsia="zh-CN" w:bidi="ar-SA"/>
              </w:rPr>
              <w:t>35453536.76</w:t>
            </w:r>
          </w:p>
        </w:tc>
        <w:tc>
          <w:tcPr>
            <w:tcW w:w="1290" w:type="dxa"/>
            <w:noWrap w:val="0"/>
            <w:vAlign w:val="center"/>
          </w:tcPr>
          <w:p>
            <w:pPr>
              <w:widowControl w:val="0"/>
              <w:ind w:firstLine="0" w:firstLineChars="0"/>
              <w:jc w:val="center"/>
              <w:rPr>
                <w:rFonts w:ascii="Times New Roman" w:hAnsi="Times New Roman" w:eastAsia="仿宋_GB2312" w:cs="Times New Roman"/>
                <w:kern w:val="2"/>
                <w:sz w:val="21"/>
                <w:szCs w:val="21"/>
                <w:highlight w:val="none"/>
                <w:lang w:val="en-US" w:eastAsia="zh-CN" w:bidi="ar-SA"/>
              </w:rPr>
            </w:pPr>
            <w:r>
              <w:rPr>
                <w:rFonts w:ascii="Times New Roman" w:hAnsi="Times New Roman" w:eastAsia="仿宋_GB2312" w:cs="Times New Roman"/>
                <w:kern w:val="2"/>
                <w:sz w:val="21"/>
                <w:szCs w:val="21"/>
                <w:highlight w:val="none"/>
                <w:lang w:val="en-US" w:eastAsia="zh-CN" w:bidi="ar-SA"/>
              </w:rPr>
              <w:t>104°</w:t>
            </w:r>
            <w:r>
              <w:rPr>
                <w:rFonts w:hint="eastAsia" w:ascii="Times New Roman" w:hAnsi="Times New Roman" w:eastAsia="仿宋_GB2312" w:cs="Times New Roman"/>
                <w:kern w:val="2"/>
                <w:sz w:val="21"/>
                <w:szCs w:val="21"/>
                <w:highlight w:val="none"/>
                <w:lang w:val="en-US" w:eastAsia="zh-CN" w:bidi="ar-SA"/>
              </w:rPr>
              <w:t>32</w:t>
            </w:r>
            <w:r>
              <w:rPr>
                <w:rFonts w:ascii="Times New Roman" w:hAnsi="Times New Roman" w:eastAsia="仿宋_GB2312" w:cs="Times New Roman"/>
                <w:kern w:val="2"/>
                <w:sz w:val="21"/>
                <w:szCs w:val="21"/>
                <w:highlight w:val="none"/>
                <w:lang w:val="en-US" w:eastAsia="zh-CN" w:bidi="ar-SA"/>
              </w:rPr>
              <w:t>′</w:t>
            </w:r>
            <w:r>
              <w:rPr>
                <w:rFonts w:hint="eastAsia" w:ascii="Times New Roman" w:hAnsi="Times New Roman" w:eastAsia="仿宋_GB2312" w:cs="Times New Roman"/>
                <w:kern w:val="2"/>
                <w:sz w:val="21"/>
                <w:szCs w:val="21"/>
                <w:highlight w:val="none"/>
                <w:lang w:val="en-US" w:eastAsia="zh-CN" w:bidi="ar-SA"/>
              </w:rPr>
              <w:t>32</w:t>
            </w:r>
            <w:r>
              <w:rPr>
                <w:rFonts w:ascii="Times New Roman" w:hAnsi="Times New Roman" w:eastAsia="仿宋_GB2312" w:cs="Times New Roman"/>
                <w:kern w:val="2"/>
                <w:sz w:val="21"/>
                <w:szCs w:val="21"/>
                <w:highlight w:val="none"/>
                <w:lang w:val="en-US" w:eastAsia="zh-CN" w:bidi="ar-SA"/>
              </w:rPr>
              <w:t>″</w:t>
            </w:r>
          </w:p>
        </w:tc>
        <w:tc>
          <w:tcPr>
            <w:tcW w:w="1230" w:type="dxa"/>
            <w:noWrap w:val="0"/>
            <w:vAlign w:val="center"/>
          </w:tcPr>
          <w:p>
            <w:pPr>
              <w:widowControl w:val="0"/>
              <w:ind w:firstLine="0" w:firstLineChars="0"/>
              <w:jc w:val="center"/>
              <w:rPr>
                <w:rFonts w:ascii="Times New Roman" w:hAnsi="Times New Roman" w:eastAsia="仿宋_GB2312" w:cs="Times New Roman"/>
                <w:kern w:val="2"/>
                <w:sz w:val="21"/>
                <w:szCs w:val="21"/>
                <w:highlight w:val="none"/>
                <w:lang w:val="en-US" w:eastAsia="zh-CN" w:bidi="ar-SA"/>
              </w:rPr>
            </w:pPr>
            <w:r>
              <w:rPr>
                <w:rFonts w:ascii="Times New Roman" w:hAnsi="Times New Roman" w:eastAsia="仿宋_GB2312" w:cs="Times New Roman"/>
                <w:kern w:val="2"/>
                <w:sz w:val="21"/>
                <w:szCs w:val="21"/>
                <w:highlight w:val="none"/>
                <w:lang w:val="en-US" w:eastAsia="zh-CN" w:bidi="ar-SA"/>
              </w:rPr>
              <w:t>23°</w:t>
            </w:r>
            <w:r>
              <w:rPr>
                <w:rFonts w:hint="eastAsia" w:ascii="Times New Roman" w:hAnsi="Times New Roman" w:eastAsia="仿宋_GB2312" w:cs="Times New Roman"/>
                <w:kern w:val="2"/>
                <w:sz w:val="21"/>
                <w:szCs w:val="21"/>
                <w:highlight w:val="none"/>
                <w:lang w:val="en-US" w:eastAsia="zh-CN" w:bidi="ar-SA"/>
              </w:rPr>
              <w:t>51</w:t>
            </w:r>
            <w:r>
              <w:rPr>
                <w:rFonts w:ascii="Times New Roman" w:hAnsi="Times New Roman" w:eastAsia="仿宋_GB2312" w:cs="Times New Roman"/>
                <w:kern w:val="2"/>
                <w:sz w:val="21"/>
                <w:szCs w:val="21"/>
                <w:highlight w:val="none"/>
                <w:lang w:val="en-US" w:eastAsia="zh-CN" w:bidi="ar-SA"/>
              </w:rPr>
              <w:t>′</w:t>
            </w:r>
            <w:r>
              <w:rPr>
                <w:rFonts w:hint="eastAsia" w:ascii="Times New Roman" w:hAnsi="Times New Roman" w:eastAsia="仿宋_GB2312" w:cs="Times New Roman"/>
                <w:kern w:val="2"/>
                <w:sz w:val="21"/>
                <w:szCs w:val="21"/>
                <w:highlight w:val="none"/>
                <w:lang w:val="en-US" w:eastAsia="zh-CN" w:bidi="ar-SA"/>
              </w:rPr>
              <w:t>33</w:t>
            </w:r>
            <w:r>
              <w:rPr>
                <w:rFonts w:ascii="Times New Roman" w:hAnsi="Times New Roman" w:eastAsia="仿宋_GB2312" w:cs="Times New Roman"/>
                <w:kern w:val="2"/>
                <w:sz w:val="21"/>
                <w:szCs w:val="21"/>
                <w:highlight w:val="none"/>
                <w:lang w:val="en-US" w:eastAsia="zh-CN" w:bidi="ar-SA"/>
              </w:rPr>
              <w:t>″</w:t>
            </w:r>
          </w:p>
        </w:tc>
        <w:tc>
          <w:tcPr>
            <w:tcW w:w="1215" w:type="dxa"/>
            <w:noWrap w:val="0"/>
            <w:vAlign w:val="center"/>
          </w:tcPr>
          <w:p>
            <w:pPr>
              <w:widowControl w:val="0"/>
              <w:ind w:firstLine="0" w:firstLineChars="0"/>
              <w:jc w:val="center"/>
              <w:rPr>
                <w:rFonts w:ascii="Times New Roman" w:hAnsi="Times New Roman" w:eastAsia="仿宋_GB2312" w:cs="Times New Roman"/>
                <w:kern w:val="2"/>
                <w:sz w:val="21"/>
                <w:szCs w:val="21"/>
                <w:highlight w:val="none"/>
                <w:lang w:val="en-US" w:eastAsia="zh-CN" w:bidi="ar-SA"/>
              </w:rPr>
            </w:pPr>
            <w:r>
              <w:rPr>
                <w:rFonts w:ascii="Times New Roman" w:hAnsi="Times New Roman" w:eastAsia="仿宋_GB2312" w:cs="Times New Roman"/>
                <w:kern w:val="2"/>
                <w:sz w:val="21"/>
                <w:szCs w:val="21"/>
                <w:highlight w:val="none"/>
                <w:lang w:val="en-US" w:eastAsia="zh-CN" w:bidi="ar-SA"/>
              </w:rPr>
              <w:t>2639859.8</w:t>
            </w:r>
            <w:r>
              <w:rPr>
                <w:rFonts w:hint="eastAsia" w:ascii="Times New Roman" w:hAnsi="Times New Roman" w:eastAsia="仿宋_GB2312" w:cs="Times New Roman"/>
                <w:kern w:val="2"/>
                <w:sz w:val="21"/>
                <w:szCs w:val="21"/>
                <w:highlight w:val="none"/>
                <w:lang w:val="en-US" w:eastAsia="zh-CN" w:bidi="ar-SA"/>
              </w:rPr>
              <w:t>1</w:t>
            </w:r>
          </w:p>
        </w:tc>
        <w:tc>
          <w:tcPr>
            <w:tcW w:w="1373" w:type="dxa"/>
            <w:noWrap w:val="0"/>
            <w:vAlign w:val="center"/>
          </w:tcPr>
          <w:p>
            <w:pPr>
              <w:widowControl w:val="0"/>
              <w:ind w:firstLine="0" w:firstLineChars="0"/>
              <w:jc w:val="center"/>
              <w:rPr>
                <w:rFonts w:ascii="Times New Roman" w:hAnsi="Times New Roman" w:eastAsia="仿宋_GB2312" w:cs="Times New Roman"/>
                <w:kern w:val="2"/>
                <w:sz w:val="21"/>
                <w:szCs w:val="21"/>
                <w:highlight w:val="none"/>
                <w:lang w:val="en-US" w:eastAsia="zh-CN" w:bidi="ar-SA"/>
              </w:rPr>
            </w:pPr>
            <w:r>
              <w:rPr>
                <w:rFonts w:ascii="Times New Roman" w:hAnsi="Times New Roman" w:eastAsia="仿宋_GB2312" w:cs="Times New Roman"/>
                <w:kern w:val="2"/>
                <w:sz w:val="21"/>
                <w:szCs w:val="21"/>
                <w:highlight w:val="none"/>
                <w:lang w:val="en-US" w:eastAsia="zh-CN" w:bidi="ar-SA"/>
              </w:rPr>
              <w:t>35453649.59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8" w:type="dxa"/>
            <w:noWrap w:val="0"/>
            <w:vAlign w:val="center"/>
          </w:tcPr>
          <w:p>
            <w:pPr>
              <w:ind w:left="0" w:leftChars="0" w:firstLine="0" w:firstLineChars="0"/>
              <w:jc w:val="center"/>
              <w:rPr>
                <w:rFonts w:hint="eastAsia" w:eastAsia="仿宋_GB2312"/>
                <w:bCs/>
                <w:sz w:val="21"/>
                <w:szCs w:val="21"/>
                <w:highlight w:val="none"/>
              </w:rPr>
            </w:pPr>
            <w:r>
              <w:rPr>
                <w:rFonts w:hint="eastAsia" w:eastAsia="仿宋_GB2312"/>
                <w:bCs/>
                <w:sz w:val="21"/>
                <w:szCs w:val="21"/>
                <w:highlight w:val="none"/>
              </w:rPr>
              <w:t>8</w:t>
            </w:r>
          </w:p>
        </w:tc>
        <w:tc>
          <w:tcPr>
            <w:tcW w:w="1485" w:type="dxa"/>
            <w:noWrap w:val="0"/>
            <w:vAlign w:val="center"/>
          </w:tcPr>
          <w:p>
            <w:pPr>
              <w:widowControl w:val="0"/>
              <w:ind w:left="0" w:leftChars="0" w:firstLine="0" w:firstLineChars="0"/>
              <w:jc w:val="center"/>
              <w:rPr>
                <w:rFonts w:hint="eastAsia" w:ascii="Times New Roman" w:hAnsi="Times New Roman" w:eastAsia="仿宋_GB2312" w:cs="Times New Roman"/>
                <w:kern w:val="2"/>
                <w:sz w:val="21"/>
                <w:szCs w:val="21"/>
                <w:highlight w:val="none"/>
                <w:lang w:val="en-US" w:eastAsia="zh-CN" w:bidi="ar-SA"/>
              </w:rPr>
            </w:pPr>
            <w:r>
              <w:rPr>
                <w:rFonts w:hint="eastAsia" w:ascii="Times New Roman" w:hAnsi="Times New Roman" w:eastAsia="仿宋_GB2312" w:cs="Times New Roman"/>
                <w:kern w:val="2"/>
                <w:sz w:val="21"/>
                <w:szCs w:val="21"/>
                <w:highlight w:val="none"/>
                <w:lang w:val="en-US" w:eastAsia="zh-CN" w:bidi="ar-SA"/>
              </w:rPr>
              <w:t>2639811.50</w:t>
            </w:r>
          </w:p>
        </w:tc>
        <w:tc>
          <w:tcPr>
            <w:tcW w:w="1455" w:type="dxa"/>
            <w:noWrap w:val="0"/>
            <w:vAlign w:val="center"/>
          </w:tcPr>
          <w:p>
            <w:pPr>
              <w:widowControl w:val="0"/>
              <w:ind w:left="0" w:leftChars="0" w:firstLine="0" w:firstLineChars="0"/>
              <w:jc w:val="center"/>
              <w:rPr>
                <w:rFonts w:hint="eastAsia" w:ascii="Times New Roman" w:hAnsi="Times New Roman" w:eastAsia="仿宋_GB2312" w:cs="Times New Roman"/>
                <w:kern w:val="2"/>
                <w:sz w:val="21"/>
                <w:szCs w:val="21"/>
                <w:highlight w:val="none"/>
                <w:lang w:val="en-US" w:eastAsia="zh-CN" w:bidi="ar-SA"/>
              </w:rPr>
            </w:pPr>
            <w:r>
              <w:rPr>
                <w:rFonts w:hint="eastAsia" w:ascii="Times New Roman" w:hAnsi="Times New Roman" w:eastAsia="仿宋_GB2312" w:cs="Times New Roman"/>
                <w:kern w:val="2"/>
                <w:sz w:val="21"/>
                <w:szCs w:val="21"/>
                <w:highlight w:val="none"/>
                <w:lang w:val="en-US" w:eastAsia="zh-CN" w:bidi="ar-SA"/>
              </w:rPr>
              <w:t>35453266.40</w:t>
            </w:r>
          </w:p>
        </w:tc>
        <w:tc>
          <w:tcPr>
            <w:tcW w:w="1290" w:type="dxa"/>
            <w:noWrap w:val="0"/>
            <w:vAlign w:val="center"/>
          </w:tcPr>
          <w:p>
            <w:pPr>
              <w:widowControl w:val="0"/>
              <w:ind w:firstLine="0" w:firstLineChars="0"/>
              <w:jc w:val="center"/>
              <w:rPr>
                <w:rFonts w:ascii="Times New Roman" w:hAnsi="Times New Roman" w:eastAsia="仿宋_GB2312" w:cs="Times New Roman"/>
                <w:kern w:val="2"/>
                <w:sz w:val="21"/>
                <w:szCs w:val="21"/>
                <w:highlight w:val="none"/>
                <w:lang w:val="en-US" w:eastAsia="zh-CN" w:bidi="ar-SA"/>
              </w:rPr>
            </w:pPr>
            <w:r>
              <w:rPr>
                <w:rFonts w:ascii="Times New Roman" w:hAnsi="Times New Roman" w:eastAsia="仿宋_GB2312" w:cs="Times New Roman"/>
                <w:kern w:val="2"/>
                <w:sz w:val="21"/>
                <w:szCs w:val="21"/>
                <w:highlight w:val="none"/>
                <w:lang w:val="en-US" w:eastAsia="zh-CN" w:bidi="ar-SA"/>
              </w:rPr>
              <w:t>104°</w:t>
            </w:r>
            <w:r>
              <w:rPr>
                <w:rFonts w:hint="eastAsia" w:ascii="Times New Roman" w:hAnsi="Times New Roman" w:eastAsia="仿宋_GB2312" w:cs="Times New Roman"/>
                <w:kern w:val="2"/>
                <w:sz w:val="21"/>
                <w:szCs w:val="21"/>
                <w:highlight w:val="none"/>
                <w:lang w:val="en-US" w:eastAsia="zh-CN" w:bidi="ar-SA"/>
              </w:rPr>
              <w:t>32</w:t>
            </w:r>
            <w:r>
              <w:rPr>
                <w:rFonts w:ascii="Times New Roman" w:hAnsi="Times New Roman" w:eastAsia="仿宋_GB2312" w:cs="Times New Roman"/>
                <w:kern w:val="2"/>
                <w:sz w:val="21"/>
                <w:szCs w:val="21"/>
                <w:highlight w:val="none"/>
                <w:lang w:val="en-US" w:eastAsia="zh-CN" w:bidi="ar-SA"/>
              </w:rPr>
              <w:t>′</w:t>
            </w:r>
            <w:r>
              <w:rPr>
                <w:rFonts w:hint="eastAsia" w:ascii="Times New Roman" w:hAnsi="Times New Roman" w:eastAsia="仿宋_GB2312" w:cs="Times New Roman"/>
                <w:kern w:val="2"/>
                <w:sz w:val="21"/>
                <w:szCs w:val="21"/>
                <w:highlight w:val="none"/>
                <w:lang w:val="en-US" w:eastAsia="zh-CN" w:bidi="ar-SA"/>
              </w:rPr>
              <w:t>26</w:t>
            </w:r>
            <w:r>
              <w:rPr>
                <w:rFonts w:ascii="Times New Roman" w:hAnsi="Times New Roman" w:eastAsia="仿宋_GB2312" w:cs="Times New Roman"/>
                <w:kern w:val="2"/>
                <w:sz w:val="21"/>
                <w:szCs w:val="21"/>
                <w:highlight w:val="none"/>
                <w:lang w:val="en-US" w:eastAsia="zh-CN" w:bidi="ar-SA"/>
              </w:rPr>
              <w:t>″</w:t>
            </w:r>
          </w:p>
        </w:tc>
        <w:tc>
          <w:tcPr>
            <w:tcW w:w="1230" w:type="dxa"/>
            <w:noWrap w:val="0"/>
            <w:vAlign w:val="center"/>
          </w:tcPr>
          <w:p>
            <w:pPr>
              <w:widowControl w:val="0"/>
              <w:ind w:firstLine="0" w:firstLineChars="0"/>
              <w:jc w:val="center"/>
              <w:rPr>
                <w:rFonts w:ascii="Times New Roman" w:hAnsi="Times New Roman" w:eastAsia="仿宋_GB2312" w:cs="Times New Roman"/>
                <w:kern w:val="2"/>
                <w:sz w:val="21"/>
                <w:szCs w:val="21"/>
                <w:highlight w:val="none"/>
                <w:lang w:val="en-US" w:eastAsia="zh-CN" w:bidi="ar-SA"/>
              </w:rPr>
            </w:pPr>
            <w:r>
              <w:rPr>
                <w:rFonts w:ascii="Times New Roman" w:hAnsi="Times New Roman" w:eastAsia="仿宋_GB2312" w:cs="Times New Roman"/>
                <w:kern w:val="2"/>
                <w:sz w:val="21"/>
                <w:szCs w:val="21"/>
                <w:highlight w:val="none"/>
                <w:lang w:val="en-US" w:eastAsia="zh-CN" w:bidi="ar-SA"/>
              </w:rPr>
              <w:t>23°</w:t>
            </w:r>
            <w:r>
              <w:rPr>
                <w:rFonts w:hint="eastAsia" w:ascii="Times New Roman" w:hAnsi="Times New Roman" w:eastAsia="仿宋_GB2312" w:cs="Times New Roman"/>
                <w:kern w:val="2"/>
                <w:sz w:val="21"/>
                <w:szCs w:val="21"/>
                <w:highlight w:val="none"/>
                <w:lang w:val="en-US" w:eastAsia="zh-CN" w:bidi="ar-SA"/>
              </w:rPr>
              <w:t>51</w:t>
            </w:r>
            <w:r>
              <w:rPr>
                <w:rFonts w:ascii="Times New Roman" w:hAnsi="Times New Roman" w:eastAsia="仿宋_GB2312" w:cs="Times New Roman"/>
                <w:kern w:val="2"/>
                <w:sz w:val="21"/>
                <w:szCs w:val="21"/>
                <w:highlight w:val="none"/>
                <w:lang w:val="en-US" w:eastAsia="zh-CN" w:bidi="ar-SA"/>
              </w:rPr>
              <w:t>′</w:t>
            </w:r>
            <w:r>
              <w:rPr>
                <w:rFonts w:hint="eastAsia" w:ascii="Times New Roman" w:hAnsi="Times New Roman" w:eastAsia="仿宋_GB2312" w:cs="Times New Roman"/>
                <w:kern w:val="2"/>
                <w:sz w:val="21"/>
                <w:szCs w:val="21"/>
                <w:highlight w:val="none"/>
                <w:lang w:val="en-US" w:eastAsia="zh-CN" w:bidi="ar-SA"/>
              </w:rPr>
              <w:t>26</w:t>
            </w:r>
            <w:r>
              <w:rPr>
                <w:rFonts w:ascii="Times New Roman" w:hAnsi="Times New Roman" w:eastAsia="仿宋_GB2312" w:cs="Times New Roman"/>
                <w:kern w:val="2"/>
                <w:sz w:val="21"/>
                <w:szCs w:val="21"/>
                <w:highlight w:val="none"/>
                <w:lang w:val="en-US" w:eastAsia="zh-CN" w:bidi="ar-SA"/>
              </w:rPr>
              <w:t>″</w:t>
            </w:r>
          </w:p>
        </w:tc>
        <w:tc>
          <w:tcPr>
            <w:tcW w:w="1215" w:type="dxa"/>
            <w:noWrap w:val="0"/>
            <w:vAlign w:val="center"/>
          </w:tcPr>
          <w:p>
            <w:pPr>
              <w:widowControl w:val="0"/>
              <w:ind w:firstLine="0" w:firstLineChars="0"/>
              <w:jc w:val="center"/>
              <w:rPr>
                <w:rFonts w:ascii="Times New Roman" w:hAnsi="Times New Roman" w:eastAsia="仿宋_GB2312" w:cs="Times New Roman"/>
                <w:kern w:val="2"/>
                <w:sz w:val="21"/>
                <w:szCs w:val="21"/>
                <w:highlight w:val="none"/>
                <w:lang w:val="en-US" w:eastAsia="zh-CN" w:bidi="ar-SA"/>
              </w:rPr>
            </w:pPr>
            <w:r>
              <w:rPr>
                <w:rFonts w:ascii="Times New Roman" w:hAnsi="Times New Roman" w:eastAsia="仿宋_GB2312" w:cs="Times New Roman"/>
                <w:kern w:val="2"/>
                <w:sz w:val="21"/>
                <w:szCs w:val="21"/>
                <w:highlight w:val="none"/>
                <w:lang w:val="en-US" w:eastAsia="zh-CN" w:bidi="ar-SA"/>
              </w:rPr>
              <w:t>2639815.64</w:t>
            </w:r>
          </w:p>
        </w:tc>
        <w:tc>
          <w:tcPr>
            <w:tcW w:w="1373" w:type="dxa"/>
            <w:noWrap w:val="0"/>
            <w:vAlign w:val="center"/>
          </w:tcPr>
          <w:p>
            <w:pPr>
              <w:widowControl w:val="0"/>
              <w:ind w:firstLine="0" w:firstLineChars="0"/>
              <w:jc w:val="center"/>
              <w:rPr>
                <w:rFonts w:ascii="Times New Roman" w:hAnsi="Times New Roman" w:eastAsia="仿宋_GB2312" w:cs="Times New Roman"/>
                <w:kern w:val="2"/>
                <w:sz w:val="21"/>
                <w:szCs w:val="21"/>
                <w:highlight w:val="none"/>
                <w:lang w:val="en-US" w:eastAsia="zh-CN" w:bidi="ar-SA"/>
              </w:rPr>
            </w:pPr>
            <w:r>
              <w:rPr>
                <w:rFonts w:ascii="Times New Roman" w:hAnsi="Times New Roman" w:eastAsia="仿宋_GB2312" w:cs="Times New Roman"/>
                <w:kern w:val="2"/>
                <w:sz w:val="21"/>
                <w:szCs w:val="21"/>
                <w:highlight w:val="none"/>
                <w:lang w:val="en-US" w:eastAsia="zh-CN" w:bidi="ar-SA"/>
              </w:rPr>
              <w:t>35453379.23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8" w:type="dxa"/>
            <w:noWrap w:val="0"/>
            <w:vAlign w:val="center"/>
          </w:tcPr>
          <w:p>
            <w:pPr>
              <w:ind w:left="0" w:leftChars="0" w:firstLine="0" w:firstLineChars="0"/>
              <w:jc w:val="center"/>
              <w:rPr>
                <w:rFonts w:hint="eastAsia" w:eastAsia="仿宋_GB2312"/>
                <w:bCs/>
                <w:sz w:val="21"/>
                <w:szCs w:val="21"/>
                <w:highlight w:val="none"/>
              </w:rPr>
            </w:pPr>
            <w:r>
              <w:rPr>
                <w:rFonts w:hint="eastAsia" w:eastAsia="仿宋_GB2312"/>
                <w:bCs/>
                <w:sz w:val="21"/>
                <w:szCs w:val="21"/>
                <w:highlight w:val="none"/>
              </w:rPr>
              <w:t>9</w:t>
            </w:r>
          </w:p>
        </w:tc>
        <w:tc>
          <w:tcPr>
            <w:tcW w:w="1485" w:type="dxa"/>
            <w:noWrap w:val="0"/>
            <w:vAlign w:val="center"/>
          </w:tcPr>
          <w:p>
            <w:pPr>
              <w:widowControl w:val="0"/>
              <w:ind w:left="0" w:leftChars="0" w:firstLine="0" w:firstLineChars="0"/>
              <w:jc w:val="center"/>
              <w:rPr>
                <w:rFonts w:hint="eastAsia" w:ascii="Times New Roman" w:hAnsi="Times New Roman" w:eastAsia="仿宋_GB2312" w:cs="Times New Roman"/>
                <w:kern w:val="2"/>
                <w:sz w:val="21"/>
                <w:szCs w:val="21"/>
                <w:highlight w:val="none"/>
                <w:lang w:val="en-US" w:eastAsia="zh-CN" w:bidi="ar-SA"/>
              </w:rPr>
            </w:pPr>
            <w:r>
              <w:rPr>
                <w:rFonts w:hint="eastAsia" w:ascii="Times New Roman" w:hAnsi="Times New Roman" w:eastAsia="仿宋_GB2312" w:cs="Times New Roman"/>
                <w:kern w:val="2"/>
                <w:sz w:val="21"/>
                <w:szCs w:val="21"/>
                <w:highlight w:val="none"/>
                <w:lang w:val="en-US" w:eastAsia="zh-CN" w:bidi="ar-SA"/>
              </w:rPr>
              <w:t>2639622.25</w:t>
            </w:r>
          </w:p>
        </w:tc>
        <w:tc>
          <w:tcPr>
            <w:tcW w:w="1455" w:type="dxa"/>
            <w:noWrap w:val="0"/>
            <w:vAlign w:val="center"/>
          </w:tcPr>
          <w:p>
            <w:pPr>
              <w:widowControl w:val="0"/>
              <w:ind w:left="0" w:leftChars="0" w:firstLine="0" w:firstLineChars="0"/>
              <w:jc w:val="center"/>
              <w:rPr>
                <w:rFonts w:hint="eastAsia" w:ascii="Times New Roman" w:hAnsi="Times New Roman" w:eastAsia="仿宋_GB2312" w:cs="Times New Roman"/>
                <w:kern w:val="2"/>
                <w:sz w:val="21"/>
                <w:szCs w:val="21"/>
                <w:highlight w:val="none"/>
                <w:lang w:val="en-US" w:eastAsia="zh-CN" w:bidi="ar-SA"/>
              </w:rPr>
            </w:pPr>
            <w:r>
              <w:rPr>
                <w:rFonts w:hint="eastAsia" w:ascii="Times New Roman" w:hAnsi="Times New Roman" w:eastAsia="仿宋_GB2312" w:cs="Times New Roman"/>
                <w:kern w:val="2"/>
                <w:sz w:val="21"/>
                <w:szCs w:val="21"/>
                <w:highlight w:val="none"/>
                <w:lang w:val="en-US" w:eastAsia="zh-CN" w:bidi="ar-SA"/>
              </w:rPr>
              <w:t>35453094.85</w:t>
            </w:r>
          </w:p>
        </w:tc>
        <w:tc>
          <w:tcPr>
            <w:tcW w:w="1290" w:type="dxa"/>
            <w:noWrap w:val="0"/>
            <w:vAlign w:val="center"/>
          </w:tcPr>
          <w:p>
            <w:pPr>
              <w:widowControl w:val="0"/>
              <w:ind w:firstLine="0" w:firstLineChars="0"/>
              <w:jc w:val="center"/>
              <w:rPr>
                <w:rFonts w:ascii="Times New Roman" w:hAnsi="Times New Roman" w:eastAsia="仿宋_GB2312" w:cs="Times New Roman"/>
                <w:kern w:val="2"/>
                <w:sz w:val="21"/>
                <w:szCs w:val="21"/>
                <w:highlight w:val="none"/>
                <w:lang w:val="en-US" w:eastAsia="zh-CN" w:bidi="ar-SA"/>
              </w:rPr>
            </w:pPr>
            <w:r>
              <w:rPr>
                <w:rFonts w:ascii="Times New Roman" w:hAnsi="Times New Roman" w:eastAsia="仿宋_GB2312" w:cs="Times New Roman"/>
                <w:kern w:val="2"/>
                <w:sz w:val="21"/>
                <w:szCs w:val="21"/>
                <w:highlight w:val="none"/>
                <w:lang w:val="en-US" w:eastAsia="zh-CN" w:bidi="ar-SA"/>
              </w:rPr>
              <w:t>104°</w:t>
            </w:r>
            <w:r>
              <w:rPr>
                <w:rFonts w:hint="eastAsia" w:ascii="Times New Roman" w:hAnsi="Times New Roman" w:eastAsia="仿宋_GB2312" w:cs="Times New Roman"/>
                <w:kern w:val="2"/>
                <w:sz w:val="21"/>
                <w:szCs w:val="21"/>
                <w:highlight w:val="none"/>
                <w:lang w:val="en-US" w:eastAsia="zh-CN" w:bidi="ar-SA"/>
              </w:rPr>
              <w:t>32</w:t>
            </w:r>
            <w:r>
              <w:rPr>
                <w:rFonts w:ascii="Times New Roman" w:hAnsi="Times New Roman" w:eastAsia="仿宋_GB2312" w:cs="Times New Roman"/>
                <w:kern w:val="2"/>
                <w:sz w:val="21"/>
                <w:szCs w:val="21"/>
                <w:highlight w:val="none"/>
                <w:lang w:val="en-US" w:eastAsia="zh-CN" w:bidi="ar-SA"/>
              </w:rPr>
              <w:t>′</w:t>
            </w:r>
            <w:r>
              <w:rPr>
                <w:rFonts w:hint="eastAsia" w:ascii="Times New Roman" w:hAnsi="Times New Roman" w:eastAsia="仿宋_GB2312" w:cs="Times New Roman"/>
                <w:kern w:val="2"/>
                <w:sz w:val="21"/>
                <w:szCs w:val="21"/>
                <w:highlight w:val="none"/>
                <w:lang w:val="en-US" w:eastAsia="zh-CN" w:bidi="ar-SA"/>
              </w:rPr>
              <w:t>22</w:t>
            </w:r>
            <w:r>
              <w:rPr>
                <w:rFonts w:ascii="Times New Roman" w:hAnsi="Times New Roman" w:eastAsia="仿宋_GB2312" w:cs="Times New Roman"/>
                <w:kern w:val="2"/>
                <w:sz w:val="21"/>
                <w:szCs w:val="21"/>
                <w:highlight w:val="none"/>
                <w:lang w:val="en-US" w:eastAsia="zh-CN" w:bidi="ar-SA"/>
              </w:rPr>
              <w:t>″</w:t>
            </w:r>
          </w:p>
        </w:tc>
        <w:tc>
          <w:tcPr>
            <w:tcW w:w="1230" w:type="dxa"/>
            <w:noWrap w:val="0"/>
            <w:vAlign w:val="center"/>
          </w:tcPr>
          <w:p>
            <w:pPr>
              <w:widowControl w:val="0"/>
              <w:ind w:firstLine="0" w:firstLineChars="0"/>
              <w:jc w:val="center"/>
              <w:rPr>
                <w:rFonts w:ascii="Times New Roman" w:hAnsi="Times New Roman" w:eastAsia="仿宋_GB2312" w:cs="Times New Roman"/>
                <w:kern w:val="2"/>
                <w:sz w:val="21"/>
                <w:szCs w:val="21"/>
                <w:highlight w:val="none"/>
                <w:lang w:val="en-US" w:eastAsia="zh-CN" w:bidi="ar-SA"/>
              </w:rPr>
            </w:pPr>
            <w:r>
              <w:rPr>
                <w:rFonts w:ascii="Times New Roman" w:hAnsi="Times New Roman" w:eastAsia="仿宋_GB2312" w:cs="Times New Roman"/>
                <w:kern w:val="2"/>
                <w:sz w:val="21"/>
                <w:szCs w:val="21"/>
                <w:highlight w:val="none"/>
                <w:lang w:val="en-US" w:eastAsia="zh-CN" w:bidi="ar-SA"/>
              </w:rPr>
              <w:t>23°</w:t>
            </w:r>
            <w:r>
              <w:rPr>
                <w:rFonts w:hint="eastAsia" w:ascii="Times New Roman" w:hAnsi="Times New Roman" w:eastAsia="仿宋_GB2312" w:cs="Times New Roman"/>
                <w:kern w:val="2"/>
                <w:sz w:val="21"/>
                <w:szCs w:val="21"/>
                <w:highlight w:val="none"/>
                <w:lang w:val="en-US" w:eastAsia="zh-CN" w:bidi="ar-SA"/>
              </w:rPr>
              <w:t>51</w:t>
            </w:r>
            <w:r>
              <w:rPr>
                <w:rFonts w:ascii="Times New Roman" w:hAnsi="Times New Roman" w:eastAsia="仿宋_GB2312" w:cs="Times New Roman"/>
                <w:kern w:val="2"/>
                <w:sz w:val="21"/>
                <w:szCs w:val="21"/>
                <w:highlight w:val="none"/>
                <w:lang w:val="en-US" w:eastAsia="zh-CN" w:bidi="ar-SA"/>
              </w:rPr>
              <w:t>′</w:t>
            </w:r>
            <w:r>
              <w:rPr>
                <w:rFonts w:hint="eastAsia" w:ascii="Times New Roman" w:hAnsi="Times New Roman" w:eastAsia="仿宋_GB2312" w:cs="Times New Roman"/>
                <w:kern w:val="2"/>
                <w:sz w:val="21"/>
                <w:szCs w:val="21"/>
                <w:highlight w:val="none"/>
                <w:lang w:val="en-US" w:eastAsia="zh-CN" w:bidi="ar-SA"/>
              </w:rPr>
              <w:t>26</w:t>
            </w:r>
            <w:r>
              <w:rPr>
                <w:rFonts w:ascii="Times New Roman" w:hAnsi="Times New Roman" w:eastAsia="仿宋_GB2312" w:cs="Times New Roman"/>
                <w:kern w:val="2"/>
                <w:sz w:val="21"/>
                <w:szCs w:val="21"/>
                <w:highlight w:val="none"/>
                <w:lang w:val="en-US" w:eastAsia="zh-CN" w:bidi="ar-SA"/>
              </w:rPr>
              <w:t>″</w:t>
            </w:r>
          </w:p>
        </w:tc>
        <w:tc>
          <w:tcPr>
            <w:tcW w:w="1215" w:type="dxa"/>
            <w:noWrap w:val="0"/>
            <w:vAlign w:val="center"/>
          </w:tcPr>
          <w:p>
            <w:pPr>
              <w:widowControl w:val="0"/>
              <w:ind w:firstLine="0" w:firstLineChars="0"/>
              <w:jc w:val="center"/>
              <w:rPr>
                <w:rFonts w:ascii="Times New Roman" w:hAnsi="Times New Roman" w:eastAsia="仿宋_GB2312" w:cs="Times New Roman"/>
                <w:kern w:val="2"/>
                <w:sz w:val="21"/>
                <w:szCs w:val="21"/>
                <w:highlight w:val="none"/>
                <w:lang w:val="en-US" w:eastAsia="zh-CN" w:bidi="ar-SA"/>
              </w:rPr>
            </w:pPr>
            <w:r>
              <w:rPr>
                <w:rFonts w:ascii="Times New Roman" w:hAnsi="Times New Roman" w:eastAsia="仿宋_GB2312" w:cs="Times New Roman"/>
                <w:kern w:val="2"/>
                <w:sz w:val="21"/>
                <w:szCs w:val="21"/>
                <w:highlight w:val="none"/>
                <w:lang w:val="en-US" w:eastAsia="zh-CN" w:bidi="ar-SA"/>
              </w:rPr>
              <w:t>2639626.39</w:t>
            </w:r>
          </w:p>
        </w:tc>
        <w:tc>
          <w:tcPr>
            <w:tcW w:w="1373" w:type="dxa"/>
            <w:noWrap w:val="0"/>
            <w:vAlign w:val="center"/>
          </w:tcPr>
          <w:p>
            <w:pPr>
              <w:widowControl w:val="0"/>
              <w:ind w:firstLine="0" w:firstLineChars="0"/>
              <w:jc w:val="center"/>
              <w:rPr>
                <w:rFonts w:ascii="Times New Roman" w:hAnsi="Times New Roman" w:eastAsia="仿宋_GB2312" w:cs="Times New Roman"/>
                <w:kern w:val="2"/>
                <w:sz w:val="21"/>
                <w:szCs w:val="21"/>
                <w:highlight w:val="none"/>
                <w:lang w:val="en-US" w:eastAsia="zh-CN" w:bidi="ar-SA"/>
              </w:rPr>
            </w:pPr>
            <w:r>
              <w:rPr>
                <w:rFonts w:ascii="Times New Roman" w:hAnsi="Times New Roman" w:eastAsia="仿宋_GB2312" w:cs="Times New Roman"/>
                <w:kern w:val="2"/>
                <w:sz w:val="21"/>
                <w:szCs w:val="21"/>
                <w:highlight w:val="none"/>
                <w:lang w:val="en-US" w:eastAsia="zh-CN" w:bidi="ar-SA"/>
              </w:rPr>
              <w:t>35453207.68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8" w:type="dxa"/>
            <w:noWrap w:val="0"/>
            <w:vAlign w:val="center"/>
          </w:tcPr>
          <w:p>
            <w:pPr>
              <w:ind w:left="0" w:leftChars="0" w:firstLine="0" w:firstLineChars="0"/>
              <w:jc w:val="center"/>
              <w:rPr>
                <w:rFonts w:eastAsia="仿宋_GB2312"/>
                <w:sz w:val="21"/>
                <w:szCs w:val="21"/>
                <w:highlight w:val="none"/>
              </w:rPr>
            </w:pPr>
            <w:r>
              <w:rPr>
                <w:rFonts w:eastAsia="仿宋_GB2312"/>
                <w:sz w:val="21"/>
                <w:szCs w:val="21"/>
                <w:highlight w:val="none"/>
              </w:rPr>
              <w:t>矿区面积</w:t>
            </w:r>
          </w:p>
        </w:tc>
        <w:tc>
          <w:tcPr>
            <w:tcW w:w="8048" w:type="dxa"/>
            <w:gridSpan w:val="6"/>
            <w:noWrap w:val="0"/>
            <w:vAlign w:val="center"/>
          </w:tcPr>
          <w:p>
            <w:pPr>
              <w:jc w:val="center"/>
              <w:rPr>
                <w:rFonts w:eastAsia="仿宋_GB2312"/>
                <w:sz w:val="21"/>
                <w:szCs w:val="21"/>
                <w:highlight w:val="none"/>
              </w:rPr>
            </w:pPr>
            <w:r>
              <w:rPr>
                <w:rFonts w:eastAsia="仿宋_GB2312"/>
                <w:sz w:val="21"/>
                <w:szCs w:val="21"/>
                <w:highlight w:val="none"/>
              </w:rPr>
              <w:t>0.</w:t>
            </w:r>
            <w:r>
              <w:rPr>
                <w:rFonts w:hint="eastAsia" w:eastAsia="仿宋_GB2312"/>
                <w:sz w:val="21"/>
                <w:szCs w:val="21"/>
                <w:highlight w:val="none"/>
                <w:lang w:val="en-US" w:eastAsia="zh-CN"/>
              </w:rPr>
              <w:t>095</w:t>
            </w:r>
            <w:r>
              <w:rPr>
                <w:rFonts w:eastAsia="仿宋_GB2312"/>
                <w:sz w:val="21"/>
                <w:szCs w:val="21"/>
                <w:highlight w:val="none"/>
              </w:rPr>
              <w:t>km</w:t>
            </w:r>
            <w:r>
              <w:rPr>
                <w:rFonts w:eastAsia="仿宋_GB2312"/>
                <w:sz w:val="21"/>
                <w:szCs w:val="21"/>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8" w:type="dxa"/>
            <w:noWrap w:val="0"/>
            <w:vAlign w:val="center"/>
          </w:tcPr>
          <w:p>
            <w:pPr>
              <w:ind w:left="0" w:leftChars="0" w:firstLine="0" w:firstLineChars="0"/>
              <w:jc w:val="center"/>
              <w:rPr>
                <w:rFonts w:eastAsia="仿宋_GB2312"/>
                <w:sz w:val="21"/>
                <w:szCs w:val="21"/>
                <w:highlight w:val="none"/>
              </w:rPr>
            </w:pPr>
            <w:r>
              <w:rPr>
                <w:rFonts w:eastAsia="仿宋_GB2312"/>
                <w:sz w:val="21"/>
                <w:szCs w:val="21"/>
                <w:highlight w:val="none"/>
              </w:rPr>
              <w:t>开采标高</w:t>
            </w:r>
          </w:p>
        </w:tc>
        <w:tc>
          <w:tcPr>
            <w:tcW w:w="8048" w:type="dxa"/>
            <w:gridSpan w:val="6"/>
            <w:noWrap w:val="0"/>
            <w:vAlign w:val="center"/>
          </w:tcPr>
          <w:p>
            <w:pPr>
              <w:jc w:val="center"/>
              <w:rPr>
                <w:rFonts w:eastAsia="仿宋_GB2312"/>
                <w:sz w:val="21"/>
                <w:szCs w:val="21"/>
                <w:highlight w:val="none"/>
              </w:rPr>
            </w:pPr>
            <w:r>
              <w:rPr>
                <w:rFonts w:eastAsia="仿宋_GB2312"/>
                <w:sz w:val="21"/>
                <w:szCs w:val="21"/>
                <w:highlight w:val="none"/>
              </w:rPr>
              <w:t>1</w:t>
            </w:r>
            <w:r>
              <w:rPr>
                <w:rFonts w:hint="eastAsia" w:eastAsia="仿宋_GB2312"/>
                <w:sz w:val="21"/>
                <w:szCs w:val="21"/>
                <w:highlight w:val="none"/>
              </w:rPr>
              <w:t>746</w:t>
            </w:r>
            <w:r>
              <w:rPr>
                <w:rFonts w:eastAsia="仿宋_GB2312"/>
                <w:sz w:val="21"/>
                <w:szCs w:val="21"/>
                <w:highlight w:val="none"/>
              </w:rPr>
              <w:t>-1</w:t>
            </w:r>
            <w:r>
              <w:rPr>
                <w:rFonts w:hint="eastAsia" w:eastAsia="仿宋_GB2312"/>
                <w:sz w:val="21"/>
                <w:szCs w:val="21"/>
                <w:highlight w:val="none"/>
                <w:lang w:val="en-US" w:eastAsia="zh-CN"/>
              </w:rPr>
              <w:t>6</w:t>
            </w:r>
            <w:r>
              <w:rPr>
                <w:rFonts w:hint="eastAsia" w:eastAsia="仿宋_GB2312"/>
                <w:sz w:val="21"/>
                <w:szCs w:val="21"/>
                <w:highlight w:val="none"/>
              </w:rPr>
              <w:t>8</w:t>
            </w:r>
            <w:r>
              <w:rPr>
                <w:rFonts w:eastAsia="仿宋_GB2312"/>
                <w:sz w:val="21"/>
                <w:szCs w:val="21"/>
                <w:highlight w:val="none"/>
              </w:rPr>
              <w:t>0m</w:t>
            </w:r>
          </w:p>
        </w:tc>
      </w:tr>
    </w:tbl>
    <w:p>
      <w:pPr>
        <w:pStyle w:val="17"/>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highlight w:val="none"/>
        </w:rPr>
      </w:pPr>
    </w:p>
    <w:p>
      <w:pPr>
        <w:pStyle w:val="6"/>
        <w:ind w:firstLine="482"/>
        <w:rPr>
          <w:rFonts w:cs="Times New Roman"/>
          <w:highlight w:val="none"/>
        </w:rPr>
      </w:pPr>
      <w:r>
        <w:rPr>
          <w:rFonts w:hint="eastAsia" w:cs="Times New Roman"/>
          <w:highlight w:val="none"/>
          <w:lang w:val="en-US" w:eastAsia="zh-CN"/>
        </w:rPr>
        <w:t>2</w:t>
      </w:r>
      <w:r>
        <w:rPr>
          <w:rFonts w:hint="eastAsia" w:cs="Times New Roman"/>
          <w:highlight w:val="none"/>
        </w:rPr>
        <w:t>.1.8.2矿区与周围矿权的关系</w:t>
      </w:r>
    </w:p>
    <w:p>
      <w:pPr>
        <w:ind w:firstLine="480"/>
        <w:rPr>
          <w:highlight w:val="none"/>
        </w:rPr>
      </w:pPr>
      <w:r>
        <w:rPr>
          <w:rFonts w:hint="eastAsia"/>
          <w:highlight w:val="none"/>
        </w:rPr>
        <w:t>根据现场了解及业主介绍，矿区周边300m范围内无矿权设置，也无重要工业设施等，区内无珍稀动植物分布，人烟相对稀少，区内不属于文物保护区和旅游区。</w:t>
      </w:r>
    </w:p>
    <w:p>
      <w:pPr>
        <w:ind w:firstLine="480"/>
        <w:rPr>
          <w:rFonts w:hint="eastAsia"/>
          <w:highlight w:val="none"/>
          <w:lang w:val="en-US" w:eastAsia="zh-CN"/>
        </w:rPr>
      </w:pPr>
      <w:r>
        <w:rPr>
          <w:rFonts w:hint="eastAsia"/>
          <w:highlight w:val="none"/>
        </w:rPr>
        <w:t>矿区范围处于</w:t>
      </w:r>
      <w:r>
        <w:rPr>
          <w:rFonts w:hint="eastAsia"/>
          <w:highlight w:val="none"/>
          <w:lang w:eastAsia="zh-CN"/>
        </w:rPr>
        <w:t>卡子村东</w:t>
      </w:r>
      <w:r>
        <w:rPr>
          <w:rFonts w:hint="eastAsia"/>
          <w:highlight w:val="none"/>
        </w:rPr>
        <w:t>侧，由</w:t>
      </w:r>
      <w:r>
        <w:rPr>
          <w:rFonts w:hint="eastAsia"/>
          <w:highlight w:val="none"/>
          <w:lang w:val="en-US" w:eastAsia="zh-CN"/>
        </w:rPr>
        <w:t>9</w:t>
      </w:r>
      <w:r>
        <w:rPr>
          <w:rFonts w:hint="eastAsia"/>
          <w:highlight w:val="none"/>
        </w:rPr>
        <w:t>个拐点连接组成，面积0.</w:t>
      </w:r>
      <w:r>
        <w:rPr>
          <w:rFonts w:hint="eastAsia"/>
          <w:highlight w:val="none"/>
          <w:lang w:val="en-US" w:eastAsia="zh-CN"/>
        </w:rPr>
        <w:t>095</w:t>
      </w:r>
      <w:r>
        <w:rPr>
          <w:rFonts w:hint="eastAsia"/>
          <w:highlight w:val="none"/>
        </w:rPr>
        <w:t>km</w:t>
      </w:r>
      <w:r>
        <w:rPr>
          <w:rFonts w:hint="eastAsia"/>
          <w:highlight w:val="none"/>
          <w:vertAlign w:val="superscript"/>
        </w:rPr>
        <w:t>2</w:t>
      </w:r>
      <w:r>
        <w:rPr>
          <w:rFonts w:hint="eastAsia"/>
          <w:highlight w:val="none"/>
        </w:rPr>
        <w:t>，开采标高1</w:t>
      </w:r>
      <w:r>
        <w:rPr>
          <w:rFonts w:hint="eastAsia"/>
          <w:highlight w:val="none"/>
          <w:lang w:val="en-US" w:eastAsia="zh-CN"/>
        </w:rPr>
        <w:t>746</w:t>
      </w:r>
      <w:r>
        <w:rPr>
          <w:rFonts w:hint="eastAsia"/>
          <w:highlight w:val="none"/>
        </w:rPr>
        <w:t>—1</w:t>
      </w:r>
      <w:r>
        <w:rPr>
          <w:rFonts w:hint="eastAsia"/>
          <w:highlight w:val="none"/>
          <w:lang w:val="en-US" w:eastAsia="zh-CN"/>
        </w:rPr>
        <w:t>680</w:t>
      </w:r>
      <w:r>
        <w:rPr>
          <w:rFonts w:hint="eastAsia"/>
          <w:highlight w:val="none"/>
        </w:rPr>
        <w:t>m，与其它矿业权无交叉、重叠等越</w:t>
      </w:r>
      <w:r>
        <w:rPr>
          <w:rFonts w:hint="eastAsia"/>
          <w:color w:val="auto"/>
          <w:highlight w:val="none"/>
        </w:rPr>
        <w:t>权现象</w:t>
      </w:r>
      <w:r>
        <w:rPr>
          <w:rFonts w:hint="eastAsia"/>
          <w:color w:val="auto"/>
          <w:highlight w:val="none"/>
          <w:lang w:eastAsia="zh-CN"/>
        </w:rPr>
        <w:t>，</w:t>
      </w:r>
      <w:r>
        <w:rPr>
          <w:rFonts w:hint="eastAsia"/>
          <w:color w:val="auto"/>
          <w:highlight w:val="none"/>
        </w:rPr>
        <w:t>满足</w:t>
      </w:r>
      <w:r>
        <w:rPr>
          <w:rFonts w:hint="eastAsia"/>
          <w:highlight w:val="none"/>
        </w:rPr>
        <w:t>《云南省人民政府关于促进非煤矿山转型升级的实施 意见》（云政发</w:t>
      </w:r>
      <w:r>
        <w:rPr>
          <w:rFonts w:hint="eastAsia"/>
          <w:highlight w:val="none"/>
          <w:lang w:val="en-US" w:eastAsia="zh-CN"/>
        </w:rPr>
        <w:t>[</w:t>
      </w:r>
      <w:r>
        <w:rPr>
          <w:rFonts w:hint="eastAsia"/>
          <w:highlight w:val="none"/>
        </w:rPr>
        <w:t>2015</w:t>
      </w:r>
      <w:r>
        <w:rPr>
          <w:rFonts w:hint="eastAsia"/>
          <w:highlight w:val="none"/>
          <w:lang w:val="en-US" w:eastAsia="zh-CN"/>
        </w:rPr>
        <w:t>]</w:t>
      </w:r>
      <w:r>
        <w:rPr>
          <w:rFonts w:hint="eastAsia"/>
          <w:highlight w:val="none"/>
        </w:rPr>
        <w:t>38 号，2015 年 6 月 1 日）要求</w:t>
      </w:r>
      <w:r>
        <w:rPr>
          <w:rFonts w:hint="eastAsia"/>
          <w:highlight w:val="none"/>
          <w:lang w:eastAsia="zh-CN"/>
        </w:rPr>
        <w:t>，项目划定矿区范围示意图见图</w:t>
      </w:r>
      <w:r>
        <w:rPr>
          <w:rFonts w:hint="eastAsia"/>
          <w:highlight w:val="none"/>
          <w:lang w:val="en-US" w:eastAsia="zh-CN"/>
        </w:rPr>
        <w:t>2.1-1及矿业权关系图2.1-2。</w:t>
      </w:r>
    </w:p>
    <w:p>
      <w:pPr>
        <w:ind w:firstLine="480"/>
        <w:jc w:val="center"/>
        <w:rPr>
          <w:rFonts w:hint="eastAsia" w:eastAsia="仿宋_GB2312"/>
          <w:b/>
          <w:bCs/>
          <w:highlight w:val="none"/>
          <w:lang w:val="en-US" w:eastAsia="zh-CN"/>
        </w:rPr>
      </w:pPr>
      <w:r>
        <w:rPr>
          <w:rFonts w:hint="eastAsia" w:eastAsia="仿宋_GB2312"/>
          <w:highlight w:val="none"/>
        </w:rPr>
        <w:drawing>
          <wp:inline distT="0" distB="0" distL="114300" distR="114300">
            <wp:extent cx="5822950" cy="8234680"/>
            <wp:effectExtent l="0" t="0" r="6350" b="13970"/>
            <wp:docPr id="4" name="图片 6" descr="砚山县倮基黑卡子凹塘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砚山县倮基黑卡子凹塘 Model (1)"/>
                    <pic:cNvPicPr>
                      <a:picLocks noChangeAspect="1"/>
                    </pic:cNvPicPr>
                  </pic:nvPicPr>
                  <pic:blipFill>
                    <a:blip r:embed="rId11"/>
                    <a:stretch>
                      <a:fillRect/>
                    </a:stretch>
                  </pic:blipFill>
                  <pic:spPr>
                    <a:xfrm>
                      <a:off x="0" y="0"/>
                      <a:ext cx="5822950" cy="8234680"/>
                    </a:xfrm>
                    <a:prstGeom prst="rect">
                      <a:avLst/>
                    </a:prstGeom>
                    <a:noFill/>
                    <a:ln>
                      <a:noFill/>
                    </a:ln>
                  </pic:spPr>
                </pic:pic>
              </a:graphicData>
            </a:graphic>
          </wp:inline>
        </w:drawing>
      </w:r>
      <w:r>
        <w:rPr>
          <w:rFonts w:hint="eastAsia" w:eastAsia="仿宋_GB2312"/>
          <w:b/>
          <w:bCs/>
          <w:highlight w:val="none"/>
          <w:lang w:eastAsia="zh-CN"/>
        </w:rPr>
        <w:t>图</w:t>
      </w:r>
      <w:r>
        <w:rPr>
          <w:rFonts w:hint="eastAsia" w:eastAsia="仿宋_GB2312"/>
          <w:b/>
          <w:bCs/>
          <w:highlight w:val="none"/>
          <w:lang w:val="en-US" w:eastAsia="zh-CN"/>
        </w:rPr>
        <w:t>2.1-1  原矿区范围与划定范围矿区范围示意图</w:t>
      </w:r>
    </w:p>
    <w:p>
      <w:pPr>
        <w:ind w:firstLine="480"/>
        <w:jc w:val="center"/>
        <w:rPr>
          <w:rFonts w:hint="eastAsia" w:eastAsia="仿宋_GB2312"/>
          <w:b/>
          <w:bCs/>
          <w:highlight w:val="none"/>
          <w:lang w:val="en-US" w:eastAsia="zh-CN"/>
        </w:rPr>
      </w:pPr>
      <w:r>
        <w:rPr>
          <w:rFonts w:ascii="宋体" w:hAnsi="宋体" w:eastAsia="宋体"/>
          <w:b/>
          <w:sz w:val="21"/>
          <w:szCs w:val="21"/>
          <w:highlight w:val="none"/>
        </w:rPr>
        <w:drawing>
          <wp:inline distT="0" distB="0" distL="114300" distR="114300">
            <wp:extent cx="5878830" cy="4544695"/>
            <wp:effectExtent l="0" t="0" r="7620" b="8255"/>
            <wp:docPr id="6" name="图片 7" descr="插图-Model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插图-Model副本"/>
                    <pic:cNvPicPr>
                      <a:picLocks noChangeAspect="1"/>
                    </pic:cNvPicPr>
                  </pic:nvPicPr>
                  <pic:blipFill>
                    <a:blip r:embed="rId12"/>
                    <a:srcRect l="4085" t="25020" r="4274" b="25005"/>
                    <a:stretch>
                      <a:fillRect/>
                    </a:stretch>
                  </pic:blipFill>
                  <pic:spPr>
                    <a:xfrm>
                      <a:off x="0" y="0"/>
                      <a:ext cx="5878830" cy="4544695"/>
                    </a:xfrm>
                    <a:prstGeom prst="rect">
                      <a:avLst/>
                    </a:prstGeom>
                    <a:noFill/>
                    <a:ln>
                      <a:noFill/>
                    </a:ln>
                  </pic:spPr>
                </pic:pic>
              </a:graphicData>
            </a:graphic>
          </wp:inline>
        </w:drawing>
      </w:r>
    </w:p>
    <w:p>
      <w:pPr>
        <w:ind w:firstLine="480"/>
        <w:jc w:val="center"/>
        <w:rPr>
          <w:rFonts w:hint="default" w:ascii="Times New Roman" w:hAnsi="Times New Roman"/>
          <w:highlight w:val="none"/>
          <w:lang w:val="en-US"/>
        </w:rPr>
      </w:pPr>
      <w:r>
        <w:rPr>
          <w:rFonts w:hint="eastAsia" w:eastAsia="仿宋_GB2312"/>
          <w:b/>
          <w:bCs/>
          <w:highlight w:val="none"/>
          <w:lang w:val="en-US" w:eastAsia="zh-CN"/>
        </w:rPr>
        <w:t>图2.1-2  项目矿山矿业权关系图</w:t>
      </w:r>
    </w:p>
    <w:p>
      <w:pPr>
        <w:pStyle w:val="6"/>
        <w:ind w:firstLine="482"/>
        <w:rPr>
          <w:rFonts w:cs="Times New Roman"/>
          <w:highlight w:val="none"/>
        </w:rPr>
      </w:pPr>
      <w:r>
        <w:rPr>
          <w:rFonts w:hint="eastAsia" w:cs="Times New Roman"/>
          <w:highlight w:val="none"/>
          <w:lang w:val="en-US" w:eastAsia="zh-CN"/>
        </w:rPr>
        <w:t>2</w:t>
      </w:r>
      <w:r>
        <w:rPr>
          <w:rFonts w:hint="eastAsia" w:cs="Times New Roman"/>
          <w:highlight w:val="none"/>
        </w:rPr>
        <w:t>.1.8.3矿区资源储量</w:t>
      </w:r>
    </w:p>
    <w:p>
      <w:pPr>
        <w:pStyle w:val="17"/>
        <w:ind w:firstLine="480"/>
        <w:rPr>
          <w:rFonts w:hint="eastAsia" w:ascii="Times New Roman" w:hAnsi="Times New Roman"/>
          <w:highlight w:val="none"/>
        </w:rPr>
      </w:pPr>
      <w:r>
        <w:rPr>
          <w:rFonts w:hint="eastAsia" w:ascii="Times New Roman" w:hAnsi="Times New Roman"/>
          <w:highlight w:val="none"/>
        </w:rPr>
        <w:t>根据《</w:t>
      </w:r>
      <w:r>
        <w:rPr>
          <w:rFonts w:hint="eastAsia" w:ascii="Times New Roman" w:hAnsi="Times New Roman"/>
          <w:highlight w:val="none"/>
          <w:lang w:eastAsia="zh-CN"/>
        </w:rPr>
        <w:t>云南省砚山县倮基黑卡子凹塘普通建筑材料用灰岩矿资源储量核实报告</w:t>
      </w:r>
      <w:r>
        <w:rPr>
          <w:rFonts w:hint="eastAsia" w:ascii="Times New Roman" w:hAnsi="Times New Roman"/>
          <w:highlight w:val="none"/>
        </w:rPr>
        <w:t>》（201</w:t>
      </w:r>
      <w:r>
        <w:rPr>
          <w:rFonts w:hint="eastAsia" w:ascii="Times New Roman" w:hAnsi="Times New Roman"/>
          <w:highlight w:val="none"/>
          <w:lang w:val="en-US" w:eastAsia="zh-CN"/>
        </w:rPr>
        <w:t>9</w:t>
      </w:r>
      <w:r>
        <w:rPr>
          <w:rFonts w:hint="eastAsia" w:ascii="Times New Roman" w:hAnsi="Times New Roman"/>
          <w:highlight w:val="none"/>
        </w:rPr>
        <w:t>年）</w:t>
      </w:r>
      <w:r>
        <w:rPr>
          <w:rFonts w:hint="eastAsia" w:ascii="Times New Roman" w:hAnsi="Times New Roman"/>
          <w:highlight w:val="none"/>
          <w:lang w:eastAsia="zh-CN"/>
        </w:rPr>
        <w:t>，</w:t>
      </w:r>
      <w:r>
        <w:rPr>
          <w:rFonts w:hint="eastAsia" w:ascii="Times New Roman" w:hAnsi="Times New Roman"/>
          <w:color w:val="auto"/>
          <w:highlight w:val="none"/>
        </w:rPr>
        <w:t>在</w:t>
      </w:r>
      <w:r>
        <w:rPr>
          <w:rFonts w:hint="eastAsia" w:ascii="Times New Roman" w:hAnsi="Times New Roman"/>
          <w:color w:val="auto"/>
          <w:highlight w:val="none"/>
          <w:lang w:eastAsia="zh-CN"/>
        </w:rPr>
        <w:t>采矿权</w:t>
      </w:r>
      <w:r>
        <w:rPr>
          <w:rFonts w:hint="eastAsia" w:ascii="Times New Roman" w:hAnsi="Times New Roman"/>
          <w:color w:val="auto"/>
          <w:highlight w:val="none"/>
        </w:rPr>
        <w:t>范围内</w:t>
      </w:r>
      <w:r>
        <w:rPr>
          <w:rFonts w:hint="eastAsia" w:ascii="Times New Roman" w:hAnsi="Times New Roman"/>
          <w:color w:val="auto"/>
          <w:highlight w:val="none"/>
          <w:lang w:eastAsia="zh-CN"/>
        </w:rPr>
        <w:t>的122b类石灰岩矿矿石保有资源储量为548.44万m</w:t>
      </w:r>
      <w:r>
        <w:rPr>
          <w:rFonts w:hint="eastAsia" w:ascii="Times New Roman" w:hAnsi="Times New Roman"/>
          <w:color w:val="auto"/>
          <w:highlight w:val="none"/>
          <w:vertAlign w:val="superscript"/>
          <w:lang w:eastAsia="zh-CN"/>
        </w:rPr>
        <w:t>3</w:t>
      </w:r>
      <w:r>
        <w:rPr>
          <w:rFonts w:hint="eastAsia" w:ascii="Times New Roman" w:hAnsi="Times New Roman"/>
          <w:color w:val="auto"/>
          <w:highlight w:val="none"/>
          <w:lang w:eastAsia="zh-CN"/>
        </w:rPr>
        <w:t>(1371.10万t)。本次矿山设计利用资源储量为保有资源储量的部分（开采标高</w:t>
      </w:r>
      <w:r>
        <w:rPr>
          <w:rFonts w:hint="eastAsia" w:ascii="Times New Roman" w:hAnsi="Times New Roman"/>
          <w:color w:val="auto"/>
          <w:highlight w:val="none"/>
          <w:lang w:val="en-US" w:eastAsia="zh-CN"/>
        </w:rPr>
        <w:t>1746m-1680m</w:t>
      </w:r>
      <w:r>
        <w:rPr>
          <w:rFonts w:hint="eastAsia" w:ascii="Times New Roman" w:hAnsi="Times New Roman"/>
          <w:color w:val="auto"/>
          <w:highlight w:val="none"/>
          <w:lang w:eastAsia="zh-CN"/>
        </w:rPr>
        <w:t>）资源量199.62万m</w:t>
      </w:r>
      <w:r>
        <w:rPr>
          <w:rFonts w:hint="eastAsia" w:ascii="Times New Roman" w:hAnsi="Times New Roman"/>
          <w:color w:val="auto"/>
          <w:highlight w:val="none"/>
          <w:vertAlign w:val="superscript"/>
          <w:lang w:eastAsia="zh-CN"/>
        </w:rPr>
        <w:t>3</w:t>
      </w:r>
      <w:r>
        <w:rPr>
          <w:rFonts w:hint="eastAsia" w:ascii="Times New Roman" w:hAnsi="Times New Roman"/>
          <w:color w:val="auto"/>
          <w:highlight w:val="none"/>
          <w:lang w:eastAsia="zh-CN"/>
        </w:rPr>
        <w:t>(299.05万t)</w:t>
      </w:r>
      <w:r>
        <w:rPr>
          <w:rFonts w:hint="eastAsia" w:ascii="Times New Roman" w:hAnsi="Times New Roman"/>
          <w:color w:val="auto"/>
          <w:highlight w:val="none"/>
        </w:rPr>
        <w:t>，设计损失资源储量(122b类)为33.79万m</w:t>
      </w:r>
      <w:r>
        <w:rPr>
          <w:rFonts w:hint="eastAsia" w:ascii="Times New Roman" w:hAnsi="Times New Roman"/>
          <w:color w:val="auto"/>
          <w:highlight w:val="none"/>
          <w:vertAlign w:val="superscript"/>
        </w:rPr>
        <w:t>3</w:t>
      </w:r>
      <w:r>
        <w:rPr>
          <w:rFonts w:hint="eastAsia" w:ascii="Times New Roman" w:hAnsi="Times New Roman"/>
          <w:color w:val="auto"/>
          <w:highlight w:val="none"/>
        </w:rPr>
        <w:t>(84.47万t)，矿山预可采资源储量(122类资源储量)为81.54万m</w:t>
      </w:r>
      <w:r>
        <w:rPr>
          <w:rFonts w:hint="eastAsia" w:ascii="Times New Roman" w:hAnsi="Times New Roman"/>
          <w:color w:val="auto"/>
          <w:highlight w:val="none"/>
          <w:vertAlign w:val="superscript"/>
        </w:rPr>
        <w:t>3</w:t>
      </w:r>
      <w:r>
        <w:rPr>
          <w:rFonts w:hint="eastAsia" w:ascii="Times New Roman" w:hAnsi="Times New Roman"/>
          <w:color w:val="auto"/>
          <w:highlight w:val="none"/>
        </w:rPr>
        <w:t>(203.85万t)</w:t>
      </w:r>
      <w:r>
        <w:rPr>
          <w:rFonts w:hint="eastAsia" w:ascii="Times New Roman" w:hAnsi="Times New Roman"/>
          <w:highlight w:val="none"/>
        </w:rPr>
        <w:t>。</w:t>
      </w:r>
    </w:p>
    <w:p>
      <w:pPr>
        <w:pStyle w:val="6"/>
        <w:ind w:firstLine="482"/>
        <w:rPr>
          <w:rFonts w:cs="Times New Roman"/>
          <w:highlight w:val="none"/>
        </w:rPr>
      </w:pPr>
      <w:r>
        <w:rPr>
          <w:rFonts w:hint="eastAsia" w:cs="Times New Roman"/>
          <w:highlight w:val="none"/>
        </w:rPr>
        <w:t>3.1.8.4矿区资源特征</w:t>
      </w:r>
    </w:p>
    <w:p>
      <w:pPr>
        <w:pStyle w:val="17"/>
        <w:ind w:firstLine="482"/>
        <w:rPr>
          <w:rFonts w:ascii="Times New Roman" w:hAnsi="Times New Roman"/>
          <w:b/>
          <w:bCs/>
          <w:highlight w:val="none"/>
        </w:rPr>
      </w:pPr>
      <w:r>
        <w:rPr>
          <w:rFonts w:hint="eastAsia" w:ascii="Times New Roman" w:hAnsi="Times New Roman"/>
          <w:b/>
          <w:bCs/>
          <w:highlight w:val="none"/>
        </w:rPr>
        <w:t>1）矿床特征</w:t>
      </w:r>
    </w:p>
    <w:p>
      <w:pPr>
        <w:pStyle w:val="17"/>
        <w:ind w:firstLine="480"/>
        <w:rPr>
          <w:rFonts w:ascii="Times New Roman" w:hAnsi="Times New Roman"/>
          <w:highlight w:val="none"/>
        </w:rPr>
      </w:pPr>
      <w:r>
        <w:rPr>
          <w:rFonts w:hint="eastAsia" w:ascii="宋体" w:hAnsi="宋体" w:eastAsia="宋体" w:cs="宋体"/>
          <w:sz w:val="24"/>
          <w:szCs w:val="24"/>
          <w:highlight w:val="none"/>
        </w:rPr>
        <w:t>矿体属沉积型碳酸盐岩类普通建筑材料用灰岩矿床，为一套浅海相厚层隐晶灰岩，矿体赋存于三叠系中统个旧组第二段（T</w:t>
      </w:r>
      <w:r>
        <w:rPr>
          <w:rFonts w:hint="eastAsia" w:ascii="宋体" w:hAnsi="宋体" w:eastAsia="宋体" w:cs="宋体"/>
          <w:sz w:val="24"/>
          <w:szCs w:val="24"/>
          <w:highlight w:val="none"/>
          <w:vertAlign w:val="subscript"/>
        </w:rPr>
        <w:t>2</w:t>
      </w:r>
      <w:r>
        <w:rPr>
          <w:rFonts w:hint="eastAsia" w:ascii="宋体" w:hAnsi="宋体" w:eastAsia="宋体" w:cs="宋体"/>
          <w:sz w:val="24"/>
          <w:szCs w:val="24"/>
          <w:highlight w:val="none"/>
        </w:rPr>
        <w:t>g</w:t>
      </w:r>
      <w:r>
        <w:rPr>
          <w:rFonts w:hint="eastAsia" w:ascii="宋体" w:hAnsi="宋体" w:eastAsia="宋体" w:cs="宋体"/>
          <w:sz w:val="24"/>
          <w:szCs w:val="24"/>
          <w:highlight w:val="none"/>
          <w:vertAlign w:val="superscript"/>
        </w:rPr>
        <w:t>b</w:t>
      </w:r>
      <w:r>
        <w:rPr>
          <w:rFonts w:hint="eastAsia" w:ascii="宋体" w:hAnsi="宋体" w:eastAsia="宋体" w:cs="宋体"/>
          <w:sz w:val="24"/>
          <w:szCs w:val="24"/>
          <w:highlight w:val="none"/>
        </w:rPr>
        <w:t>），呈中～厚层状产出，厚度较大，倾向304°，倾角21°；矿体完整连续。矿体厚度大，延伸长，均超出矿界之外。矿区范围内矿体无顶、底板及夹石</w:t>
      </w:r>
      <w:r>
        <w:rPr>
          <w:rFonts w:hint="eastAsia" w:ascii="Times New Roman" w:hAnsi="Times New Roman"/>
          <w:highlight w:val="none"/>
        </w:rPr>
        <w:t>。</w:t>
      </w:r>
    </w:p>
    <w:p>
      <w:pPr>
        <w:pStyle w:val="17"/>
        <w:ind w:firstLine="482"/>
        <w:rPr>
          <w:rFonts w:ascii="Times New Roman" w:hAnsi="Times New Roman"/>
          <w:b/>
          <w:bCs/>
          <w:highlight w:val="none"/>
        </w:rPr>
      </w:pPr>
      <w:r>
        <w:rPr>
          <w:rFonts w:hint="eastAsia" w:ascii="Times New Roman" w:hAnsi="Times New Roman"/>
          <w:b/>
          <w:bCs/>
          <w:highlight w:val="none"/>
        </w:rPr>
        <w:t>2）矿石质量</w:t>
      </w:r>
    </w:p>
    <w:p>
      <w:pPr>
        <w:pStyle w:val="163"/>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 xml:space="preserve"> 矿石结构</w:t>
      </w:r>
    </w:p>
    <w:p>
      <w:pPr>
        <w:keepNext w:val="0"/>
        <w:keepLines w:val="0"/>
        <w:pageBreakBefore w:val="0"/>
        <w:tabs>
          <w:tab w:val="left" w:pos="3660"/>
        </w:tabs>
        <w:kinsoku/>
        <w:wordWrap/>
        <w:overflowPunct/>
        <w:topLinePunct w:val="0"/>
        <w:autoSpaceDE/>
        <w:autoSpaceDN/>
        <w:bidi w:val="0"/>
        <w:spacing w:line="360" w:lineRule="auto"/>
        <w:ind w:firstLine="360" w:firstLineChars="15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矿石结构:区内矿石以粉晶结构为主，少量细晶及鲕粒状结构。该矿山矿石矿物主要由方解石，少量白云石，微量石英碎屑及生物碎屑组成。矿石矿物成分和特征如下。</w:t>
      </w:r>
    </w:p>
    <w:p>
      <w:pPr>
        <w:keepNext w:val="0"/>
        <w:keepLines w:val="0"/>
        <w:pageBreakBefore w:val="0"/>
        <w:tabs>
          <w:tab w:val="left" w:pos="3660"/>
        </w:tabs>
        <w:kinsoku/>
        <w:wordWrap/>
        <w:overflowPunct/>
        <w:topLinePunct w:val="0"/>
        <w:autoSpaceDE/>
        <w:autoSpaceDN/>
        <w:bidi w:val="0"/>
        <w:spacing w:line="360" w:lineRule="auto"/>
        <w:ind w:firstLine="360" w:firstLineChars="15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（1）方解石：①原生沉积方解石，粒径0.01毫米，常有重结晶现象, 重结晶多为镶嵌状、团块状、粒状产出；②后期方解石，沿裂隙充填 的重结晶方解石，呈脉状，局部网脉状，脉宽1-10毫米，其颗粒状结 晶大小与裂隙的宽窄有关，宽者粗大，窄者细小。</w:t>
      </w:r>
    </w:p>
    <w:p>
      <w:pPr>
        <w:keepNext w:val="0"/>
        <w:keepLines w:val="0"/>
        <w:pageBreakBefore w:val="0"/>
        <w:tabs>
          <w:tab w:val="left" w:pos="3660"/>
        </w:tabs>
        <w:kinsoku/>
        <w:wordWrap/>
        <w:overflowPunct/>
        <w:topLinePunct w:val="0"/>
        <w:autoSpaceDE/>
        <w:autoSpaceDN/>
        <w:bidi w:val="0"/>
        <w:spacing w:line="360" w:lineRule="auto"/>
        <w:ind w:firstLine="360" w:firstLineChars="15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 白云石：粒径0.01毫米，常以镶嵌状、团块状、粒状产出。</w:t>
      </w:r>
    </w:p>
    <w:p>
      <w:pPr>
        <w:keepNext w:val="0"/>
        <w:keepLines w:val="0"/>
        <w:pageBreakBefore w:val="0"/>
        <w:tabs>
          <w:tab w:val="left" w:pos="3660"/>
        </w:tabs>
        <w:kinsoku/>
        <w:wordWrap/>
        <w:overflowPunct/>
        <w:topLinePunct w:val="0"/>
        <w:autoSpaceDE/>
        <w:autoSpaceDN/>
        <w:bidi w:val="0"/>
        <w:spacing w:line="360" w:lineRule="auto"/>
        <w:ind w:firstLine="360" w:firstLineChars="15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 石英：呈硅质断续条带出现或不规则粒状、碎块状，灰黑、黑色，长0.5-l厘米，不规则粒状石英粒度0.15米/米，少量属后期石英脉。</w:t>
      </w:r>
    </w:p>
    <w:p>
      <w:pPr>
        <w:keepNext w:val="0"/>
        <w:keepLines w:val="0"/>
        <w:pageBreakBefore w:val="0"/>
        <w:tabs>
          <w:tab w:val="left" w:pos="3660"/>
        </w:tabs>
        <w:kinsoku/>
        <w:wordWrap/>
        <w:overflowPunct/>
        <w:topLinePunct w:val="0"/>
        <w:autoSpaceDE/>
        <w:autoSpaceDN/>
        <w:bidi w:val="0"/>
        <w:spacing w:line="360" w:lineRule="auto"/>
        <w:ind w:firstLine="360" w:firstLineChars="15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 生物碎屑：大小不等，粒径0.5-1.2毫米，呈圆状、椭圆状、 管状、肠状及不规则状，充填物为微晶方解石及亮晶方解石、化石以 珊瑚和层孔虫化石。</w:t>
      </w:r>
    </w:p>
    <w:p>
      <w:pPr>
        <w:pStyle w:val="163"/>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 xml:space="preserve"> 矿石化学成分</w:t>
      </w:r>
    </w:p>
    <w:p>
      <w:pPr>
        <w:keepNext w:val="0"/>
        <w:keepLines w:val="0"/>
        <w:pageBreakBefore w:val="0"/>
        <w:kinsoku/>
        <w:wordWrap/>
        <w:overflowPunct/>
        <w:topLinePunct w:val="0"/>
        <w:autoSpaceDE/>
        <w:autoSpaceDN/>
        <w:bidi w:val="0"/>
        <w:adjustRightInd w:val="0"/>
        <w:snapToGrid w:val="0"/>
        <w:spacing w:line="360" w:lineRule="auto"/>
        <w:ind w:firstLine="360" w:firstLineChars="150"/>
        <w:textAlignment w:val="auto"/>
        <w:rPr>
          <w:rFonts w:eastAsia="仿宋_GB2312"/>
          <w:sz w:val="24"/>
          <w:szCs w:val="24"/>
          <w:highlight w:val="none"/>
        </w:rPr>
      </w:pPr>
      <w:bookmarkStart w:id="314" w:name="bookmark20"/>
      <w:r>
        <w:rPr>
          <w:rFonts w:hint="eastAsia" w:ascii="宋体" w:hAnsi="宋体" w:eastAsia="宋体" w:cs="宋体"/>
          <w:sz w:val="24"/>
          <w:szCs w:val="24"/>
          <w:highlight w:val="none"/>
        </w:rPr>
        <w:t>根据以往地质报告，结合区域资料和采矿历史看，矿体厚度和质量较稳定，为灰白色厚层状、块状灰岩。有害杂质较低，类比同类型矿山及以往地质资料，</w:t>
      </w:r>
      <w:bookmarkEnd w:id="314"/>
      <w:r>
        <w:rPr>
          <w:rFonts w:hint="eastAsia" w:ascii="宋体" w:hAnsi="宋体" w:eastAsia="宋体" w:cs="宋体"/>
          <w:sz w:val="24"/>
          <w:szCs w:val="24"/>
          <w:highlight w:val="none"/>
        </w:rPr>
        <w:t>矿石主要成分为氧化钙（CaO），局部地段含氧化镁（MgO），为硅质胶结。其中CaO含量为54.5%，MgO含量为1.04%，SiO</w:t>
      </w:r>
      <w:r>
        <w:rPr>
          <w:rFonts w:hint="eastAsia" w:ascii="宋体" w:hAnsi="宋体" w:eastAsia="宋体" w:cs="宋体"/>
          <w:sz w:val="24"/>
          <w:szCs w:val="24"/>
          <w:highlight w:val="none"/>
          <w:vertAlign w:val="subscript"/>
        </w:rPr>
        <w:t>2</w:t>
      </w:r>
      <w:r>
        <w:rPr>
          <w:rFonts w:hint="eastAsia" w:ascii="宋体" w:hAnsi="宋体" w:eastAsia="宋体" w:cs="宋体"/>
          <w:sz w:val="24"/>
          <w:szCs w:val="24"/>
          <w:highlight w:val="none"/>
        </w:rPr>
        <w:t>含量为0.36%，Fe</w:t>
      </w:r>
      <w:r>
        <w:rPr>
          <w:rFonts w:hint="eastAsia" w:ascii="宋体" w:hAnsi="宋体" w:eastAsia="宋体" w:cs="宋体"/>
          <w:sz w:val="24"/>
          <w:szCs w:val="24"/>
          <w:highlight w:val="none"/>
          <w:vertAlign w:val="subscript"/>
        </w:rPr>
        <w:t>2</w:t>
      </w:r>
      <w:r>
        <w:rPr>
          <w:rFonts w:hint="eastAsia" w:ascii="宋体" w:hAnsi="宋体" w:eastAsia="宋体" w:cs="宋体"/>
          <w:sz w:val="24"/>
          <w:szCs w:val="24"/>
          <w:highlight w:val="none"/>
        </w:rPr>
        <w:t>O</w:t>
      </w:r>
      <w:r>
        <w:rPr>
          <w:rFonts w:hint="eastAsia" w:ascii="宋体" w:hAnsi="宋体" w:eastAsia="宋体" w:cs="宋体"/>
          <w:sz w:val="24"/>
          <w:szCs w:val="24"/>
          <w:highlight w:val="none"/>
          <w:vertAlign w:val="subscript"/>
        </w:rPr>
        <w:t>3</w:t>
      </w:r>
      <w:r>
        <w:rPr>
          <w:rFonts w:hint="eastAsia" w:ascii="宋体" w:hAnsi="宋体" w:eastAsia="宋体" w:cs="宋体"/>
          <w:sz w:val="24"/>
          <w:szCs w:val="24"/>
          <w:highlight w:val="none"/>
        </w:rPr>
        <w:t>含量为0.15%，AL</w:t>
      </w:r>
      <w:r>
        <w:rPr>
          <w:rFonts w:hint="eastAsia" w:ascii="宋体" w:hAnsi="宋体" w:eastAsia="宋体" w:cs="宋体"/>
          <w:sz w:val="24"/>
          <w:szCs w:val="24"/>
          <w:highlight w:val="none"/>
          <w:vertAlign w:val="subscript"/>
        </w:rPr>
        <w:t>2</w:t>
      </w:r>
      <w:r>
        <w:rPr>
          <w:rFonts w:hint="eastAsia" w:ascii="宋体" w:hAnsi="宋体" w:eastAsia="宋体" w:cs="宋体"/>
          <w:sz w:val="24"/>
          <w:szCs w:val="24"/>
          <w:highlight w:val="none"/>
        </w:rPr>
        <w:t>O</w:t>
      </w:r>
      <w:r>
        <w:rPr>
          <w:rFonts w:hint="eastAsia" w:ascii="宋体" w:hAnsi="宋体" w:eastAsia="宋体" w:cs="宋体"/>
          <w:sz w:val="24"/>
          <w:szCs w:val="24"/>
          <w:highlight w:val="none"/>
          <w:vertAlign w:val="subscript"/>
        </w:rPr>
        <w:t>3</w:t>
      </w:r>
      <w:r>
        <w:rPr>
          <w:rFonts w:hint="eastAsia" w:ascii="宋体" w:hAnsi="宋体" w:eastAsia="宋体" w:cs="宋体"/>
          <w:sz w:val="24"/>
          <w:szCs w:val="24"/>
          <w:highlight w:val="none"/>
        </w:rPr>
        <w:t>含量为0.08%。原岩含水率0.22%，密度2.56g/cm</w:t>
      </w:r>
      <w:r>
        <w:rPr>
          <w:rFonts w:hint="eastAsia" w:ascii="宋体" w:hAnsi="宋体" w:eastAsia="宋体" w:cs="宋体"/>
          <w:sz w:val="24"/>
          <w:szCs w:val="24"/>
          <w:highlight w:val="none"/>
          <w:vertAlign w:val="superscript"/>
        </w:rPr>
        <w:t>3</w:t>
      </w:r>
      <w:r>
        <w:rPr>
          <w:rFonts w:hint="eastAsia" w:ascii="宋体" w:hAnsi="宋体" w:eastAsia="宋体" w:cs="宋体"/>
          <w:sz w:val="24"/>
          <w:szCs w:val="24"/>
          <w:highlight w:val="none"/>
        </w:rPr>
        <w:t>,比重2.52，孔隙比0.056，空隙率5.4，浸水抗压强度11.29-26.25Mpa,自然风干样抗压强度24.69-30.6 Mpa。总体来看化学成分稳定，CaO均大于48%，MgO含量小于3%，其他有害组分含量较低。</w:t>
      </w:r>
    </w:p>
    <w:p>
      <w:pPr>
        <w:pStyle w:val="163"/>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 xml:space="preserve"> 矿石有益、有害组分</w:t>
      </w:r>
    </w:p>
    <w:p>
      <w:pPr>
        <w:pStyle w:val="17"/>
        <w:keepNext w:val="0"/>
        <w:keepLines w:val="0"/>
        <w:pageBreakBefore w:val="0"/>
        <w:kinsoku/>
        <w:wordWrap/>
        <w:overflowPunct/>
        <w:topLinePunct w:val="0"/>
        <w:autoSpaceDE/>
        <w:autoSpaceDN/>
        <w:bidi w:val="0"/>
        <w:spacing w:line="360" w:lineRule="auto"/>
        <w:ind w:firstLine="480"/>
        <w:textAlignment w:val="auto"/>
        <w:rPr>
          <w:rFonts w:ascii="Times New Roman" w:hAnsi="Times New Roman"/>
          <w:highlight w:val="none"/>
        </w:rPr>
      </w:pPr>
      <w:r>
        <w:rPr>
          <w:rFonts w:hint="eastAsia" w:ascii="宋体" w:hAnsi="宋体" w:eastAsia="宋体" w:cs="宋体"/>
          <w:sz w:val="24"/>
          <w:szCs w:val="24"/>
          <w:highlight w:val="none"/>
        </w:rPr>
        <w:t>矿体为三叠系中统个旧组第二段（T</w:t>
      </w:r>
      <w:r>
        <w:rPr>
          <w:rFonts w:hint="eastAsia" w:ascii="宋体" w:hAnsi="宋体" w:eastAsia="宋体" w:cs="宋体"/>
          <w:sz w:val="24"/>
          <w:szCs w:val="24"/>
          <w:highlight w:val="none"/>
          <w:vertAlign w:val="subscript"/>
        </w:rPr>
        <w:t>2</w:t>
      </w:r>
      <w:r>
        <w:rPr>
          <w:rFonts w:hint="eastAsia" w:ascii="宋体" w:hAnsi="宋体" w:eastAsia="宋体" w:cs="宋体"/>
          <w:sz w:val="24"/>
          <w:szCs w:val="24"/>
          <w:highlight w:val="none"/>
        </w:rPr>
        <w:t>g</w:t>
      </w:r>
      <w:r>
        <w:rPr>
          <w:rFonts w:hint="eastAsia" w:ascii="宋体" w:hAnsi="宋体" w:eastAsia="宋体" w:cs="宋体"/>
          <w:sz w:val="24"/>
          <w:szCs w:val="24"/>
          <w:highlight w:val="none"/>
          <w:vertAlign w:val="superscript"/>
        </w:rPr>
        <w:t>b</w:t>
      </w:r>
      <w:r>
        <w:rPr>
          <w:rFonts w:hint="eastAsia" w:ascii="宋体" w:hAnsi="宋体" w:eastAsia="宋体" w:cs="宋体"/>
          <w:sz w:val="24"/>
          <w:szCs w:val="24"/>
          <w:highlight w:val="none"/>
        </w:rPr>
        <w:t>）</w:t>
      </w:r>
      <w:r>
        <w:rPr>
          <w:rFonts w:hint="eastAsia" w:ascii="宋体" w:hAnsi="宋体" w:eastAsia="宋体" w:cs="宋体"/>
          <w:bCs/>
          <w:sz w:val="24"/>
          <w:szCs w:val="24"/>
          <w:highlight w:val="none"/>
        </w:rPr>
        <w:t>地层</w:t>
      </w:r>
      <w:r>
        <w:rPr>
          <w:rFonts w:hint="eastAsia" w:ascii="宋体" w:hAnsi="宋体" w:eastAsia="宋体" w:cs="宋体"/>
          <w:sz w:val="24"/>
          <w:szCs w:val="24"/>
          <w:highlight w:val="none"/>
        </w:rPr>
        <w:t>中的海相沉积型石灰岩矿床。矿床成因、成矿特点、区域地质资料均说明：此类矿床具有质纯，放射性低，S、P、As等元素及有害气体含量低，化学成分稳定的特点；矿床内亦未发现有益元素。附近矿山作为普通建筑材料开采、使用多年，实践也说明此类矿石质量符合普通建筑材料标准</w:t>
      </w:r>
      <w:r>
        <w:rPr>
          <w:rFonts w:hint="eastAsia" w:ascii="Times New Roman" w:hAnsi="Times New Roman"/>
          <w:highlight w:val="none"/>
        </w:rPr>
        <w:t>。</w:t>
      </w:r>
    </w:p>
    <w:p>
      <w:pPr>
        <w:pStyle w:val="6"/>
        <w:ind w:firstLine="482"/>
        <w:rPr>
          <w:rFonts w:cs="Times New Roman"/>
          <w:highlight w:val="none"/>
        </w:rPr>
      </w:pPr>
      <w:r>
        <w:rPr>
          <w:rFonts w:hint="eastAsia" w:cs="Times New Roman"/>
          <w:highlight w:val="none"/>
          <w:lang w:val="en-US" w:eastAsia="zh-CN"/>
        </w:rPr>
        <w:t>2</w:t>
      </w:r>
      <w:r>
        <w:rPr>
          <w:rFonts w:hint="eastAsia" w:cs="Times New Roman"/>
          <w:highlight w:val="none"/>
        </w:rPr>
        <w:t>.1.8.5开采规模、服务年限</w:t>
      </w:r>
    </w:p>
    <w:p>
      <w:pPr>
        <w:pStyle w:val="17"/>
        <w:ind w:firstLine="480"/>
        <w:rPr>
          <w:rFonts w:ascii="Times New Roman" w:hAnsi="Times New Roman"/>
          <w:highlight w:val="none"/>
        </w:rPr>
      </w:pPr>
      <w:r>
        <w:rPr>
          <w:rFonts w:hint="eastAsia" w:ascii="Times New Roman" w:hAnsi="Times New Roman"/>
          <w:highlight w:val="none"/>
        </w:rPr>
        <w:t>开采规模：</w:t>
      </w:r>
      <w:r>
        <w:rPr>
          <w:rFonts w:hint="eastAsia" w:ascii="Times New Roman" w:hAnsi="Times New Roman"/>
          <w:highlight w:val="none"/>
          <w:lang w:val="en-US" w:eastAsia="zh-CN"/>
        </w:rPr>
        <w:t>30</w:t>
      </w:r>
      <w:r>
        <w:rPr>
          <w:rFonts w:hint="eastAsia" w:ascii="Times New Roman" w:hAnsi="Times New Roman"/>
          <w:highlight w:val="none"/>
        </w:rPr>
        <w:t>万t/a</w:t>
      </w:r>
    </w:p>
    <w:p>
      <w:pPr>
        <w:pStyle w:val="17"/>
        <w:ind w:firstLine="480"/>
        <w:rPr>
          <w:rFonts w:ascii="Times New Roman" w:hAnsi="Times New Roman"/>
          <w:highlight w:val="none"/>
        </w:rPr>
      </w:pPr>
      <w:r>
        <w:rPr>
          <w:rFonts w:ascii="Times New Roman" w:hAnsi="Times New Roman"/>
          <w:highlight w:val="none"/>
        </w:rPr>
        <w:t>服务年限：</w:t>
      </w:r>
      <w:r>
        <w:rPr>
          <w:rFonts w:hint="eastAsia" w:ascii="Times New Roman" w:hAnsi="Times New Roman"/>
          <w:highlight w:val="none"/>
          <w:lang w:val="en-US" w:eastAsia="zh-CN"/>
        </w:rPr>
        <w:t>6.8</w:t>
      </w:r>
      <w:r>
        <w:rPr>
          <w:rFonts w:ascii="Times New Roman" w:hAnsi="Times New Roman"/>
          <w:highlight w:val="none"/>
        </w:rPr>
        <w:t>年</w:t>
      </w:r>
    </w:p>
    <w:p>
      <w:pPr>
        <w:pStyle w:val="5"/>
        <w:adjustRightInd w:val="0"/>
        <w:snapToGrid w:val="0"/>
        <w:rPr>
          <w:rFonts w:hint="default"/>
          <w:sz w:val="24"/>
          <w:highlight w:val="none"/>
        </w:rPr>
      </w:pPr>
      <w:bookmarkStart w:id="315" w:name="_Toc15568"/>
      <w:r>
        <w:rPr>
          <w:rFonts w:hint="eastAsia"/>
          <w:highlight w:val="none"/>
          <w:lang w:val="en-US" w:eastAsia="zh-CN"/>
        </w:rPr>
        <w:t>2</w:t>
      </w:r>
      <w:r>
        <w:rPr>
          <w:highlight w:val="none"/>
        </w:rPr>
        <w:t>.1.8实施进度</w:t>
      </w:r>
      <w:bookmarkEnd w:id="315"/>
    </w:p>
    <w:p>
      <w:pPr>
        <w:pStyle w:val="17"/>
        <w:ind w:firstLine="480"/>
        <w:rPr>
          <w:rFonts w:ascii="Times New Roman" w:hAnsi="Times New Roman"/>
          <w:highlight w:val="none"/>
        </w:rPr>
      </w:pPr>
      <w:r>
        <w:rPr>
          <w:rFonts w:hint="eastAsia" w:ascii="Times New Roman" w:hAnsi="Times New Roman"/>
          <w:highlight w:val="none"/>
        </w:rPr>
        <w:t>实施进度周期为20</w:t>
      </w:r>
      <w:r>
        <w:rPr>
          <w:rFonts w:hint="eastAsia" w:ascii="Times New Roman" w:hAnsi="Times New Roman"/>
          <w:highlight w:val="none"/>
          <w:lang w:val="en-US" w:eastAsia="zh-CN"/>
        </w:rPr>
        <w:t>20</w:t>
      </w:r>
      <w:r>
        <w:rPr>
          <w:rFonts w:hint="eastAsia" w:ascii="Times New Roman" w:hAnsi="Times New Roman"/>
          <w:highlight w:val="none"/>
        </w:rPr>
        <w:t>年</w:t>
      </w:r>
      <w:r>
        <w:rPr>
          <w:rFonts w:hint="eastAsia" w:ascii="Times New Roman" w:hAnsi="Times New Roman"/>
          <w:highlight w:val="none"/>
          <w:lang w:val="en-US" w:eastAsia="zh-CN"/>
        </w:rPr>
        <w:t>3</w:t>
      </w:r>
      <w:r>
        <w:rPr>
          <w:rFonts w:hint="eastAsia" w:ascii="Times New Roman" w:hAnsi="Times New Roman"/>
          <w:highlight w:val="none"/>
        </w:rPr>
        <w:t>月~20</w:t>
      </w:r>
      <w:r>
        <w:rPr>
          <w:rFonts w:hint="eastAsia" w:ascii="Times New Roman" w:hAnsi="Times New Roman"/>
          <w:highlight w:val="none"/>
          <w:lang w:val="en-US" w:eastAsia="zh-CN"/>
        </w:rPr>
        <w:t>20</w:t>
      </w:r>
      <w:r>
        <w:rPr>
          <w:rFonts w:hint="eastAsia" w:ascii="Times New Roman" w:hAnsi="Times New Roman"/>
          <w:highlight w:val="none"/>
        </w:rPr>
        <w:t>年</w:t>
      </w:r>
      <w:r>
        <w:rPr>
          <w:rFonts w:hint="eastAsia" w:ascii="Times New Roman" w:hAnsi="Times New Roman"/>
          <w:highlight w:val="none"/>
          <w:lang w:val="en-US" w:eastAsia="zh-CN"/>
        </w:rPr>
        <w:t>12</w:t>
      </w:r>
      <w:r>
        <w:rPr>
          <w:rFonts w:hint="eastAsia" w:ascii="Times New Roman" w:hAnsi="Times New Roman"/>
          <w:highlight w:val="none"/>
        </w:rPr>
        <w:t>月，周期共</w:t>
      </w:r>
      <w:r>
        <w:rPr>
          <w:rFonts w:hint="eastAsia" w:ascii="Times New Roman" w:hAnsi="Times New Roman"/>
          <w:highlight w:val="none"/>
          <w:lang w:val="en-US" w:eastAsia="zh-CN"/>
        </w:rPr>
        <w:t>9</w:t>
      </w:r>
      <w:r>
        <w:rPr>
          <w:rFonts w:hint="eastAsia" w:ascii="Times New Roman" w:hAnsi="Times New Roman"/>
          <w:highlight w:val="none"/>
        </w:rPr>
        <w:t>个月。</w:t>
      </w:r>
    </w:p>
    <w:p>
      <w:pPr>
        <w:pStyle w:val="17"/>
        <w:ind w:firstLine="480"/>
        <w:rPr>
          <w:rFonts w:ascii="Times New Roman" w:hAnsi="Times New Roman"/>
          <w:highlight w:val="none"/>
        </w:rPr>
      </w:pPr>
      <w:r>
        <w:rPr>
          <w:rFonts w:hint="eastAsia" w:ascii="Times New Roman" w:hAnsi="Times New Roman"/>
          <w:highlight w:val="none"/>
        </w:rPr>
        <w:t>20</w:t>
      </w:r>
      <w:r>
        <w:rPr>
          <w:rFonts w:hint="eastAsia" w:ascii="Times New Roman" w:hAnsi="Times New Roman"/>
          <w:highlight w:val="none"/>
          <w:lang w:val="en-US" w:eastAsia="zh-CN"/>
        </w:rPr>
        <w:t>20</w:t>
      </w:r>
      <w:r>
        <w:rPr>
          <w:rFonts w:hint="eastAsia" w:ascii="Times New Roman" w:hAnsi="Times New Roman"/>
          <w:highlight w:val="none"/>
        </w:rPr>
        <w:t>年</w:t>
      </w:r>
      <w:r>
        <w:rPr>
          <w:rFonts w:hint="eastAsia" w:ascii="Times New Roman" w:hAnsi="Times New Roman"/>
          <w:highlight w:val="none"/>
          <w:lang w:val="en-US" w:eastAsia="zh-CN"/>
        </w:rPr>
        <w:t>3</w:t>
      </w:r>
      <w:r>
        <w:rPr>
          <w:rFonts w:hint="eastAsia" w:ascii="Times New Roman" w:hAnsi="Times New Roman"/>
          <w:highlight w:val="none"/>
        </w:rPr>
        <w:t>月~20</w:t>
      </w:r>
      <w:r>
        <w:rPr>
          <w:rFonts w:hint="eastAsia" w:ascii="Times New Roman" w:hAnsi="Times New Roman"/>
          <w:highlight w:val="none"/>
          <w:lang w:val="en-US" w:eastAsia="zh-CN"/>
        </w:rPr>
        <w:t>20</w:t>
      </w:r>
      <w:r>
        <w:rPr>
          <w:rFonts w:hint="eastAsia" w:ascii="Times New Roman" w:hAnsi="Times New Roman"/>
          <w:highlight w:val="none"/>
        </w:rPr>
        <w:t>年</w:t>
      </w:r>
      <w:r>
        <w:rPr>
          <w:rFonts w:hint="eastAsia" w:ascii="Times New Roman" w:hAnsi="Times New Roman"/>
          <w:highlight w:val="none"/>
          <w:lang w:val="en-US" w:eastAsia="zh-CN"/>
        </w:rPr>
        <w:t>5</w:t>
      </w:r>
      <w:r>
        <w:rPr>
          <w:rFonts w:hint="eastAsia" w:ascii="Times New Roman" w:hAnsi="Times New Roman"/>
          <w:highlight w:val="none"/>
        </w:rPr>
        <w:t>月主要进行主要进行可行性研究、环保评估、初步设计、设备订货等；</w:t>
      </w:r>
    </w:p>
    <w:p>
      <w:pPr>
        <w:pStyle w:val="17"/>
        <w:ind w:firstLine="480"/>
        <w:rPr>
          <w:rFonts w:ascii="Times New Roman" w:hAnsi="Times New Roman"/>
          <w:highlight w:val="none"/>
        </w:rPr>
      </w:pPr>
      <w:r>
        <w:rPr>
          <w:rFonts w:hint="eastAsia" w:ascii="Times New Roman" w:hAnsi="Times New Roman"/>
          <w:highlight w:val="none"/>
        </w:rPr>
        <w:t>20</w:t>
      </w:r>
      <w:r>
        <w:rPr>
          <w:rFonts w:hint="eastAsia" w:ascii="Times New Roman" w:hAnsi="Times New Roman"/>
          <w:highlight w:val="none"/>
          <w:lang w:val="en-US" w:eastAsia="zh-CN"/>
        </w:rPr>
        <w:t>20</w:t>
      </w:r>
      <w:r>
        <w:rPr>
          <w:rFonts w:hint="eastAsia" w:ascii="Times New Roman" w:hAnsi="Times New Roman"/>
          <w:highlight w:val="none"/>
        </w:rPr>
        <w:t>年</w:t>
      </w:r>
      <w:r>
        <w:rPr>
          <w:rFonts w:hint="eastAsia" w:ascii="Times New Roman" w:hAnsi="Times New Roman"/>
          <w:highlight w:val="none"/>
          <w:lang w:val="en-US" w:eastAsia="zh-CN"/>
        </w:rPr>
        <w:t>5</w:t>
      </w:r>
      <w:r>
        <w:rPr>
          <w:rFonts w:hint="eastAsia" w:ascii="Times New Roman" w:hAnsi="Times New Roman"/>
          <w:highlight w:val="none"/>
        </w:rPr>
        <w:t>月~20</w:t>
      </w:r>
      <w:r>
        <w:rPr>
          <w:rFonts w:hint="eastAsia" w:ascii="Times New Roman" w:hAnsi="Times New Roman"/>
          <w:highlight w:val="none"/>
          <w:lang w:val="en-US" w:eastAsia="zh-CN"/>
        </w:rPr>
        <w:t>20</w:t>
      </w:r>
      <w:r>
        <w:rPr>
          <w:rFonts w:hint="eastAsia" w:ascii="Times New Roman" w:hAnsi="Times New Roman"/>
          <w:highlight w:val="none"/>
        </w:rPr>
        <w:t>年</w:t>
      </w:r>
      <w:r>
        <w:rPr>
          <w:rFonts w:hint="eastAsia" w:ascii="Times New Roman" w:hAnsi="Times New Roman"/>
          <w:highlight w:val="none"/>
          <w:lang w:val="en-US" w:eastAsia="zh-CN"/>
        </w:rPr>
        <w:t>12</w:t>
      </w:r>
      <w:r>
        <w:rPr>
          <w:rFonts w:hint="eastAsia" w:ascii="Times New Roman" w:hAnsi="Times New Roman"/>
          <w:highlight w:val="none"/>
        </w:rPr>
        <w:t>月完成设备采购安装，投入生产。</w:t>
      </w:r>
    </w:p>
    <w:p>
      <w:pPr>
        <w:pStyle w:val="17"/>
        <w:ind w:left="0" w:leftChars="0" w:firstLine="0" w:firstLineChars="0"/>
        <w:rPr>
          <w:rFonts w:ascii="Times New Roman" w:hAnsi="Times New Roman"/>
          <w:highlight w:val="none"/>
        </w:rPr>
      </w:pPr>
    </w:p>
    <w:p>
      <w:pPr>
        <w:pStyle w:val="17"/>
        <w:ind w:firstLine="480"/>
        <w:rPr>
          <w:rFonts w:ascii="Times New Roman" w:hAnsi="Times New Roman"/>
          <w:highlight w:val="none"/>
        </w:rPr>
      </w:pPr>
    </w:p>
    <w:p>
      <w:pPr>
        <w:pStyle w:val="17"/>
        <w:ind w:firstLine="0" w:firstLineChars="0"/>
        <w:rPr>
          <w:rFonts w:ascii="Times New Roman" w:hAnsi="Times New Roman"/>
          <w:highlight w:val="none"/>
        </w:rPr>
        <w:sectPr>
          <w:pgSz w:w="11911" w:h="16838"/>
          <w:pgMar w:top="1417" w:right="1417" w:bottom="1417" w:left="1417" w:header="879" w:footer="952" w:gutter="0"/>
          <w:pgBorders>
            <w:top w:val="none" w:sz="0" w:space="0"/>
            <w:left w:val="none" w:sz="0" w:space="0"/>
            <w:bottom w:val="none" w:sz="0" w:space="0"/>
            <w:right w:val="none" w:sz="0" w:space="0"/>
          </w:pgBorders>
          <w:pgNumType w:fmt="decimal"/>
          <w:cols w:space="720" w:num="1"/>
          <w:docGrid w:linePitch="312" w:charSpace="0"/>
        </w:sectPr>
      </w:pPr>
      <w:bookmarkStart w:id="316" w:name="_Toc14676"/>
    </w:p>
    <w:p>
      <w:pPr>
        <w:pStyle w:val="3"/>
        <w:rPr>
          <w:highlight w:val="none"/>
        </w:rPr>
      </w:pPr>
      <w:bookmarkStart w:id="317" w:name="_Toc7869"/>
      <w:bookmarkStart w:id="318" w:name="_Toc11194"/>
      <w:bookmarkStart w:id="319" w:name="_Toc2848"/>
      <w:bookmarkStart w:id="320" w:name="_Toc29676"/>
      <w:bookmarkStart w:id="321" w:name="_Toc3683"/>
      <w:r>
        <w:rPr>
          <w:rFonts w:hint="eastAsia"/>
          <w:highlight w:val="none"/>
          <w:lang w:val="en-US" w:eastAsia="zh-CN"/>
        </w:rPr>
        <w:t>3</w:t>
      </w:r>
      <w:r>
        <w:rPr>
          <w:highlight w:val="none"/>
        </w:rPr>
        <w:t>工程分析</w:t>
      </w:r>
      <w:bookmarkEnd w:id="317"/>
      <w:bookmarkEnd w:id="318"/>
      <w:bookmarkEnd w:id="319"/>
      <w:bookmarkEnd w:id="320"/>
      <w:bookmarkEnd w:id="321"/>
    </w:p>
    <w:p>
      <w:pPr>
        <w:pStyle w:val="4"/>
        <w:rPr>
          <w:highlight w:val="none"/>
        </w:rPr>
      </w:pPr>
      <w:bookmarkStart w:id="322" w:name="_Toc10605"/>
      <w:bookmarkStart w:id="323" w:name="_Toc25010"/>
      <w:bookmarkStart w:id="324" w:name="_Toc24652"/>
      <w:bookmarkStart w:id="325" w:name="_Toc13958"/>
      <w:bookmarkStart w:id="326" w:name="_Toc23545"/>
      <w:bookmarkStart w:id="327" w:name="_Toc14393"/>
      <w:bookmarkStart w:id="328" w:name="_Toc8965"/>
      <w:r>
        <w:rPr>
          <w:rFonts w:hint="eastAsia"/>
          <w:highlight w:val="none"/>
          <w:lang w:val="en-US" w:eastAsia="zh-CN"/>
        </w:rPr>
        <w:t>3</w:t>
      </w:r>
      <w:r>
        <w:rPr>
          <w:highlight w:val="none"/>
        </w:rPr>
        <w:t xml:space="preserve">.1 </w:t>
      </w:r>
      <w:bookmarkEnd w:id="322"/>
      <w:bookmarkEnd w:id="323"/>
      <w:r>
        <w:rPr>
          <w:rFonts w:hint="eastAsia"/>
          <w:highlight w:val="none"/>
        </w:rPr>
        <w:t>开采方案</w:t>
      </w:r>
      <w:bookmarkEnd w:id="324"/>
    </w:p>
    <w:bookmarkEnd w:id="325"/>
    <w:bookmarkEnd w:id="326"/>
    <w:bookmarkEnd w:id="327"/>
    <w:bookmarkEnd w:id="328"/>
    <w:p>
      <w:pPr>
        <w:pStyle w:val="5"/>
        <w:adjustRightInd w:val="0"/>
        <w:snapToGrid w:val="0"/>
        <w:rPr>
          <w:rFonts w:hint="default"/>
          <w:highlight w:val="none"/>
        </w:rPr>
      </w:pPr>
      <w:bookmarkStart w:id="329" w:name="_Toc24516"/>
      <w:r>
        <w:rPr>
          <w:rFonts w:hint="eastAsia"/>
          <w:highlight w:val="none"/>
          <w:lang w:val="en-US" w:eastAsia="zh-CN"/>
        </w:rPr>
        <w:t>3</w:t>
      </w:r>
      <w:r>
        <w:rPr>
          <w:highlight w:val="none"/>
        </w:rPr>
        <w:t>.1.1开采境界设计及圈定矿量</w:t>
      </w:r>
      <w:bookmarkEnd w:id="329"/>
    </w:p>
    <w:p>
      <w:pPr>
        <w:ind w:firstLine="480"/>
        <w:rPr>
          <w:highlight w:val="none"/>
        </w:rPr>
      </w:pPr>
      <w:r>
        <w:rPr>
          <w:rFonts w:hint="eastAsia"/>
          <w:highlight w:val="none"/>
        </w:rPr>
        <w:t>（1）</w:t>
      </w:r>
      <w:r>
        <w:rPr>
          <w:highlight w:val="none"/>
        </w:rPr>
        <w:t>开采境界圈定原则</w:t>
      </w:r>
    </w:p>
    <w:p>
      <w:pPr>
        <w:ind w:firstLine="480"/>
        <w:rPr>
          <w:color w:val="auto"/>
          <w:highlight w:val="none"/>
        </w:rPr>
      </w:pPr>
      <w:r>
        <w:rPr>
          <w:rFonts w:hint="eastAsia"/>
          <w:color w:val="auto"/>
          <w:highlight w:val="none"/>
        </w:rPr>
        <w:t>1）境界剥采比小于经济合理剥采比；</w:t>
      </w:r>
    </w:p>
    <w:p>
      <w:pPr>
        <w:ind w:firstLine="480"/>
        <w:rPr>
          <w:color w:val="auto"/>
          <w:highlight w:val="none"/>
        </w:rPr>
      </w:pPr>
      <w:r>
        <w:rPr>
          <w:rFonts w:hint="eastAsia"/>
          <w:color w:val="auto"/>
          <w:highlight w:val="none"/>
        </w:rPr>
        <w:t>2）矿区内爆破作业不得影响主干运输线路的安全；</w:t>
      </w:r>
    </w:p>
    <w:p>
      <w:pPr>
        <w:ind w:firstLine="480"/>
        <w:rPr>
          <w:color w:val="auto"/>
          <w:highlight w:val="none"/>
        </w:rPr>
      </w:pPr>
      <w:r>
        <w:rPr>
          <w:rFonts w:hint="eastAsia"/>
          <w:color w:val="auto"/>
          <w:highlight w:val="none"/>
        </w:rPr>
        <w:t>3）在露天境界圈定时尽量结合矿区的实际情况及周边环境，但以不超出矿界的范围为原则；</w:t>
      </w:r>
    </w:p>
    <w:p>
      <w:pPr>
        <w:ind w:firstLine="480"/>
        <w:rPr>
          <w:color w:val="auto"/>
          <w:highlight w:val="none"/>
        </w:rPr>
      </w:pPr>
      <w:r>
        <w:rPr>
          <w:rFonts w:hint="eastAsia"/>
          <w:color w:val="auto"/>
          <w:highlight w:val="none"/>
        </w:rPr>
        <w:t>4）本矿区开采境界范围根据矿区资源量估算范围来确定的，</w:t>
      </w:r>
      <w:r>
        <w:rPr>
          <w:rFonts w:hint="eastAsia"/>
          <w:color w:val="auto"/>
          <w:highlight w:val="none"/>
          <w:lang w:eastAsia="zh-CN"/>
        </w:rPr>
        <w:t>卡子</w:t>
      </w:r>
      <w:r>
        <w:rPr>
          <w:rFonts w:hint="eastAsia"/>
          <w:color w:val="auto"/>
          <w:highlight w:val="none"/>
        </w:rPr>
        <w:t>石灰岩矿矿区范围面积为0.</w:t>
      </w:r>
      <w:r>
        <w:rPr>
          <w:rFonts w:hint="eastAsia"/>
          <w:color w:val="auto"/>
          <w:highlight w:val="none"/>
          <w:lang w:val="en-US" w:eastAsia="zh-CN"/>
        </w:rPr>
        <w:t>095</w:t>
      </w:r>
      <w:r>
        <w:rPr>
          <w:rFonts w:hint="eastAsia"/>
          <w:color w:val="auto"/>
          <w:highlight w:val="none"/>
        </w:rPr>
        <w:t>km</w:t>
      </w:r>
      <w:r>
        <w:rPr>
          <w:rFonts w:hint="eastAsia"/>
          <w:color w:val="auto"/>
          <w:highlight w:val="none"/>
          <w:vertAlign w:val="superscript"/>
        </w:rPr>
        <w:t>2</w:t>
      </w:r>
      <w:r>
        <w:rPr>
          <w:rFonts w:hint="eastAsia"/>
          <w:color w:val="auto"/>
          <w:highlight w:val="none"/>
        </w:rPr>
        <w:t>，开采深度+17</w:t>
      </w:r>
      <w:r>
        <w:rPr>
          <w:rFonts w:hint="eastAsia"/>
          <w:color w:val="auto"/>
          <w:highlight w:val="none"/>
          <w:lang w:val="en-US" w:eastAsia="zh-CN"/>
        </w:rPr>
        <w:t>46</w:t>
      </w:r>
      <w:r>
        <w:rPr>
          <w:rFonts w:hint="eastAsia"/>
          <w:color w:val="auto"/>
          <w:highlight w:val="none"/>
        </w:rPr>
        <w:t>—+1</w:t>
      </w:r>
      <w:r>
        <w:rPr>
          <w:rFonts w:hint="eastAsia"/>
          <w:color w:val="auto"/>
          <w:highlight w:val="none"/>
          <w:lang w:val="en-US" w:eastAsia="zh-CN"/>
        </w:rPr>
        <w:t>680</w:t>
      </w:r>
      <w:r>
        <w:rPr>
          <w:rFonts w:hint="eastAsia"/>
          <w:color w:val="auto"/>
          <w:highlight w:val="none"/>
        </w:rPr>
        <w:t>m，矿区范围由</w:t>
      </w:r>
      <w:r>
        <w:rPr>
          <w:rFonts w:hint="eastAsia"/>
          <w:color w:val="auto"/>
          <w:highlight w:val="none"/>
          <w:lang w:val="en-US" w:eastAsia="zh-CN"/>
        </w:rPr>
        <w:t>9</w:t>
      </w:r>
      <w:r>
        <w:rPr>
          <w:rFonts w:hint="eastAsia"/>
          <w:color w:val="auto"/>
          <w:highlight w:val="none"/>
        </w:rPr>
        <w:t>个拐点圈定。本次主要设计已查明的首采区矿体，开采的矿体位于矿区范围内。</w:t>
      </w:r>
    </w:p>
    <w:p>
      <w:pPr>
        <w:ind w:firstLine="480"/>
        <w:rPr>
          <w:color w:val="auto"/>
          <w:highlight w:val="none"/>
        </w:rPr>
      </w:pPr>
      <w:r>
        <w:rPr>
          <w:rFonts w:hint="eastAsia"/>
          <w:color w:val="auto"/>
          <w:highlight w:val="none"/>
        </w:rPr>
        <w:t>5）</w:t>
      </w:r>
      <w:r>
        <w:rPr>
          <w:color w:val="auto"/>
          <w:highlight w:val="none"/>
        </w:rPr>
        <w:t>最低开采标高</w:t>
      </w:r>
      <w:r>
        <w:rPr>
          <w:rFonts w:hint="eastAsia"/>
          <w:color w:val="auto"/>
          <w:highlight w:val="none"/>
        </w:rPr>
        <w:t>+</w:t>
      </w:r>
      <w:r>
        <w:rPr>
          <w:rFonts w:hint="eastAsia"/>
          <w:color w:val="auto"/>
          <w:highlight w:val="none"/>
          <w:lang w:val="en-US" w:eastAsia="zh-CN"/>
        </w:rPr>
        <w:t>1680</w:t>
      </w:r>
      <w:r>
        <w:rPr>
          <w:color w:val="auto"/>
          <w:highlight w:val="none"/>
        </w:rPr>
        <w:t>m。</w:t>
      </w:r>
    </w:p>
    <w:p>
      <w:pPr>
        <w:ind w:firstLine="480"/>
        <w:rPr>
          <w:color w:val="auto"/>
          <w:highlight w:val="none"/>
        </w:rPr>
      </w:pPr>
      <w:r>
        <w:rPr>
          <w:rFonts w:hint="eastAsia"/>
          <w:color w:val="auto"/>
          <w:highlight w:val="none"/>
        </w:rPr>
        <w:t>6）</w:t>
      </w:r>
      <w:r>
        <w:rPr>
          <w:color w:val="auto"/>
          <w:highlight w:val="none"/>
        </w:rPr>
        <w:t>台阶高度</w:t>
      </w:r>
      <w:r>
        <w:rPr>
          <w:rFonts w:hint="eastAsia"/>
          <w:color w:val="auto"/>
          <w:highlight w:val="none"/>
          <w:lang w:val="en-US" w:eastAsia="zh-CN"/>
        </w:rPr>
        <w:t>10</w:t>
      </w:r>
      <w:r>
        <w:rPr>
          <w:color w:val="auto"/>
          <w:highlight w:val="none"/>
        </w:rPr>
        <w:t>m，安全平台宽</w:t>
      </w:r>
      <w:r>
        <w:rPr>
          <w:rFonts w:hint="eastAsia"/>
          <w:color w:val="auto"/>
          <w:highlight w:val="none"/>
          <w:lang w:val="en-US" w:eastAsia="zh-CN"/>
        </w:rPr>
        <w:t>3</w:t>
      </w:r>
      <w:r>
        <w:rPr>
          <w:color w:val="auto"/>
          <w:highlight w:val="none"/>
        </w:rPr>
        <w:t>m，清扫平台宽</w:t>
      </w:r>
      <w:r>
        <w:rPr>
          <w:rFonts w:hint="eastAsia"/>
          <w:color w:val="auto"/>
          <w:highlight w:val="none"/>
          <w:lang w:val="en-US" w:eastAsia="zh-CN"/>
        </w:rPr>
        <w:t>4</w:t>
      </w:r>
      <w:r>
        <w:rPr>
          <w:color w:val="auto"/>
          <w:highlight w:val="none"/>
        </w:rPr>
        <w:t>m，</w:t>
      </w:r>
      <w:r>
        <w:rPr>
          <w:rFonts w:hint="eastAsia"/>
          <w:color w:val="auto"/>
          <w:highlight w:val="none"/>
        </w:rPr>
        <w:t>2个</w:t>
      </w:r>
      <w:r>
        <w:rPr>
          <w:color w:val="auto"/>
          <w:highlight w:val="none"/>
        </w:rPr>
        <w:t>安全平台</w:t>
      </w:r>
      <w:r>
        <w:rPr>
          <w:rFonts w:hint="eastAsia"/>
          <w:color w:val="auto"/>
          <w:highlight w:val="none"/>
        </w:rPr>
        <w:t>和1个</w:t>
      </w:r>
      <w:r>
        <w:rPr>
          <w:color w:val="auto"/>
          <w:highlight w:val="none"/>
        </w:rPr>
        <w:t>清扫平台</w:t>
      </w:r>
      <w:r>
        <w:rPr>
          <w:rFonts w:hint="eastAsia"/>
          <w:color w:val="auto"/>
          <w:highlight w:val="none"/>
        </w:rPr>
        <w:t>间隔设置，</w:t>
      </w:r>
      <w:r>
        <w:rPr>
          <w:color w:val="auto"/>
          <w:highlight w:val="none"/>
        </w:rPr>
        <w:t>终了</w:t>
      </w:r>
      <w:r>
        <w:rPr>
          <w:rFonts w:hint="eastAsia"/>
          <w:color w:val="auto"/>
          <w:highlight w:val="none"/>
        </w:rPr>
        <w:t>台阶坡面角60</w:t>
      </w:r>
      <w:r>
        <w:rPr>
          <w:color w:val="auto"/>
          <w:highlight w:val="none"/>
        </w:rPr>
        <w:t>°。</w:t>
      </w:r>
    </w:p>
    <w:p>
      <w:pPr>
        <w:ind w:firstLine="480"/>
        <w:rPr>
          <w:color w:val="auto"/>
          <w:highlight w:val="none"/>
        </w:rPr>
      </w:pPr>
      <w:r>
        <w:rPr>
          <w:rFonts w:hint="eastAsia"/>
          <w:color w:val="auto"/>
          <w:highlight w:val="none"/>
        </w:rPr>
        <w:t>7）</w:t>
      </w:r>
      <w:r>
        <w:rPr>
          <w:color w:val="auto"/>
          <w:highlight w:val="none"/>
        </w:rPr>
        <w:t>利用分层平面法进行矿岩量的计算。</w:t>
      </w:r>
    </w:p>
    <w:p>
      <w:pPr>
        <w:ind w:firstLine="480"/>
        <w:rPr>
          <w:color w:val="auto"/>
          <w:highlight w:val="none"/>
        </w:rPr>
      </w:pPr>
      <w:r>
        <w:rPr>
          <w:rFonts w:hint="eastAsia"/>
          <w:color w:val="auto"/>
          <w:highlight w:val="none"/>
        </w:rPr>
        <w:t>8）</w:t>
      </w:r>
      <w:r>
        <w:rPr>
          <w:color w:val="auto"/>
          <w:highlight w:val="none"/>
        </w:rPr>
        <w:t>爆破安全</w:t>
      </w:r>
      <w:r>
        <w:rPr>
          <w:rFonts w:hint="eastAsia"/>
          <w:color w:val="auto"/>
          <w:highlight w:val="none"/>
        </w:rPr>
        <w:t>警戒</w:t>
      </w:r>
      <w:r>
        <w:rPr>
          <w:color w:val="auto"/>
          <w:highlight w:val="none"/>
        </w:rPr>
        <w:t>距离为</w:t>
      </w:r>
      <w:r>
        <w:rPr>
          <w:rFonts w:hint="eastAsia"/>
          <w:color w:val="auto"/>
          <w:highlight w:val="none"/>
        </w:rPr>
        <w:t>3</w:t>
      </w:r>
      <w:r>
        <w:rPr>
          <w:color w:val="auto"/>
          <w:highlight w:val="none"/>
        </w:rPr>
        <w:t>00m。</w:t>
      </w:r>
    </w:p>
    <w:p>
      <w:pPr>
        <w:ind w:firstLine="480"/>
        <w:rPr>
          <w:color w:val="auto"/>
          <w:highlight w:val="none"/>
        </w:rPr>
      </w:pPr>
      <w:r>
        <w:rPr>
          <w:rFonts w:hint="eastAsia"/>
          <w:color w:val="auto"/>
          <w:highlight w:val="none"/>
        </w:rPr>
        <w:t>（2）</w:t>
      </w:r>
      <w:r>
        <w:rPr>
          <w:color w:val="auto"/>
          <w:highlight w:val="none"/>
        </w:rPr>
        <w:t>采场要素</w:t>
      </w:r>
    </w:p>
    <w:p>
      <w:pPr>
        <w:ind w:firstLine="571" w:firstLineChars="238"/>
        <w:rPr>
          <w:highlight w:val="none"/>
        </w:rPr>
      </w:pPr>
      <w:r>
        <w:rPr>
          <w:highlight w:val="none"/>
        </w:rPr>
        <w:t>矿山设计采场要素如下表</w:t>
      </w:r>
      <w:r>
        <w:rPr>
          <w:rFonts w:hint="eastAsia"/>
          <w:highlight w:val="none"/>
          <w:lang w:val="en-US" w:eastAsia="zh-CN"/>
        </w:rPr>
        <w:t>3.1</w:t>
      </w:r>
      <w:r>
        <w:rPr>
          <w:rFonts w:hint="eastAsia"/>
          <w:highlight w:val="none"/>
        </w:rPr>
        <w:t>-1。</w:t>
      </w:r>
    </w:p>
    <w:p>
      <w:pPr>
        <w:ind w:firstLine="0" w:firstLineChars="0"/>
        <w:jc w:val="center"/>
        <w:rPr>
          <w:b/>
          <w:bCs/>
          <w:sz w:val="21"/>
          <w:szCs w:val="21"/>
          <w:highlight w:val="none"/>
        </w:rPr>
      </w:pPr>
      <w:r>
        <w:rPr>
          <w:b/>
          <w:bCs/>
          <w:sz w:val="21"/>
          <w:szCs w:val="21"/>
          <w:highlight w:val="none"/>
        </w:rPr>
        <w:t>表</w:t>
      </w:r>
      <w:r>
        <w:rPr>
          <w:rFonts w:hint="eastAsia"/>
          <w:b/>
          <w:bCs/>
          <w:sz w:val="21"/>
          <w:szCs w:val="21"/>
          <w:highlight w:val="none"/>
          <w:lang w:val="en-US" w:eastAsia="zh-CN"/>
        </w:rPr>
        <w:t>3.1</w:t>
      </w:r>
      <w:r>
        <w:rPr>
          <w:b/>
          <w:bCs/>
          <w:sz w:val="21"/>
          <w:szCs w:val="21"/>
          <w:highlight w:val="none"/>
        </w:rPr>
        <w:t>-1       矿山设计采场要素表</w:t>
      </w:r>
    </w:p>
    <w:tbl>
      <w:tblPr>
        <w:tblStyle w:val="29"/>
        <w:tblW w:w="8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2094"/>
        <w:gridCol w:w="3552"/>
        <w:gridCol w:w="2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blHeader/>
          <w:jc w:val="center"/>
        </w:trPr>
        <w:tc>
          <w:tcPr>
            <w:tcW w:w="2882" w:type="dxa"/>
            <w:gridSpan w:val="2"/>
            <w:shd w:val="clear" w:color="auto" w:fill="auto"/>
            <w:vAlign w:val="center"/>
          </w:tcPr>
          <w:p>
            <w:pPr>
              <w:ind w:firstLine="0" w:firstLineChars="0"/>
              <w:jc w:val="center"/>
              <w:rPr>
                <w:b/>
                <w:bCs/>
                <w:sz w:val="21"/>
                <w:szCs w:val="21"/>
                <w:highlight w:val="none"/>
              </w:rPr>
            </w:pPr>
            <w:r>
              <w:rPr>
                <w:b/>
                <w:bCs/>
                <w:sz w:val="21"/>
                <w:szCs w:val="21"/>
                <w:highlight w:val="none"/>
              </w:rPr>
              <w:t>项  目</w:t>
            </w:r>
          </w:p>
        </w:tc>
        <w:tc>
          <w:tcPr>
            <w:tcW w:w="3552" w:type="dxa"/>
            <w:shd w:val="clear" w:color="auto" w:fill="auto"/>
            <w:vAlign w:val="center"/>
          </w:tcPr>
          <w:p>
            <w:pPr>
              <w:ind w:firstLine="0" w:firstLineChars="0"/>
              <w:jc w:val="center"/>
              <w:rPr>
                <w:b/>
                <w:bCs/>
                <w:sz w:val="21"/>
                <w:szCs w:val="21"/>
                <w:highlight w:val="none"/>
              </w:rPr>
            </w:pPr>
            <w:r>
              <w:rPr>
                <w:b/>
                <w:bCs/>
                <w:sz w:val="21"/>
                <w:szCs w:val="21"/>
                <w:highlight w:val="none"/>
              </w:rPr>
              <w:t>参  数</w:t>
            </w:r>
          </w:p>
        </w:tc>
        <w:tc>
          <w:tcPr>
            <w:tcW w:w="2306" w:type="dxa"/>
            <w:shd w:val="clear" w:color="auto" w:fill="auto"/>
            <w:vAlign w:val="center"/>
          </w:tcPr>
          <w:p>
            <w:pPr>
              <w:ind w:firstLine="0" w:firstLineChars="0"/>
              <w:jc w:val="center"/>
              <w:rPr>
                <w:b/>
                <w:bCs/>
                <w:sz w:val="21"/>
                <w:szCs w:val="21"/>
                <w:highlight w:val="none"/>
              </w:rPr>
            </w:pPr>
            <w:r>
              <w:rPr>
                <w:b/>
                <w:bCs/>
                <w:sz w:val="21"/>
                <w:szCs w:val="21"/>
                <w:highlight w:val="none"/>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5" w:hRule="atLeast"/>
          <w:jc w:val="center"/>
        </w:trPr>
        <w:tc>
          <w:tcPr>
            <w:tcW w:w="788" w:type="dxa"/>
            <w:vMerge w:val="restart"/>
            <w:vAlign w:val="center"/>
          </w:tcPr>
          <w:p>
            <w:pPr>
              <w:ind w:firstLine="0" w:firstLineChars="0"/>
              <w:jc w:val="center"/>
              <w:rPr>
                <w:sz w:val="21"/>
                <w:szCs w:val="21"/>
                <w:highlight w:val="none"/>
              </w:rPr>
            </w:pPr>
            <w:r>
              <w:rPr>
                <w:sz w:val="21"/>
                <w:szCs w:val="21"/>
                <w:highlight w:val="none"/>
              </w:rPr>
              <w:t>境界</w:t>
            </w:r>
          </w:p>
        </w:tc>
        <w:tc>
          <w:tcPr>
            <w:tcW w:w="2094" w:type="dxa"/>
            <w:vAlign w:val="center"/>
          </w:tcPr>
          <w:p>
            <w:pPr>
              <w:ind w:firstLine="0" w:firstLineChars="0"/>
              <w:jc w:val="center"/>
              <w:rPr>
                <w:sz w:val="21"/>
                <w:szCs w:val="21"/>
                <w:highlight w:val="none"/>
              </w:rPr>
            </w:pPr>
            <w:r>
              <w:rPr>
                <w:sz w:val="21"/>
                <w:szCs w:val="21"/>
                <w:highlight w:val="none"/>
              </w:rPr>
              <w:t>采场上口尺寸</w:t>
            </w:r>
          </w:p>
        </w:tc>
        <w:tc>
          <w:tcPr>
            <w:tcW w:w="3552" w:type="dxa"/>
            <w:vAlign w:val="center"/>
          </w:tcPr>
          <w:p>
            <w:pPr>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360</w:t>
            </w:r>
            <w:r>
              <w:rPr>
                <w:sz w:val="21"/>
                <w:szCs w:val="21"/>
                <w:highlight w:val="none"/>
              </w:rPr>
              <w:t>×</w:t>
            </w:r>
            <w:r>
              <w:rPr>
                <w:rFonts w:hint="eastAsia"/>
                <w:sz w:val="21"/>
                <w:szCs w:val="21"/>
                <w:highlight w:val="none"/>
                <w:lang w:val="en-US" w:eastAsia="zh-CN"/>
              </w:rPr>
              <w:t>200</w:t>
            </w:r>
          </w:p>
        </w:tc>
        <w:tc>
          <w:tcPr>
            <w:tcW w:w="2306" w:type="dxa"/>
            <w:vAlign w:val="center"/>
          </w:tcPr>
          <w:p>
            <w:pPr>
              <w:ind w:firstLine="0" w:firstLineChars="0"/>
              <w:jc w:val="center"/>
              <w:rPr>
                <w:sz w:val="21"/>
                <w:szCs w:val="21"/>
                <w:highlight w:val="none"/>
              </w:rPr>
            </w:pPr>
            <w:r>
              <w:rPr>
                <w:rFonts w:hint="eastAsia"/>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88" w:type="dxa"/>
            <w:vMerge w:val="continue"/>
            <w:vAlign w:val="center"/>
          </w:tcPr>
          <w:p>
            <w:pPr>
              <w:ind w:firstLine="0" w:firstLineChars="0"/>
              <w:jc w:val="center"/>
              <w:rPr>
                <w:sz w:val="21"/>
                <w:szCs w:val="21"/>
                <w:highlight w:val="none"/>
              </w:rPr>
            </w:pPr>
          </w:p>
        </w:tc>
        <w:tc>
          <w:tcPr>
            <w:tcW w:w="2094" w:type="dxa"/>
            <w:vAlign w:val="center"/>
          </w:tcPr>
          <w:p>
            <w:pPr>
              <w:ind w:firstLine="0" w:firstLineChars="0"/>
              <w:jc w:val="center"/>
              <w:rPr>
                <w:sz w:val="21"/>
                <w:szCs w:val="21"/>
                <w:highlight w:val="none"/>
              </w:rPr>
            </w:pPr>
            <w:r>
              <w:rPr>
                <w:sz w:val="21"/>
                <w:szCs w:val="21"/>
                <w:highlight w:val="none"/>
              </w:rPr>
              <w:t>采场下口尺寸</w:t>
            </w:r>
          </w:p>
        </w:tc>
        <w:tc>
          <w:tcPr>
            <w:tcW w:w="3552" w:type="dxa"/>
            <w:vAlign w:val="center"/>
          </w:tcPr>
          <w:p>
            <w:pPr>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100</w:t>
            </w:r>
            <w:r>
              <w:rPr>
                <w:sz w:val="21"/>
                <w:szCs w:val="21"/>
                <w:highlight w:val="none"/>
              </w:rPr>
              <w:t>×</w:t>
            </w:r>
            <w:r>
              <w:rPr>
                <w:rFonts w:hint="eastAsia"/>
                <w:sz w:val="21"/>
                <w:szCs w:val="21"/>
                <w:highlight w:val="none"/>
                <w:lang w:val="en-US" w:eastAsia="zh-CN"/>
              </w:rPr>
              <w:t>300</w:t>
            </w:r>
          </w:p>
        </w:tc>
        <w:tc>
          <w:tcPr>
            <w:tcW w:w="2306" w:type="dxa"/>
            <w:vAlign w:val="center"/>
          </w:tcPr>
          <w:p>
            <w:pPr>
              <w:ind w:firstLine="0" w:firstLineChars="0"/>
              <w:jc w:val="center"/>
              <w:rPr>
                <w:sz w:val="21"/>
                <w:szCs w:val="21"/>
                <w:highlight w:val="none"/>
              </w:rPr>
            </w:pPr>
            <w:r>
              <w:rPr>
                <w:rFonts w:hint="eastAsia"/>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88" w:type="dxa"/>
            <w:vMerge w:val="restart"/>
            <w:vAlign w:val="center"/>
          </w:tcPr>
          <w:p>
            <w:pPr>
              <w:ind w:firstLine="0" w:firstLineChars="0"/>
              <w:jc w:val="center"/>
              <w:rPr>
                <w:sz w:val="21"/>
                <w:szCs w:val="21"/>
                <w:highlight w:val="none"/>
              </w:rPr>
            </w:pPr>
            <w:r>
              <w:rPr>
                <w:sz w:val="21"/>
                <w:szCs w:val="21"/>
                <w:highlight w:val="none"/>
              </w:rPr>
              <w:t>台段</w:t>
            </w:r>
          </w:p>
        </w:tc>
        <w:tc>
          <w:tcPr>
            <w:tcW w:w="2094" w:type="dxa"/>
            <w:vAlign w:val="center"/>
          </w:tcPr>
          <w:p>
            <w:pPr>
              <w:ind w:firstLine="0" w:firstLineChars="0"/>
              <w:jc w:val="center"/>
              <w:rPr>
                <w:sz w:val="21"/>
                <w:szCs w:val="21"/>
                <w:highlight w:val="none"/>
              </w:rPr>
            </w:pPr>
            <w:r>
              <w:rPr>
                <w:sz w:val="21"/>
                <w:szCs w:val="21"/>
                <w:highlight w:val="none"/>
              </w:rPr>
              <w:t>台阶高度</w:t>
            </w:r>
          </w:p>
        </w:tc>
        <w:tc>
          <w:tcPr>
            <w:tcW w:w="3552" w:type="dxa"/>
            <w:vAlign w:val="center"/>
          </w:tcPr>
          <w:p>
            <w:pPr>
              <w:ind w:firstLine="0" w:firstLineChars="0"/>
              <w:jc w:val="center"/>
              <w:rPr>
                <w:sz w:val="21"/>
                <w:szCs w:val="21"/>
                <w:highlight w:val="none"/>
              </w:rPr>
            </w:pPr>
            <w:r>
              <w:rPr>
                <w:rFonts w:hint="eastAsia"/>
                <w:sz w:val="21"/>
                <w:szCs w:val="21"/>
                <w:highlight w:val="none"/>
                <w:lang w:val="en-US" w:eastAsia="zh-CN"/>
              </w:rPr>
              <w:t>10</w:t>
            </w:r>
            <w:r>
              <w:rPr>
                <w:sz w:val="21"/>
                <w:szCs w:val="21"/>
                <w:highlight w:val="none"/>
              </w:rPr>
              <w:t>m</w:t>
            </w:r>
          </w:p>
        </w:tc>
        <w:tc>
          <w:tcPr>
            <w:tcW w:w="2306" w:type="dxa"/>
            <w:vAlign w:val="center"/>
          </w:tcPr>
          <w:p>
            <w:pPr>
              <w:ind w:firstLine="0" w:firstLineChars="0"/>
              <w:jc w:val="center"/>
              <w:rPr>
                <w:sz w:val="21"/>
                <w:szCs w:val="21"/>
                <w:highlight w:val="none"/>
              </w:rPr>
            </w:pPr>
            <w:r>
              <w:rPr>
                <w:rFonts w:hint="eastAsia"/>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88" w:type="dxa"/>
            <w:vMerge w:val="continue"/>
            <w:vAlign w:val="center"/>
          </w:tcPr>
          <w:p>
            <w:pPr>
              <w:ind w:firstLine="0" w:firstLineChars="0"/>
              <w:jc w:val="center"/>
              <w:rPr>
                <w:sz w:val="21"/>
                <w:szCs w:val="21"/>
                <w:highlight w:val="none"/>
              </w:rPr>
            </w:pPr>
          </w:p>
        </w:tc>
        <w:tc>
          <w:tcPr>
            <w:tcW w:w="2094" w:type="dxa"/>
            <w:vAlign w:val="center"/>
          </w:tcPr>
          <w:p>
            <w:pPr>
              <w:ind w:firstLine="0" w:firstLineChars="0"/>
              <w:jc w:val="center"/>
              <w:rPr>
                <w:sz w:val="21"/>
                <w:szCs w:val="21"/>
                <w:highlight w:val="none"/>
              </w:rPr>
            </w:pPr>
            <w:r>
              <w:rPr>
                <w:sz w:val="21"/>
                <w:szCs w:val="21"/>
                <w:highlight w:val="none"/>
              </w:rPr>
              <w:t>台阶数量</w:t>
            </w:r>
          </w:p>
        </w:tc>
        <w:tc>
          <w:tcPr>
            <w:tcW w:w="3552" w:type="dxa"/>
            <w:vAlign w:val="center"/>
          </w:tcPr>
          <w:p>
            <w:pPr>
              <w:ind w:firstLine="0" w:firstLineChars="0"/>
              <w:jc w:val="center"/>
              <w:rPr>
                <w:sz w:val="21"/>
                <w:szCs w:val="21"/>
                <w:highlight w:val="none"/>
              </w:rPr>
            </w:pPr>
            <w:r>
              <w:rPr>
                <w:rFonts w:hint="eastAsia"/>
                <w:sz w:val="21"/>
                <w:szCs w:val="21"/>
                <w:highlight w:val="none"/>
                <w:lang w:val="en-US" w:eastAsia="zh-CN"/>
              </w:rPr>
              <w:t>6</w:t>
            </w:r>
            <w:r>
              <w:rPr>
                <w:sz w:val="21"/>
                <w:szCs w:val="21"/>
                <w:highlight w:val="none"/>
              </w:rPr>
              <w:t>个</w:t>
            </w:r>
          </w:p>
        </w:tc>
        <w:tc>
          <w:tcPr>
            <w:tcW w:w="2306" w:type="dxa"/>
            <w:vAlign w:val="center"/>
          </w:tcPr>
          <w:p>
            <w:pPr>
              <w:ind w:firstLine="0" w:firstLineChars="0"/>
              <w:jc w:val="center"/>
              <w:rPr>
                <w:sz w:val="21"/>
                <w:szCs w:val="21"/>
                <w:highlight w:val="none"/>
              </w:rPr>
            </w:pPr>
            <w:r>
              <w:rPr>
                <w:rFonts w:hint="eastAsia"/>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88" w:type="dxa"/>
            <w:vMerge w:val="continue"/>
            <w:vAlign w:val="center"/>
          </w:tcPr>
          <w:p>
            <w:pPr>
              <w:ind w:firstLine="0" w:firstLineChars="0"/>
              <w:jc w:val="center"/>
              <w:rPr>
                <w:sz w:val="21"/>
                <w:szCs w:val="21"/>
                <w:highlight w:val="none"/>
              </w:rPr>
            </w:pPr>
          </w:p>
        </w:tc>
        <w:tc>
          <w:tcPr>
            <w:tcW w:w="2094" w:type="dxa"/>
            <w:vAlign w:val="center"/>
          </w:tcPr>
          <w:p>
            <w:pPr>
              <w:ind w:firstLine="0" w:firstLineChars="0"/>
              <w:jc w:val="center"/>
              <w:rPr>
                <w:sz w:val="21"/>
                <w:szCs w:val="21"/>
                <w:highlight w:val="none"/>
              </w:rPr>
            </w:pPr>
            <w:r>
              <w:rPr>
                <w:sz w:val="21"/>
                <w:szCs w:val="21"/>
                <w:highlight w:val="none"/>
              </w:rPr>
              <w:t>第一采矿台阶标高</w:t>
            </w:r>
          </w:p>
        </w:tc>
        <w:tc>
          <w:tcPr>
            <w:tcW w:w="3552" w:type="dxa"/>
            <w:vAlign w:val="center"/>
          </w:tcPr>
          <w:p>
            <w:pPr>
              <w:ind w:firstLine="0" w:firstLineChars="0"/>
              <w:jc w:val="center"/>
              <w:rPr>
                <w:sz w:val="21"/>
                <w:szCs w:val="21"/>
                <w:highlight w:val="none"/>
              </w:rPr>
            </w:pPr>
            <w:r>
              <w:rPr>
                <w:sz w:val="21"/>
                <w:szCs w:val="21"/>
                <w:highlight w:val="none"/>
              </w:rPr>
              <w:t>+</w:t>
            </w:r>
            <w:r>
              <w:rPr>
                <w:rFonts w:hint="eastAsia"/>
                <w:sz w:val="21"/>
                <w:szCs w:val="21"/>
                <w:highlight w:val="none"/>
                <w:lang w:val="en-US" w:eastAsia="zh-CN"/>
              </w:rPr>
              <w:t>1730</w:t>
            </w:r>
            <w:r>
              <w:rPr>
                <w:sz w:val="21"/>
                <w:szCs w:val="21"/>
                <w:highlight w:val="none"/>
              </w:rPr>
              <w:t>m</w:t>
            </w:r>
          </w:p>
        </w:tc>
        <w:tc>
          <w:tcPr>
            <w:tcW w:w="2306" w:type="dxa"/>
            <w:vAlign w:val="center"/>
          </w:tcPr>
          <w:p>
            <w:pPr>
              <w:ind w:firstLine="0" w:firstLineChars="0"/>
              <w:jc w:val="center"/>
              <w:rPr>
                <w:sz w:val="21"/>
                <w:szCs w:val="21"/>
                <w:highlight w:val="none"/>
              </w:rPr>
            </w:pPr>
            <w:r>
              <w:rPr>
                <w:rFonts w:hint="eastAsia"/>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88" w:type="dxa"/>
            <w:vMerge w:val="continue"/>
            <w:vAlign w:val="center"/>
          </w:tcPr>
          <w:p>
            <w:pPr>
              <w:ind w:firstLine="0" w:firstLineChars="0"/>
              <w:jc w:val="center"/>
              <w:rPr>
                <w:sz w:val="21"/>
                <w:szCs w:val="21"/>
                <w:highlight w:val="none"/>
              </w:rPr>
            </w:pPr>
          </w:p>
        </w:tc>
        <w:tc>
          <w:tcPr>
            <w:tcW w:w="2094" w:type="dxa"/>
            <w:vAlign w:val="center"/>
          </w:tcPr>
          <w:p>
            <w:pPr>
              <w:ind w:firstLine="0" w:firstLineChars="0"/>
              <w:jc w:val="center"/>
              <w:rPr>
                <w:sz w:val="21"/>
                <w:szCs w:val="21"/>
                <w:highlight w:val="none"/>
              </w:rPr>
            </w:pPr>
            <w:r>
              <w:rPr>
                <w:sz w:val="21"/>
                <w:szCs w:val="21"/>
                <w:highlight w:val="none"/>
              </w:rPr>
              <w:t>最低开采标高</w:t>
            </w:r>
          </w:p>
        </w:tc>
        <w:tc>
          <w:tcPr>
            <w:tcW w:w="3552" w:type="dxa"/>
            <w:vAlign w:val="center"/>
          </w:tcPr>
          <w:p>
            <w:pPr>
              <w:ind w:firstLine="0" w:firstLineChars="0"/>
              <w:jc w:val="center"/>
              <w:rPr>
                <w:sz w:val="21"/>
                <w:szCs w:val="21"/>
                <w:highlight w:val="none"/>
              </w:rPr>
            </w:pPr>
            <w:r>
              <w:rPr>
                <w:sz w:val="21"/>
                <w:szCs w:val="21"/>
                <w:highlight w:val="none"/>
              </w:rPr>
              <w:t>+</w:t>
            </w:r>
            <w:r>
              <w:rPr>
                <w:rFonts w:hint="eastAsia"/>
                <w:sz w:val="21"/>
                <w:szCs w:val="21"/>
                <w:highlight w:val="none"/>
                <w:lang w:val="en-US" w:eastAsia="zh-CN"/>
              </w:rPr>
              <w:t>1680</w:t>
            </w:r>
            <w:r>
              <w:rPr>
                <w:sz w:val="21"/>
                <w:szCs w:val="21"/>
                <w:highlight w:val="none"/>
              </w:rPr>
              <w:t>m</w:t>
            </w:r>
          </w:p>
        </w:tc>
        <w:tc>
          <w:tcPr>
            <w:tcW w:w="2306" w:type="dxa"/>
            <w:vAlign w:val="center"/>
          </w:tcPr>
          <w:p>
            <w:pPr>
              <w:ind w:firstLine="0" w:firstLineChars="0"/>
              <w:jc w:val="center"/>
              <w:rPr>
                <w:sz w:val="21"/>
                <w:szCs w:val="21"/>
                <w:highlight w:val="none"/>
              </w:rPr>
            </w:pPr>
            <w:r>
              <w:rPr>
                <w:rFonts w:hint="eastAsia"/>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882" w:type="dxa"/>
            <w:gridSpan w:val="2"/>
            <w:vAlign w:val="center"/>
          </w:tcPr>
          <w:p>
            <w:pPr>
              <w:ind w:firstLine="0" w:firstLineChars="0"/>
              <w:jc w:val="center"/>
              <w:rPr>
                <w:sz w:val="21"/>
                <w:szCs w:val="21"/>
                <w:highlight w:val="none"/>
              </w:rPr>
            </w:pPr>
            <w:r>
              <w:rPr>
                <w:sz w:val="21"/>
                <w:szCs w:val="21"/>
                <w:highlight w:val="none"/>
              </w:rPr>
              <w:t>终了边坡高度</w:t>
            </w:r>
          </w:p>
        </w:tc>
        <w:tc>
          <w:tcPr>
            <w:tcW w:w="3552" w:type="dxa"/>
            <w:vAlign w:val="center"/>
          </w:tcPr>
          <w:p>
            <w:pPr>
              <w:ind w:firstLine="0" w:firstLineChars="0"/>
              <w:jc w:val="center"/>
              <w:rPr>
                <w:sz w:val="21"/>
                <w:szCs w:val="21"/>
                <w:highlight w:val="none"/>
              </w:rPr>
            </w:pPr>
            <w:r>
              <w:rPr>
                <w:sz w:val="21"/>
                <w:szCs w:val="21"/>
                <w:highlight w:val="none"/>
              </w:rPr>
              <w:t>最大</w:t>
            </w:r>
            <w:r>
              <w:rPr>
                <w:rFonts w:hint="eastAsia"/>
                <w:sz w:val="21"/>
                <w:szCs w:val="21"/>
                <w:highlight w:val="none"/>
                <w:lang w:val="en-US" w:eastAsia="zh-CN"/>
              </w:rPr>
              <w:t>66</w:t>
            </w:r>
            <w:r>
              <w:rPr>
                <w:sz w:val="21"/>
                <w:szCs w:val="21"/>
                <w:highlight w:val="none"/>
              </w:rPr>
              <w:t>m（东侧）</w:t>
            </w:r>
          </w:p>
        </w:tc>
        <w:tc>
          <w:tcPr>
            <w:tcW w:w="2306" w:type="dxa"/>
            <w:vAlign w:val="center"/>
          </w:tcPr>
          <w:p>
            <w:pPr>
              <w:ind w:firstLine="0" w:firstLineChars="0"/>
              <w:jc w:val="center"/>
              <w:rPr>
                <w:sz w:val="21"/>
                <w:szCs w:val="21"/>
                <w:highlight w:val="none"/>
              </w:rPr>
            </w:pPr>
            <w:r>
              <w:rPr>
                <w:rFonts w:hint="eastAsia"/>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Merge w:val="restart"/>
            <w:vAlign w:val="center"/>
          </w:tcPr>
          <w:p>
            <w:pPr>
              <w:ind w:firstLine="0" w:firstLineChars="0"/>
              <w:jc w:val="center"/>
              <w:rPr>
                <w:sz w:val="21"/>
                <w:szCs w:val="21"/>
                <w:highlight w:val="none"/>
              </w:rPr>
            </w:pPr>
            <w:r>
              <w:rPr>
                <w:sz w:val="21"/>
                <w:szCs w:val="21"/>
                <w:highlight w:val="none"/>
              </w:rPr>
              <w:t>平台</w:t>
            </w:r>
          </w:p>
          <w:p>
            <w:pPr>
              <w:ind w:firstLine="0" w:firstLineChars="0"/>
              <w:jc w:val="center"/>
              <w:rPr>
                <w:sz w:val="21"/>
                <w:szCs w:val="21"/>
                <w:highlight w:val="none"/>
              </w:rPr>
            </w:pPr>
            <w:r>
              <w:rPr>
                <w:sz w:val="21"/>
                <w:szCs w:val="21"/>
                <w:highlight w:val="none"/>
              </w:rPr>
              <w:t>宽度</w:t>
            </w:r>
          </w:p>
        </w:tc>
        <w:tc>
          <w:tcPr>
            <w:tcW w:w="2094" w:type="dxa"/>
            <w:vAlign w:val="center"/>
          </w:tcPr>
          <w:p>
            <w:pPr>
              <w:ind w:firstLine="0" w:firstLineChars="0"/>
              <w:jc w:val="center"/>
              <w:rPr>
                <w:rFonts w:hint="eastAsia" w:eastAsia="宋体"/>
                <w:sz w:val="21"/>
                <w:szCs w:val="21"/>
                <w:highlight w:val="none"/>
                <w:lang w:eastAsia="zh-CN"/>
              </w:rPr>
            </w:pPr>
            <w:r>
              <w:rPr>
                <w:rFonts w:hint="eastAsia"/>
                <w:sz w:val="21"/>
                <w:szCs w:val="21"/>
                <w:highlight w:val="none"/>
                <w:lang w:eastAsia="zh-CN"/>
              </w:rPr>
              <w:t>开采水平面台阶宽</w:t>
            </w:r>
          </w:p>
        </w:tc>
        <w:tc>
          <w:tcPr>
            <w:tcW w:w="3552" w:type="dxa"/>
            <w:vAlign w:val="center"/>
          </w:tcPr>
          <w:p>
            <w:pPr>
              <w:ind w:firstLine="0" w:firstLineChars="0"/>
              <w:jc w:val="center"/>
              <w:rPr>
                <w:sz w:val="21"/>
                <w:szCs w:val="21"/>
                <w:highlight w:val="none"/>
              </w:rPr>
            </w:pPr>
            <w:r>
              <w:rPr>
                <w:rFonts w:hint="eastAsia"/>
                <w:sz w:val="21"/>
                <w:szCs w:val="21"/>
                <w:highlight w:val="none"/>
                <w:lang w:val="en-US" w:eastAsia="zh-CN"/>
              </w:rPr>
              <w:t>6</w:t>
            </w:r>
            <w:r>
              <w:rPr>
                <w:sz w:val="21"/>
                <w:szCs w:val="21"/>
                <w:highlight w:val="none"/>
              </w:rPr>
              <w:t>m</w:t>
            </w:r>
          </w:p>
        </w:tc>
        <w:tc>
          <w:tcPr>
            <w:tcW w:w="2306" w:type="dxa"/>
            <w:vAlign w:val="center"/>
          </w:tcPr>
          <w:p>
            <w:pPr>
              <w:ind w:firstLine="0" w:firstLineChars="0"/>
              <w:jc w:val="center"/>
              <w:rPr>
                <w:sz w:val="21"/>
                <w:szCs w:val="21"/>
                <w:highlight w:val="none"/>
              </w:rPr>
            </w:pPr>
            <w:r>
              <w:rPr>
                <w:rFonts w:hint="eastAsia"/>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88" w:type="dxa"/>
            <w:vMerge w:val="continue"/>
            <w:vAlign w:val="center"/>
          </w:tcPr>
          <w:p>
            <w:pPr>
              <w:ind w:firstLine="0" w:firstLineChars="0"/>
              <w:jc w:val="center"/>
              <w:rPr>
                <w:sz w:val="21"/>
                <w:szCs w:val="21"/>
                <w:highlight w:val="none"/>
              </w:rPr>
            </w:pPr>
          </w:p>
        </w:tc>
        <w:tc>
          <w:tcPr>
            <w:tcW w:w="2094" w:type="dxa"/>
            <w:vAlign w:val="center"/>
          </w:tcPr>
          <w:p>
            <w:pPr>
              <w:ind w:firstLine="0" w:firstLineChars="0"/>
              <w:jc w:val="center"/>
              <w:rPr>
                <w:sz w:val="21"/>
                <w:szCs w:val="21"/>
                <w:highlight w:val="none"/>
              </w:rPr>
            </w:pPr>
            <w:r>
              <w:rPr>
                <w:sz w:val="21"/>
                <w:szCs w:val="21"/>
                <w:highlight w:val="none"/>
              </w:rPr>
              <w:t>安全平台宽度</w:t>
            </w:r>
          </w:p>
        </w:tc>
        <w:tc>
          <w:tcPr>
            <w:tcW w:w="3552" w:type="dxa"/>
            <w:vAlign w:val="center"/>
          </w:tcPr>
          <w:p>
            <w:pPr>
              <w:ind w:firstLine="0" w:firstLineChars="0"/>
              <w:jc w:val="center"/>
              <w:rPr>
                <w:sz w:val="21"/>
                <w:szCs w:val="21"/>
                <w:highlight w:val="none"/>
              </w:rPr>
            </w:pPr>
            <w:r>
              <w:rPr>
                <w:rFonts w:hint="eastAsia"/>
                <w:sz w:val="21"/>
                <w:szCs w:val="21"/>
                <w:highlight w:val="none"/>
                <w:lang w:val="en-US" w:eastAsia="zh-CN"/>
              </w:rPr>
              <w:t>3</w:t>
            </w:r>
            <w:r>
              <w:rPr>
                <w:sz w:val="21"/>
                <w:szCs w:val="21"/>
                <w:highlight w:val="none"/>
              </w:rPr>
              <w:t>m</w:t>
            </w:r>
          </w:p>
        </w:tc>
        <w:tc>
          <w:tcPr>
            <w:tcW w:w="2306" w:type="dxa"/>
            <w:vMerge w:val="restart"/>
            <w:vAlign w:val="center"/>
          </w:tcPr>
          <w:p>
            <w:pPr>
              <w:ind w:firstLine="0" w:firstLineChars="0"/>
              <w:jc w:val="center"/>
              <w:rPr>
                <w:sz w:val="21"/>
                <w:szCs w:val="21"/>
                <w:highlight w:val="none"/>
              </w:rPr>
            </w:pPr>
            <w:r>
              <w:rPr>
                <w:sz w:val="21"/>
                <w:szCs w:val="21"/>
                <w:highlight w:val="none"/>
              </w:rPr>
              <w:t>2个安全平台、1个清扫平台间隔设置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88" w:type="dxa"/>
            <w:vMerge w:val="continue"/>
            <w:vAlign w:val="center"/>
          </w:tcPr>
          <w:p>
            <w:pPr>
              <w:ind w:firstLine="0" w:firstLineChars="0"/>
              <w:jc w:val="center"/>
              <w:rPr>
                <w:sz w:val="21"/>
                <w:szCs w:val="21"/>
                <w:highlight w:val="none"/>
              </w:rPr>
            </w:pPr>
          </w:p>
        </w:tc>
        <w:tc>
          <w:tcPr>
            <w:tcW w:w="2094" w:type="dxa"/>
            <w:vAlign w:val="center"/>
          </w:tcPr>
          <w:p>
            <w:pPr>
              <w:ind w:firstLine="0" w:firstLineChars="0"/>
              <w:jc w:val="center"/>
              <w:rPr>
                <w:sz w:val="21"/>
                <w:szCs w:val="21"/>
                <w:highlight w:val="none"/>
              </w:rPr>
            </w:pPr>
            <w:r>
              <w:rPr>
                <w:sz w:val="21"/>
                <w:szCs w:val="21"/>
                <w:highlight w:val="none"/>
              </w:rPr>
              <w:t>清扫平台宽度</w:t>
            </w:r>
          </w:p>
        </w:tc>
        <w:tc>
          <w:tcPr>
            <w:tcW w:w="3552" w:type="dxa"/>
            <w:vAlign w:val="center"/>
          </w:tcPr>
          <w:p>
            <w:pPr>
              <w:ind w:firstLine="0" w:firstLineChars="0"/>
              <w:jc w:val="center"/>
              <w:rPr>
                <w:sz w:val="21"/>
                <w:szCs w:val="21"/>
                <w:highlight w:val="none"/>
              </w:rPr>
            </w:pPr>
            <w:r>
              <w:rPr>
                <w:rFonts w:hint="eastAsia"/>
                <w:sz w:val="21"/>
                <w:szCs w:val="21"/>
                <w:highlight w:val="none"/>
                <w:lang w:val="en-US" w:eastAsia="zh-CN"/>
              </w:rPr>
              <w:t>4</w:t>
            </w:r>
            <w:r>
              <w:rPr>
                <w:sz w:val="21"/>
                <w:szCs w:val="21"/>
                <w:highlight w:val="none"/>
              </w:rPr>
              <w:t>m</w:t>
            </w:r>
          </w:p>
        </w:tc>
        <w:tc>
          <w:tcPr>
            <w:tcW w:w="2306" w:type="dxa"/>
            <w:vMerge w:val="continue"/>
            <w:vAlign w:val="center"/>
          </w:tcPr>
          <w:p>
            <w:pPr>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88" w:type="dxa"/>
            <w:vMerge w:val="restart"/>
            <w:tcBorders>
              <w:top w:val="single" w:color="auto" w:sz="4" w:space="0"/>
            </w:tcBorders>
            <w:vAlign w:val="center"/>
          </w:tcPr>
          <w:p>
            <w:pPr>
              <w:ind w:firstLine="0" w:firstLineChars="0"/>
              <w:jc w:val="center"/>
              <w:rPr>
                <w:sz w:val="21"/>
                <w:szCs w:val="21"/>
                <w:highlight w:val="none"/>
              </w:rPr>
            </w:pPr>
            <w:r>
              <w:rPr>
                <w:sz w:val="21"/>
                <w:szCs w:val="21"/>
                <w:highlight w:val="none"/>
              </w:rPr>
              <w:t>边</w:t>
            </w:r>
          </w:p>
          <w:p>
            <w:pPr>
              <w:ind w:firstLine="0" w:firstLineChars="0"/>
              <w:jc w:val="center"/>
              <w:rPr>
                <w:sz w:val="21"/>
                <w:szCs w:val="21"/>
                <w:highlight w:val="none"/>
              </w:rPr>
            </w:pPr>
            <w:r>
              <w:rPr>
                <w:sz w:val="21"/>
                <w:szCs w:val="21"/>
                <w:highlight w:val="none"/>
              </w:rPr>
              <w:t>坡</w:t>
            </w:r>
          </w:p>
          <w:p>
            <w:pPr>
              <w:ind w:firstLine="0" w:firstLineChars="0"/>
              <w:jc w:val="center"/>
              <w:rPr>
                <w:sz w:val="21"/>
                <w:szCs w:val="21"/>
                <w:highlight w:val="none"/>
              </w:rPr>
            </w:pPr>
            <w:r>
              <w:rPr>
                <w:sz w:val="21"/>
                <w:szCs w:val="21"/>
                <w:highlight w:val="none"/>
              </w:rPr>
              <w:t>角</w:t>
            </w:r>
          </w:p>
        </w:tc>
        <w:tc>
          <w:tcPr>
            <w:tcW w:w="2094" w:type="dxa"/>
            <w:vAlign w:val="center"/>
          </w:tcPr>
          <w:p>
            <w:pPr>
              <w:ind w:firstLine="0" w:firstLineChars="0"/>
              <w:jc w:val="center"/>
              <w:rPr>
                <w:sz w:val="21"/>
                <w:szCs w:val="21"/>
                <w:highlight w:val="none"/>
              </w:rPr>
            </w:pPr>
            <w:r>
              <w:rPr>
                <w:sz w:val="21"/>
                <w:szCs w:val="21"/>
                <w:highlight w:val="none"/>
              </w:rPr>
              <w:t>工作台阶坡面角</w:t>
            </w:r>
          </w:p>
        </w:tc>
        <w:tc>
          <w:tcPr>
            <w:tcW w:w="3552" w:type="dxa"/>
            <w:vAlign w:val="center"/>
          </w:tcPr>
          <w:p>
            <w:pPr>
              <w:ind w:firstLine="0" w:firstLineChars="0"/>
              <w:jc w:val="center"/>
              <w:rPr>
                <w:sz w:val="21"/>
                <w:szCs w:val="21"/>
                <w:highlight w:val="none"/>
              </w:rPr>
            </w:pPr>
            <w:r>
              <w:rPr>
                <w:sz w:val="21"/>
                <w:szCs w:val="21"/>
                <w:highlight w:val="none"/>
              </w:rPr>
              <w:t>75°</w:t>
            </w:r>
          </w:p>
        </w:tc>
        <w:tc>
          <w:tcPr>
            <w:tcW w:w="2306" w:type="dxa"/>
            <w:vAlign w:val="center"/>
          </w:tcPr>
          <w:p>
            <w:pPr>
              <w:ind w:firstLine="0" w:firstLineChars="0"/>
              <w:jc w:val="center"/>
              <w:rPr>
                <w:sz w:val="21"/>
                <w:szCs w:val="21"/>
                <w:highlight w:val="none"/>
              </w:rPr>
            </w:pPr>
            <w:r>
              <w:rPr>
                <w:rFonts w:hint="eastAsia"/>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88" w:type="dxa"/>
            <w:vMerge w:val="continue"/>
            <w:vAlign w:val="center"/>
          </w:tcPr>
          <w:p>
            <w:pPr>
              <w:ind w:firstLine="0" w:firstLineChars="0"/>
              <w:jc w:val="center"/>
              <w:rPr>
                <w:sz w:val="21"/>
                <w:szCs w:val="21"/>
                <w:highlight w:val="none"/>
              </w:rPr>
            </w:pPr>
          </w:p>
        </w:tc>
        <w:tc>
          <w:tcPr>
            <w:tcW w:w="2094" w:type="dxa"/>
            <w:vAlign w:val="center"/>
          </w:tcPr>
          <w:p>
            <w:pPr>
              <w:ind w:firstLine="0" w:firstLineChars="0"/>
              <w:jc w:val="center"/>
              <w:rPr>
                <w:sz w:val="21"/>
                <w:szCs w:val="21"/>
                <w:highlight w:val="none"/>
              </w:rPr>
            </w:pPr>
            <w:r>
              <w:rPr>
                <w:sz w:val="21"/>
                <w:szCs w:val="21"/>
                <w:highlight w:val="none"/>
              </w:rPr>
              <w:t>终了台阶坡面角</w:t>
            </w:r>
          </w:p>
        </w:tc>
        <w:tc>
          <w:tcPr>
            <w:tcW w:w="3552" w:type="dxa"/>
            <w:vAlign w:val="center"/>
          </w:tcPr>
          <w:p>
            <w:pPr>
              <w:ind w:firstLine="0" w:firstLineChars="0"/>
              <w:jc w:val="center"/>
              <w:rPr>
                <w:sz w:val="21"/>
                <w:szCs w:val="21"/>
                <w:highlight w:val="none"/>
              </w:rPr>
            </w:pPr>
            <w:r>
              <w:rPr>
                <w:sz w:val="21"/>
                <w:szCs w:val="21"/>
                <w:highlight w:val="none"/>
              </w:rPr>
              <w:t>60°</w:t>
            </w:r>
          </w:p>
        </w:tc>
        <w:tc>
          <w:tcPr>
            <w:tcW w:w="2306" w:type="dxa"/>
            <w:vAlign w:val="center"/>
          </w:tcPr>
          <w:p>
            <w:pPr>
              <w:ind w:firstLine="0" w:firstLineChars="0"/>
              <w:jc w:val="center"/>
              <w:rPr>
                <w:sz w:val="21"/>
                <w:szCs w:val="21"/>
                <w:highlight w:val="none"/>
              </w:rPr>
            </w:pPr>
            <w:r>
              <w:rPr>
                <w:rFonts w:hint="eastAsia"/>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88" w:type="dxa"/>
            <w:vMerge w:val="continue"/>
            <w:vAlign w:val="center"/>
          </w:tcPr>
          <w:p>
            <w:pPr>
              <w:ind w:firstLine="0" w:firstLineChars="0"/>
              <w:jc w:val="center"/>
              <w:rPr>
                <w:sz w:val="21"/>
                <w:szCs w:val="21"/>
                <w:highlight w:val="none"/>
              </w:rPr>
            </w:pPr>
          </w:p>
        </w:tc>
        <w:tc>
          <w:tcPr>
            <w:tcW w:w="2094" w:type="dxa"/>
            <w:vAlign w:val="center"/>
          </w:tcPr>
          <w:p>
            <w:pPr>
              <w:ind w:firstLine="0" w:firstLineChars="0"/>
              <w:jc w:val="center"/>
              <w:rPr>
                <w:sz w:val="21"/>
                <w:szCs w:val="21"/>
                <w:highlight w:val="none"/>
              </w:rPr>
            </w:pPr>
            <w:r>
              <w:rPr>
                <w:sz w:val="21"/>
                <w:szCs w:val="21"/>
                <w:highlight w:val="none"/>
              </w:rPr>
              <w:t>终了边坡角</w:t>
            </w:r>
          </w:p>
        </w:tc>
        <w:tc>
          <w:tcPr>
            <w:tcW w:w="3552" w:type="dxa"/>
            <w:vAlign w:val="center"/>
          </w:tcPr>
          <w:p>
            <w:pPr>
              <w:ind w:firstLine="0" w:firstLineChars="0"/>
              <w:jc w:val="center"/>
              <w:rPr>
                <w:sz w:val="21"/>
                <w:szCs w:val="21"/>
                <w:highlight w:val="none"/>
              </w:rPr>
            </w:pPr>
            <w:r>
              <w:rPr>
                <w:rFonts w:hint="eastAsia"/>
                <w:sz w:val="21"/>
                <w:szCs w:val="21"/>
                <w:highlight w:val="none"/>
              </w:rPr>
              <w:t>/</w:t>
            </w:r>
          </w:p>
        </w:tc>
        <w:tc>
          <w:tcPr>
            <w:tcW w:w="2306" w:type="dxa"/>
            <w:vAlign w:val="center"/>
          </w:tcPr>
          <w:p>
            <w:pPr>
              <w:ind w:firstLine="0" w:firstLineChars="0"/>
              <w:jc w:val="center"/>
              <w:rPr>
                <w:sz w:val="21"/>
                <w:szCs w:val="21"/>
                <w:highlight w:val="none"/>
              </w:rPr>
            </w:pPr>
            <w:r>
              <w:rPr>
                <w:rFonts w:hint="eastAsia"/>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88" w:type="dxa"/>
            <w:vMerge w:val="continue"/>
            <w:vAlign w:val="center"/>
          </w:tcPr>
          <w:p>
            <w:pPr>
              <w:ind w:firstLine="0" w:firstLineChars="0"/>
              <w:jc w:val="center"/>
              <w:rPr>
                <w:sz w:val="21"/>
                <w:szCs w:val="21"/>
                <w:highlight w:val="none"/>
              </w:rPr>
            </w:pPr>
          </w:p>
        </w:tc>
        <w:tc>
          <w:tcPr>
            <w:tcW w:w="2094" w:type="dxa"/>
            <w:vAlign w:val="center"/>
          </w:tcPr>
          <w:p>
            <w:pPr>
              <w:ind w:firstLine="0" w:firstLineChars="0"/>
              <w:jc w:val="center"/>
              <w:rPr>
                <w:sz w:val="21"/>
                <w:szCs w:val="21"/>
                <w:highlight w:val="none"/>
              </w:rPr>
            </w:pPr>
            <w:r>
              <w:rPr>
                <w:sz w:val="21"/>
                <w:szCs w:val="21"/>
                <w:highlight w:val="none"/>
              </w:rPr>
              <w:t>东侧</w:t>
            </w:r>
          </w:p>
        </w:tc>
        <w:tc>
          <w:tcPr>
            <w:tcW w:w="3552" w:type="dxa"/>
            <w:vAlign w:val="center"/>
          </w:tcPr>
          <w:p>
            <w:pPr>
              <w:ind w:firstLine="0" w:firstLineChars="0"/>
              <w:jc w:val="center"/>
              <w:rPr>
                <w:sz w:val="21"/>
                <w:szCs w:val="21"/>
                <w:highlight w:val="none"/>
              </w:rPr>
            </w:pPr>
            <w:r>
              <w:rPr>
                <w:sz w:val="21"/>
                <w:szCs w:val="21"/>
                <w:highlight w:val="none"/>
              </w:rPr>
              <w:t>48°</w:t>
            </w:r>
          </w:p>
        </w:tc>
        <w:tc>
          <w:tcPr>
            <w:tcW w:w="2306" w:type="dxa"/>
            <w:vAlign w:val="center"/>
          </w:tcPr>
          <w:p>
            <w:pPr>
              <w:ind w:firstLine="0" w:firstLineChars="0"/>
              <w:jc w:val="center"/>
              <w:rPr>
                <w:sz w:val="21"/>
                <w:szCs w:val="21"/>
                <w:highlight w:val="none"/>
              </w:rPr>
            </w:pPr>
            <w:r>
              <w:rPr>
                <w:sz w:val="21"/>
                <w:szCs w:val="21"/>
                <w:highlight w:val="none"/>
              </w:rPr>
              <w:t>最大边坡高度</w:t>
            </w:r>
            <w:r>
              <w:rPr>
                <w:rFonts w:hint="eastAsia"/>
                <w:sz w:val="21"/>
                <w:szCs w:val="21"/>
                <w:highlight w:val="none"/>
                <w:lang w:val="en-US" w:eastAsia="zh-CN"/>
              </w:rPr>
              <w:t>66</w:t>
            </w:r>
            <w:r>
              <w:rPr>
                <w:sz w:val="21"/>
                <w:szCs w:val="21"/>
                <w:highlight w:val="none"/>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88" w:type="dxa"/>
            <w:vMerge w:val="continue"/>
            <w:vAlign w:val="center"/>
          </w:tcPr>
          <w:p>
            <w:pPr>
              <w:ind w:firstLine="0" w:firstLineChars="0"/>
              <w:jc w:val="center"/>
              <w:rPr>
                <w:sz w:val="21"/>
                <w:szCs w:val="21"/>
                <w:highlight w:val="none"/>
              </w:rPr>
            </w:pPr>
          </w:p>
        </w:tc>
        <w:tc>
          <w:tcPr>
            <w:tcW w:w="2094" w:type="dxa"/>
            <w:vAlign w:val="center"/>
          </w:tcPr>
          <w:p>
            <w:pPr>
              <w:ind w:firstLine="0" w:firstLineChars="0"/>
              <w:jc w:val="center"/>
              <w:rPr>
                <w:sz w:val="21"/>
                <w:szCs w:val="21"/>
                <w:highlight w:val="none"/>
              </w:rPr>
            </w:pPr>
            <w:r>
              <w:rPr>
                <w:sz w:val="21"/>
                <w:szCs w:val="21"/>
                <w:highlight w:val="none"/>
              </w:rPr>
              <w:t>南侧</w:t>
            </w:r>
          </w:p>
        </w:tc>
        <w:tc>
          <w:tcPr>
            <w:tcW w:w="3552" w:type="dxa"/>
            <w:vAlign w:val="center"/>
          </w:tcPr>
          <w:p>
            <w:pPr>
              <w:ind w:firstLine="0" w:firstLineChars="0"/>
              <w:jc w:val="center"/>
              <w:rPr>
                <w:sz w:val="21"/>
                <w:szCs w:val="21"/>
                <w:highlight w:val="none"/>
              </w:rPr>
            </w:pPr>
            <w:r>
              <w:rPr>
                <w:sz w:val="21"/>
                <w:szCs w:val="21"/>
                <w:highlight w:val="none"/>
              </w:rPr>
              <w:t>48°</w:t>
            </w:r>
          </w:p>
        </w:tc>
        <w:tc>
          <w:tcPr>
            <w:tcW w:w="2306" w:type="dxa"/>
            <w:vAlign w:val="center"/>
          </w:tcPr>
          <w:p>
            <w:pPr>
              <w:ind w:firstLine="0" w:firstLineChars="0"/>
              <w:jc w:val="center"/>
              <w:rPr>
                <w:sz w:val="21"/>
                <w:szCs w:val="21"/>
                <w:highlight w:val="none"/>
              </w:rPr>
            </w:pPr>
            <w:r>
              <w:rPr>
                <w:sz w:val="21"/>
                <w:szCs w:val="21"/>
                <w:highlight w:val="none"/>
              </w:rPr>
              <w:t>最大边坡高度</w:t>
            </w:r>
            <w:r>
              <w:rPr>
                <w:rFonts w:hint="eastAsia"/>
                <w:sz w:val="21"/>
                <w:szCs w:val="21"/>
                <w:highlight w:val="none"/>
                <w:lang w:val="en-US" w:eastAsia="zh-CN"/>
              </w:rPr>
              <w:t>52</w:t>
            </w:r>
            <w:r>
              <w:rPr>
                <w:sz w:val="21"/>
                <w:szCs w:val="21"/>
                <w:highlight w:val="none"/>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88" w:type="dxa"/>
            <w:vMerge w:val="continue"/>
            <w:vAlign w:val="center"/>
          </w:tcPr>
          <w:p>
            <w:pPr>
              <w:ind w:firstLine="0" w:firstLineChars="0"/>
              <w:jc w:val="center"/>
              <w:rPr>
                <w:sz w:val="21"/>
                <w:szCs w:val="21"/>
                <w:highlight w:val="none"/>
              </w:rPr>
            </w:pPr>
          </w:p>
        </w:tc>
        <w:tc>
          <w:tcPr>
            <w:tcW w:w="2094" w:type="dxa"/>
            <w:vAlign w:val="center"/>
          </w:tcPr>
          <w:p>
            <w:pPr>
              <w:ind w:firstLine="0" w:firstLineChars="0"/>
              <w:jc w:val="center"/>
              <w:rPr>
                <w:sz w:val="21"/>
                <w:szCs w:val="21"/>
                <w:highlight w:val="none"/>
              </w:rPr>
            </w:pPr>
            <w:r>
              <w:rPr>
                <w:sz w:val="21"/>
                <w:szCs w:val="21"/>
                <w:highlight w:val="none"/>
              </w:rPr>
              <w:t>西侧</w:t>
            </w:r>
          </w:p>
        </w:tc>
        <w:tc>
          <w:tcPr>
            <w:tcW w:w="3552" w:type="dxa"/>
            <w:vAlign w:val="center"/>
          </w:tcPr>
          <w:p>
            <w:pPr>
              <w:ind w:firstLine="0" w:firstLineChars="0"/>
              <w:jc w:val="center"/>
              <w:rPr>
                <w:sz w:val="21"/>
                <w:szCs w:val="21"/>
                <w:highlight w:val="none"/>
              </w:rPr>
            </w:pPr>
            <w:r>
              <w:rPr>
                <w:sz w:val="21"/>
                <w:szCs w:val="21"/>
                <w:highlight w:val="none"/>
              </w:rPr>
              <w:t>最大边坡30°</w:t>
            </w:r>
          </w:p>
        </w:tc>
        <w:tc>
          <w:tcPr>
            <w:tcW w:w="2306" w:type="dxa"/>
            <w:vAlign w:val="center"/>
          </w:tcPr>
          <w:p>
            <w:pPr>
              <w:ind w:firstLine="0" w:firstLineChars="0"/>
              <w:jc w:val="center"/>
              <w:rPr>
                <w:sz w:val="21"/>
                <w:szCs w:val="21"/>
                <w:highlight w:val="none"/>
              </w:rPr>
            </w:pPr>
            <w:r>
              <w:rPr>
                <w:sz w:val="21"/>
                <w:szCs w:val="21"/>
                <w:highlight w:val="none"/>
              </w:rPr>
              <w:t>最大边坡高度</w:t>
            </w:r>
            <w:r>
              <w:rPr>
                <w:rFonts w:hint="eastAsia"/>
                <w:sz w:val="21"/>
                <w:szCs w:val="21"/>
                <w:highlight w:val="none"/>
                <w:lang w:val="en-US" w:eastAsia="zh-CN"/>
              </w:rPr>
              <w:t>58</w:t>
            </w:r>
            <w:r>
              <w:rPr>
                <w:sz w:val="21"/>
                <w:szCs w:val="21"/>
                <w:highlight w:val="none"/>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88" w:type="dxa"/>
            <w:vMerge w:val="continue"/>
            <w:vAlign w:val="center"/>
          </w:tcPr>
          <w:p>
            <w:pPr>
              <w:ind w:firstLine="0" w:firstLineChars="0"/>
              <w:jc w:val="center"/>
              <w:rPr>
                <w:sz w:val="21"/>
                <w:szCs w:val="21"/>
                <w:highlight w:val="none"/>
              </w:rPr>
            </w:pPr>
          </w:p>
        </w:tc>
        <w:tc>
          <w:tcPr>
            <w:tcW w:w="2094" w:type="dxa"/>
            <w:vAlign w:val="center"/>
          </w:tcPr>
          <w:p>
            <w:pPr>
              <w:ind w:firstLine="0" w:firstLineChars="0"/>
              <w:jc w:val="center"/>
              <w:rPr>
                <w:sz w:val="21"/>
                <w:szCs w:val="21"/>
                <w:highlight w:val="none"/>
              </w:rPr>
            </w:pPr>
            <w:r>
              <w:rPr>
                <w:sz w:val="21"/>
                <w:szCs w:val="21"/>
                <w:highlight w:val="none"/>
              </w:rPr>
              <w:t>北侧</w:t>
            </w:r>
          </w:p>
        </w:tc>
        <w:tc>
          <w:tcPr>
            <w:tcW w:w="3552" w:type="dxa"/>
            <w:vAlign w:val="center"/>
          </w:tcPr>
          <w:p>
            <w:pPr>
              <w:ind w:firstLine="0" w:firstLineChars="0"/>
              <w:jc w:val="center"/>
              <w:rPr>
                <w:sz w:val="21"/>
                <w:szCs w:val="21"/>
                <w:highlight w:val="none"/>
              </w:rPr>
            </w:pPr>
            <w:r>
              <w:rPr>
                <w:sz w:val="21"/>
                <w:szCs w:val="21"/>
                <w:highlight w:val="none"/>
              </w:rPr>
              <w:t>48°</w:t>
            </w:r>
          </w:p>
        </w:tc>
        <w:tc>
          <w:tcPr>
            <w:tcW w:w="2306" w:type="dxa"/>
            <w:vAlign w:val="center"/>
          </w:tcPr>
          <w:p>
            <w:pPr>
              <w:ind w:firstLine="0" w:firstLineChars="0"/>
              <w:jc w:val="center"/>
              <w:rPr>
                <w:sz w:val="21"/>
                <w:szCs w:val="21"/>
                <w:highlight w:val="none"/>
              </w:rPr>
            </w:pPr>
            <w:r>
              <w:rPr>
                <w:sz w:val="21"/>
                <w:szCs w:val="21"/>
                <w:highlight w:val="none"/>
              </w:rPr>
              <w:t>最大边坡高度</w:t>
            </w:r>
            <w:r>
              <w:rPr>
                <w:rFonts w:hint="eastAsia"/>
                <w:sz w:val="21"/>
                <w:szCs w:val="21"/>
                <w:highlight w:val="none"/>
                <w:lang w:val="en-US" w:eastAsia="zh-CN"/>
              </w:rPr>
              <w:t>56</w:t>
            </w:r>
            <w:r>
              <w:rPr>
                <w:sz w:val="21"/>
                <w:szCs w:val="21"/>
                <w:highlight w:val="none"/>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6" w:hRule="atLeast"/>
          <w:jc w:val="center"/>
        </w:trPr>
        <w:tc>
          <w:tcPr>
            <w:tcW w:w="2882" w:type="dxa"/>
            <w:gridSpan w:val="2"/>
            <w:vAlign w:val="center"/>
          </w:tcPr>
          <w:p>
            <w:pPr>
              <w:ind w:firstLine="0" w:firstLineChars="0"/>
              <w:jc w:val="center"/>
              <w:rPr>
                <w:sz w:val="21"/>
                <w:szCs w:val="21"/>
                <w:highlight w:val="none"/>
              </w:rPr>
            </w:pPr>
            <w:r>
              <w:rPr>
                <w:sz w:val="21"/>
                <w:szCs w:val="21"/>
                <w:highlight w:val="none"/>
              </w:rPr>
              <w:t>爆破安全警戒距离</w:t>
            </w:r>
          </w:p>
        </w:tc>
        <w:tc>
          <w:tcPr>
            <w:tcW w:w="3552" w:type="dxa"/>
            <w:vAlign w:val="center"/>
          </w:tcPr>
          <w:p>
            <w:pPr>
              <w:ind w:firstLine="0" w:firstLineChars="0"/>
              <w:jc w:val="center"/>
              <w:rPr>
                <w:sz w:val="21"/>
                <w:szCs w:val="21"/>
                <w:highlight w:val="none"/>
              </w:rPr>
            </w:pPr>
            <w:r>
              <w:rPr>
                <w:sz w:val="21"/>
                <w:szCs w:val="21"/>
                <w:highlight w:val="none"/>
              </w:rPr>
              <w:t>300m</w:t>
            </w:r>
          </w:p>
        </w:tc>
        <w:tc>
          <w:tcPr>
            <w:tcW w:w="2306" w:type="dxa"/>
            <w:vAlign w:val="center"/>
          </w:tcPr>
          <w:p>
            <w:pPr>
              <w:ind w:firstLine="0" w:firstLineChars="0"/>
              <w:jc w:val="center"/>
              <w:rPr>
                <w:sz w:val="21"/>
                <w:szCs w:val="21"/>
                <w:highlight w:val="none"/>
              </w:rPr>
            </w:pPr>
            <w:r>
              <w:rPr>
                <w:rFonts w:hint="eastAsia"/>
                <w:sz w:val="21"/>
                <w:szCs w:val="21"/>
                <w:highlight w:val="none"/>
              </w:rPr>
              <w:t>/</w:t>
            </w:r>
          </w:p>
        </w:tc>
      </w:tr>
    </w:tbl>
    <w:p>
      <w:pPr>
        <w:ind w:firstLine="480"/>
        <w:rPr>
          <w:highlight w:val="none"/>
        </w:rPr>
      </w:pPr>
    </w:p>
    <w:p>
      <w:pPr>
        <w:pStyle w:val="5"/>
        <w:adjustRightInd w:val="0"/>
        <w:snapToGrid w:val="0"/>
        <w:rPr>
          <w:rFonts w:hint="eastAsia" w:eastAsia="宋体"/>
          <w:highlight w:val="none"/>
          <w:lang w:eastAsia="zh-CN"/>
        </w:rPr>
      </w:pPr>
      <w:bookmarkStart w:id="330" w:name="_Toc26244"/>
      <w:r>
        <w:rPr>
          <w:rFonts w:hint="eastAsia"/>
          <w:highlight w:val="none"/>
          <w:lang w:val="en-US" w:eastAsia="zh-CN"/>
        </w:rPr>
        <w:t>3</w:t>
      </w:r>
      <w:r>
        <w:rPr>
          <w:highlight w:val="none"/>
        </w:rPr>
        <w:t>.1.2</w:t>
      </w:r>
      <w:r>
        <w:rPr>
          <w:rFonts w:hint="eastAsia"/>
          <w:highlight w:val="none"/>
          <w:lang w:eastAsia="zh-CN"/>
        </w:rPr>
        <w:t>开拓运输方案</w:t>
      </w:r>
      <w:bookmarkEnd w:id="330"/>
    </w:p>
    <w:p>
      <w:pPr>
        <w:pStyle w:val="2"/>
        <w:rPr>
          <w:rFonts w:hint="eastAsia" w:eastAsia="宋体"/>
          <w:highlight w:val="none"/>
          <w:lang w:eastAsia="zh-CN"/>
        </w:rPr>
      </w:pPr>
      <w:r>
        <w:rPr>
          <w:rFonts w:ascii="Times New Roman" w:hAnsi="Times New Roman" w:eastAsia="宋体"/>
          <w:spacing w:val="-7"/>
          <w:highlight w:val="none"/>
        </w:rPr>
        <w:t>设计采场为山坡露天采场，根据露天采场处于开阔缓坡的地形特点，结合采</w:t>
      </w:r>
      <w:r>
        <w:rPr>
          <w:rFonts w:ascii="Times New Roman" w:hAnsi="Times New Roman" w:eastAsia="宋体"/>
          <w:spacing w:val="-10"/>
          <w:highlight w:val="none"/>
        </w:rPr>
        <w:t>用的采剥工艺，设计采用直进式公路运输开拓方案。从矿区修建一条场</w:t>
      </w:r>
      <w:r>
        <w:rPr>
          <w:rFonts w:ascii="Times New Roman" w:hAnsi="Times New Roman" w:eastAsia="宋体"/>
          <w:spacing w:val="-9"/>
          <w:highlight w:val="none"/>
        </w:rPr>
        <w:t>外公路连接</w:t>
      </w:r>
      <w:r>
        <w:rPr>
          <w:rFonts w:ascii="Times New Roman" w:hAnsi="Times New Roman" w:eastAsia="宋体"/>
          <w:highlight w:val="none"/>
        </w:rPr>
        <w:t>1</w:t>
      </w:r>
      <w:r>
        <w:rPr>
          <w:rFonts w:hint="eastAsia"/>
          <w:highlight w:val="none"/>
          <w:lang w:val="en-US" w:eastAsia="zh-CN"/>
        </w:rPr>
        <w:t>730</w:t>
      </w:r>
      <w:r>
        <w:rPr>
          <w:rFonts w:ascii="Times New Roman" w:hAnsi="Times New Roman" w:eastAsia="宋体"/>
          <w:highlight w:val="none"/>
        </w:rPr>
        <w:t>m台阶，设计公路坡度&lt;8%</w:t>
      </w:r>
      <w:r>
        <w:rPr>
          <w:rFonts w:ascii="Times New Roman" w:hAnsi="Times New Roman" w:eastAsia="宋体"/>
          <w:spacing w:val="-8"/>
          <w:highlight w:val="none"/>
        </w:rPr>
        <w:t>，路面宽度</w:t>
      </w:r>
      <w:r>
        <w:rPr>
          <w:rFonts w:ascii="Times New Roman" w:hAnsi="Times New Roman" w:eastAsia="宋体"/>
          <w:highlight w:val="none"/>
        </w:rPr>
        <w:t>4m</w:t>
      </w:r>
      <w:r>
        <w:rPr>
          <w:rFonts w:ascii="Times New Roman" w:hAnsi="Times New Roman" w:eastAsia="宋体"/>
          <w:spacing w:val="-7"/>
          <w:highlight w:val="none"/>
        </w:rPr>
        <w:t>，路基宽度为</w:t>
      </w:r>
      <w:r>
        <w:rPr>
          <w:rFonts w:ascii="Times New Roman" w:hAnsi="Times New Roman" w:eastAsia="宋体"/>
          <w:highlight w:val="none"/>
        </w:rPr>
        <w:t xml:space="preserve">6m， </w:t>
      </w:r>
      <w:r>
        <w:rPr>
          <w:rFonts w:ascii="Times New Roman" w:hAnsi="Times New Roman" w:eastAsia="宋体"/>
          <w:spacing w:val="-7"/>
          <w:highlight w:val="none"/>
        </w:rPr>
        <w:t>各工作台阶在生产过程中，通过场内临时线和主干线连通。从生产平台采出的矿</w:t>
      </w:r>
      <w:r>
        <w:rPr>
          <w:rFonts w:ascii="Times New Roman" w:hAnsi="Times New Roman" w:eastAsia="宋体"/>
          <w:spacing w:val="-4"/>
          <w:highlight w:val="none"/>
        </w:rPr>
        <w:t>石用装载机运至加工区破碎，年产</w:t>
      </w:r>
      <w:r>
        <w:rPr>
          <w:rFonts w:hint="eastAsia"/>
          <w:spacing w:val="-4"/>
          <w:highlight w:val="none"/>
          <w:lang w:val="en-US" w:eastAsia="zh-CN"/>
        </w:rPr>
        <w:t>30</w:t>
      </w:r>
      <w:r>
        <w:rPr>
          <w:rFonts w:ascii="Times New Roman" w:hAnsi="Times New Roman" w:eastAsia="宋体"/>
          <w:highlight w:val="none"/>
        </w:rPr>
        <w:t>万吨建筑用砂石料</w:t>
      </w:r>
      <w:r>
        <w:rPr>
          <w:rFonts w:hint="eastAsia"/>
          <w:highlight w:val="none"/>
          <w:lang w:eastAsia="zh-CN"/>
        </w:rPr>
        <w:t>。</w:t>
      </w:r>
    </w:p>
    <w:p>
      <w:pPr>
        <w:pStyle w:val="4"/>
        <w:rPr>
          <w:rFonts w:hint="eastAsia" w:eastAsia="宋体"/>
          <w:highlight w:val="none"/>
          <w:lang w:eastAsia="zh-CN"/>
        </w:rPr>
      </w:pPr>
      <w:bookmarkStart w:id="331" w:name="_Toc2557"/>
      <w:r>
        <w:rPr>
          <w:rFonts w:hint="eastAsia"/>
          <w:highlight w:val="none"/>
          <w:lang w:val="en-US" w:eastAsia="zh-CN"/>
        </w:rPr>
        <w:t>3</w:t>
      </w:r>
      <w:r>
        <w:rPr>
          <w:rFonts w:hint="eastAsia"/>
          <w:highlight w:val="none"/>
        </w:rPr>
        <w:t xml:space="preserve">.2 </w:t>
      </w:r>
      <w:r>
        <w:rPr>
          <w:rFonts w:hint="eastAsia"/>
          <w:highlight w:val="none"/>
          <w:lang w:eastAsia="zh-CN"/>
        </w:rPr>
        <w:t>工艺流程</w:t>
      </w:r>
      <w:bookmarkEnd w:id="331"/>
    </w:p>
    <w:p>
      <w:pPr>
        <w:pStyle w:val="5"/>
        <w:adjustRightInd w:val="0"/>
        <w:snapToGrid w:val="0"/>
        <w:rPr>
          <w:rFonts w:hint="eastAsia" w:eastAsia="宋体"/>
          <w:highlight w:val="none"/>
          <w:lang w:eastAsia="zh-CN"/>
        </w:rPr>
      </w:pPr>
      <w:bookmarkStart w:id="332" w:name="_Toc25305"/>
      <w:r>
        <w:rPr>
          <w:rFonts w:hint="eastAsia"/>
          <w:highlight w:val="none"/>
          <w:lang w:val="en-US" w:eastAsia="zh-CN"/>
        </w:rPr>
        <w:t>3</w:t>
      </w:r>
      <w:r>
        <w:rPr>
          <w:highlight w:val="none"/>
        </w:rPr>
        <w:t>.</w:t>
      </w:r>
      <w:r>
        <w:rPr>
          <w:rFonts w:hint="eastAsia"/>
          <w:highlight w:val="none"/>
          <w:lang w:val="en-US" w:eastAsia="zh-CN"/>
        </w:rPr>
        <w:t>2</w:t>
      </w:r>
      <w:r>
        <w:rPr>
          <w:highlight w:val="none"/>
        </w:rPr>
        <w:t>.</w:t>
      </w:r>
      <w:r>
        <w:rPr>
          <w:rFonts w:hint="eastAsia"/>
          <w:highlight w:val="none"/>
          <w:lang w:val="en-US" w:eastAsia="zh-CN"/>
        </w:rPr>
        <w:t>1</w:t>
      </w:r>
      <w:r>
        <w:rPr>
          <w:rFonts w:hint="eastAsia"/>
          <w:highlight w:val="none"/>
          <w:lang w:eastAsia="zh-CN"/>
        </w:rPr>
        <w:t>施工期工艺流程</w:t>
      </w:r>
      <w:bookmarkEnd w:id="332"/>
    </w:p>
    <w:p>
      <w:pPr>
        <w:pStyle w:val="17"/>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highlight w:val="none"/>
        </w:rPr>
      </w:pPr>
      <w:r>
        <w:rPr>
          <w:rFonts w:hint="eastAsia" w:ascii="Times New Roman" w:hAnsi="Times New Roman"/>
          <w:highlight w:val="none"/>
        </w:rPr>
        <w:t>1、施工组织</w:t>
      </w:r>
    </w:p>
    <w:p>
      <w:pPr>
        <w:pStyle w:val="17"/>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highlight w:val="none"/>
        </w:rPr>
      </w:pPr>
      <w:r>
        <w:rPr>
          <w:rFonts w:hint="eastAsia" w:ascii="Times New Roman" w:hAnsi="Times New Roman"/>
          <w:highlight w:val="none"/>
        </w:rPr>
        <w:t>（1）施工进度及人员配置</w:t>
      </w:r>
    </w:p>
    <w:p>
      <w:pPr>
        <w:pStyle w:val="17"/>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highlight w:val="none"/>
        </w:rPr>
      </w:pPr>
      <w:r>
        <w:rPr>
          <w:rFonts w:hint="eastAsia" w:ascii="Times New Roman" w:hAnsi="Times New Roman"/>
          <w:highlight w:val="none"/>
        </w:rPr>
        <w:t>项目施工期预计为</w:t>
      </w:r>
      <w:r>
        <w:rPr>
          <w:rFonts w:hint="eastAsia" w:ascii="Times New Roman" w:hAnsi="Times New Roman"/>
          <w:highlight w:val="none"/>
          <w:lang w:val="en-US" w:eastAsia="zh-CN"/>
        </w:rPr>
        <w:t>7</w:t>
      </w:r>
      <w:r>
        <w:rPr>
          <w:rFonts w:hint="eastAsia" w:ascii="Times New Roman" w:hAnsi="Times New Roman"/>
          <w:highlight w:val="none"/>
        </w:rPr>
        <w:t>个月，项目计划于20</w:t>
      </w:r>
      <w:r>
        <w:rPr>
          <w:rFonts w:hint="eastAsia" w:ascii="Times New Roman" w:hAnsi="Times New Roman"/>
          <w:highlight w:val="none"/>
          <w:lang w:val="en-US" w:eastAsia="zh-CN"/>
        </w:rPr>
        <w:t>20</w:t>
      </w:r>
      <w:r>
        <w:rPr>
          <w:rFonts w:hint="eastAsia" w:ascii="Times New Roman" w:hAnsi="Times New Roman"/>
          <w:highlight w:val="none"/>
        </w:rPr>
        <w:t>年</w:t>
      </w:r>
      <w:r>
        <w:rPr>
          <w:rFonts w:hint="eastAsia" w:ascii="Times New Roman" w:hAnsi="Times New Roman"/>
          <w:highlight w:val="none"/>
          <w:lang w:val="en-US" w:eastAsia="zh-CN"/>
        </w:rPr>
        <w:t>5</w:t>
      </w:r>
      <w:r>
        <w:rPr>
          <w:rFonts w:hint="eastAsia" w:ascii="Times New Roman" w:hAnsi="Times New Roman"/>
          <w:highlight w:val="none"/>
        </w:rPr>
        <w:t>月动工，计划于</w:t>
      </w:r>
      <w:r>
        <w:rPr>
          <w:rFonts w:hint="eastAsia" w:ascii="Times New Roman" w:hAnsi="Times New Roman"/>
          <w:highlight w:val="none"/>
          <w:lang w:val="en-US" w:eastAsia="zh-CN"/>
        </w:rPr>
        <w:t>2020</w:t>
      </w:r>
      <w:r>
        <w:rPr>
          <w:rFonts w:hint="eastAsia" w:ascii="Times New Roman" w:hAnsi="Times New Roman"/>
          <w:highlight w:val="none"/>
        </w:rPr>
        <w:t>年</w:t>
      </w:r>
      <w:r>
        <w:rPr>
          <w:rFonts w:hint="eastAsia" w:ascii="Times New Roman" w:hAnsi="Times New Roman"/>
          <w:highlight w:val="none"/>
          <w:lang w:val="en-US" w:eastAsia="zh-CN"/>
        </w:rPr>
        <w:t>12</w:t>
      </w:r>
      <w:r>
        <w:rPr>
          <w:rFonts w:hint="eastAsia" w:ascii="Times New Roman" w:hAnsi="Times New Roman"/>
          <w:highlight w:val="none"/>
        </w:rPr>
        <w:t>月完工。根据建设方提供资料，工程施工期施工人员预计为20人，其中含现场看管人员2人。</w:t>
      </w:r>
    </w:p>
    <w:p>
      <w:pPr>
        <w:pStyle w:val="17"/>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highlight w:val="none"/>
        </w:rPr>
      </w:pPr>
      <w:r>
        <w:rPr>
          <w:rFonts w:hint="eastAsia" w:ascii="Times New Roman" w:hAnsi="Times New Roman"/>
          <w:highlight w:val="none"/>
        </w:rPr>
        <w:t>（2）施工交通条件</w:t>
      </w:r>
    </w:p>
    <w:p>
      <w:pPr>
        <w:pStyle w:val="17"/>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highlight w:val="none"/>
        </w:rPr>
      </w:pPr>
      <w:r>
        <w:rPr>
          <w:rFonts w:hint="eastAsia" w:ascii="Times New Roman" w:hAnsi="Times New Roman"/>
          <w:highlight w:val="none"/>
        </w:rPr>
        <w:t>建设项目</w:t>
      </w:r>
      <w:r>
        <w:rPr>
          <w:rFonts w:hint="eastAsia" w:ascii="Times New Roman" w:hAnsi="Times New Roman"/>
          <w:highlight w:val="none"/>
          <w:lang w:eastAsia="zh-CN"/>
        </w:rPr>
        <w:t>新修</w:t>
      </w:r>
      <w:r>
        <w:rPr>
          <w:rFonts w:hint="eastAsia" w:ascii="Times New Roman" w:hAnsi="Times New Roman"/>
          <w:highlight w:val="none"/>
        </w:rPr>
        <w:t>采区道路。</w:t>
      </w:r>
    </w:p>
    <w:p>
      <w:pPr>
        <w:pStyle w:val="17"/>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highlight w:val="none"/>
        </w:rPr>
      </w:pPr>
      <w:r>
        <w:rPr>
          <w:rFonts w:hint="eastAsia" w:ascii="Times New Roman" w:hAnsi="Times New Roman"/>
          <w:highlight w:val="none"/>
        </w:rPr>
        <w:t>（3）材料供应</w:t>
      </w:r>
    </w:p>
    <w:p>
      <w:pPr>
        <w:pStyle w:val="17"/>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highlight w:val="none"/>
        </w:rPr>
      </w:pPr>
      <w:r>
        <w:rPr>
          <w:rFonts w:hint="eastAsia" w:ascii="Times New Roman" w:hAnsi="Times New Roman"/>
          <w:highlight w:val="none"/>
        </w:rPr>
        <w:t>项目建设所需建筑物资均从当地购买，通过道路输送至项目区。</w:t>
      </w:r>
    </w:p>
    <w:p>
      <w:pPr>
        <w:pStyle w:val="17"/>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highlight w:val="none"/>
        </w:rPr>
      </w:pPr>
      <w:r>
        <w:rPr>
          <w:rFonts w:hint="eastAsia" w:ascii="Times New Roman" w:hAnsi="Times New Roman"/>
          <w:highlight w:val="none"/>
        </w:rPr>
        <w:t>（4）工程用水</w:t>
      </w:r>
    </w:p>
    <w:p>
      <w:pPr>
        <w:pStyle w:val="17"/>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highlight w:val="none"/>
        </w:rPr>
      </w:pPr>
      <w:r>
        <w:rPr>
          <w:rFonts w:hint="eastAsia" w:ascii="Times New Roman" w:hAnsi="Times New Roman"/>
          <w:highlight w:val="none"/>
        </w:rPr>
        <w:t>项目用水</w:t>
      </w:r>
      <w:r>
        <w:rPr>
          <w:rFonts w:hint="eastAsia" w:ascii="Times New Roman" w:hAnsi="Times New Roman"/>
          <w:highlight w:val="none"/>
          <w:lang w:eastAsia="zh-CN"/>
        </w:rPr>
        <w:t>接自当地供水管网</w:t>
      </w:r>
      <w:r>
        <w:rPr>
          <w:rFonts w:hint="eastAsia" w:ascii="Times New Roman" w:hAnsi="Times New Roman"/>
          <w:highlight w:val="none"/>
        </w:rPr>
        <w:t>。</w:t>
      </w:r>
    </w:p>
    <w:p>
      <w:pPr>
        <w:pStyle w:val="17"/>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highlight w:val="none"/>
        </w:rPr>
      </w:pPr>
      <w:r>
        <w:rPr>
          <w:rFonts w:hint="eastAsia" w:ascii="Times New Roman" w:hAnsi="Times New Roman"/>
          <w:highlight w:val="none"/>
        </w:rPr>
        <w:t>（5）“三场”规划</w:t>
      </w:r>
    </w:p>
    <w:p>
      <w:pPr>
        <w:pStyle w:val="17"/>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highlight w:val="none"/>
        </w:rPr>
      </w:pPr>
      <w:r>
        <w:rPr>
          <w:rFonts w:hint="eastAsia" w:ascii="Times New Roman" w:hAnsi="Times New Roman"/>
          <w:highlight w:val="none"/>
        </w:rPr>
        <w:t>1）取土场：工程</w:t>
      </w:r>
      <w:r>
        <w:rPr>
          <w:rFonts w:hint="eastAsia" w:ascii="Times New Roman" w:hAnsi="Times New Roman"/>
          <w:highlight w:val="none"/>
          <w:lang w:eastAsia="zh-CN"/>
        </w:rPr>
        <w:t>工业场地</w:t>
      </w:r>
      <w:r>
        <w:rPr>
          <w:rFonts w:hint="eastAsia" w:ascii="Times New Roman" w:hAnsi="Times New Roman"/>
          <w:highlight w:val="none"/>
        </w:rPr>
        <w:t>地势起伏不大，无需外借土方。</w:t>
      </w:r>
    </w:p>
    <w:p>
      <w:pPr>
        <w:pStyle w:val="17"/>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highlight w:val="none"/>
        </w:rPr>
      </w:pPr>
      <w:r>
        <w:rPr>
          <w:rFonts w:hint="eastAsia" w:ascii="Times New Roman" w:hAnsi="Times New Roman"/>
          <w:highlight w:val="none"/>
        </w:rPr>
        <w:t>2）弃土场：本工程建设过程中土石方能够达到项目内部平衡，无永久弃渣产生，不设置弃土场。</w:t>
      </w:r>
    </w:p>
    <w:p>
      <w:pPr>
        <w:pStyle w:val="17"/>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highlight w:val="none"/>
        </w:rPr>
      </w:pPr>
      <w:r>
        <w:rPr>
          <w:rFonts w:hint="eastAsia" w:ascii="Times New Roman" w:hAnsi="Times New Roman"/>
          <w:highlight w:val="none"/>
        </w:rPr>
        <w:t>3）</w:t>
      </w:r>
      <w:r>
        <w:rPr>
          <w:rFonts w:hint="eastAsia" w:ascii="Times New Roman" w:hAnsi="Times New Roman"/>
          <w:highlight w:val="none"/>
          <w:lang w:eastAsia="zh-CN"/>
        </w:rPr>
        <w:t>工业场地</w:t>
      </w:r>
      <w:r>
        <w:rPr>
          <w:rFonts w:hint="eastAsia" w:ascii="Times New Roman" w:hAnsi="Times New Roman"/>
          <w:highlight w:val="none"/>
        </w:rPr>
        <w:t>：生产车间采用钢架结构，涉及少量混</w:t>
      </w:r>
      <w:r>
        <w:rPr>
          <w:rFonts w:hint="eastAsia" w:ascii="Times New Roman" w:hAnsi="Times New Roman"/>
          <w:highlight w:val="none"/>
          <w:lang w:val="en-US" w:eastAsia="zh-CN"/>
        </w:rPr>
        <w:t>凝</w:t>
      </w:r>
      <w:r>
        <w:rPr>
          <w:rFonts w:hint="eastAsia" w:ascii="Times New Roman" w:hAnsi="Times New Roman"/>
          <w:highlight w:val="none"/>
        </w:rPr>
        <w:t>土使用，施工场地内不设搅拌站。</w:t>
      </w:r>
    </w:p>
    <w:p>
      <w:pPr>
        <w:pStyle w:val="17"/>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highlight w:val="none"/>
        </w:rPr>
      </w:pPr>
      <w:r>
        <w:rPr>
          <w:rFonts w:hint="eastAsia" w:ascii="Times New Roman" w:hAnsi="Times New Roman"/>
          <w:highlight w:val="none"/>
          <w:lang w:eastAsia="zh-CN"/>
        </w:rPr>
        <w:t>（</w:t>
      </w:r>
      <w:r>
        <w:rPr>
          <w:rFonts w:hint="eastAsia" w:ascii="Times New Roman" w:hAnsi="Times New Roman"/>
          <w:highlight w:val="none"/>
          <w:lang w:val="en-US" w:eastAsia="zh-CN"/>
        </w:rPr>
        <w:t>6</w:t>
      </w:r>
      <w:r>
        <w:rPr>
          <w:rFonts w:hint="eastAsia" w:ascii="Times New Roman" w:hAnsi="Times New Roman"/>
          <w:highlight w:val="none"/>
          <w:lang w:eastAsia="zh-CN"/>
        </w:rPr>
        <w:t>）</w:t>
      </w:r>
      <w:r>
        <w:rPr>
          <w:rFonts w:hint="eastAsia" w:ascii="Times New Roman" w:hAnsi="Times New Roman"/>
          <w:highlight w:val="none"/>
        </w:rPr>
        <w:t>建筑材料堆存情况</w:t>
      </w:r>
    </w:p>
    <w:p>
      <w:pPr>
        <w:pStyle w:val="17"/>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highlight w:val="none"/>
          <w:lang w:eastAsia="zh-CN"/>
        </w:rPr>
      </w:pPr>
      <w:r>
        <w:rPr>
          <w:rFonts w:hint="eastAsia" w:ascii="Times New Roman" w:hAnsi="Times New Roman"/>
          <w:highlight w:val="none"/>
        </w:rPr>
        <w:t>项目施工主要为生产车间的建设和设备安装，生产车间采用钢架结构，涉及少量混</w:t>
      </w:r>
      <w:r>
        <w:rPr>
          <w:rFonts w:hint="eastAsia" w:ascii="Times New Roman" w:hAnsi="Times New Roman"/>
          <w:highlight w:val="none"/>
          <w:lang w:val="en-US" w:eastAsia="zh-CN"/>
        </w:rPr>
        <w:t>凝</w:t>
      </w:r>
      <w:r>
        <w:rPr>
          <w:rFonts w:hint="eastAsia" w:ascii="Times New Roman" w:hAnsi="Times New Roman"/>
          <w:highlight w:val="none"/>
        </w:rPr>
        <w:t>土使用，施工场地内不设搅拌站。钢材、水泥、木材、砂等建筑材料根据施工过程实际需要设棚堆存</w:t>
      </w:r>
      <w:r>
        <w:rPr>
          <w:rFonts w:hint="eastAsia" w:ascii="Times New Roman" w:hAnsi="Times New Roman"/>
          <w:highlight w:val="none"/>
          <w:lang w:eastAsia="zh-CN"/>
        </w:rPr>
        <w:t>。</w:t>
      </w:r>
    </w:p>
    <w:p>
      <w:pPr>
        <w:pStyle w:val="17"/>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ascii="Times New Roman" w:hAnsi="Times New Roman"/>
          <w:highlight w:val="none"/>
          <w:lang w:val="en-US" w:eastAsia="zh-CN"/>
        </w:rPr>
      </w:pPr>
      <w:r>
        <w:rPr>
          <w:rFonts w:hint="eastAsia" w:ascii="Times New Roman" w:hAnsi="Times New Roman"/>
          <w:highlight w:val="none"/>
          <w:lang w:val="en-US" w:eastAsia="zh-CN"/>
        </w:rPr>
        <w:t>2、施工期工艺流程及产污节点</w:t>
      </w:r>
    </w:p>
    <w:p>
      <w:pPr>
        <w:pStyle w:val="17"/>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Times New Roman" w:hAnsi="Times New Roman" w:eastAsia="宋体"/>
          <w:highlight w:val="none"/>
          <w:lang w:eastAsia="zh-CN"/>
        </w:rPr>
      </w:pPr>
      <w:r>
        <w:rPr>
          <w:rFonts w:hint="eastAsia" w:ascii="Times New Roman" w:hAnsi="Times New Roman"/>
          <w:highlight w:val="none"/>
          <w:lang w:eastAsia="zh-CN"/>
        </w:rPr>
        <w:t xml:space="preserve">项目为新建工程，矿山基建内容主要是矿山公路开拓和生产、管理用房的建设，截排水沟以及相关环保设施的建设，根据矿山的采剥装备水平，公路开拓等的基建时间约为5个月。施工期污染工序及产污节点见图 </w:t>
      </w:r>
      <w:r>
        <w:rPr>
          <w:rFonts w:hint="eastAsia" w:ascii="Times New Roman" w:hAnsi="Times New Roman"/>
          <w:highlight w:val="none"/>
          <w:lang w:val="en-US" w:eastAsia="zh-CN"/>
        </w:rPr>
        <w:t>3</w:t>
      </w:r>
      <w:r>
        <w:rPr>
          <w:rFonts w:hint="eastAsia" w:ascii="Times New Roman" w:hAnsi="Times New Roman"/>
          <w:highlight w:val="none"/>
          <w:lang w:eastAsia="zh-CN"/>
        </w:rPr>
        <w:t>.2-1。</w:t>
      </w:r>
    </w:p>
    <w:p>
      <w:pPr>
        <w:ind w:firstLine="480"/>
        <w:rPr>
          <w:rFonts w:hint="eastAsia"/>
          <w:highlight w:val="none"/>
        </w:rPr>
      </w:pPr>
      <w:r>
        <w:rPr>
          <w:rFonts w:ascii="Times New Roman" w:hAnsi="Times New Roman" w:eastAsia="宋体"/>
          <w:highlight w:val="none"/>
        </w:rPr>
        <w:drawing>
          <wp:anchor distT="0" distB="0" distL="0" distR="0" simplePos="0" relativeHeight="198078464" behindDoc="0" locked="0" layoutInCell="1" allowOverlap="1">
            <wp:simplePos x="0" y="0"/>
            <wp:positionH relativeFrom="page">
              <wp:posOffset>1106170</wp:posOffset>
            </wp:positionH>
            <wp:positionV relativeFrom="paragraph">
              <wp:posOffset>20955</wp:posOffset>
            </wp:positionV>
            <wp:extent cx="5200650" cy="1371600"/>
            <wp:effectExtent l="0" t="0" r="0" b="0"/>
            <wp:wrapTopAndBottom/>
            <wp:docPr id="3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jpeg"/>
                    <pic:cNvPicPr>
                      <a:picLocks noChangeAspect="1"/>
                    </pic:cNvPicPr>
                  </pic:nvPicPr>
                  <pic:blipFill>
                    <a:blip r:embed="rId13" cstate="print"/>
                    <a:stretch>
                      <a:fillRect/>
                    </a:stretch>
                  </pic:blipFill>
                  <pic:spPr>
                    <a:xfrm>
                      <a:off x="0" y="0"/>
                      <a:ext cx="5200650" cy="1371600"/>
                    </a:xfrm>
                    <a:prstGeom prst="rect">
                      <a:avLst/>
                    </a:prstGeom>
                  </pic:spPr>
                </pic:pic>
              </a:graphicData>
            </a:graphic>
          </wp:anchor>
        </w:drawing>
      </w:r>
    </w:p>
    <w:p>
      <w:pPr>
        <w:ind w:firstLine="480"/>
        <w:jc w:val="center"/>
        <w:rPr>
          <w:rFonts w:hint="default" w:eastAsia="宋体"/>
          <w:highlight w:val="none"/>
          <w:lang w:val="en-US" w:eastAsia="zh-CN"/>
        </w:rPr>
      </w:pPr>
      <w:r>
        <w:rPr>
          <w:rFonts w:hint="eastAsia"/>
          <w:b/>
          <w:bCs/>
          <w:highlight w:val="none"/>
          <w:lang w:eastAsia="zh-CN"/>
        </w:rPr>
        <w:t>图</w:t>
      </w:r>
      <w:r>
        <w:rPr>
          <w:rFonts w:hint="eastAsia"/>
          <w:b/>
          <w:bCs/>
          <w:highlight w:val="none"/>
          <w:lang w:val="en-US" w:eastAsia="zh-CN"/>
        </w:rPr>
        <w:t>3.2-1  施工期污染工序及产污节点图</w:t>
      </w:r>
    </w:p>
    <w:p>
      <w:pPr>
        <w:ind w:left="0" w:leftChars="0" w:firstLine="0" w:firstLineChars="0"/>
        <w:rPr>
          <w:rFonts w:hint="eastAsia"/>
          <w:highlight w:val="none"/>
        </w:rPr>
      </w:pPr>
      <w:r>
        <w:rPr>
          <w:rFonts w:hint="eastAsia" w:ascii="Times New Roman" w:hAnsi="Times New Roman" w:eastAsia="宋体" w:cs="Times New Roman"/>
          <w:b/>
          <w:kern w:val="0"/>
          <w:sz w:val="28"/>
          <w:szCs w:val="27"/>
          <w:highlight w:val="none"/>
          <w:lang w:val="en-US" w:eastAsia="zh-CN" w:bidi="ar-SA"/>
        </w:rPr>
        <w:t>3.2.</w:t>
      </w:r>
      <w:r>
        <w:rPr>
          <w:rFonts w:hint="eastAsia" w:cs="Times New Roman"/>
          <w:b/>
          <w:kern w:val="0"/>
          <w:sz w:val="28"/>
          <w:szCs w:val="27"/>
          <w:highlight w:val="none"/>
          <w:lang w:val="en-US" w:eastAsia="zh-CN" w:bidi="ar-SA"/>
        </w:rPr>
        <w:t>2运营期</w:t>
      </w:r>
      <w:r>
        <w:rPr>
          <w:rFonts w:hint="eastAsia" w:ascii="Times New Roman" w:hAnsi="Times New Roman" w:eastAsia="宋体" w:cs="Times New Roman"/>
          <w:b/>
          <w:kern w:val="0"/>
          <w:sz w:val="28"/>
          <w:szCs w:val="27"/>
          <w:highlight w:val="none"/>
          <w:lang w:val="en-US" w:eastAsia="zh-CN" w:bidi="ar-SA"/>
        </w:rPr>
        <w:t>工艺流程</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eastAsia="宋体"/>
          <w:highlight w:val="none"/>
          <w:lang w:val="en-US" w:eastAsia="zh-CN"/>
        </w:rPr>
      </w:pPr>
      <w:r>
        <w:rPr>
          <w:rFonts w:ascii="Times New Roman" w:hAnsi="Times New Roman" w:eastAsia="宋体"/>
          <w:spacing w:val="-8"/>
          <w:highlight w:val="none"/>
        </w:rPr>
        <w:t>根据开采设计，项目为露天开采及加工，工艺主要为表土的剥离、凿岩、爆</w:t>
      </w:r>
      <w:r>
        <w:rPr>
          <w:rFonts w:ascii="Times New Roman" w:hAnsi="Times New Roman" w:eastAsia="宋体"/>
          <w:spacing w:val="-3"/>
          <w:highlight w:val="none"/>
        </w:rPr>
        <w:t xml:space="preserve">破、挖掘、破碎、筛分等。工艺流程及产污节点详见图 </w:t>
      </w:r>
      <w:r>
        <w:rPr>
          <w:rFonts w:hint="eastAsia"/>
          <w:highlight w:val="none"/>
          <w:lang w:val="en-US" w:eastAsia="zh-CN"/>
        </w:rPr>
        <w:t>3</w:t>
      </w:r>
      <w:r>
        <w:rPr>
          <w:rFonts w:ascii="Times New Roman" w:hAnsi="Times New Roman" w:eastAsia="宋体"/>
          <w:highlight w:val="none"/>
        </w:rPr>
        <w:t>.2-2</w:t>
      </w:r>
      <w:r>
        <w:rPr>
          <w:rFonts w:hint="eastAsia"/>
          <w:highlight w:val="none"/>
          <w:lang w:eastAsia="zh-CN"/>
        </w:rPr>
        <w:t>。</w:t>
      </w:r>
    </w:p>
    <w:p>
      <w:pPr>
        <w:ind w:firstLine="480"/>
        <w:rPr>
          <w:rFonts w:hint="eastAsia" w:eastAsia="宋体"/>
          <w:highlight w:val="none"/>
          <w:lang w:eastAsia="zh-CN"/>
        </w:rPr>
      </w:pPr>
      <w:r>
        <w:rPr>
          <w:rFonts w:hint="eastAsia" w:eastAsia="宋体"/>
          <w:highlight w:val="none"/>
          <w:lang w:eastAsia="zh-CN"/>
        </w:rPr>
        <w:drawing>
          <wp:inline distT="0" distB="0" distL="114300" distR="114300">
            <wp:extent cx="5759450" cy="3469640"/>
            <wp:effectExtent l="0" t="0" r="12700" b="16510"/>
            <wp:docPr id="33" name="图片 3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1"/>
                    <pic:cNvPicPr>
                      <a:picLocks noChangeAspect="1"/>
                    </pic:cNvPicPr>
                  </pic:nvPicPr>
                  <pic:blipFill>
                    <a:blip r:embed="rId14"/>
                    <a:stretch>
                      <a:fillRect/>
                    </a:stretch>
                  </pic:blipFill>
                  <pic:spPr>
                    <a:xfrm>
                      <a:off x="0" y="0"/>
                      <a:ext cx="5759450" cy="3469640"/>
                    </a:xfrm>
                    <a:prstGeom prst="rect">
                      <a:avLst/>
                    </a:prstGeom>
                  </pic:spPr>
                </pic:pic>
              </a:graphicData>
            </a:graphic>
          </wp:inline>
        </w:drawing>
      </w:r>
    </w:p>
    <w:p>
      <w:pPr>
        <w:ind w:left="0" w:leftChars="0" w:firstLine="0" w:firstLineChars="0"/>
        <w:jc w:val="both"/>
        <w:rPr>
          <w:rFonts w:hint="eastAsia"/>
          <w:highlight w:val="none"/>
          <w:lang w:eastAsia="zh-CN"/>
        </w:rPr>
      </w:pPr>
    </w:p>
    <w:p>
      <w:pPr>
        <w:ind w:firstLine="480"/>
        <w:jc w:val="center"/>
        <w:rPr>
          <w:rFonts w:hint="eastAsia"/>
          <w:highlight w:val="none"/>
        </w:rPr>
      </w:pPr>
      <w:r>
        <w:rPr>
          <w:rFonts w:hint="eastAsia"/>
          <w:b/>
          <w:bCs/>
          <w:highlight w:val="none"/>
          <w:lang w:eastAsia="zh-CN"/>
        </w:rPr>
        <w:t>图</w:t>
      </w:r>
      <w:r>
        <w:rPr>
          <w:rFonts w:hint="eastAsia"/>
          <w:b/>
          <w:bCs/>
          <w:highlight w:val="none"/>
          <w:lang w:val="en-US" w:eastAsia="zh-CN"/>
        </w:rPr>
        <w:t>3.2.2  采矿生产工艺流程及产污节点图</w:t>
      </w:r>
    </w:p>
    <w:p>
      <w:pPr>
        <w:ind w:firstLine="480"/>
        <w:rPr>
          <w:rFonts w:hint="eastAsia" w:eastAsia="宋体"/>
          <w:highlight w:val="none"/>
          <w:lang w:eastAsia="zh-CN"/>
        </w:rPr>
      </w:pPr>
      <w:r>
        <w:rPr>
          <w:rFonts w:hint="eastAsia"/>
          <w:b/>
          <w:bCs/>
          <w:highlight w:val="none"/>
          <w:lang w:eastAsia="zh-CN"/>
        </w:rPr>
        <w:t>工艺流程简述：</w:t>
      </w:r>
    </w:p>
    <w:p>
      <w:pPr>
        <w:ind w:firstLine="480"/>
        <w:rPr>
          <w:rFonts w:hint="eastAsia"/>
          <w:highlight w:val="none"/>
        </w:rPr>
      </w:pPr>
      <w:r>
        <w:rPr>
          <w:rFonts w:hint="eastAsia"/>
          <w:highlight w:val="none"/>
        </w:rPr>
        <w:t>1、采剥阶段</w:t>
      </w:r>
    </w:p>
    <w:p>
      <w:pPr>
        <w:ind w:firstLine="480"/>
        <w:rPr>
          <w:rFonts w:hint="eastAsia"/>
          <w:highlight w:val="none"/>
        </w:rPr>
      </w:pPr>
      <w:r>
        <w:rPr>
          <w:rFonts w:hint="eastAsia"/>
          <w:highlight w:val="none"/>
        </w:rPr>
        <w:t>（1）剥离：矿山开采前先行对地表的浮石和表土进行剥离清除，并装运至表土堆场堆放。</w:t>
      </w:r>
    </w:p>
    <w:p>
      <w:pPr>
        <w:ind w:firstLine="480"/>
        <w:rPr>
          <w:rFonts w:hint="eastAsia"/>
          <w:highlight w:val="none"/>
        </w:rPr>
      </w:pPr>
      <w:r>
        <w:rPr>
          <w:rFonts w:hint="eastAsia"/>
          <w:highlight w:val="none"/>
        </w:rPr>
        <w:t>（2）凿岩钻孔：采用凿岩机进行凿岩钻孔，项目台阶高度10m。</w:t>
      </w:r>
    </w:p>
    <w:p>
      <w:pPr>
        <w:ind w:firstLine="480"/>
        <w:rPr>
          <w:rFonts w:hint="eastAsia"/>
          <w:highlight w:val="none"/>
        </w:rPr>
      </w:pPr>
      <w:r>
        <w:rPr>
          <w:rFonts w:hint="eastAsia"/>
          <w:highlight w:val="none"/>
        </w:rPr>
        <w:t>（3）爆破：实行菱形布孔，采用微差爆破技术进行爆破，爆破作业由民爆公司承担，矿山不设爆破器材及炸药库。</w:t>
      </w:r>
    </w:p>
    <w:p>
      <w:pPr>
        <w:ind w:firstLine="480"/>
        <w:rPr>
          <w:rFonts w:hint="eastAsia"/>
          <w:highlight w:val="none"/>
        </w:rPr>
      </w:pPr>
      <w:r>
        <w:rPr>
          <w:rFonts w:hint="eastAsia"/>
          <w:highlight w:val="none"/>
        </w:rPr>
        <w:t>（4）二次解石：利用凿岩机对大石块进行解石，方便装车运输。</w:t>
      </w:r>
    </w:p>
    <w:p>
      <w:pPr>
        <w:ind w:firstLine="480"/>
        <w:rPr>
          <w:rFonts w:hint="eastAsia"/>
          <w:highlight w:val="none"/>
        </w:rPr>
      </w:pPr>
      <w:r>
        <w:rPr>
          <w:rFonts w:hint="eastAsia"/>
          <w:highlight w:val="none"/>
        </w:rPr>
        <w:t>（5）采装：挖掘机、装载机铲装上车，平整采场。</w:t>
      </w:r>
    </w:p>
    <w:p>
      <w:pPr>
        <w:ind w:firstLine="480"/>
        <w:rPr>
          <w:rFonts w:hint="eastAsia"/>
          <w:highlight w:val="none"/>
        </w:rPr>
      </w:pPr>
      <w:r>
        <w:rPr>
          <w:rFonts w:hint="eastAsia"/>
          <w:highlight w:val="none"/>
        </w:rPr>
        <w:t>（6）运输：采用装载机将矿石运至加工场破碎筛分加工。</w:t>
      </w:r>
    </w:p>
    <w:p>
      <w:pPr>
        <w:ind w:firstLine="480"/>
        <w:rPr>
          <w:rFonts w:hint="eastAsia"/>
          <w:highlight w:val="none"/>
        </w:rPr>
      </w:pPr>
      <w:r>
        <w:rPr>
          <w:rFonts w:hint="eastAsia"/>
          <w:highlight w:val="none"/>
        </w:rPr>
        <w:t>2、破碎阶段</w:t>
      </w:r>
    </w:p>
    <w:p>
      <w:pPr>
        <w:ind w:firstLine="480"/>
        <w:rPr>
          <w:rFonts w:hint="eastAsia"/>
          <w:highlight w:val="none"/>
        </w:rPr>
      </w:pPr>
      <w:r>
        <w:rPr>
          <w:rFonts w:hint="eastAsia"/>
          <w:highlight w:val="none"/>
        </w:rPr>
        <w:t>（1）粗碎：破碎进料采用振动给料机给料，破碎采用颚式破碎机对石料进行破碎，将经机械破碎后的颗粒较大、粒径分布较广的石料破碎成粒径范围大致在 10cm~</w:t>
      </w:r>
      <w:r>
        <w:rPr>
          <w:rFonts w:hint="eastAsia"/>
          <w:highlight w:val="none"/>
          <w:lang w:val="en-US" w:eastAsia="zh-CN"/>
        </w:rPr>
        <w:t>20</w:t>
      </w:r>
      <w:r>
        <w:rPr>
          <w:rFonts w:hint="eastAsia"/>
          <w:highlight w:val="none"/>
        </w:rPr>
        <w:t>cm 的石料，并经过给料机进入破碎机。</w:t>
      </w:r>
    </w:p>
    <w:p>
      <w:pPr>
        <w:ind w:firstLine="480"/>
        <w:rPr>
          <w:rFonts w:hint="eastAsia"/>
          <w:highlight w:val="none"/>
        </w:rPr>
      </w:pPr>
      <w:r>
        <w:rPr>
          <w:rFonts w:hint="eastAsia"/>
          <w:highlight w:val="none"/>
        </w:rPr>
        <w:t>通过振动筛将石料中的废渣筛出，堆放于废渣临时堆场。</w:t>
      </w:r>
    </w:p>
    <w:p>
      <w:pPr>
        <w:ind w:firstLine="480"/>
        <w:rPr>
          <w:highlight w:val="none"/>
        </w:rPr>
      </w:pPr>
      <w:r>
        <w:rPr>
          <w:rFonts w:hint="eastAsia"/>
          <w:highlight w:val="none"/>
        </w:rPr>
        <w:t>细碎：经过破碎后得到的石料进入破碎机进行粉碎。粉碎后形成 0-</w:t>
      </w:r>
      <w:r>
        <w:rPr>
          <w:rFonts w:hint="eastAsia"/>
          <w:highlight w:val="none"/>
          <w:lang w:val="en-US" w:eastAsia="zh-CN"/>
        </w:rPr>
        <w:t>5</w:t>
      </w:r>
      <w:r>
        <w:rPr>
          <w:rFonts w:hint="eastAsia"/>
          <w:highlight w:val="none"/>
        </w:rPr>
        <w:t xml:space="preserve">mm 、 </w:t>
      </w:r>
      <w:r>
        <w:rPr>
          <w:rFonts w:hint="eastAsia"/>
          <w:highlight w:val="none"/>
          <w:lang w:val="en-US" w:eastAsia="zh-CN"/>
        </w:rPr>
        <w:t>5</w:t>
      </w:r>
      <w:r>
        <w:rPr>
          <w:rFonts w:hint="eastAsia"/>
          <w:highlight w:val="none"/>
        </w:rPr>
        <w:t>-</w:t>
      </w:r>
      <w:r>
        <w:rPr>
          <w:rFonts w:hint="eastAsia"/>
          <w:highlight w:val="none"/>
          <w:lang w:val="en-US" w:eastAsia="zh-CN"/>
        </w:rPr>
        <w:t>10</w:t>
      </w:r>
      <w:r>
        <w:rPr>
          <w:rFonts w:hint="eastAsia"/>
          <w:highlight w:val="none"/>
        </w:rPr>
        <w:t>mm、</w:t>
      </w:r>
      <w:r>
        <w:rPr>
          <w:rFonts w:hint="eastAsia"/>
          <w:highlight w:val="none"/>
          <w:lang w:val="en-US" w:eastAsia="zh-CN"/>
        </w:rPr>
        <w:t>10</w:t>
      </w:r>
      <w:r>
        <w:rPr>
          <w:rFonts w:hint="eastAsia"/>
          <w:highlight w:val="none"/>
        </w:rPr>
        <w:t>-</w:t>
      </w:r>
      <w:r>
        <w:rPr>
          <w:rFonts w:hint="eastAsia"/>
          <w:highlight w:val="none"/>
          <w:lang w:val="en-US" w:eastAsia="zh-CN"/>
        </w:rPr>
        <w:t>15</w:t>
      </w:r>
      <w:r>
        <w:rPr>
          <w:rFonts w:hint="eastAsia"/>
          <w:highlight w:val="none"/>
        </w:rPr>
        <w:t>mm</w:t>
      </w:r>
      <w:r>
        <w:rPr>
          <w:rFonts w:hint="eastAsia"/>
          <w:highlight w:val="none"/>
          <w:lang w:eastAsia="zh-CN"/>
        </w:rPr>
        <w:t>及</w:t>
      </w:r>
      <w:r>
        <w:rPr>
          <w:rFonts w:hint="eastAsia"/>
          <w:highlight w:val="none"/>
          <w:lang w:val="en-US" w:eastAsia="zh-CN"/>
        </w:rPr>
        <w:t>15</w:t>
      </w:r>
      <w:r>
        <w:rPr>
          <w:rFonts w:hint="eastAsia"/>
          <w:highlight w:val="none"/>
        </w:rPr>
        <w:t>-</w:t>
      </w:r>
      <w:r>
        <w:rPr>
          <w:rFonts w:hint="eastAsia"/>
          <w:highlight w:val="none"/>
          <w:lang w:val="en-US" w:eastAsia="zh-CN"/>
        </w:rPr>
        <w:t>30</w:t>
      </w:r>
      <w:r>
        <w:rPr>
          <w:rFonts w:hint="eastAsia"/>
          <w:highlight w:val="none"/>
        </w:rPr>
        <w:t>mm的产品，经过筛分机落入相应的传送带传送至成品堆场堆放等待外售。&gt;3</w:t>
      </w:r>
      <w:r>
        <w:rPr>
          <w:rFonts w:hint="eastAsia"/>
          <w:highlight w:val="none"/>
          <w:lang w:val="en-US" w:eastAsia="zh-CN"/>
        </w:rPr>
        <w:t>0</w:t>
      </w:r>
      <w:r>
        <w:rPr>
          <w:rFonts w:hint="eastAsia"/>
          <w:highlight w:val="none"/>
        </w:rPr>
        <w:t>mm的石料回笼进行二次粉碎。</w:t>
      </w:r>
    </w:p>
    <w:p>
      <w:pPr>
        <w:ind w:firstLine="480"/>
        <w:rPr>
          <w:rFonts w:hint="eastAsia" w:eastAsia="宋体"/>
          <w:b/>
          <w:bCs/>
          <w:highlight w:val="none"/>
          <w:lang w:eastAsia="zh-CN"/>
        </w:rPr>
      </w:pPr>
      <w:r>
        <w:rPr>
          <w:rFonts w:hint="eastAsia"/>
          <w:b/>
          <w:bCs/>
          <w:highlight w:val="none"/>
          <w:lang w:eastAsia="zh-CN"/>
        </w:rPr>
        <w:t>产污节点：</w:t>
      </w:r>
    </w:p>
    <w:p>
      <w:pPr>
        <w:ind w:firstLine="480"/>
        <w:rPr>
          <w:rFonts w:hint="eastAsia"/>
          <w:highlight w:val="none"/>
        </w:rPr>
      </w:pPr>
      <w:r>
        <w:rPr>
          <w:rFonts w:hint="eastAsia"/>
          <w:highlight w:val="none"/>
        </w:rPr>
        <w:t>1、废气</w:t>
      </w:r>
    </w:p>
    <w:p>
      <w:pPr>
        <w:ind w:firstLine="480"/>
        <w:rPr>
          <w:rFonts w:hint="eastAsia"/>
          <w:highlight w:val="none"/>
        </w:rPr>
      </w:pPr>
      <w:r>
        <w:rPr>
          <w:rFonts w:hint="eastAsia"/>
          <w:highlight w:val="none"/>
        </w:rPr>
        <w:t>该项目为湿法生产，大气污染程度较轻，主要污染源为露天开采工作面、爆破粉尘、装卸粉尘、破碎场粉尘、运输扬尘等。</w:t>
      </w:r>
    </w:p>
    <w:p>
      <w:pPr>
        <w:ind w:firstLine="480"/>
        <w:rPr>
          <w:rFonts w:hint="eastAsia"/>
          <w:highlight w:val="none"/>
        </w:rPr>
      </w:pPr>
      <w:r>
        <w:rPr>
          <w:rFonts w:hint="eastAsia"/>
          <w:highlight w:val="none"/>
        </w:rPr>
        <w:t>2、废水</w:t>
      </w:r>
    </w:p>
    <w:p>
      <w:pPr>
        <w:ind w:firstLine="480"/>
        <w:rPr>
          <w:rFonts w:hint="eastAsia"/>
          <w:highlight w:val="none"/>
        </w:rPr>
      </w:pPr>
      <w:r>
        <w:rPr>
          <w:rFonts w:hint="eastAsia"/>
          <w:highlight w:val="none"/>
        </w:rPr>
        <w:t>废水主要为初期雨水以及员工生活污水。</w:t>
      </w:r>
    </w:p>
    <w:p>
      <w:pPr>
        <w:ind w:firstLine="480"/>
        <w:rPr>
          <w:rFonts w:hint="eastAsia"/>
          <w:highlight w:val="none"/>
        </w:rPr>
      </w:pPr>
      <w:r>
        <w:rPr>
          <w:rFonts w:hint="eastAsia"/>
          <w:highlight w:val="none"/>
        </w:rPr>
        <w:t>3、噪声</w:t>
      </w:r>
    </w:p>
    <w:p>
      <w:pPr>
        <w:ind w:firstLine="480"/>
        <w:rPr>
          <w:rFonts w:hint="eastAsia"/>
          <w:highlight w:val="none"/>
        </w:rPr>
      </w:pPr>
      <w:r>
        <w:rPr>
          <w:rFonts w:hint="eastAsia"/>
          <w:highlight w:val="none"/>
        </w:rPr>
        <w:t>本工程的噪声污染源为凿岩、爆破、破碎及细碎加工过程、运输汽车噪声等。</w:t>
      </w:r>
    </w:p>
    <w:p>
      <w:pPr>
        <w:ind w:firstLine="480"/>
        <w:rPr>
          <w:rFonts w:hint="eastAsia"/>
          <w:highlight w:val="none"/>
        </w:rPr>
      </w:pPr>
      <w:r>
        <w:rPr>
          <w:rFonts w:hint="eastAsia"/>
          <w:highlight w:val="none"/>
        </w:rPr>
        <w:t>4、固体废物</w:t>
      </w:r>
    </w:p>
    <w:p>
      <w:pPr>
        <w:ind w:firstLine="480"/>
        <w:rPr>
          <w:b/>
          <w:bCs/>
          <w:highlight w:val="none"/>
        </w:rPr>
      </w:pPr>
      <w:r>
        <w:rPr>
          <w:rFonts w:hint="eastAsia"/>
          <w:highlight w:val="none"/>
        </w:rPr>
        <w:t>剥离表土、废渣、沉淀池污泥、废机油以及生活垃圾等。</w:t>
      </w:r>
    </w:p>
    <w:p>
      <w:pPr>
        <w:pStyle w:val="4"/>
        <w:rPr>
          <w:highlight w:val="none"/>
        </w:rPr>
      </w:pPr>
      <w:bookmarkStart w:id="333" w:name="_Toc3868"/>
      <w:r>
        <w:rPr>
          <w:rFonts w:hint="eastAsia"/>
          <w:highlight w:val="none"/>
          <w:lang w:val="en-US" w:eastAsia="zh-CN"/>
        </w:rPr>
        <w:t>3</w:t>
      </w:r>
      <w:r>
        <w:rPr>
          <w:rFonts w:hint="eastAsia"/>
          <w:highlight w:val="none"/>
        </w:rPr>
        <w:t>.3 主要污染工序及源强</w:t>
      </w:r>
      <w:bookmarkEnd w:id="333"/>
    </w:p>
    <w:p>
      <w:pPr>
        <w:pStyle w:val="5"/>
        <w:adjustRightInd w:val="0"/>
        <w:snapToGrid w:val="0"/>
        <w:rPr>
          <w:rFonts w:hint="default"/>
          <w:highlight w:val="none"/>
        </w:rPr>
      </w:pPr>
      <w:bookmarkStart w:id="334" w:name="_Toc9151"/>
      <w:r>
        <w:rPr>
          <w:rFonts w:hint="eastAsia"/>
          <w:highlight w:val="none"/>
          <w:lang w:val="en-US" w:eastAsia="zh-CN"/>
        </w:rPr>
        <w:t>3</w:t>
      </w:r>
      <w:r>
        <w:rPr>
          <w:highlight w:val="none"/>
        </w:rPr>
        <w:t>.3.1 施工期</w:t>
      </w:r>
      <w:bookmarkEnd w:id="334"/>
    </w:p>
    <w:p>
      <w:pPr>
        <w:pStyle w:val="17"/>
        <w:ind w:firstLine="480"/>
        <w:rPr>
          <w:rFonts w:ascii="Times New Roman" w:hAnsi="Times New Roman"/>
          <w:highlight w:val="none"/>
        </w:rPr>
      </w:pPr>
      <w:r>
        <w:rPr>
          <w:rFonts w:hint="eastAsia" w:ascii="Times New Roman" w:hAnsi="Times New Roman"/>
          <w:highlight w:val="none"/>
        </w:rPr>
        <w:t>本项目</w:t>
      </w:r>
      <w:r>
        <w:rPr>
          <w:rFonts w:hint="eastAsia" w:ascii="Times New Roman" w:hAnsi="Times New Roman"/>
          <w:highlight w:val="none"/>
          <w:lang w:eastAsia="zh-CN"/>
        </w:rPr>
        <w:t>为矿山工程，基建工作主要修建矿区至乡村道路之间的公路，修建通达采场的开拓道路，以及初始工作面的准备工作；破碎工业场地设备安装工作，搭建办公生活区简易板房，修建各区块截排水沟及沉淀池，矿山施工期约为</w:t>
      </w:r>
      <w:r>
        <w:rPr>
          <w:rFonts w:hint="eastAsia" w:ascii="Times New Roman" w:hAnsi="Times New Roman"/>
          <w:highlight w:val="none"/>
          <w:lang w:val="en-US" w:eastAsia="zh-CN"/>
        </w:rPr>
        <w:t>7个月</w:t>
      </w:r>
      <w:r>
        <w:rPr>
          <w:rFonts w:hint="eastAsia" w:ascii="Times New Roman" w:hAnsi="Times New Roman"/>
          <w:highlight w:val="none"/>
        </w:rPr>
        <w:t>。</w:t>
      </w:r>
    </w:p>
    <w:p>
      <w:pPr>
        <w:pStyle w:val="17"/>
        <w:ind w:firstLine="480"/>
        <w:rPr>
          <w:rFonts w:ascii="Times New Roman" w:hAnsi="Times New Roman"/>
          <w:color w:val="auto"/>
          <w:highlight w:val="none"/>
        </w:rPr>
      </w:pPr>
      <w:r>
        <w:rPr>
          <w:rFonts w:hint="eastAsia" w:ascii="Times New Roman" w:hAnsi="Times New Roman"/>
          <w:color w:val="auto"/>
          <w:highlight w:val="none"/>
        </w:rPr>
        <w:t>施工期主要</w:t>
      </w:r>
      <w:r>
        <w:rPr>
          <w:rFonts w:hint="eastAsia" w:ascii="Times New Roman" w:hAnsi="Times New Roman"/>
          <w:color w:val="auto"/>
          <w:highlight w:val="none"/>
          <w:lang w:eastAsia="zh-CN"/>
        </w:rPr>
        <w:t>污染为扬尘、废水、噪声及固体废物，主要表现在以下方面：</w:t>
      </w:r>
    </w:p>
    <w:p>
      <w:pPr>
        <w:pStyle w:val="6"/>
        <w:ind w:firstLine="482"/>
        <w:rPr>
          <w:rFonts w:cs="Times New Roman"/>
          <w:color w:val="auto"/>
          <w:highlight w:val="none"/>
        </w:rPr>
      </w:pPr>
      <w:r>
        <w:rPr>
          <w:rFonts w:hint="eastAsia" w:cs="Times New Roman"/>
          <w:color w:val="auto"/>
          <w:highlight w:val="none"/>
          <w:lang w:val="en-US" w:eastAsia="zh-CN"/>
        </w:rPr>
        <w:t>3</w:t>
      </w:r>
      <w:r>
        <w:rPr>
          <w:rFonts w:hint="eastAsia" w:cs="Times New Roman"/>
          <w:color w:val="auto"/>
          <w:highlight w:val="none"/>
        </w:rPr>
        <w:t>.3.1.1废气</w:t>
      </w:r>
    </w:p>
    <w:p>
      <w:pPr>
        <w:pStyle w:val="17"/>
        <w:ind w:firstLine="480"/>
        <w:rPr>
          <w:rFonts w:ascii="Times New Roman" w:hAnsi="Times New Roman"/>
          <w:color w:val="auto"/>
          <w:highlight w:val="none"/>
        </w:rPr>
      </w:pPr>
      <w:r>
        <w:rPr>
          <w:rFonts w:hint="eastAsia" w:ascii="Times New Roman" w:hAnsi="Times New Roman"/>
          <w:color w:val="auto"/>
          <w:highlight w:val="none"/>
        </w:rPr>
        <w:t>施工期废气主要包括扬尘及各种施工机械、运输车辆产生的少量尾气。扬尘主要包括施工扬尘及道路扬尘。</w:t>
      </w:r>
    </w:p>
    <w:p>
      <w:pPr>
        <w:pStyle w:val="17"/>
        <w:ind w:firstLine="480"/>
        <w:rPr>
          <w:rFonts w:hint="eastAsia" w:ascii="Times New Roman" w:hAnsi="Times New Roman"/>
          <w:highlight w:val="none"/>
        </w:rPr>
      </w:pPr>
      <w:r>
        <w:rPr>
          <w:rFonts w:hint="eastAsia" w:ascii="Times New Roman" w:hAnsi="Times New Roman"/>
          <w:highlight w:val="none"/>
        </w:rPr>
        <w:t>1、施工扬尘</w:t>
      </w:r>
    </w:p>
    <w:p>
      <w:pPr>
        <w:pStyle w:val="17"/>
        <w:ind w:firstLine="480"/>
        <w:rPr>
          <w:rFonts w:ascii="Times New Roman" w:hAnsi="Times New Roman"/>
          <w:highlight w:val="none"/>
        </w:rPr>
      </w:pPr>
      <w:r>
        <w:rPr>
          <w:rFonts w:hint="eastAsia" w:ascii="Times New Roman" w:hAnsi="Times New Roman"/>
          <w:highlight w:val="none"/>
        </w:rPr>
        <w:t>项目施工期扬尘主要来源于：生产车间、高位水池、办公用房、截排水沟等开挖、场地平整、土方装卸、堆放和运输过程中产生的扬尘及施工材料堆放、装卸、运输等扬尘。参考其他同类型工程现场的扬尘实地监测结果，TSP产生系数为0.05~0.10mg/m</w:t>
      </w:r>
      <w:r>
        <w:rPr>
          <w:rFonts w:hint="eastAsia" w:ascii="Times New Roman" w:hAnsi="Times New Roman"/>
          <w:highlight w:val="none"/>
          <w:vertAlign w:val="superscript"/>
        </w:rPr>
        <w:t>2</w:t>
      </w:r>
      <w:r>
        <w:rPr>
          <w:rFonts w:hint="eastAsia" w:ascii="Times New Roman" w:hAnsi="Times New Roman"/>
          <w:highlight w:val="none"/>
        </w:rPr>
        <w:t>·s。</w:t>
      </w:r>
    </w:p>
    <w:p>
      <w:pPr>
        <w:pStyle w:val="17"/>
        <w:numPr>
          <w:ilvl w:val="0"/>
          <w:numId w:val="0"/>
        </w:numPr>
        <w:ind w:leftChars="200"/>
        <w:rPr>
          <w:rFonts w:hint="eastAsia" w:ascii="Times New Roman" w:hAnsi="Times New Roman"/>
          <w:highlight w:val="none"/>
          <w:lang w:val="en-US" w:eastAsia="zh-CN"/>
        </w:rPr>
      </w:pPr>
      <w:r>
        <w:rPr>
          <w:rFonts w:hint="eastAsia" w:ascii="Times New Roman" w:hAnsi="Times New Roman"/>
          <w:highlight w:val="none"/>
          <w:lang w:val="en-US" w:eastAsia="zh-CN"/>
        </w:rPr>
        <w:t>2、道路扬尘</w:t>
      </w:r>
    </w:p>
    <w:p>
      <w:pPr>
        <w:pStyle w:val="17"/>
        <w:numPr>
          <w:ilvl w:val="0"/>
          <w:numId w:val="0"/>
        </w:numPr>
        <w:ind w:leftChars="200"/>
        <w:rPr>
          <w:rFonts w:hint="eastAsia" w:ascii="Times New Roman" w:hAnsi="Times New Roman"/>
          <w:highlight w:val="none"/>
          <w:lang w:eastAsia="zh-CN"/>
        </w:rPr>
      </w:pPr>
      <w:r>
        <w:rPr>
          <w:rFonts w:hint="eastAsia" w:ascii="Times New Roman" w:hAnsi="Times New Roman"/>
          <w:highlight w:val="none"/>
          <w:lang w:eastAsia="zh-CN"/>
        </w:rPr>
        <w:t>道路扬尘经验计算公式：</w:t>
      </w:r>
    </w:p>
    <w:p>
      <w:pPr>
        <w:spacing w:line="360" w:lineRule="auto"/>
        <w:ind w:firstLine="480"/>
        <w:jc w:val="center"/>
        <w:rPr>
          <w:rFonts w:hint="eastAsia" w:cs="宋体"/>
          <w:sz w:val="24"/>
          <w:highlight w:val="none"/>
        </w:rPr>
      </w:pPr>
      <w:r>
        <w:rPr>
          <w:rFonts w:hint="eastAsia" w:cs="宋体"/>
          <w:sz w:val="24"/>
          <w:highlight w:val="none"/>
        </w:rPr>
        <w:t>Q</w:t>
      </w:r>
      <w:r>
        <w:rPr>
          <w:rFonts w:hint="eastAsia" w:cs="宋体"/>
          <w:sz w:val="24"/>
          <w:highlight w:val="none"/>
          <w:vertAlign w:val="subscript"/>
        </w:rPr>
        <w:t>i</w:t>
      </w:r>
      <w:r>
        <w:rPr>
          <w:rFonts w:hint="eastAsia" w:cs="宋体"/>
          <w:sz w:val="24"/>
          <w:highlight w:val="none"/>
        </w:rPr>
        <w:t>=0.0079V×W</w:t>
      </w:r>
      <w:r>
        <w:rPr>
          <w:rFonts w:hint="eastAsia" w:cs="宋体"/>
          <w:sz w:val="24"/>
          <w:highlight w:val="none"/>
          <w:vertAlign w:val="superscript"/>
        </w:rPr>
        <w:t>0.85</w:t>
      </w:r>
      <w:r>
        <w:rPr>
          <w:rFonts w:hint="eastAsia" w:cs="宋体"/>
          <w:sz w:val="24"/>
          <w:highlight w:val="none"/>
        </w:rPr>
        <w:t>×P</w:t>
      </w:r>
      <w:r>
        <w:rPr>
          <w:rFonts w:hint="eastAsia" w:cs="宋体"/>
          <w:sz w:val="24"/>
          <w:highlight w:val="none"/>
          <w:vertAlign w:val="superscript"/>
        </w:rPr>
        <w:t>0.72</w:t>
      </w:r>
    </w:p>
    <w:p>
      <w:pPr>
        <w:spacing w:line="360" w:lineRule="auto"/>
        <w:ind w:firstLine="480"/>
        <w:jc w:val="center"/>
        <w:rPr>
          <w:rFonts w:hint="eastAsia" w:cs="宋体"/>
          <w:sz w:val="24"/>
          <w:highlight w:val="none"/>
        </w:rPr>
      </w:pPr>
      <w:r>
        <w:rPr>
          <w:rFonts w:hint="eastAsia" w:cs="宋体"/>
          <w:sz w:val="24"/>
          <w:highlight w:val="none"/>
        </w:rPr>
        <w:t>Q=∑Q</w:t>
      </w:r>
      <w:r>
        <w:rPr>
          <w:rFonts w:hint="eastAsia" w:cs="宋体"/>
          <w:sz w:val="24"/>
          <w:highlight w:val="none"/>
          <w:vertAlign w:val="subscript"/>
        </w:rPr>
        <w:t>i</w:t>
      </w:r>
    </w:p>
    <w:p>
      <w:pPr>
        <w:spacing w:line="360" w:lineRule="auto"/>
        <w:ind w:firstLine="480"/>
        <w:rPr>
          <w:rFonts w:hint="eastAsia" w:cs="宋体"/>
          <w:sz w:val="24"/>
          <w:highlight w:val="none"/>
        </w:rPr>
      </w:pPr>
      <w:r>
        <w:rPr>
          <w:rFonts w:hint="eastAsia" w:cs="宋体"/>
          <w:sz w:val="24"/>
          <w:highlight w:val="none"/>
        </w:rPr>
        <w:t>其中：Q</w:t>
      </w:r>
      <w:r>
        <w:rPr>
          <w:rFonts w:hint="eastAsia" w:cs="宋体"/>
          <w:sz w:val="24"/>
          <w:highlight w:val="none"/>
          <w:vertAlign w:val="subscript"/>
        </w:rPr>
        <w:t>i</w:t>
      </w:r>
      <w:r>
        <w:rPr>
          <w:rFonts w:hint="eastAsia" w:cs="宋体"/>
          <w:sz w:val="24"/>
          <w:highlight w:val="none"/>
        </w:rPr>
        <w:t>——每辆汽车行驶扬尘量（kg/km•辆）；</w:t>
      </w:r>
    </w:p>
    <w:p>
      <w:pPr>
        <w:spacing w:line="360" w:lineRule="auto"/>
        <w:ind w:firstLine="1200" w:firstLineChars="500"/>
        <w:rPr>
          <w:rFonts w:hint="eastAsia" w:cs="宋体"/>
          <w:sz w:val="24"/>
          <w:highlight w:val="none"/>
        </w:rPr>
      </w:pPr>
      <w:r>
        <w:rPr>
          <w:rFonts w:hint="eastAsia" w:cs="宋体"/>
          <w:sz w:val="24"/>
          <w:highlight w:val="none"/>
        </w:rPr>
        <w:t>Q——汽车运输总扬尘量；</w:t>
      </w:r>
    </w:p>
    <w:p>
      <w:pPr>
        <w:spacing w:line="360" w:lineRule="auto"/>
        <w:ind w:firstLine="1200" w:firstLineChars="500"/>
        <w:rPr>
          <w:rFonts w:hint="eastAsia" w:cs="宋体"/>
          <w:sz w:val="24"/>
          <w:highlight w:val="none"/>
        </w:rPr>
      </w:pPr>
      <w:r>
        <w:rPr>
          <w:rFonts w:hint="eastAsia" w:cs="宋体"/>
          <w:sz w:val="24"/>
          <w:highlight w:val="none"/>
        </w:rPr>
        <w:t>V——汽车行驶速度，矿区内行驶平均速度取15km/h；</w:t>
      </w:r>
    </w:p>
    <w:p>
      <w:pPr>
        <w:spacing w:line="360" w:lineRule="auto"/>
        <w:ind w:firstLine="1200" w:firstLineChars="500"/>
        <w:rPr>
          <w:rFonts w:hint="eastAsia" w:cs="宋体"/>
          <w:sz w:val="24"/>
          <w:highlight w:val="none"/>
        </w:rPr>
      </w:pPr>
      <w:r>
        <w:rPr>
          <w:rFonts w:hint="eastAsia" w:cs="宋体"/>
          <w:sz w:val="24"/>
          <w:highlight w:val="none"/>
        </w:rPr>
        <w:t>W——汽车重量（</w:t>
      </w:r>
      <w:r>
        <w:rPr>
          <w:rFonts w:hint="eastAsia" w:cs="宋体"/>
          <w:sz w:val="24"/>
          <w:highlight w:val="none"/>
          <w:lang w:val="en-US" w:eastAsia="zh-CN"/>
        </w:rPr>
        <w:t>8</w:t>
      </w:r>
      <w:r>
        <w:rPr>
          <w:rFonts w:hint="eastAsia" w:cs="宋体"/>
          <w:sz w:val="24"/>
          <w:highlight w:val="none"/>
        </w:rPr>
        <w:t>t）；</w:t>
      </w:r>
    </w:p>
    <w:p>
      <w:pPr>
        <w:spacing w:line="360" w:lineRule="auto"/>
        <w:ind w:firstLine="1200" w:firstLineChars="500"/>
        <w:rPr>
          <w:rFonts w:hint="eastAsia" w:cs="宋体"/>
          <w:sz w:val="24"/>
          <w:highlight w:val="none"/>
        </w:rPr>
      </w:pPr>
      <w:r>
        <w:rPr>
          <w:rFonts w:hint="eastAsia" w:cs="宋体"/>
          <w:sz w:val="24"/>
          <w:highlight w:val="none"/>
        </w:rPr>
        <w:t>P——道路表面粉尘量，kg/m</w:t>
      </w:r>
      <w:r>
        <w:rPr>
          <w:rFonts w:hint="eastAsia" w:cs="宋体"/>
          <w:sz w:val="24"/>
          <w:highlight w:val="none"/>
          <w:vertAlign w:val="superscript"/>
        </w:rPr>
        <w:t>2</w:t>
      </w:r>
      <w:r>
        <w:rPr>
          <w:rFonts w:hint="eastAsia" w:cs="宋体"/>
          <w:sz w:val="24"/>
          <w:highlight w:val="none"/>
        </w:rPr>
        <w:t>。</w:t>
      </w:r>
    </w:p>
    <w:p>
      <w:pPr>
        <w:pStyle w:val="17"/>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cs="宋体"/>
          <w:sz w:val="24"/>
          <w:highlight w:val="none"/>
          <w:lang w:eastAsia="zh-CN"/>
        </w:rPr>
      </w:pPr>
      <w:r>
        <w:rPr>
          <w:rFonts w:hint="eastAsia" w:cs="宋体"/>
          <w:sz w:val="24"/>
          <w:highlight w:val="none"/>
          <w:lang w:eastAsia="zh-CN"/>
        </w:rPr>
        <w:t>根据上述计算公式，在车速、汽车重量确定的情况下，道路表面粉尘量越大，扬尘量越大</w:t>
      </w:r>
      <w:r>
        <w:rPr>
          <w:rFonts w:hint="eastAsia" w:cs="宋体"/>
          <w:sz w:val="24"/>
          <w:szCs w:val="24"/>
          <w:highlight w:val="none"/>
        </w:rPr>
        <w:t xml:space="preserve">。 </w:t>
      </w:r>
      <w:r>
        <w:rPr>
          <w:rFonts w:hint="eastAsia" w:cs="宋体"/>
          <w:sz w:val="24"/>
          <w:highlight w:val="none"/>
        </w:rPr>
        <w:t>在采取道路硬化、洒水降尘措施后，</w:t>
      </w:r>
      <w:r>
        <w:rPr>
          <w:rFonts w:hint="eastAsia" w:cs="宋体"/>
          <w:sz w:val="24"/>
          <w:highlight w:val="none"/>
          <w:lang w:eastAsia="zh-CN"/>
        </w:rPr>
        <w:t>可有效控制道路表面粉尘量，减轻道路扬尘污染。</w:t>
      </w:r>
    </w:p>
    <w:p>
      <w:pPr>
        <w:pStyle w:val="17"/>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cs="宋体"/>
          <w:sz w:val="24"/>
          <w:highlight w:val="none"/>
          <w:lang w:eastAsia="zh-CN"/>
        </w:rPr>
      </w:pPr>
      <w:r>
        <w:rPr>
          <w:rFonts w:hint="eastAsia" w:cs="宋体"/>
          <w:sz w:val="24"/>
          <w:highlight w:val="none"/>
          <w:lang w:val="en-US" w:eastAsia="zh-CN"/>
        </w:rPr>
        <w:t>3、</w:t>
      </w:r>
      <w:r>
        <w:rPr>
          <w:rFonts w:hint="eastAsia" w:cs="宋体"/>
          <w:sz w:val="24"/>
          <w:highlight w:val="none"/>
          <w:lang w:eastAsia="zh-CN"/>
        </w:rPr>
        <w:t>施工机械尾气</w:t>
      </w:r>
    </w:p>
    <w:p>
      <w:pPr>
        <w:pStyle w:val="17"/>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ascii="Times New Roman" w:hAnsi="Times New Roman"/>
          <w:highlight w:val="none"/>
        </w:rPr>
      </w:pPr>
      <w:r>
        <w:rPr>
          <w:rFonts w:hint="eastAsia" w:ascii="Times New Roman" w:hAnsi="Times New Roman"/>
          <w:highlight w:val="none"/>
        </w:rPr>
        <w:t>燃油废气主要来自于施工机械和交通运输车辆，排放的主要污染物为 NO</w:t>
      </w:r>
      <w:r>
        <w:rPr>
          <w:rFonts w:hint="eastAsia" w:ascii="Times New Roman" w:hAnsi="Times New Roman"/>
          <w:highlight w:val="none"/>
          <w:vertAlign w:val="subscript"/>
        </w:rPr>
        <w:t>2</w:t>
      </w:r>
      <w:r>
        <w:rPr>
          <w:rFonts w:hint="eastAsia" w:ascii="Times New Roman" w:hAnsi="Times New Roman"/>
          <w:highlight w:val="none"/>
        </w:rPr>
        <w:t>、CO 和烃类物等。由于施工期较短，施工期间产生的燃油废气产生量很小，经空气稀释扩散后对周围环境影响较小。</w:t>
      </w:r>
    </w:p>
    <w:p>
      <w:pPr>
        <w:pStyle w:val="6"/>
        <w:ind w:firstLine="482"/>
        <w:rPr>
          <w:rFonts w:cs="Times New Roman"/>
          <w:highlight w:val="none"/>
        </w:rPr>
      </w:pPr>
      <w:r>
        <w:rPr>
          <w:rFonts w:hint="eastAsia" w:cs="Times New Roman"/>
          <w:highlight w:val="none"/>
          <w:lang w:val="en-US" w:eastAsia="zh-CN"/>
        </w:rPr>
        <w:t>3</w:t>
      </w:r>
      <w:r>
        <w:rPr>
          <w:rFonts w:hint="eastAsia" w:cs="Times New Roman"/>
          <w:highlight w:val="none"/>
        </w:rPr>
        <w:t>.3.1.2废水</w:t>
      </w:r>
    </w:p>
    <w:p>
      <w:pPr>
        <w:tabs>
          <w:tab w:val="left" w:pos="5580"/>
        </w:tabs>
        <w:adjustRightInd w:val="0"/>
        <w:ind w:firstLine="480"/>
        <w:textAlignment w:val="baseline"/>
        <w:rPr>
          <w:rFonts w:hint="eastAsia" w:eastAsia="新宋体"/>
          <w:highlight w:val="none"/>
        </w:rPr>
      </w:pPr>
      <w:r>
        <w:rPr>
          <w:rFonts w:hint="eastAsia" w:eastAsia="新宋体"/>
          <w:highlight w:val="none"/>
        </w:rPr>
        <w:t>施工期废水主要是施工废水以及施工人员的生活污水。</w:t>
      </w:r>
    </w:p>
    <w:p>
      <w:pPr>
        <w:tabs>
          <w:tab w:val="left" w:pos="5580"/>
        </w:tabs>
        <w:adjustRightInd w:val="0"/>
        <w:ind w:firstLine="480"/>
        <w:textAlignment w:val="baseline"/>
        <w:rPr>
          <w:rFonts w:hint="eastAsia" w:eastAsia="新宋体"/>
          <w:highlight w:val="none"/>
        </w:rPr>
      </w:pPr>
      <w:r>
        <w:rPr>
          <w:rFonts w:hint="eastAsia" w:eastAsia="新宋体"/>
          <w:highlight w:val="none"/>
        </w:rPr>
        <w:t>1、施工废水</w:t>
      </w:r>
    </w:p>
    <w:p>
      <w:pPr>
        <w:tabs>
          <w:tab w:val="left" w:pos="5580"/>
        </w:tabs>
        <w:adjustRightInd w:val="0"/>
        <w:ind w:firstLine="480"/>
        <w:textAlignment w:val="baseline"/>
        <w:rPr>
          <w:rFonts w:hint="eastAsia" w:eastAsia="新宋体"/>
          <w:highlight w:val="none"/>
        </w:rPr>
      </w:pPr>
      <w:r>
        <w:rPr>
          <w:rFonts w:hint="eastAsia" w:eastAsia="新宋体"/>
          <w:highlight w:val="none"/>
        </w:rPr>
        <w:t>项目主要为生产车间建设和设备安装，生产车间采用钢架结构，涉及少量混</w:t>
      </w:r>
      <w:r>
        <w:rPr>
          <w:rFonts w:hint="eastAsia" w:eastAsia="新宋体"/>
          <w:highlight w:val="none"/>
          <w:lang w:val="en-US" w:eastAsia="zh-CN"/>
        </w:rPr>
        <w:t>凝</w:t>
      </w:r>
      <w:r>
        <w:rPr>
          <w:rFonts w:hint="eastAsia" w:eastAsia="新宋体"/>
          <w:highlight w:val="none"/>
        </w:rPr>
        <w:t>土使用。项目施工期按</w:t>
      </w:r>
      <w:r>
        <w:rPr>
          <w:rFonts w:hint="eastAsia" w:eastAsia="新宋体"/>
          <w:highlight w:val="none"/>
          <w:lang w:val="en-US" w:eastAsia="zh-CN"/>
        </w:rPr>
        <w:t>7</w:t>
      </w:r>
      <w:r>
        <w:rPr>
          <w:rFonts w:hint="eastAsia" w:eastAsia="新宋体"/>
          <w:highlight w:val="none"/>
        </w:rPr>
        <w:t>个月计，施工废水主要为施工设备的冲洗废水，施工废水产生量约 2m³/d，则施工废水产生总量为</w:t>
      </w:r>
      <w:r>
        <w:rPr>
          <w:rFonts w:hint="eastAsia" w:eastAsia="新宋体"/>
          <w:highlight w:val="none"/>
          <w:lang w:val="en-US" w:eastAsia="zh-CN"/>
        </w:rPr>
        <w:t>420</w:t>
      </w:r>
      <w:r>
        <w:rPr>
          <w:rFonts w:hint="eastAsia" w:eastAsia="新宋体"/>
          <w:highlight w:val="none"/>
        </w:rPr>
        <w:t>m³，主要污染因子为SS，不含有毒物质。施工废水经临时沉淀池简单处理后回用于施工生产和场地、道路降尘，不外排。</w:t>
      </w:r>
    </w:p>
    <w:p>
      <w:pPr>
        <w:tabs>
          <w:tab w:val="left" w:pos="5580"/>
        </w:tabs>
        <w:adjustRightInd w:val="0"/>
        <w:ind w:firstLine="480"/>
        <w:textAlignment w:val="baseline"/>
        <w:rPr>
          <w:rFonts w:hint="eastAsia" w:eastAsia="新宋体"/>
          <w:highlight w:val="none"/>
        </w:rPr>
      </w:pPr>
      <w:r>
        <w:rPr>
          <w:rFonts w:hint="eastAsia" w:eastAsia="新宋体"/>
          <w:highlight w:val="none"/>
        </w:rPr>
        <w:t>2、生活污水</w:t>
      </w:r>
    </w:p>
    <w:p>
      <w:pPr>
        <w:tabs>
          <w:tab w:val="left" w:pos="5580"/>
        </w:tabs>
        <w:adjustRightInd w:val="0"/>
        <w:ind w:firstLine="480"/>
        <w:textAlignment w:val="baseline"/>
        <w:rPr>
          <w:rFonts w:hint="eastAsia" w:eastAsia="新宋体"/>
          <w:highlight w:val="none"/>
        </w:rPr>
      </w:pPr>
      <w:r>
        <w:rPr>
          <w:rFonts w:hint="eastAsia" w:eastAsia="新宋体"/>
          <w:highlight w:val="none"/>
        </w:rPr>
        <w:t>项目施工人员不在项目区食宿，</w:t>
      </w:r>
      <w:r>
        <w:rPr>
          <w:rFonts w:hint="eastAsia" w:eastAsia="新宋体"/>
          <w:highlight w:val="none"/>
          <w:lang w:eastAsia="zh-CN"/>
        </w:rPr>
        <w:t>入</w:t>
      </w:r>
      <w:r>
        <w:rPr>
          <w:rFonts w:hint="eastAsia" w:eastAsia="新宋体"/>
          <w:highlight w:val="none"/>
        </w:rPr>
        <w:t>厕采用项目区</w:t>
      </w:r>
      <w:r>
        <w:rPr>
          <w:rFonts w:hint="eastAsia" w:eastAsia="新宋体"/>
          <w:highlight w:val="none"/>
          <w:lang w:eastAsia="zh-CN"/>
        </w:rPr>
        <w:t>东</w:t>
      </w:r>
      <w:r>
        <w:rPr>
          <w:rFonts w:hint="eastAsia" w:eastAsia="新宋体"/>
          <w:highlight w:val="none"/>
        </w:rPr>
        <w:t>侧</w:t>
      </w:r>
      <w:r>
        <w:rPr>
          <w:rFonts w:hint="eastAsia" w:eastAsia="新宋体"/>
          <w:highlight w:val="none"/>
          <w:lang w:eastAsia="zh-CN"/>
        </w:rPr>
        <w:t>临时</w:t>
      </w:r>
      <w:r>
        <w:rPr>
          <w:rFonts w:hint="eastAsia" w:eastAsia="新宋体"/>
          <w:highlight w:val="none"/>
        </w:rPr>
        <w:t>旱厕，施工期生活污水主要为施工人员洗手等清洁废水。施工期间平均施工人数为</w:t>
      </w:r>
      <w:r>
        <w:rPr>
          <w:rFonts w:hint="eastAsia" w:eastAsia="新宋体"/>
          <w:highlight w:val="none"/>
          <w:lang w:val="en-US" w:eastAsia="zh-CN"/>
        </w:rPr>
        <w:t>20</w:t>
      </w:r>
      <w:r>
        <w:rPr>
          <w:rFonts w:hint="eastAsia" w:eastAsia="新宋体"/>
          <w:highlight w:val="none"/>
        </w:rPr>
        <w:t>人，施工期按</w:t>
      </w:r>
      <w:r>
        <w:rPr>
          <w:rFonts w:hint="eastAsia" w:eastAsia="新宋体"/>
          <w:highlight w:val="none"/>
          <w:lang w:val="en-US" w:eastAsia="zh-CN"/>
        </w:rPr>
        <w:t>7</w:t>
      </w:r>
      <w:r>
        <w:rPr>
          <w:rFonts w:hint="eastAsia" w:eastAsia="新宋体"/>
          <w:highlight w:val="none"/>
        </w:rPr>
        <w:t>个月计，根据《云南省地方标准用水定额》（DB53/T168-2019）并结合实际情况，施工人员用水量按30L/人·d计算，则施工期间生活用水量为0.6m</w:t>
      </w:r>
      <w:r>
        <w:rPr>
          <w:rFonts w:hint="eastAsia" w:eastAsia="新宋体"/>
          <w:highlight w:val="none"/>
          <w:vertAlign w:val="superscript"/>
        </w:rPr>
        <w:t>3</w:t>
      </w:r>
      <w:r>
        <w:rPr>
          <w:rFonts w:hint="eastAsia" w:eastAsia="新宋体"/>
          <w:highlight w:val="none"/>
        </w:rPr>
        <w:t>/d， 污水产生量按用水量80%计算，则生活污水产生量为0.48m</w:t>
      </w:r>
      <w:r>
        <w:rPr>
          <w:rFonts w:hint="eastAsia" w:eastAsia="新宋体"/>
          <w:highlight w:val="none"/>
          <w:vertAlign w:val="superscript"/>
        </w:rPr>
        <w:t>3</w:t>
      </w:r>
      <w:r>
        <w:rPr>
          <w:rFonts w:hint="eastAsia" w:eastAsia="新宋体"/>
          <w:highlight w:val="none"/>
        </w:rPr>
        <w:t>/d。施工期间生活污水经临时沉淀池简单处理后用作施工场地洒水降尘，不外排。</w:t>
      </w:r>
    </w:p>
    <w:p>
      <w:pPr>
        <w:tabs>
          <w:tab w:val="left" w:pos="5580"/>
        </w:tabs>
        <w:adjustRightInd w:val="0"/>
        <w:ind w:firstLine="480"/>
        <w:textAlignment w:val="baseline"/>
        <w:rPr>
          <w:rFonts w:hint="eastAsia" w:eastAsia="新宋体"/>
          <w:highlight w:val="none"/>
          <w:lang w:eastAsia="zh-CN"/>
        </w:rPr>
      </w:pPr>
      <w:r>
        <w:rPr>
          <w:rFonts w:hint="eastAsia" w:eastAsia="新宋体"/>
          <w:highlight w:val="none"/>
        </w:rPr>
        <w:t>综上，项目施工废水和生活污水产生量为 2.48m</w:t>
      </w:r>
      <w:r>
        <w:rPr>
          <w:rFonts w:hint="eastAsia" w:eastAsia="新宋体"/>
          <w:highlight w:val="none"/>
          <w:vertAlign w:val="superscript"/>
        </w:rPr>
        <w:t>3</w:t>
      </w:r>
      <w:r>
        <w:rPr>
          <w:rFonts w:hint="eastAsia" w:eastAsia="新宋体"/>
          <w:highlight w:val="none"/>
        </w:rPr>
        <w:t>/d，设置</w:t>
      </w:r>
      <w:r>
        <w:rPr>
          <w:rFonts w:hint="eastAsia" w:eastAsia="新宋体"/>
          <w:highlight w:val="none"/>
          <w:lang w:eastAsia="zh-CN"/>
        </w:rPr>
        <w:t>临时</w:t>
      </w:r>
      <w:r>
        <w:rPr>
          <w:rFonts w:hint="eastAsia" w:eastAsia="新宋体"/>
          <w:highlight w:val="none"/>
        </w:rPr>
        <w:t>沉淀池（1个，3m</w:t>
      </w:r>
      <w:r>
        <w:rPr>
          <w:rFonts w:hint="eastAsia" w:eastAsia="新宋体"/>
          <w:highlight w:val="none"/>
          <w:vertAlign w:val="superscript"/>
        </w:rPr>
        <w:t>3</w:t>
      </w:r>
      <w:r>
        <w:rPr>
          <w:rFonts w:hint="eastAsia" w:eastAsia="新宋体"/>
          <w:highlight w:val="none"/>
        </w:rPr>
        <w:t>）沉淀处理后回用于场区洒水降尘</w:t>
      </w:r>
      <w:r>
        <w:rPr>
          <w:rFonts w:hint="eastAsia" w:eastAsia="新宋体"/>
          <w:highlight w:val="none"/>
          <w:lang w:eastAsia="zh-CN"/>
        </w:rPr>
        <w:t>。</w:t>
      </w:r>
    </w:p>
    <w:p>
      <w:pPr>
        <w:tabs>
          <w:tab w:val="left" w:pos="5580"/>
        </w:tabs>
        <w:adjustRightInd w:val="0"/>
        <w:ind w:firstLine="480"/>
        <w:textAlignment w:val="baseline"/>
        <w:rPr>
          <w:rFonts w:hint="eastAsia" w:eastAsia="新宋体"/>
          <w:highlight w:val="none"/>
          <w:lang w:eastAsia="zh-CN"/>
        </w:rPr>
      </w:pPr>
      <w:r>
        <w:rPr>
          <w:rFonts w:hint="eastAsia" w:eastAsia="新宋体"/>
          <w:highlight w:val="none"/>
          <w:lang w:val="en-US" w:eastAsia="zh-CN"/>
        </w:rPr>
        <w:t>3、</w:t>
      </w:r>
      <w:r>
        <w:rPr>
          <w:rFonts w:hint="eastAsia" w:eastAsia="新宋体"/>
          <w:highlight w:val="none"/>
          <w:lang w:eastAsia="zh-CN"/>
        </w:rPr>
        <w:t>雨天地表径流</w:t>
      </w:r>
    </w:p>
    <w:p>
      <w:pPr>
        <w:tabs>
          <w:tab w:val="left" w:pos="5580"/>
        </w:tabs>
        <w:adjustRightInd w:val="0"/>
        <w:ind w:firstLine="480"/>
        <w:textAlignment w:val="baseline"/>
        <w:rPr>
          <w:rFonts w:hint="eastAsia" w:eastAsia="新宋体"/>
          <w:highlight w:val="none"/>
          <w:lang w:eastAsia="zh-CN"/>
        </w:rPr>
      </w:pPr>
      <w:r>
        <w:rPr>
          <w:rFonts w:hint="eastAsia" w:eastAsia="新宋体"/>
          <w:highlight w:val="none"/>
        </w:rPr>
        <w:t>施工期地表扰动后还未恢复的区域产生地表径流，面积为20000m²。根据项目所在地的日最大降雨量，采用日最大降水量法来进行计算雨天地表径流产生量，计算公式为</w:t>
      </w:r>
      <w:r>
        <w:rPr>
          <w:rFonts w:hint="eastAsia" w:eastAsia="新宋体"/>
          <w:highlight w:val="none"/>
          <w:lang w:eastAsia="zh-CN"/>
        </w:rPr>
        <w:t>：</w:t>
      </w:r>
    </w:p>
    <w:p>
      <w:pPr>
        <w:pStyle w:val="2"/>
        <w:ind w:firstLine="480"/>
        <w:jc w:val="center"/>
        <w:rPr>
          <w:color w:val="auto"/>
          <w:highlight w:val="none"/>
        </w:rPr>
      </w:pPr>
      <w:r>
        <w:rPr>
          <w:color w:val="auto"/>
          <w:highlight w:val="none"/>
        </w:rPr>
        <w:t>Q=10</w:t>
      </w:r>
      <w:r>
        <w:rPr>
          <w:color w:val="auto"/>
          <w:highlight w:val="none"/>
          <w:vertAlign w:val="superscript"/>
        </w:rPr>
        <w:t>-3</w:t>
      </w:r>
      <w:r>
        <w:rPr>
          <w:color w:val="auto"/>
          <w:highlight w:val="none"/>
        </w:rPr>
        <w:t>·C·I·A</w:t>
      </w:r>
    </w:p>
    <w:p>
      <w:pPr>
        <w:pStyle w:val="2"/>
        <w:ind w:firstLine="480"/>
        <w:jc w:val="both"/>
        <w:rPr>
          <w:color w:val="auto"/>
          <w:highlight w:val="none"/>
        </w:rPr>
      </w:pPr>
      <w:r>
        <w:rPr>
          <w:rFonts w:hint="eastAsia"/>
          <w:color w:val="auto"/>
          <w:highlight w:val="none"/>
        </w:rPr>
        <w:t>式中：</w:t>
      </w:r>
      <w:r>
        <w:rPr>
          <w:color w:val="auto"/>
          <w:highlight w:val="none"/>
        </w:rPr>
        <w:t>Q-淋滤水，m</w:t>
      </w:r>
      <w:r>
        <w:rPr>
          <w:color w:val="auto"/>
          <w:highlight w:val="none"/>
          <w:vertAlign w:val="superscript"/>
        </w:rPr>
        <w:t>3</w:t>
      </w:r>
      <w:r>
        <w:rPr>
          <w:color w:val="auto"/>
          <w:highlight w:val="none"/>
        </w:rPr>
        <w:t>/d</w:t>
      </w:r>
    </w:p>
    <w:p>
      <w:pPr>
        <w:pStyle w:val="2"/>
        <w:ind w:left="1200" w:leftChars="500" w:firstLine="0" w:firstLineChars="0"/>
        <w:jc w:val="both"/>
        <w:rPr>
          <w:color w:val="auto"/>
          <w:highlight w:val="none"/>
        </w:rPr>
      </w:pPr>
      <w:r>
        <w:rPr>
          <w:color w:val="auto"/>
          <w:highlight w:val="none"/>
        </w:rPr>
        <w:t>I-日</w:t>
      </w:r>
      <w:r>
        <w:rPr>
          <w:rFonts w:hint="eastAsia"/>
          <w:color w:val="auto"/>
          <w:highlight w:val="none"/>
          <w:lang w:eastAsia="zh-CN"/>
        </w:rPr>
        <w:t>均</w:t>
      </w:r>
      <w:r>
        <w:rPr>
          <w:color w:val="auto"/>
          <w:highlight w:val="none"/>
        </w:rPr>
        <w:t>最大降雨量，</w:t>
      </w:r>
      <w:r>
        <w:rPr>
          <w:rFonts w:hint="eastAsia"/>
          <w:color w:val="auto"/>
          <w:highlight w:val="none"/>
        </w:rPr>
        <w:t>根据</w:t>
      </w:r>
      <w:r>
        <w:rPr>
          <w:rFonts w:hint="eastAsia"/>
          <w:color w:val="auto"/>
          <w:highlight w:val="none"/>
          <w:lang w:eastAsia="zh-CN"/>
        </w:rPr>
        <w:t>砚山县</w:t>
      </w:r>
      <w:r>
        <w:rPr>
          <w:rFonts w:hint="eastAsia"/>
          <w:color w:val="auto"/>
          <w:highlight w:val="none"/>
        </w:rPr>
        <w:t>多年气象水文资料，20年一遇24小时最大降雨量为122.7mm</w:t>
      </w:r>
      <w:r>
        <w:rPr>
          <w:color w:val="auto"/>
          <w:highlight w:val="none"/>
        </w:rPr>
        <w:t>mm</w:t>
      </w:r>
    </w:p>
    <w:p>
      <w:pPr>
        <w:pStyle w:val="2"/>
        <w:ind w:firstLine="1200" w:firstLineChars="500"/>
        <w:jc w:val="both"/>
        <w:rPr>
          <w:rFonts w:hint="eastAsia" w:eastAsia="宋体"/>
          <w:color w:val="auto"/>
          <w:highlight w:val="none"/>
          <w:lang w:eastAsia="zh-CN"/>
        </w:rPr>
      </w:pPr>
      <w:r>
        <w:rPr>
          <w:color w:val="auto"/>
          <w:highlight w:val="none"/>
        </w:rPr>
        <w:t>A-场区面积（m</w:t>
      </w:r>
      <w:r>
        <w:rPr>
          <w:color w:val="auto"/>
          <w:highlight w:val="none"/>
          <w:vertAlign w:val="superscript"/>
        </w:rPr>
        <w:t>2</w:t>
      </w:r>
      <w:r>
        <w:rPr>
          <w:color w:val="auto"/>
          <w:highlight w:val="none"/>
        </w:rPr>
        <w:t>）</w:t>
      </w:r>
      <w:r>
        <w:rPr>
          <w:rFonts w:hint="eastAsia"/>
          <w:color w:val="auto"/>
          <w:highlight w:val="none"/>
          <w:lang w:eastAsia="zh-CN"/>
        </w:rPr>
        <w:t>，</w:t>
      </w:r>
      <w:r>
        <w:rPr>
          <w:rFonts w:ascii="Times New Roman" w:hAnsi="Times New Roman" w:eastAsia="宋体"/>
          <w:highlight w:val="none"/>
        </w:rPr>
        <w:t>项目扰动场区面积为20000m²</w:t>
      </w:r>
    </w:p>
    <w:p>
      <w:pPr>
        <w:pStyle w:val="2"/>
        <w:ind w:left="1200" w:leftChars="500" w:firstLine="0" w:firstLineChars="0"/>
        <w:jc w:val="both"/>
        <w:rPr>
          <w:rFonts w:hint="eastAsia" w:eastAsia="新宋体"/>
          <w:highlight w:val="none"/>
        </w:rPr>
      </w:pPr>
      <w:r>
        <w:rPr>
          <w:color w:val="auto"/>
          <w:highlight w:val="none"/>
        </w:rPr>
        <w:t>C-</w:t>
      </w:r>
      <w:r>
        <w:rPr>
          <w:rFonts w:hint="eastAsia"/>
          <w:color w:val="auto"/>
          <w:highlight w:val="none"/>
        </w:rPr>
        <w:t>径流产生</w:t>
      </w:r>
      <w:r>
        <w:rPr>
          <w:color w:val="auto"/>
          <w:highlight w:val="none"/>
        </w:rPr>
        <w:t>系数，</w:t>
      </w:r>
      <w:r>
        <w:rPr>
          <w:rFonts w:hint="eastAsia"/>
          <w:color w:val="auto"/>
          <w:highlight w:val="none"/>
        </w:rPr>
        <w:t>一般取0.2-0.8，该项目取0.3（根据《室外排水设计规范（2011 年版）》（GB50014-2006），地面为非铺砌土路面，考虑 0.3 的径流系数）</w:t>
      </w:r>
      <w:r>
        <w:rPr>
          <w:color w:val="auto"/>
          <w:highlight w:val="none"/>
        </w:rPr>
        <w:t>。</w:t>
      </w:r>
    </w:p>
    <w:p>
      <w:pPr>
        <w:keepNext w:val="0"/>
        <w:keepLines w:val="0"/>
        <w:pageBreakBefore w:val="0"/>
        <w:widowControl w:val="0"/>
        <w:tabs>
          <w:tab w:val="left" w:pos="5580"/>
        </w:tabs>
        <w:kinsoku/>
        <w:wordWrap/>
        <w:overflowPunct/>
        <w:topLinePunct w:val="0"/>
        <w:autoSpaceDE/>
        <w:autoSpaceDN/>
        <w:bidi w:val="0"/>
        <w:adjustRightInd w:val="0"/>
        <w:snapToGrid/>
        <w:ind w:firstLine="480"/>
        <w:textAlignment w:val="baseline"/>
        <w:rPr>
          <w:rFonts w:eastAsia="新宋体"/>
          <w:highlight w:val="none"/>
        </w:rPr>
      </w:pPr>
      <w:r>
        <w:rPr>
          <w:rFonts w:hint="eastAsia" w:eastAsia="新宋体"/>
          <w:highlight w:val="none"/>
        </w:rPr>
        <w:t>由上述公式计算，施工期雨天地表径流产生量为736.2m³/d。项目拟收集前30min雨水进行处理，收集量为15.3m³，后期雨水直排。项目拟在地势较低处靠近排放口处设置容积为30m</w:t>
      </w:r>
      <w:r>
        <w:rPr>
          <w:rFonts w:hint="eastAsia" w:eastAsia="新宋体"/>
          <w:highlight w:val="none"/>
          <w:vertAlign w:val="superscript"/>
        </w:rPr>
        <w:t>3</w:t>
      </w:r>
      <w:r>
        <w:rPr>
          <w:rFonts w:hint="eastAsia" w:eastAsia="新宋体"/>
          <w:highlight w:val="none"/>
        </w:rPr>
        <w:t>的雨水沉淀池收集地表径流，经沉淀处理后回用于场区洒水降尘，不外排</w:t>
      </w:r>
      <w:r>
        <w:rPr>
          <w:rFonts w:hint="eastAsia" w:eastAsia="新宋体"/>
          <w:highlight w:val="none"/>
          <w:lang w:eastAsia="zh-CN"/>
        </w:rPr>
        <w:t>。</w:t>
      </w:r>
    </w:p>
    <w:p>
      <w:pPr>
        <w:pStyle w:val="6"/>
        <w:ind w:firstLine="482"/>
        <w:rPr>
          <w:rFonts w:cs="Times New Roman"/>
          <w:highlight w:val="none"/>
        </w:rPr>
      </w:pPr>
      <w:r>
        <w:rPr>
          <w:rFonts w:hint="eastAsia" w:cs="Times New Roman"/>
          <w:highlight w:val="none"/>
          <w:lang w:val="en-US" w:eastAsia="zh-CN"/>
        </w:rPr>
        <w:t>3</w:t>
      </w:r>
      <w:r>
        <w:rPr>
          <w:rFonts w:hint="eastAsia" w:cs="Times New Roman"/>
          <w:highlight w:val="none"/>
        </w:rPr>
        <w:t>.3.1.3噪声</w:t>
      </w:r>
    </w:p>
    <w:p>
      <w:pPr>
        <w:tabs>
          <w:tab w:val="left" w:pos="5580"/>
        </w:tabs>
        <w:adjustRightInd w:val="0"/>
        <w:ind w:firstLine="480"/>
        <w:textAlignment w:val="baseline"/>
        <w:rPr>
          <w:rFonts w:hint="eastAsia"/>
          <w:highlight w:val="none"/>
        </w:rPr>
      </w:pPr>
      <w:r>
        <w:rPr>
          <w:rFonts w:hint="eastAsia"/>
          <w:highlight w:val="none"/>
        </w:rPr>
        <w:t xml:space="preserve">建筑施工期的噪声源主要为施工机械和车辆，其特点是间歇或阵发性的，并具备流动性特征。因此，在考虑本工程噪声源对环境的影响时，仅考虑点声源到不同距离处经距离衰减后的噪声。施工期机械噪声值见表 </w:t>
      </w:r>
      <w:r>
        <w:rPr>
          <w:rFonts w:hint="eastAsia"/>
          <w:highlight w:val="none"/>
          <w:lang w:val="en-US" w:eastAsia="zh-CN"/>
        </w:rPr>
        <w:t>3.3</w:t>
      </w:r>
      <w:r>
        <w:rPr>
          <w:rFonts w:hint="eastAsia"/>
          <w:highlight w:val="none"/>
        </w:rPr>
        <w:t>-2</w:t>
      </w:r>
    </w:p>
    <w:p>
      <w:pPr>
        <w:tabs>
          <w:tab w:val="left" w:pos="5580"/>
        </w:tabs>
        <w:adjustRightInd w:val="0"/>
        <w:ind w:firstLine="480"/>
        <w:jc w:val="center"/>
        <w:textAlignment w:val="baseline"/>
        <w:rPr>
          <w:rFonts w:hint="eastAsia"/>
          <w:highlight w:val="none"/>
        </w:rPr>
      </w:pPr>
      <w:r>
        <w:rPr>
          <w:rFonts w:ascii="Times New Roman" w:hAnsi="Times New Roman" w:eastAsia="宋体"/>
          <w:b/>
          <w:sz w:val="21"/>
          <w:highlight w:val="none"/>
        </w:rPr>
        <w:t xml:space="preserve">表 </w:t>
      </w:r>
      <w:r>
        <w:rPr>
          <w:rFonts w:hint="eastAsia"/>
          <w:b/>
          <w:sz w:val="21"/>
          <w:highlight w:val="none"/>
          <w:lang w:val="en-US" w:eastAsia="zh-CN"/>
        </w:rPr>
        <w:t>3.3</w:t>
      </w:r>
      <w:r>
        <w:rPr>
          <w:rFonts w:ascii="Times New Roman" w:hAnsi="Times New Roman" w:eastAsia="宋体"/>
          <w:b/>
          <w:sz w:val="21"/>
          <w:highlight w:val="none"/>
        </w:rPr>
        <w:t>-2 施工机械噪声值  单位：dB（A）</w:t>
      </w:r>
    </w:p>
    <w:tbl>
      <w:tblPr>
        <w:tblStyle w:val="30"/>
        <w:tblW w:w="92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8"/>
        <w:gridCol w:w="1858"/>
        <w:gridCol w:w="1859"/>
        <w:gridCol w:w="1859"/>
        <w:gridCol w:w="1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8" w:type="dxa"/>
            <w:shd w:val="clear" w:color="auto" w:fill="auto"/>
            <w:vAlign w:val="center"/>
          </w:tcPr>
          <w:p>
            <w:pPr>
              <w:pStyle w:val="114"/>
              <w:spacing w:before="77" w:line="262" w:lineRule="exact"/>
              <w:ind w:left="0" w:leftChars="0" w:firstLine="0" w:firstLineChars="0"/>
              <w:jc w:val="center"/>
              <w:rPr>
                <w:rFonts w:hint="eastAsia"/>
                <w:sz w:val="21"/>
                <w:szCs w:val="21"/>
                <w:highlight w:val="none"/>
                <w:vertAlign w:val="baseline"/>
              </w:rPr>
            </w:pPr>
            <w:r>
              <w:rPr>
                <w:rFonts w:ascii="Times New Roman" w:hAnsi="Times New Roman" w:eastAsia="宋体"/>
                <w:sz w:val="21"/>
                <w:highlight w:val="none"/>
              </w:rPr>
              <w:t>序号</w:t>
            </w:r>
          </w:p>
        </w:tc>
        <w:tc>
          <w:tcPr>
            <w:tcW w:w="1858" w:type="dxa"/>
            <w:shd w:val="clear" w:color="auto" w:fill="auto"/>
            <w:vAlign w:val="center"/>
          </w:tcPr>
          <w:p>
            <w:pPr>
              <w:pStyle w:val="114"/>
              <w:spacing w:before="77" w:line="262" w:lineRule="exact"/>
              <w:ind w:left="0" w:leftChars="0" w:right="501" w:rightChars="0" w:firstLine="0" w:firstLineChars="0"/>
              <w:jc w:val="center"/>
              <w:rPr>
                <w:rFonts w:hint="eastAsia"/>
                <w:sz w:val="21"/>
                <w:szCs w:val="21"/>
                <w:highlight w:val="none"/>
                <w:vertAlign w:val="baseline"/>
              </w:rPr>
            </w:pPr>
            <w:r>
              <w:rPr>
                <w:rFonts w:ascii="Times New Roman" w:hAnsi="Times New Roman" w:eastAsia="宋体"/>
                <w:w w:val="95"/>
                <w:sz w:val="21"/>
                <w:highlight w:val="none"/>
              </w:rPr>
              <w:t>设备名称</w:t>
            </w:r>
          </w:p>
        </w:tc>
        <w:tc>
          <w:tcPr>
            <w:tcW w:w="1859" w:type="dxa"/>
            <w:shd w:val="clear" w:color="auto" w:fill="auto"/>
            <w:vAlign w:val="center"/>
          </w:tcPr>
          <w:p>
            <w:pPr>
              <w:pStyle w:val="114"/>
              <w:spacing w:before="77" w:line="262" w:lineRule="exact"/>
              <w:ind w:left="0" w:leftChars="0" w:right="217" w:rightChars="0" w:firstLine="0" w:firstLineChars="0"/>
              <w:jc w:val="center"/>
              <w:rPr>
                <w:rFonts w:hint="eastAsia"/>
                <w:sz w:val="21"/>
                <w:szCs w:val="21"/>
                <w:highlight w:val="none"/>
                <w:vertAlign w:val="baseline"/>
              </w:rPr>
            </w:pPr>
            <w:r>
              <w:rPr>
                <w:rFonts w:ascii="Times New Roman" w:hAnsi="Times New Roman" w:eastAsia="宋体"/>
                <w:sz w:val="21"/>
                <w:highlight w:val="none"/>
              </w:rPr>
              <w:t>台数</w:t>
            </w:r>
          </w:p>
        </w:tc>
        <w:tc>
          <w:tcPr>
            <w:tcW w:w="1859" w:type="dxa"/>
            <w:shd w:val="clear" w:color="auto" w:fill="auto"/>
            <w:vAlign w:val="center"/>
          </w:tcPr>
          <w:p>
            <w:pPr>
              <w:pStyle w:val="114"/>
              <w:spacing w:before="77" w:line="262" w:lineRule="exact"/>
              <w:ind w:left="0" w:leftChars="0" w:right="217" w:rightChars="0" w:firstLine="0" w:firstLineChars="0"/>
              <w:jc w:val="center"/>
              <w:rPr>
                <w:rFonts w:hint="eastAsia"/>
                <w:sz w:val="21"/>
                <w:szCs w:val="21"/>
                <w:highlight w:val="none"/>
                <w:vertAlign w:val="baseline"/>
              </w:rPr>
            </w:pPr>
            <w:r>
              <w:rPr>
                <w:rFonts w:ascii="Times New Roman" w:hAnsi="Times New Roman" w:eastAsia="宋体"/>
                <w:sz w:val="21"/>
                <w:highlight w:val="none"/>
              </w:rPr>
              <w:t>型号</w:t>
            </w:r>
          </w:p>
        </w:tc>
        <w:tc>
          <w:tcPr>
            <w:tcW w:w="1859" w:type="dxa"/>
            <w:shd w:val="clear" w:color="auto" w:fill="auto"/>
            <w:vAlign w:val="center"/>
          </w:tcPr>
          <w:p>
            <w:pPr>
              <w:pStyle w:val="114"/>
              <w:spacing w:before="77" w:line="262" w:lineRule="exact"/>
              <w:ind w:left="0" w:leftChars="0" w:right="298" w:rightChars="0" w:firstLine="0" w:firstLineChars="0"/>
              <w:jc w:val="center"/>
              <w:rPr>
                <w:rFonts w:hint="eastAsia"/>
                <w:sz w:val="21"/>
                <w:szCs w:val="21"/>
                <w:highlight w:val="none"/>
                <w:vertAlign w:val="baseline"/>
              </w:rPr>
            </w:pPr>
            <w:r>
              <w:rPr>
                <w:rFonts w:ascii="Times New Roman" w:hAnsi="Times New Roman" w:eastAsia="宋体"/>
                <w:sz w:val="21"/>
                <w:highlight w:val="none"/>
              </w:rPr>
              <w:t>最大声级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8" w:type="dxa"/>
            <w:vAlign w:val="center"/>
          </w:tcPr>
          <w:p>
            <w:pPr>
              <w:pStyle w:val="114"/>
              <w:spacing w:before="91"/>
              <w:ind w:left="0" w:leftChars="0" w:right="172" w:rightChars="0" w:firstLine="0" w:firstLineChars="0"/>
              <w:jc w:val="center"/>
              <w:rPr>
                <w:rFonts w:hint="eastAsia"/>
                <w:sz w:val="21"/>
                <w:szCs w:val="21"/>
                <w:highlight w:val="none"/>
                <w:vertAlign w:val="baseline"/>
              </w:rPr>
            </w:pPr>
            <w:r>
              <w:rPr>
                <w:rFonts w:ascii="Times New Roman" w:hAnsi="Times New Roman" w:eastAsia="宋体"/>
                <w:w w:val="99"/>
                <w:sz w:val="21"/>
                <w:highlight w:val="none"/>
              </w:rPr>
              <w:t>1</w:t>
            </w:r>
          </w:p>
        </w:tc>
        <w:tc>
          <w:tcPr>
            <w:tcW w:w="1858" w:type="dxa"/>
            <w:vAlign w:val="center"/>
          </w:tcPr>
          <w:p>
            <w:pPr>
              <w:pStyle w:val="114"/>
              <w:spacing w:before="77" w:line="263" w:lineRule="exact"/>
              <w:ind w:left="0" w:leftChars="0" w:right="604" w:rightChars="0" w:firstLine="0" w:firstLineChars="0"/>
              <w:jc w:val="center"/>
              <w:rPr>
                <w:rFonts w:hint="eastAsia"/>
                <w:sz w:val="21"/>
                <w:szCs w:val="21"/>
                <w:highlight w:val="none"/>
                <w:vertAlign w:val="baseline"/>
              </w:rPr>
            </w:pPr>
            <w:r>
              <w:rPr>
                <w:rFonts w:ascii="Times New Roman" w:hAnsi="Times New Roman" w:eastAsia="宋体"/>
                <w:w w:val="95"/>
                <w:sz w:val="21"/>
                <w:highlight w:val="none"/>
              </w:rPr>
              <w:t>挖掘机</w:t>
            </w:r>
          </w:p>
        </w:tc>
        <w:tc>
          <w:tcPr>
            <w:tcW w:w="1859" w:type="dxa"/>
            <w:vAlign w:val="center"/>
          </w:tcPr>
          <w:p>
            <w:pPr>
              <w:pStyle w:val="114"/>
              <w:spacing w:before="91"/>
              <w:ind w:left="0" w:leftChars="0" w:firstLine="0" w:firstLineChars="0"/>
              <w:jc w:val="center"/>
              <w:rPr>
                <w:rFonts w:hint="eastAsia"/>
                <w:sz w:val="21"/>
                <w:szCs w:val="21"/>
                <w:highlight w:val="none"/>
                <w:vertAlign w:val="baseline"/>
              </w:rPr>
            </w:pPr>
            <w:r>
              <w:rPr>
                <w:rFonts w:ascii="Times New Roman" w:hAnsi="Times New Roman" w:eastAsia="宋体"/>
                <w:w w:val="99"/>
                <w:sz w:val="21"/>
                <w:highlight w:val="none"/>
              </w:rPr>
              <w:t>1</w:t>
            </w:r>
          </w:p>
        </w:tc>
        <w:tc>
          <w:tcPr>
            <w:tcW w:w="1859" w:type="dxa"/>
            <w:vAlign w:val="center"/>
          </w:tcPr>
          <w:p>
            <w:pPr>
              <w:pStyle w:val="114"/>
              <w:spacing w:before="77" w:line="263" w:lineRule="exact"/>
              <w:ind w:left="0" w:leftChars="0" w:right="217" w:rightChars="0" w:firstLine="0" w:firstLineChars="0"/>
              <w:jc w:val="center"/>
              <w:rPr>
                <w:rFonts w:hint="eastAsia"/>
                <w:sz w:val="21"/>
                <w:szCs w:val="21"/>
                <w:highlight w:val="none"/>
                <w:vertAlign w:val="baseline"/>
              </w:rPr>
            </w:pPr>
            <w:r>
              <w:rPr>
                <w:rFonts w:ascii="Times New Roman" w:hAnsi="Times New Roman" w:eastAsia="宋体"/>
                <w:sz w:val="21"/>
                <w:highlight w:val="none"/>
              </w:rPr>
              <w:t>W4-60 型</w:t>
            </w:r>
          </w:p>
        </w:tc>
        <w:tc>
          <w:tcPr>
            <w:tcW w:w="1859" w:type="dxa"/>
            <w:vAlign w:val="center"/>
          </w:tcPr>
          <w:p>
            <w:pPr>
              <w:pStyle w:val="114"/>
              <w:spacing w:before="91"/>
              <w:ind w:left="0" w:leftChars="0" w:right="297" w:rightChars="0" w:firstLine="0" w:firstLineChars="0"/>
              <w:jc w:val="center"/>
              <w:rPr>
                <w:rFonts w:hint="eastAsia"/>
                <w:sz w:val="21"/>
                <w:szCs w:val="21"/>
                <w:highlight w:val="none"/>
                <w:vertAlign w:val="baseline"/>
              </w:rPr>
            </w:pPr>
            <w:r>
              <w:rPr>
                <w:rFonts w:ascii="Times New Roman" w:hAnsi="Times New Roman" w:eastAsia="宋体"/>
                <w:sz w:val="21"/>
                <w:highlight w:val="none"/>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8" w:type="dxa"/>
            <w:vAlign w:val="center"/>
          </w:tcPr>
          <w:p>
            <w:pPr>
              <w:pStyle w:val="114"/>
              <w:spacing w:before="91"/>
              <w:ind w:left="0" w:leftChars="0" w:right="172" w:rightChars="0" w:firstLine="0" w:firstLineChars="0"/>
              <w:jc w:val="center"/>
              <w:rPr>
                <w:rFonts w:hint="eastAsia"/>
                <w:sz w:val="21"/>
                <w:szCs w:val="21"/>
                <w:highlight w:val="none"/>
                <w:vertAlign w:val="baseline"/>
              </w:rPr>
            </w:pPr>
            <w:r>
              <w:rPr>
                <w:rFonts w:ascii="Times New Roman" w:hAnsi="Times New Roman" w:eastAsia="宋体"/>
                <w:w w:val="99"/>
                <w:sz w:val="21"/>
                <w:highlight w:val="none"/>
              </w:rPr>
              <w:t>2</w:t>
            </w:r>
          </w:p>
        </w:tc>
        <w:tc>
          <w:tcPr>
            <w:tcW w:w="1858" w:type="dxa"/>
            <w:vAlign w:val="center"/>
          </w:tcPr>
          <w:p>
            <w:pPr>
              <w:pStyle w:val="114"/>
              <w:spacing w:before="77" w:line="263" w:lineRule="exact"/>
              <w:ind w:left="0" w:leftChars="0" w:firstLine="210" w:firstLineChars="100"/>
              <w:jc w:val="both"/>
              <w:rPr>
                <w:rFonts w:hint="eastAsia"/>
                <w:sz w:val="21"/>
                <w:szCs w:val="21"/>
                <w:highlight w:val="none"/>
                <w:vertAlign w:val="baseline"/>
              </w:rPr>
            </w:pPr>
            <w:r>
              <w:rPr>
                <w:rFonts w:ascii="Times New Roman" w:hAnsi="Times New Roman" w:eastAsia="宋体"/>
                <w:sz w:val="21"/>
                <w:highlight w:val="none"/>
              </w:rPr>
              <w:t>电锯</w:t>
            </w:r>
          </w:p>
        </w:tc>
        <w:tc>
          <w:tcPr>
            <w:tcW w:w="1859" w:type="dxa"/>
            <w:vAlign w:val="center"/>
          </w:tcPr>
          <w:p>
            <w:pPr>
              <w:pStyle w:val="114"/>
              <w:spacing w:before="91"/>
              <w:ind w:left="0" w:leftChars="0" w:firstLine="0" w:firstLineChars="0"/>
              <w:jc w:val="center"/>
              <w:rPr>
                <w:rFonts w:hint="eastAsia"/>
                <w:sz w:val="21"/>
                <w:szCs w:val="21"/>
                <w:highlight w:val="none"/>
                <w:vertAlign w:val="baseline"/>
              </w:rPr>
            </w:pPr>
            <w:r>
              <w:rPr>
                <w:rFonts w:ascii="Times New Roman" w:hAnsi="Times New Roman" w:eastAsia="宋体"/>
                <w:w w:val="99"/>
                <w:sz w:val="21"/>
                <w:highlight w:val="none"/>
              </w:rPr>
              <w:t>1</w:t>
            </w:r>
          </w:p>
        </w:tc>
        <w:tc>
          <w:tcPr>
            <w:tcW w:w="1859" w:type="dxa"/>
            <w:vAlign w:val="center"/>
          </w:tcPr>
          <w:p>
            <w:pPr>
              <w:pStyle w:val="114"/>
              <w:spacing w:before="91"/>
              <w:ind w:left="0" w:leftChars="0" w:firstLine="0" w:firstLineChars="0"/>
              <w:jc w:val="center"/>
              <w:rPr>
                <w:rFonts w:hint="eastAsia"/>
                <w:sz w:val="21"/>
                <w:szCs w:val="21"/>
                <w:highlight w:val="none"/>
                <w:vertAlign w:val="baseline"/>
              </w:rPr>
            </w:pPr>
            <w:r>
              <w:rPr>
                <w:rFonts w:ascii="Times New Roman" w:hAnsi="Times New Roman" w:eastAsia="宋体"/>
                <w:w w:val="99"/>
                <w:sz w:val="21"/>
                <w:highlight w:val="none"/>
              </w:rPr>
              <w:t>/</w:t>
            </w:r>
          </w:p>
        </w:tc>
        <w:tc>
          <w:tcPr>
            <w:tcW w:w="1859" w:type="dxa"/>
            <w:vAlign w:val="center"/>
          </w:tcPr>
          <w:p>
            <w:pPr>
              <w:pStyle w:val="114"/>
              <w:spacing w:before="91"/>
              <w:ind w:left="0" w:leftChars="0" w:right="297" w:rightChars="0" w:firstLine="0" w:firstLineChars="0"/>
              <w:jc w:val="center"/>
              <w:rPr>
                <w:rFonts w:hint="eastAsia"/>
                <w:sz w:val="21"/>
                <w:szCs w:val="21"/>
                <w:highlight w:val="none"/>
                <w:vertAlign w:val="baseline"/>
              </w:rPr>
            </w:pPr>
            <w:r>
              <w:rPr>
                <w:rFonts w:ascii="Times New Roman" w:hAnsi="Times New Roman" w:eastAsia="宋体"/>
                <w:sz w:val="21"/>
                <w:highlight w:val="none"/>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8" w:type="dxa"/>
            <w:vAlign w:val="center"/>
          </w:tcPr>
          <w:p>
            <w:pPr>
              <w:pStyle w:val="114"/>
              <w:spacing w:before="90"/>
              <w:ind w:left="0" w:leftChars="0" w:right="172" w:rightChars="0" w:firstLine="0" w:firstLineChars="0"/>
              <w:jc w:val="center"/>
              <w:rPr>
                <w:rFonts w:hint="eastAsia"/>
                <w:sz w:val="21"/>
                <w:szCs w:val="21"/>
                <w:highlight w:val="none"/>
                <w:vertAlign w:val="baseline"/>
              </w:rPr>
            </w:pPr>
            <w:r>
              <w:rPr>
                <w:rFonts w:ascii="Times New Roman" w:hAnsi="Times New Roman" w:eastAsia="宋体"/>
                <w:w w:val="99"/>
                <w:sz w:val="21"/>
                <w:highlight w:val="none"/>
              </w:rPr>
              <w:t>3</w:t>
            </w:r>
          </w:p>
        </w:tc>
        <w:tc>
          <w:tcPr>
            <w:tcW w:w="1858" w:type="dxa"/>
            <w:vAlign w:val="center"/>
          </w:tcPr>
          <w:p>
            <w:pPr>
              <w:pStyle w:val="114"/>
              <w:spacing w:before="76" w:line="263" w:lineRule="exact"/>
              <w:ind w:left="0" w:leftChars="0" w:firstLine="210" w:firstLineChars="100"/>
              <w:jc w:val="both"/>
              <w:rPr>
                <w:rFonts w:hint="eastAsia"/>
                <w:sz w:val="21"/>
                <w:szCs w:val="21"/>
                <w:highlight w:val="none"/>
                <w:vertAlign w:val="baseline"/>
              </w:rPr>
            </w:pPr>
            <w:r>
              <w:rPr>
                <w:rFonts w:ascii="Times New Roman" w:hAnsi="Times New Roman" w:eastAsia="宋体"/>
                <w:sz w:val="21"/>
                <w:highlight w:val="none"/>
              </w:rPr>
              <w:t>电钻</w:t>
            </w:r>
          </w:p>
        </w:tc>
        <w:tc>
          <w:tcPr>
            <w:tcW w:w="1859" w:type="dxa"/>
            <w:vAlign w:val="center"/>
          </w:tcPr>
          <w:p>
            <w:pPr>
              <w:pStyle w:val="114"/>
              <w:spacing w:before="90"/>
              <w:ind w:left="0" w:leftChars="0" w:firstLine="0" w:firstLineChars="0"/>
              <w:jc w:val="center"/>
              <w:rPr>
                <w:rFonts w:hint="eastAsia"/>
                <w:sz w:val="21"/>
                <w:szCs w:val="21"/>
                <w:highlight w:val="none"/>
                <w:vertAlign w:val="baseline"/>
              </w:rPr>
            </w:pPr>
            <w:r>
              <w:rPr>
                <w:rFonts w:ascii="Times New Roman" w:hAnsi="Times New Roman" w:eastAsia="宋体"/>
                <w:w w:val="99"/>
                <w:sz w:val="21"/>
                <w:highlight w:val="none"/>
              </w:rPr>
              <w:t>1</w:t>
            </w:r>
          </w:p>
        </w:tc>
        <w:tc>
          <w:tcPr>
            <w:tcW w:w="1859" w:type="dxa"/>
            <w:vAlign w:val="center"/>
          </w:tcPr>
          <w:p>
            <w:pPr>
              <w:pStyle w:val="114"/>
              <w:spacing w:before="90"/>
              <w:ind w:left="0" w:leftChars="0" w:firstLine="0" w:firstLineChars="0"/>
              <w:jc w:val="center"/>
              <w:rPr>
                <w:rFonts w:hint="eastAsia"/>
                <w:sz w:val="21"/>
                <w:szCs w:val="21"/>
                <w:highlight w:val="none"/>
                <w:vertAlign w:val="baseline"/>
              </w:rPr>
            </w:pPr>
            <w:r>
              <w:rPr>
                <w:rFonts w:ascii="Times New Roman" w:hAnsi="Times New Roman" w:eastAsia="宋体"/>
                <w:w w:val="99"/>
                <w:sz w:val="21"/>
                <w:highlight w:val="none"/>
              </w:rPr>
              <w:t>/</w:t>
            </w:r>
          </w:p>
        </w:tc>
        <w:tc>
          <w:tcPr>
            <w:tcW w:w="1859" w:type="dxa"/>
            <w:vAlign w:val="center"/>
          </w:tcPr>
          <w:p>
            <w:pPr>
              <w:pStyle w:val="114"/>
              <w:spacing w:before="90"/>
              <w:ind w:left="0" w:leftChars="0" w:right="297" w:rightChars="0" w:firstLine="0" w:firstLineChars="0"/>
              <w:jc w:val="center"/>
              <w:rPr>
                <w:rFonts w:hint="eastAsia"/>
                <w:sz w:val="21"/>
                <w:szCs w:val="21"/>
                <w:highlight w:val="none"/>
                <w:vertAlign w:val="baseline"/>
              </w:rPr>
            </w:pPr>
            <w:r>
              <w:rPr>
                <w:rFonts w:ascii="Times New Roman" w:hAnsi="Times New Roman" w:eastAsia="宋体"/>
                <w:sz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8" w:type="dxa"/>
            <w:vAlign w:val="center"/>
          </w:tcPr>
          <w:p>
            <w:pPr>
              <w:pStyle w:val="114"/>
              <w:spacing w:before="90"/>
              <w:ind w:left="0" w:leftChars="0" w:right="172" w:rightChars="0" w:firstLine="0" w:firstLineChars="0"/>
              <w:jc w:val="center"/>
              <w:rPr>
                <w:rFonts w:hint="eastAsia"/>
                <w:sz w:val="21"/>
                <w:szCs w:val="21"/>
                <w:highlight w:val="none"/>
                <w:vertAlign w:val="baseline"/>
              </w:rPr>
            </w:pPr>
            <w:r>
              <w:rPr>
                <w:rFonts w:ascii="Times New Roman" w:hAnsi="Times New Roman" w:eastAsia="宋体"/>
                <w:w w:val="99"/>
                <w:sz w:val="21"/>
                <w:highlight w:val="none"/>
              </w:rPr>
              <w:t>4</w:t>
            </w:r>
          </w:p>
        </w:tc>
        <w:tc>
          <w:tcPr>
            <w:tcW w:w="1858" w:type="dxa"/>
            <w:vAlign w:val="center"/>
          </w:tcPr>
          <w:p>
            <w:pPr>
              <w:pStyle w:val="114"/>
              <w:spacing w:before="76" w:line="264" w:lineRule="exact"/>
              <w:ind w:left="0" w:leftChars="0" w:right="604" w:rightChars="0" w:firstLine="0" w:firstLineChars="0"/>
              <w:jc w:val="center"/>
              <w:rPr>
                <w:rFonts w:hint="eastAsia"/>
                <w:sz w:val="21"/>
                <w:szCs w:val="21"/>
                <w:highlight w:val="none"/>
                <w:vertAlign w:val="baseline"/>
              </w:rPr>
            </w:pPr>
            <w:r>
              <w:rPr>
                <w:rFonts w:ascii="Times New Roman" w:hAnsi="Times New Roman" w:eastAsia="宋体"/>
                <w:w w:val="95"/>
                <w:sz w:val="21"/>
                <w:highlight w:val="none"/>
              </w:rPr>
              <w:t>切割机</w:t>
            </w:r>
          </w:p>
        </w:tc>
        <w:tc>
          <w:tcPr>
            <w:tcW w:w="1859" w:type="dxa"/>
            <w:vAlign w:val="center"/>
          </w:tcPr>
          <w:p>
            <w:pPr>
              <w:pStyle w:val="114"/>
              <w:spacing w:before="90"/>
              <w:ind w:left="0" w:leftChars="0" w:firstLine="0" w:firstLineChars="0"/>
              <w:jc w:val="center"/>
              <w:rPr>
                <w:rFonts w:hint="eastAsia"/>
                <w:sz w:val="21"/>
                <w:szCs w:val="21"/>
                <w:highlight w:val="none"/>
                <w:vertAlign w:val="baseline"/>
              </w:rPr>
            </w:pPr>
            <w:r>
              <w:rPr>
                <w:rFonts w:ascii="Times New Roman" w:hAnsi="Times New Roman" w:eastAsia="宋体"/>
                <w:w w:val="99"/>
                <w:sz w:val="21"/>
                <w:highlight w:val="none"/>
              </w:rPr>
              <w:t>1</w:t>
            </w:r>
          </w:p>
        </w:tc>
        <w:tc>
          <w:tcPr>
            <w:tcW w:w="1859" w:type="dxa"/>
            <w:vAlign w:val="center"/>
          </w:tcPr>
          <w:p>
            <w:pPr>
              <w:pStyle w:val="114"/>
              <w:spacing w:before="90"/>
              <w:ind w:left="0" w:leftChars="0" w:firstLine="0" w:firstLineChars="0"/>
              <w:jc w:val="center"/>
              <w:rPr>
                <w:rFonts w:hint="eastAsia"/>
                <w:sz w:val="21"/>
                <w:szCs w:val="21"/>
                <w:highlight w:val="none"/>
                <w:vertAlign w:val="baseline"/>
              </w:rPr>
            </w:pPr>
            <w:r>
              <w:rPr>
                <w:rFonts w:ascii="Times New Roman" w:hAnsi="Times New Roman" w:eastAsia="宋体"/>
                <w:w w:val="99"/>
                <w:sz w:val="21"/>
                <w:highlight w:val="none"/>
              </w:rPr>
              <w:t>/</w:t>
            </w:r>
          </w:p>
        </w:tc>
        <w:tc>
          <w:tcPr>
            <w:tcW w:w="1859" w:type="dxa"/>
            <w:vAlign w:val="center"/>
          </w:tcPr>
          <w:p>
            <w:pPr>
              <w:pStyle w:val="114"/>
              <w:spacing w:before="90"/>
              <w:ind w:left="0" w:leftChars="0" w:right="297" w:rightChars="0" w:firstLine="0" w:firstLineChars="0"/>
              <w:jc w:val="center"/>
              <w:rPr>
                <w:rFonts w:hint="eastAsia"/>
                <w:sz w:val="21"/>
                <w:szCs w:val="21"/>
                <w:highlight w:val="none"/>
                <w:vertAlign w:val="baseline"/>
              </w:rPr>
            </w:pPr>
            <w:r>
              <w:rPr>
                <w:rFonts w:ascii="Times New Roman" w:hAnsi="Times New Roman" w:eastAsia="宋体"/>
                <w:sz w:val="21"/>
                <w:highlight w:val="none"/>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8" w:type="dxa"/>
            <w:vAlign w:val="center"/>
          </w:tcPr>
          <w:p>
            <w:pPr>
              <w:pStyle w:val="114"/>
              <w:spacing w:before="92"/>
              <w:ind w:left="0" w:leftChars="0" w:right="172" w:rightChars="0" w:firstLine="0" w:firstLineChars="0"/>
              <w:jc w:val="center"/>
              <w:rPr>
                <w:rFonts w:hint="eastAsia"/>
                <w:sz w:val="21"/>
                <w:szCs w:val="21"/>
                <w:highlight w:val="none"/>
                <w:vertAlign w:val="baseline"/>
              </w:rPr>
            </w:pPr>
            <w:r>
              <w:rPr>
                <w:rFonts w:ascii="Times New Roman" w:hAnsi="Times New Roman" w:eastAsia="宋体"/>
                <w:w w:val="99"/>
                <w:sz w:val="21"/>
                <w:highlight w:val="none"/>
              </w:rPr>
              <w:t>5</w:t>
            </w:r>
          </w:p>
        </w:tc>
        <w:tc>
          <w:tcPr>
            <w:tcW w:w="1858" w:type="dxa"/>
            <w:vAlign w:val="center"/>
          </w:tcPr>
          <w:p>
            <w:pPr>
              <w:pStyle w:val="114"/>
              <w:spacing w:before="78" w:line="262" w:lineRule="exact"/>
              <w:ind w:left="0" w:leftChars="0" w:right="604" w:rightChars="0" w:firstLine="0" w:firstLineChars="0"/>
              <w:jc w:val="center"/>
              <w:rPr>
                <w:rFonts w:hint="eastAsia"/>
                <w:sz w:val="21"/>
                <w:szCs w:val="21"/>
                <w:highlight w:val="none"/>
                <w:vertAlign w:val="baseline"/>
              </w:rPr>
            </w:pPr>
            <w:r>
              <w:rPr>
                <w:rFonts w:ascii="Times New Roman" w:hAnsi="Times New Roman" w:eastAsia="宋体"/>
                <w:w w:val="95"/>
                <w:sz w:val="21"/>
                <w:highlight w:val="none"/>
              </w:rPr>
              <w:t>装载机</w:t>
            </w:r>
          </w:p>
        </w:tc>
        <w:tc>
          <w:tcPr>
            <w:tcW w:w="1859" w:type="dxa"/>
            <w:vAlign w:val="center"/>
          </w:tcPr>
          <w:p>
            <w:pPr>
              <w:pStyle w:val="114"/>
              <w:spacing w:before="92"/>
              <w:ind w:left="0" w:leftChars="0" w:firstLine="0" w:firstLineChars="0"/>
              <w:jc w:val="center"/>
              <w:rPr>
                <w:rFonts w:hint="eastAsia"/>
                <w:sz w:val="21"/>
                <w:szCs w:val="21"/>
                <w:highlight w:val="none"/>
                <w:vertAlign w:val="baseline"/>
              </w:rPr>
            </w:pPr>
            <w:r>
              <w:rPr>
                <w:rFonts w:ascii="Times New Roman" w:hAnsi="Times New Roman" w:eastAsia="宋体"/>
                <w:w w:val="99"/>
                <w:sz w:val="21"/>
                <w:highlight w:val="none"/>
              </w:rPr>
              <w:t>1</w:t>
            </w:r>
          </w:p>
        </w:tc>
        <w:tc>
          <w:tcPr>
            <w:tcW w:w="1859" w:type="dxa"/>
            <w:vAlign w:val="center"/>
          </w:tcPr>
          <w:p>
            <w:pPr>
              <w:pStyle w:val="114"/>
              <w:spacing w:before="92"/>
              <w:ind w:left="0" w:leftChars="0" w:firstLine="0" w:firstLineChars="0"/>
              <w:jc w:val="center"/>
              <w:rPr>
                <w:rFonts w:hint="eastAsia"/>
                <w:sz w:val="21"/>
                <w:szCs w:val="21"/>
                <w:highlight w:val="none"/>
                <w:vertAlign w:val="baseline"/>
              </w:rPr>
            </w:pPr>
            <w:r>
              <w:rPr>
                <w:rFonts w:ascii="Times New Roman" w:hAnsi="Times New Roman" w:eastAsia="宋体"/>
                <w:w w:val="99"/>
                <w:sz w:val="21"/>
                <w:highlight w:val="none"/>
              </w:rPr>
              <w:t>/</w:t>
            </w:r>
          </w:p>
        </w:tc>
        <w:tc>
          <w:tcPr>
            <w:tcW w:w="1859" w:type="dxa"/>
            <w:vAlign w:val="center"/>
          </w:tcPr>
          <w:p>
            <w:pPr>
              <w:pStyle w:val="114"/>
              <w:spacing w:before="92"/>
              <w:ind w:left="0" w:leftChars="0" w:right="297" w:rightChars="0" w:firstLine="0" w:firstLineChars="0"/>
              <w:jc w:val="center"/>
              <w:rPr>
                <w:rFonts w:hint="eastAsia"/>
                <w:sz w:val="21"/>
                <w:szCs w:val="21"/>
                <w:highlight w:val="none"/>
                <w:vertAlign w:val="baseline"/>
              </w:rPr>
            </w:pPr>
            <w:r>
              <w:rPr>
                <w:rFonts w:ascii="Times New Roman" w:hAnsi="Times New Roman" w:eastAsia="宋体"/>
                <w:sz w:val="21"/>
                <w:highlight w:val="none"/>
              </w:rPr>
              <w:t>85</w:t>
            </w:r>
          </w:p>
        </w:tc>
      </w:tr>
    </w:tbl>
    <w:p>
      <w:pPr>
        <w:tabs>
          <w:tab w:val="left" w:pos="5580"/>
        </w:tabs>
        <w:adjustRightInd w:val="0"/>
        <w:ind w:left="0" w:leftChars="0" w:firstLine="0" w:firstLineChars="0"/>
        <w:textAlignment w:val="baseline"/>
        <w:rPr>
          <w:highlight w:val="none"/>
        </w:rPr>
      </w:pPr>
    </w:p>
    <w:p>
      <w:pPr>
        <w:pStyle w:val="6"/>
        <w:ind w:firstLine="482"/>
        <w:rPr>
          <w:rFonts w:cs="Times New Roman"/>
          <w:highlight w:val="none"/>
        </w:rPr>
      </w:pPr>
      <w:r>
        <w:rPr>
          <w:rFonts w:hint="eastAsia" w:cs="Times New Roman"/>
          <w:highlight w:val="none"/>
          <w:lang w:val="en-US" w:eastAsia="zh-CN"/>
        </w:rPr>
        <w:t>3</w:t>
      </w:r>
      <w:r>
        <w:rPr>
          <w:rFonts w:hint="eastAsia" w:cs="Times New Roman"/>
          <w:highlight w:val="none"/>
        </w:rPr>
        <w:t>.3.1.4固废</w:t>
      </w:r>
    </w:p>
    <w:p>
      <w:pPr>
        <w:pStyle w:val="17"/>
        <w:ind w:firstLine="480"/>
        <w:rPr>
          <w:rFonts w:hint="eastAsia" w:ascii="Times New Roman" w:hAnsi="Times New Roman"/>
          <w:highlight w:val="none"/>
        </w:rPr>
      </w:pPr>
      <w:r>
        <w:rPr>
          <w:rFonts w:hint="eastAsia" w:ascii="Times New Roman" w:hAnsi="Times New Roman"/>
          <w:highlight w:val="none"/>
        </w:rPr>
        <w:t>该项目施工期主要固体废物为土石方、建筑垃圾、生活垃圾等，具体如下。</w:t>
      </w:r>
    </w:p>
    <w:p>
      <w:pPr>
        <w:pStyle w:val="17"/>
        <w:ind w:firstLine="480"/>
        <w:rPr>
          <w:rFonts w:hint="eastAsia" w:ascii="Times New Roman" w:hAnsi="Times New Roman"/>
          <w:highlight w:val="none"/>
        </w:rPr>
      </w:pPr>
      <w:r>
        <w:rPr>
          <w:rFonts w:hint="eastAsia" w:ascii="Times New Roman" w:hAnsi="Times New Roman"/>
          <w:highlight w:val="none"/>
        </w:rPr>
        <w:t>1、土石方</w:t>
      </w:r>
    </w:p>
    <w:p>
      <w:pPr>
        <w:pStyle w:val="17"/>
        <w:ind w:firstLine="480"/>
        <w:rPr>
          <w:rFonts w:hint="eastAsia" w:ascii="Times New Roman" w:hAnsi="Times New Roman" w:eastAsia="宋体"/>
          <w:highlight w:val="none"/>
          <w:lang w:eastAsia="zh-CN"/>
        </w:rPr>
      </w:pPr>
      <w:r>
        <w:rPr>
          <w:rFonts w:hint="eastAsia" w:ascii="Times New Roman" w:hAnsi="Times New Roman"/>
          <w:highlight w:val="none"/>
        </w:rPr>
        <w:t>项目施工期产生土石方的产生环节主要包括矿山道路建设，生产加工区建设、管理用房建设等产生</w:t>
      </w:r>
      <w:r>
        <w:rPr>
          <w:rFonts w:hint="eastAsia" w:ascii="Times New Roman" w:hAnsi="Times New Roman"/>
          <w:highlight w:val="none"/>
          <w:lang w:eastAsia="zh-CN"/>
        </w:rPr>
        <w:t>。</w:t>
      </w:r>
    </w:p>
    <w:p>
      <w:pPr>
        <w:pStyle w:val="17"/>
        <w:ind w:firstLine="480"/>
        <w:rPr>
          <w:rFonts w:hint="eastAsia" w:ascii="Times New Roman" w:hAnsi="Times New Roman"/>
          <w:highlight w:val="none"/>
        </w:rPr>
      </w:pPr>
      <w:r>
        <w:rPr>
          <w:rFonts w:hint="eastAsia" w:ascii="Times New Roman" w:hAnsi="Times New Roman"/>
          <w:highlight w:val="none"/>
        </w:rPr>
        <w:t>（1）矿山道路废土石方</w:t>
      </w:r>
    </w:p>
    <w:p>
      <w:pPr>
        <w:pStyle w:val="17"/>
        <w:ind w:firstLine="480"/>
        <w:rPr>
          <w:rFonts w:ascii="Times New Roman" w:hAnsi="Times New Roman"/>
          <w:highlight w:val="none"/>
        </w:rPr>
      </w:pPr>
      <w:r>
        <w:rPr>
          <w:rFonts w:hint="eastAsia" w:ascii="Times New Roman" w:hAnsi="Times New Roman"/>
          <w:highlight w:val="none"/>
          <w:lang w:eastAsia="zh-CN"/>
        </w:rPr>
        <w:t>项目新修</w:t>
      </w:r>
      <w:r>
        <w:rPr>
          <w:rFonts w:hint="eastAsia" w:ascii="Times New Roman" w:hAnsi="Times New Roman"/>
          <w:highlight w:val="none"/>
        </w:rPr>
        <w:t>道路全长</w:t>
      </w:r>
      <w:r>
        <w:rPr>
          <w:rFonts w:hint="eastAsia" w:ascii="Times New Roman" w:hAnsi="Times New Roman"/>
          <w:highlight w:val="none"/>
          <w:lang w:val="en-US" w:eastAsia="zh-CN"/>
        </w:rPr>
        <w:t>766</w:t>
      </w:r>
      <w:r>
        <w:rPr>
          <w:rFonts w:hint="eastAsia" w:ascii="Times New Roman" w:hAnsi="Times New Roman"/>
          <w:highlight w:val="none"/>
        </w:rPr>
        <w:t xml:space="preserve">m，拓宽宽度 </w:t>
      </w:r>
      <w:r>
        <w:rPr>
          <w:rFonts w:hint="eastAsia" w:ascii="Times New Roman" w:hAnsi="Times New Roman"/>
          <w:highlight w:val="none"/>
          <w:lang w:val="en-US" w:eastAsia="zh-CN"/>
        </w:rPr>
        <w:t>5</w:t>
      </w:r>
      <w:r>
        <w:rPr>
          <w:rFonts w:hint="eastAsia" w:ascii="Times New Roman" w:hAnsi="Times New Roman"/>
          <w:highlight w:val="none"/>
        </w:rPr>
        <w:t>m，全程为砂石路面</w:t>
      </w:r>
      <w:r>
        <w:rPr>
          <w:rFonts w:hint="eastAsia" w:ascii="Times New Roman" w:hAnsi="Times New Roman"/>
          <w:highlight w:val="none"/>
          <w:lang w:eastAsia="zh-CN"/>
        </w:rPr>
        <w:t>硬化</w:t>
      </w:r>
      <w:r>
        <w:rPr>
          <w:rFonts w:hint="eastAsia" w:ascii="Times New Roman" w:hAnsi="Times New Roman"/>
          <w:highlight w:val="none"/>
        </w:rPr>
        <w:t>。占地面积为</w:t>
      </w:r>
      <w:r>
        <w:rPr>
          <w:rFonts w:hint="eastAsia" w:ascii="Times New Roman" w:hAnsi="Times New Roman"/>
          <w:highlight w:val="none"/>
          <w:lang w:val="en-US" w:eastAsia="zh-CN"/>
        </w:rPr>
        <w:t>0.383</w:t>
      </w:r>
      <w:r>
        <w:rPr>
          <w:rFonts w:hint="eastAsia" w:ascii="Times New Roman" w:hAnsi="Times New Roman"/>
          <w:highlight w:val="none"/>
        </w:rPr>
        <w:t>hm²。道路的修建采取高挖低填的方式，修筑场内道路开挖0.08m，共计开挖土石方600m³，用于道路区回填。</w:t>
      </w:r>
    </w:p>
    <w:p>
      <w:pPr>
        <w:pStyle w:val="17"/>
        <w:ind w:firstLine="480"/>
        <w:rPr>
          <w:rFonts w:hint="eastAsia" w:ascii="Times New Roman" w:hAnsi="Times New Roman"/>
          <w:highlight w:val="none"/>
        </w:rPr>
      </w:pPr>
      <w:r>
        <w:rPr>
          <w:rFonts w:hint="eastAsia" w:ascii="Times New Roman" w:hAnsi="Times New Roman"/>
          <w:highlight w:val="none"/>
        </w:rPr>
        <w:t>（2）截排水沟、各废水收集池土石方</w:t>
      </w:r>
    </w:p>
    <w:p>
      <w:pPr>
        <w:pStyle w:val="17"/>
        <w:ind w:firstLine="480"/>
        <w:rPr>
          <w:rFonts w:hint="eastAsia" w:ascii="Times New Roman" w:hAnsi="Times New Roman"/>
          <w:highlight w:val="none"/>
        </w:rPr>
      </w:pPr>
      <w:r>
        <w:rPr>
          <w:rFonts w:hint="eastAsia" w:ascii="Times New Roman" w:hAnsi="Times New Roman"/>
          <w:highlight w:val="none"/>
        </w:rPr>
        <w:t>项目区截排水沟、各废水收集池的修建产生的废土石产生量约830m</w:t>
      </w:r>
      <w:r>
        <w:rPr>
          <w:rFonts w:hint="eastAsia" w:ascii="Times New Roman" w:hAnsi="Times New Roman"/>
          <w:highlight w:val="none"/>
          <w:vertAlign w:val="superscript"/>
        </w:rPr>
        <w:t>3</w:t>
      </w:r>
      <w:r>
        <w:rPr>
          <w:rFonts w:hint="eastAsia" w:ascii="Times New Roman" w:hAnsi="Times New Roman"/>
          <w:highlight w:val="none"/>
        </w:rPr>
        <w:t>，全部用于破碎加工区回填。</w:t>
      </w:r>
    </w:p>
    <w:p>
      <w:pPr>
        <w:pStyle w:val="17"/>
        <w:ind w:firstLine="480"/>
        <w:rPr>
          <w:rFonts w:hint="eastAsia" w:ascii="Times New Roman" w:hAnsi="Times New Roman"/>
          <w:highlight w:val="none"/>
        </w:rPr>
      </w:pPr>
      <w:r>
        <w:rPr>
          <w:rFonts w:hint="eastAsia" w:ascii="Times New Roman" w:hAnsi="Times New Roman"/>
          <w:highlight w:val="none"/>
        </w:rPr>
        <w:t>（3）破碎加工区土石方</w:t>
      </w:r>
    </w:p>
    <w:p>
      <w:pPr>
        <w:pStyle w:val="17"/>
        <w:ind w:firstLine="480"/>
        <w:rPr>
          <w:rFonts w:ascii="Times New Roman" w:hAnsi="Times New Roman"/>
          <w:highlight w:val="none"/>
        </w:rPr>
      </w:pPr>
      <w:r>
        <w:rPr>
          <w:rFonts w:hint="eastAsia" w:ascii="Times New Roman" w:hAnsi="Times New Roman"/>
          <w:highlight w:val="none"/>
        </w:rPr>
        <w:t>破碎加工区开挖0.2m，共计开挖土石方4000m³，全部用于场地平整回填。</w:t>
      </w:r>
    </w:p>
    <w:p>
      <w:pPr>
        <w:pStyle w:val="17"/>
        <w:ind w:firstLine="480"/>
        <w:rPr>
          <w:rFonts w:hint="eastAsia" w:ascii="Times New Roman" w:hAnsi="Times New Roman"/>
          <w:highlight w:val="none"/>
        </w:rPr>
      </w:pPr>
      <w:r>
        <w:rPr>
          <w:rFonts w:hint="eastAsia" w:ascii="Times New Roman" w:hAnsi="Times New Roman"/>
          <w:highlight w:val="none"/>
        </w:rPr>
        <w:t>（4）管理用房土石方</w:t>
      </w:r>
    </w:p>
    <w:p>
      <w:pPr>
        <w:pStyle w:val="17"/>
        <w:ind w:firstLine="480"/>
        <w:rPr>
          <w:rFonts w:hint="eastAsia" w:ascii="Times New Roman" w:hAnsi="Times New Roman"/>
          <w:highlight w:val="none"/>
        </w:rPr>
      </w:pPr>
      <w:r>
        <w:rPr>
          <w:rFonts w:hint="eastAsia" w:ascii="Times New Roman" w:hAnsi="Times New Roman"/>
          <w:highlight w:val="none"/>
        </w:rPr>
        <w:t>该项目管理用房土石方挖填主要为场平挖填及建筑物基础挖填。经统计本区域平均开挖0.7m，共计开挖土石方280m³，回填280m³，因此该区不产生土石方。</w:t>
      </w:r>
    </w:p>
    <w:p>
      <w:pPr>
        <w:pStyle w:val="17"/>
        <w:ind w:firstLine="480"/>
        <w:rPr>
          <w:rFonts w:hint="eastAsia" w:ascii="Times New Roman" w:hAnsi="Times New Roman"/>
          <w:highlight w:val="none"/>
        </w:rPr>
      </w:pPr>
      <w:r>
        <w:rPr>
          <w:rFonts w:hint="eastAsia" w:ascii="Times New Roman" w:hAnsi="Times New Roman"/>
          <w:highlight w:val="none"/>
        </w:rPr>
        <w:t>该项目基建期共产生土石方5710m³，回填5710m³，可达到挖填平衡</w:t>
      </w:r>
    </w:p>
    <w:p>
      <w:pPr>
        <w:pStyle w:val="17"/>
        <w:ind w:firstLine="480"/>
        <w:rPr>
          <w:rFonts w:hint="eastAsia" w:ascii="Times New Roman" w:hAnsi="Times New Roman" w:eastAsia="宋体"/>
          <w:highlight w:val="none"/>
          <w:lang w:val="en-US" w:eastAsia="zh-CN"/>
        </w:rPr>
      </w:pPr>
      <w:r>
        <w:rPr>
          <w:rFonts w:hint="eastAsia" w:ascii="Times New Roman" w:hAnsi="Times New Roman"/>
          <w:highlight w:val="none"/>
          <w:lang w:val="en-US" w:eastAsia="zh-CN"/>
        </w:rPr>
        <w:t>2、建筑垃圾</w:t>
      </w:r>
    </w:p>
    <w:p>
      <w:pPr>
        <w:pStyle w:val="17"/>
        <w:ind w:firstLine="480"/>
        <w:rPr>
          <w:rFonts w:hint="eastAsia" w:ascii="Times New Roman" w:hAnsi="Times New Roman"/>
          <w:highlight w:val="none"/>
        </w:rPr>
      </w:pPr>
      <w:r>
        <w:rPr>
          <w:rFonts w:hint="eastAsia" w:ascii="Times New Roman" w:hAnsi="Times New Roman"/>
          <w:highlight w:val="none"/>
        </w:rPr>
        <w:t>根据项目实际情况，施工期主要包括生产车间建设和设备安装，生产车间为钢架结构，涉及少量混</w:t>
      </w:r>
      <w:r>
        <w:rPr>
          <w:rFonts w:hint="eastAsia" w:ascii="Times New Roman" w:hAnsi="Times New Roman"/>
          <w:highlight w:val="none"/>
          <w:lang w:val="en-US" w:eastAsia="zh-CN"/>
        </w:rPr>
        <w:t>凝</w:t>
      </w:r>
      <w:bookmarkStart w:id="595" w:name="_GoBack"/>
      <w:bookmarkEnd w:id="595"/>
      <w:r>
        <w:rPr>
          <w:rFonts w:hint="eastAsia" w:ascii="Times New Roman" w:hAnsi="Times New Roman"/>
          <w:highlight w:val="none"/>
        </w:rPr>
        <w:t>土使用，施工场地内不设搅拌站。施工期建筑垃圾根据《环境卫生工程》（2006 年vol.14 No4）中《建筑垃圾的产生与循环利用》，单位面积施工固体废物的产生系数为20-50kg/m</w:t>
      </w:r>
      <w:r>
        <w:rPr>
          <w:rFonts w:hint="eastAsia" w:ascii="Times New Roman" w:hAnsi="Times New Roman"/>
          <w:highlight w:val="none"/>
          <w:vertAlign w:val="superscript"/>
        </w:rPr>
        <w:t>2</w:t>
      </w:r>
      <w:r>
        <w:rPr>
          <w:rFonts w:hint="eastAsia" w:ascii="Times New Roman" w:hAnsi="Times New Roman"/>
          <w:highlight w:val="none"/>
        </w:rPr>
        <w:t>，项目建筑面积为</w:t>
      </w:r>
      <w:r>
        <w:rPr>
          <w:rFonts w:hint="eastAsia" w:ascii="Times New Roman" w:hAnsi="Times New Roman"/>
          <w:highlight w:val="none"/>
          <w:lang w:val="en-US" w:eastAsia="zh-CN"/>
        </w:rPr>
        <w:t>40</w:t>
      </w:r>
      <w:r>
        <w:rPr>
          <w:rFonts w:hint="eastAsia" w:ascii="Times New Roman" w:hAnsi="Times New Roman"/>
          <w:highlight w:val="none"/>
        </w:rPr>
        <w:t>00m</w:t>
      </w:r>
      <w:r>
        <w:rPr>
          <w:rFonts w:hint="eastAsia" w:ascii="Times New Roman" w:hAnsi="Times New Roman"/>
          <w:highlight w:val="none"/>
          <w:vertAlign w:val="superscript"/>
        </w:rPr>
        <w:t>2</w:t>
      </w:r>
      <w:r>
        <w:rPr>
          <w:rFonts w:hint="eastAsia" w:ascii="Times New Roman" w:hAnsi="Times New Roman"/>
          <w:highlight w:val="none"/>
        </w:rPr>
        <w:t>，建筑垃圾产生量按20kg/m</w:t>
      </w:r>
      <w:r>
        <w:rPr>
          <w:rFonts w:hint="eastAsia" w:ascii="Times New Roman" w:hAnsi="Times New Roman"/>
          <w:highlight w:val="none"/>
          <w:vertAlign w:val="superscript"/>
        </w:rPr>
        <w:t>2</w:t>
      </w:r>
      <w:r>
        <w:rPr>
          <w:rFonts w:hint="eastAsia" w:ascii="Times New Roman" w:hAnsi="Times New Roman"/>
          <w:highlight w:val="none"/>
        </w:rPr>
        <w:t>进行计算，则产生量约为</w:t>
      </w:r>
      <w:r>
        <w:rPr>
          <w:rFonts w:hint="eastAsia" w:ascii="Times New Roman" w:hAnsi="Times New Roman"/>
          <w:highlight w:val="none"/>
          <w:lang w:val="en-US" w:eastAsia="zh-CN"/>
        </w:rPr>
        <w:t>80</w:t>
      </w:r>
      <w:r>
        <w:rPr>
          <w:rFonts w:hint="eastAsia" w:ascii="Times New Roman" w:hAnsi="Times New Roman"/>
          <w:highlight w:val="none"/>
        </w:rPr>
        <w:t>t，主要成份以废混凝土、废钢材等惰性材料为主。建筑垃圾具有回收价值的可送废品收购站回收利用，其余按当地相关部门要求处置</w:t>
      </w:r>
    </w:p>
    <w:p>
      <w:pPr>
        <w:pStyle w:val="17"/>
        <w:ind w:firstLine="480"/>
        <w:rPr>
          <w:rFonts w:hint="eastAsia" w:ascii="Times New Roman" w:hAnsi="Times New Roman" w:eastAsia="宋体"/>
          <w:highlight w:val="none"/>
          <w:lang w:val="en-US" w:eastAsia="zh-CN"/>
        </w:rPr>
      </w:pPr>
      <w:r>
        <w:rPr>
          <w:rFonts w:hint="eastAsia" w:ascii="Times New Roman" w:hAnsi="Times New Roman"/>
          <w:highlight w:val="none"/>
          <w:lang w:val="en-US" w:eastAsia="zh-CN"/>
        </w:rPr>
        <w:t>3、生活垃圾</w:t>
      </w:r>
    </w:p>
    <w:p>
      <w:pPr>
        <w:pStyle w:val="17"/>
        <w:ind w:firstLine="480"/>
        <w:rPr>
          <w:rFonts w:hint="eastAsia" w:ascii="Times New Roman" w:hAnsi="Times New Roman"/>
          <w:highlight w:val="none"/>
        </w:rPr>
      </w:pPr>
      <w:r>
        <w:rPr>
          <w:rFonts w:hint="eastAsia" w:ascii="Times New Roman" w:hAnsi="Times New Roman"/>
          <w:highlight w:val="none"/>
        </w:rPr>
        <w:t>施工期施工人员约20人，不在场区食宿，垃圾产生量以0.5kg/人·d计，则约10kg/d，施工期为</w:t>
      </w:r>
      <w:r>
        <w:rPr>
          <w:rFonts w:hint="eastAsia" w:ascii="Times New Roman" w:hAnsi="Times New Roman"/>
          <w:highlight w:val="none"/>
          <w:lang w:val="en-US" w:eastAsia="zh-CN"/>
        </w:rPr>
        <w:t>7</w:t>
      </w:r>
      <w:r>
        <w:rPr>
          <w:rFonts w:hint="eastAsia" w:ascii="Times New Roman" w:hAnsi="Times New Roman"/>
          <w:highlight w:val="none"/>
        </w:rPr>
        <w:t>个月，施工期生活垃圾产生量为</w:t>
      </w:r>
      <w:r>
        <w:rPr>
          <w:rFonts w:hint="eastAsia" w:ascii="Times New Roman" w:hAnsi="Times New Roman"/>
          <w:highlight w:val="none"/>
          <w:lang w:val="en-US" w:eastAsia="zh-CN"/>
        </w:rPr>
        <w:t>2.1</w:t>
      </w:r>
      <w:r>
        <w:rPr>
          <w:rFonts w:hint="eastAsia" w:ascii="Times New Roman" w:hAnsi="Times New Roman"/>
          <w:highlight w:val="none"/>
        </w:rPr>
        <w:t>t，经集中收集后运至</w:t>
      </w:r>
      <w:r>
        <w:rPr>
          <w:rFonts w:hint="eastAsia" w:ascii="Times New Roman" w:hAnsi="Times New Roman"/>
          <w:highlight w:val="none"/>
          <w:lang w:eastAsia="zh-CN"/>
        </w:rPr>
        <w:t>卡子村</w:t>
      </w:r>
      <w:r>
        <w:rPr>
          <w:rFonts w:hint="eastAsia" w:ascii="Times New Roman" w:hAnsi="Times New Roman"/>
          <w:highlight w:val="none"/>
        </w:rPr>
        <w:t>垃圾收集点，由环卫部门清运处置。</w:t>
      </w:r>
    </w:p>
    <w:p>
      <w:pPr>
        <w:pStyle w:val="5"/>
        <w:adjustRightInd w:val="0"/>
        <w:snapToGrid w:val="0"/>
        <w:rPr>
          <w:rFonts w:hint="default"/>
          <w:highlight w:val="none"/>
        </w:rPr>
      </w:pPr>
      <w:bookmarkStart w:id="335" w:name="_Toc8131"/>
      <w:r>
        <w:rPr>
          <w:rFonts w:hint="eastAsia"/>
          <w:highlight w:val="none"/>
          <w:lang w:val="en-US" w:eastAsia="zh-CN"/>
        </w:rPr>
        <w:t>3</w:t>
      </w:r>
      <w:r>
        <w:rPr>
          <w:highlight w:val="none"/>
        </w:rPr>
        <w:t>.3.2 运营期</w:t>
      </w:r>
      <w:bookmarkEnd w:id="335"/>
    </w:p>
    <w:p>
      <w:pPr>
        <w:pStyle w:val="6"/>
        <w:ind w:firstLine="482"/>
        <w:rPr>
          <w:rFonts w:cs="Times New Roman"/>
          <w:highlight w:val="none"/>
        </w:rPr>
      </w:pPr>
      <w:r>
        <w:rPr>
          <w:rFonts w:cs="Times New Roman"/>
          <w:highlight w:val="none"/>
        </w:rPr>
        <w:t>4.3.2.1废水</w:t>
      </w:r>
    </w:p>
    <w:p>
      <w:pPr>
        <w:ind w:firstLine="480"/>
        <w:rPr>
          <w:highlight w:val="none"/>
        </w:rPr>
      </w:pPr>
      <w:r>
        <w:rPr>
          <w:rFonts w:hint="eastAsia"/>
          <w:highlight w:val="none"/>
        </w:rPr>
        <w:t>项目</w:t>
      </w:r>
      <w:r>
        <w:rPr>
          <w:rFonts w:hint="eastAsia"/>
          <w:highlight w:val="none"/>
          <w:lang w:eastAsia="zh-CN"/>
        </w:rPr>
        <w:t>建成</w:t>
      </w:r>
      <w:r>
        <w:rPr>
          <w:rFonts w:hint="eastAsia"/>
          <w:highlight w:val="none"/>
        </w:rPr>
        <w:t>后用水主要为</w:t>
      </w:r>
      <w:r>
        <w:rPr>
          <w:rFonts w:hint="eastAsia"/>
          <w:highlight w:val="none"/>
          <w:lang w:eastAsia="zh-CN"/>
        </w:rPr>
        <w:t>矿区</w:t>
      </w:r>
      <w:r>
        <w:rPr>
          <w:rFonts w:hint="eastAsia"/>
          <w:highlight w:val="none"/>
        </w:rPr>
        <w:t>办公用水、</w:t>
      </w:r>
      <w:r>
        <w:rPr>
          <w:rFonts w:hint="eastAsia"/>
          <w:highlight w:val="none"/>
          <w:lang w:eastAsia="zh-CN"/>
        </w:rPr>
        <w:t>生产人员</w:t>
      </w:r>
      <w:r>
        <w:rPr>
          <w:rFonts w:hint="eastAsia"/>
          <w:highlight w:val="none"/>
        </w:rPr>
        <w:t>生活用水、生产用水、绿化用水等</w:t>
      </w:r>
      <w:r>
        <w:rPr>
          <w:rFonts w:hint="eastAsia"/>
          <w:highlight w:val="none"/>
          <w:lang w:eastAsia="zh-CN"/>
        </w:rPr>
        <w:t>，其用水量及产污量如下</w:t>
      </w:r>
      <w:r>
        <w:rPr>
          <w:rFonts w:hint="eastAsia"/>
          <w:highlight w:val="none"/>
        </w:rPr>
        <w:t>。</w:t>
      </w:r>
    </w:p>
    <w:p>
      <w:pPr>
        <w:ind w:firstLine="482"/>
        <w:rPr>
          <w:b/>
          <w:bCs/>
          <w:color w:val="auto"/>
          <w:highlight w:val="none"/>
        </w:rPr>
      </w:pPr>
      <w:r>
        <w:rPr>
          <w:rFonts w:hint="eastAsia"/>
          <w:b/>
          <w:bCs/>
          <w:color w:val="auto"/>
          <w:highlight w:val="none"/>
        </w:rPr>
        <w:t>1）</w:t>
      </w:r>
      <w:r>
        <w:rPr>
          <w:rFonts w:hint="eastAsia"/>
          <w:b/>
          <w:bCs/>
          <w:color w:val="auto"/>
          <w:highlight w:val="none"/>
          <w:lang w:eastAsia="zh-CN"/>
        </w:rPr>
        <w:t>生活用水</w:t>
      </w:r>
    </w:p>
    <w:p>
      <w:pPr>
        <w:adjustRightInd w:val="0"/>
        <w:snapToGrid w:val="0"/>
        <w:ind w:firstLine="480"/>
        <w:rPr>
          <w:rFonts w:hint="eastAsia"/>
          <w:color w:val="auto"/>
          <w:highlight w:val="none"/>
        </w:rPr>
      </w:pPr>
      <w:r>
        <w:rPr>
          <w:rFonts w:hint="eastAsia"/>
          <w:color w:val="auto"/>
          <w:highlight w:val="none"/>
          <w:lang w:eastAsia="zh-CN"/>
        </w:rPr>
        <w:t>本矿山劳动定员20人，项目员工不在项目区内食宿，根据《云南省地方标准 用水定额》（DB53/T168-2019），生活用水量按30L/人·d计算，生活用水量为0.6m</w:t>
      </w:r>
      <w:r>
        <w:rPr>
          <w:rFonts w:hint="eastAsia"/>
          <w:color w:val="auto"/>
          <w:highlight w:val="none"/>
          <w:vertAlign w:val="superscript"/>
          <w:lang w:eastAsia="zh-CN"/>
        </w:rPr>
        <w:t>3</w:t>
      </w:r>
      <w:r>
        <w:rPr>
          <w:rFonts w:hint="eastAsia"/>
          <w:color w:val="auto"/>
          <w:highlight w:val="none"/>
          <w:lang w:eastAsia="zh-CN"/>
        </w:rPr>
        <w:t>/d（180m</w:t>
      </w:r>
      <w:r>
        <w:rPr>
          <w:rFonts w:hint="eastAsia"/>
          <w:color w:val="auto"/>
          <w:highlight w:val="none"/>
          <w:vertAlign w:val="superscript"/>
          <w:lang w:eastAsia="zh-CN"/>
        </w:rPr>
        <w:t>3</w:t>
      </w:r>
      <w:r>
        <w:rPr>
          <w:rFonts w:hint="eastAsia"/>
          <w:color w:val="auto"/>
          <w:highlight w:val="none"/>
          <w:lang w:eastAsia="zh-CN"/>
        </w:rPr>
        <w:t>/a），产污系数按0.8计，生活污水产生量为0.48m</w:t>
      </w:r>
      <w:r>
        <w:rPr>
          <w:rFonts w:hint="eastAsia"/>
          <w:color w:val="auto"/>
          <w:highlight w:val="none"/>
          <w:vertAlign w:val="superscript"/>
          <w:lang w:eastAsia="zh-CN"/>
        </w:rPr>
        <w:t>3</w:t>
      </w:r>
      <w:r>
        <w:rPr>
          <w:rFonts w:hint="eastAsia"/>
          <w:color w:val="auto"/>
          <w:highlight w:val="none"/>
          <w:lang w:eastAsia="zh-CN"/>
        </w:rPr>
        <w:t>/d（144m</w:t>
      </w:r>
      <w:r>
        <w:rPr>
          <w:rFonts w:hint="eastAsia"/>
          <w:color w:val="auto"/>
          <w:highlight w:val="none"/>
          <w:vertAlign w:val="superscript"/>
          <w:lang w:eastAsia="zh-CN"/>
        </w:rPr>
        <w:t>3</w:t>
      </w:r>
      <w:r>
        <w:rPr>
          <w:rFonts w:hint="eastAsia"/>
          <w:color w:val="auto"/>
          <w:highlight w:val="none"/>
          <w:lang w:eastAsia="zh-CN"/>
        </w:rPr>
        <w:t>/a）。生活污水经沉淀池（1个，容积为5m</w:t>
      </w:r>
      <w:r>
        <w:rPr>
          <w:rFonts w:hint="eastAsia"/>
          <w:color w:val="auto"/>
          <w:highlight w:val="none"/>
          <w:vertAlign w:val="superscript"/>
          <w:lang w:eastAsia="zh-CN"/>
        </w:rPr>
        <w:t>3</w:t>
      </w:r>
      <w:r>
        <w:rPr>
          <w:rFonts w:hint="eastAsia"/>
          <w:color w:val="auto"/>
          <w:highlight w:val="none"/>
          <w:lang w:eastAsia="zh-CN"/>
        </w:rPr>
        <w:t>）处理后装入洒水车回用于场区洒水降尘。</w:t>
      </w:r>
    </w:p>
    <w:p>
      <w:pPr>
        <w:pStyle w:val="12"/>
        <w:ind w:firstLine="482"/>
        <w:rPr>
          <w:b/>
          <w:bCs/>
          <w:highlight w:val="none"/>
        </w:rPr>
      </w:pPr>
      <w:r>
        <w:rPr>
          <w:rFonts w:hint="eastAsia"/>
          <w:b/>
          <w:bCs/>
          <w:highlight w:val="none"/>
          <w:lang w:val="en-US" w:eastAsia="zh-CN"/>
        </w:rPr>
        <w:t>2</w:t>
      </w:r>
      <w:r>
        <w:rPr>
          <w:rFonts w:hint="eastAsia"/>
          <w:b/>
          <w:bCs/>
          <w:highlight w:val="none"/>
        </w:rPr>
        <w:t>）生产用水</w:t>
      </w:r>
    </w:p>
    <w:p>
      <w:pPr>
        <w:pStyle w:val="12"/>
        <w:ind w:firstLine="482"/>
        <w:rPr>
          <w:b/>
          <w:bCs/>
          <w:highlight w:val="none"/>
        </w:rPr>
      </w:pPr>
      <w:r>
        <w:rPr>
          <w:rFonts w:hint="eastAsia"/>
          <w:b/>
          <w:bCs/>
          <w:highlight w:val="none"/>
          <w:lang w:eastAsia="zh-CN"/>
        </w:rPr>
        <w:t>①</w:t>
      </w:r>
      <w:r>
        <w:rPr>
          <w:rFonts w:hint="eastAsia"/>
          <w:b/>
          <w:bCs/>
          <w:highlight w:val="none"/>
        </w:rPr>
        <w:t>钻孔用水</w:t>
      </w:r>
    </w:p>
    <w:p>
      <w:pPr>
        <w:adjustRightInd w:val="0"/>
        <w:snapToGrid w:val="0"/>
        <w:ind w:firstLine="480"/>
        <w:rPr>
          <w:color w:val="auto"/>
          <w:highlight w:val="none"/>
        </w:rPr>
      </w:pPr>
      <w:r>
        <w:rPr>
          <w:highlight w:val="none"/>
        </w:rPr>
        <w:t>矿山开采过程中，少部分矿石不需要爆破即可进行开采，大部分矿石需对其进行凿岩</w:t>
      </w:r>
      <w:r>
        <w:rPr>
          <w:color w:val="auto"/>
          <w:highlight w:val="none"/>
        </w:rPr>
        <w:t>爆破后再进行开采。爆破前采用钻机进行湿式凿岩，钻孔机耗水量为8L/min/台，钻孔时间平均每天2h，</w:t>
      </w:r>
      <w:r>
        <w:rPr>
          <w:rFonts w:hint="eastAsia"/>
          <w:color w:val="auto"/>
          <w:highlight w:val="none"/>
          <w:lang w:eastAsia="zh-CN"/>
        </w:rPr>
        <w:t>开采时</w:t>
      </w:r>
      <w:r>
        <w:rPr>
          <w:rFonts w:hint="eastAsia"/>
          <w:color w:val="auto"/>
          <w:highlight w:val="none"/>
        </w:rPr>
        <w:t>钻机数量为2台，</w:t>
      </w:r>
      <w:r>
        <w:rPr>
          <w:color w:val="auto"/>
          <w:highlight w:val="none"/>
        </w:rPr>
        <w:t>则用水量为</w:t>
      </w:r>
      <w:r>
        <w:rPr>
          <w:rFonts w:hint="eastAsia"/>
          <w:color w:val="auto"/>
          <w:highlight w:val="none"/>
        </w:rPr>
        <w:t>1.92</w:t>
      </w:r>
      <w:r>
        <w:rPr>
          <w:color w:val="auto"/>
          <w:highlight w:val="none"/>
        </w:rPr>
        <w:t>m</w:t>
      </w:r>
      <w:r>
        <w:rPr>
          <w:color w:val="auto"/>
          <w:highlight w:val="none"/>
          <w:vertAlign w:val="superscript"/>
        </w:rPr>
        <w:t>3</w:t>
      </w:r>
      <w:r>
        <w:rPr>
          <w:color w:val="auto"/>
          <w:highlight w:val="none"/>
        </w:rPr>
        <w:t>/d</w:t>
      </w:r>
      <w:r>
        <w:rPr>
          <w:rFonts w:hint="eastAsia"/>
          <w:color w:val="auto"/>
          <w:highlight w:val="none"/>
        </w:rPr>
        <w:t>，576</w:t>
      </w:r>
      <w:r>
        <w:rPr>
          <w:color w:val="auto"/>
          <w:highlight w:val="none"/>
        </w:rPr>
        <w:t>m</w:t>
      </w:r>
      <w:r>
        <w:rPr>
          <w:color w:val="auto"/>
          <w:highlight w:val="none"/>
          <w:vertAlign w:val="superscript"/>
        </w:rPr>
        <w:t>3</w:t>
      </w:r>
      <w:r>
        <w:rPr>
          <w:color w:val="auto"/>
          <w:highlight w:val="none"/>
        </w:rPr>
        <w:t>/</w:t>
      </w:r>
      <w:r>
        <w:rPr>
          <w:rFonts w:hint="eastAsia"/>
          <w:color w:val="auto"/>
          <w:highlight w:val="none"/>
        </w:rPr>
        <w:t>a</w:t>
      </w:r>
      <w:r>
        <w:rPr>
          <w:color w:val="auto"/>
          <w:highlight w:val="none"/>
        </w:rPr>
        <w:t>，用水在使用过程中全部蒸发消耗，</w:t>
      </w:r>
      <w:r>
        <w:rPr>
          <w:rFonts w:hint="eastAsia"/>
          <w:color w:val="auto"/>
          <w:highlight w:val="none"/>
          <w:lang w:eastAsia="zh-CN"/>
        </w:rPr>
        <w:t>无废水产生</w:t>
      </w:r>
      <w:r>
        <w:rPr>
          <w:color w:val="auto"/>
          <w:highlight w:val="none"/>
        </w:rPr>
        <w:t>。</w:t>
      </w:r>
    </w:p>
    <w:p>
      <w:pPr>
        <w:adjustRightInd w:val="0"/>
        <w:snapToGrid w:val="0"/>
        <w:ind w:firstLine="482"/>
        <w:rPr>
          <w:b/>
          <w:highlight w:val="none"/>
        </w:rPr>
      </w:pPr>
      <w:r>
        <w:rPr>
          <w:rFonts w:hint="eastAsia"/>
          <w:b/>
          <w:highlight w:val="none"/>
          <w:lang w:eastAsia="zh-CN"/>
        </w:rPr>
        <w:t>②采场</w:t>
      </w:r>
      <w:r>
        <w:rPr>
          <w:rFonts w:hint="eastAsia"/>
          <w:b/>
          <w:highlight w:val="none"/>
        </w:rPr>
        <w:t>降尘用水</w:t>
      </w:r>
    </w:p>
    <w:p>
      <w:pPr>
        <w:adjustRightInd w:val="0"/>
        <w:snapToGrid w:val="0"/>
        <w:ind w:firstLine="480"/>
        <w:rPr>
          <w:highlight w:val="none"/>
        </w:rPr>
      </w:pPr>
      <w:r>
        <w:rPr>
          <w:highlight w:val="none"/>
        </w:rPr>
        <w:t>本项目洒水降尘主要为</w:t>
      </w:r>
      <w:r>
        <w:rPr>
          <w:rFonts w:hint="eastAsia"/>
          <w:highlight w:val="none"/>
        </w:rPr>
        <w:t>晴天</w:t>
      </w:r>
      <w:r>
        <w:rPr>
          <w:highlight w:val="none"/>
        </w:rPr>
        <w:t>矿山开采区、运输道路等</w:t>
      </w:r>
      <w:r>
        <w:rPr>
          <w:rFonts w:hint="eastAsia"/>
          <w:highlight w:val="none"/>
        </w:rPr>
        <w:t>进行洒水</w:t>
      </w:r>
      <w:r>
        <w:rPr>
          <w:highlight w:val="none"/>
        </w:rPr>
        <w:t>以减少粉尘的产生量</w:t>
      </w:r>
      <w:r>
        <w:rPr>
          <w:rFonts w:hint="eastAsia"/>
          <w:highlight w:val="none"/>
          <w:lang w:eastAsia="zh-CN"/>
        </w:rPr>
        <w:t>，</w:t>
      </w:r>
      <w:r>
        <w:rPr>
          <w:rFonts w:ascii="Times New Roman" w:hAnsi="Times New Roman" w:eastAsia="宋体"/>
          <w:spacing w:val="-12"/>
          <w:highlight w:val="none"/>
        </w:rPr>
        <w:t>露天采场随着采</w:t>
      </w:r>
      <w:r>
        <w:rPr>
          <w:rFonts w:ascii="Times New Roman" w:hAnsi="Times New Roman" w:eastAsia="宋体"/>
          <w:spacing w:val="10"/>
          <w:highlight w:val="none"/>
        </w:rPr>
        <w:t>矿的工作的进行，露天采场在移动，每个时段内各露天采场的实时面积约为4000m²</w:t>
      </w:r>
      <w:r>
        <w:rPr>
          <w:rFonts w:ascii="Times New Roman" w:hAnsi="Times New Roman" w:eastAsia="宋体"/>
          <w:spacing w:val="4"/>
          <w:highlight w:val="none"/>
        </w:rPr>
        <w:t>，类比同项目洒水量以</w:t>
      </w:r>
      <w:r>
        <w:rPr>
          <w:rFonts w:ascii="Times New Roman" w:hAnsi="Times New Roman" w:eastAsia="宋体"/>
          <w:highlight w:val="none"/>
        </w:rPr>
        <w:t>2L/m²·d</w:t>
      </w:r>
      <w:r>
        <w:rPr>
          <w:rFonts w:ascii="Times New Roman" w:hAnsi="Times New Roman" w:eastAsia="宋体"/>
          <w:spacing w:val="-4"/>
          <w:highlight w:val="none"/>
        </w:rPr>
        <w:t>计，则露天采场洒水量约</w:t>
      </w:r>
      <w:r>
        <w:rPr>
          <w:rFonts w:ascii="Times New Roman" w:hAnsi="Times New Roman" w:eastAsia="宋体"/>
          <w:highlight w:val="none"/>
        </w:rPr>
        <w:t>8m³/d，</w:t>
      </w:r>
      <w:r>
        <w:rPr>
          <w:rFonts w:hint="eastAsia"/>
          <w:highlight w:val="none"/>
          <w:lang w:eastAsia="zh-CN"/>
        </w:rPr>
        <w:t>年工作300天，根据云南省气象台《累年累月各要素统计值》可知，砚山县非雨天以180 天计，则用水量为1440m³/a，</w:t>
      </w:r>
      <w:r>
        <w:rPr>
          <w:highlight w:val="none"/>
        </w:rPr>
        <w:t>洒水降尘用水在使用过程中全部蒸发消耗，</w:t>
      </w:r>
      <w:r>
        <w:rPr>
          <w:rFonts w:hint="eastAsia"/>
          <w:highlight w:val="none"/>
          <w:lang w:eastAsia="zh-CN"/>
        </w:rPr>
        <w:t>无废水产生</w:t>
      </w:r>
      <w:r>
        <w:rPr>
          <w:highlight w:val="none"/>
        </w:rPr>
        <w:t>。</w:t>
      </w:r>
    </w:p>
    <w:p>
      <w:pPr>
        <w:adjustRightInd w:val="0"/>
        <w:snapToGrid w:val="0"/>
        <w:ind w:firstLine="482"/>
        <w:rPr>
          <w:rFonts w:hint="eastAsia"/>
          <w:b/>
          <w:color w:val="auto"/>
          <w:highlight w:val="none"/>
          <w:lang w:val="en-US" w:eastAsia="zh-CN"/>
        </w:rPr>
      </w:pPr>
      <w:r>
        <w:rPr>
          <w:rFonts w:hint="eastAsia"/>
          <w:b/>
          <w:color w:val="auto"/>
          <w:highlight w:val="none"/>
          <w:lang w:val="en-US" w:eastAsia="zh-CN"/>
        </w:rPr>
        <w:t>③采场铲装输送区用水</w:t>
      </w:r>
    </w:p>
    <w:p>
      <w:pPr>
        <w:rPr>
          <w:rFonts w:ascii="Times New Roman" w:hAnsi="Times New Roman" w:eastAsia="宋体"/>
          <w:highlight w:val="none"/>
        </w:rPr>
      </w:pPr>
      <w:r>
        <w:rPr>
          <w:rFonts w:ascii="Times New Roman" w:hAnsi="Times New Roman" w:eastAsia="宋体"/>
          <w:spacing w:val="-7"/>
          <w:highlight w:val="none"/>
        </w:rPr>
        <w:t>本项目露天采场铲装输送时，需对铲装输送区域进行洒水降尘，本环评按采</w:t>
      </w:r>
      <w:r>
        <w:rPr>
          <w:rFonts w:ascii="Times New Roman" w:hAnsi="Times New Roman" w:eastAsia="宋体"/>
          <w:spacing w:val="11"/>
          <w:highlight w:val="none"/>
        </w:rPr>
        <w:t>场最大工作面积计算，非雨天需要洒水的作业面积约</w:t>
      </w:r>
      <w:r>
        <w:rPr>
          <w:rFonts w:ascii="Times New Roman" w:hAnsi="Times New Roman" w:eastAsia="宋体"/>
          <w:highlight w:val="none"/>
        </w:rPr>
        <w:t>2000m</w:t>
      </w:r>
      <w:r>
        <w:rPr>
          <w:rFonts w:ascii="Times New Roman" w:hAnsi="Times New Roman" w:eastAsia="宋体"/>
          <w:position w:val="8"/>
          <w:sz w:val="15"/>
          <w:highlight w:val="none"/>
        </w:rPr>
        <w:t xml:space="preserve">2 </w:t>
      </w:r>
      <w:r>
        <w:rPr>
          <w:rFonts w:ascii="Times New Roman" w:hAnsi="Times New Roman" w:eastAsia="宋体"/>
          <w:spacing w:val="-3"/>
          <w:highlight w:val="none"/>
        </w:rPr>
        <w:t>，用水量按2.0L/m</w:t>
      </w:r>
      <w:r>
        <w:rPr>
          <w:rFonts w:ascii="Times New Roman" w:hAnsi="Times New Roman" w:eastAsia="宋体"/>
          <w:spacing w:val="-3"/>
          <w:position w:val="8"/>
          <w:sz w:val="15"/>
          <w:highlight w:val="none"/>
        </w:rPr>
        <w:t>2</w:t>
      </w:r>
      <w:r>
        <w:rPr>
          <w:rFonts w:ascii="Times New Roman" w:hAnsi="Times New Roman" w:eastAsia="宋体"/>
          <w:spacing w:val="-3"/>
          <w:highlight w:val="none"/>
        </w:rPr>
        <w:t>·</w:t>
      </w:r>
      <w:r>
        <w:rPr>
          <w:rFonts w:ascii="Times New Roman" w:hAnsi="Times New Roman" w:eastAsia="宋体"/>
          <w:spacing w:val="-10"/>
          <w:highlight w:val="none"/>
        </w:rPr>
        <w:t>次，每天洒水</w:t>
      </w:r>
      <w:r>
        <w:rPr>
          <w:rFonts w:ascii="Times New Roman" w:hAnsi="Times New Roman" w:eastAsia="宋体"/>
          <w:highlight w:val="none"/>
        </w:rPr>
        <w:t>4</w:t>
      </w:r>
      <w:r>
        <w:rPr>
          <w:rFonts w:ascii="Times New Roman" w:hAnsi="Times New Roman" w:eastAsia="宋体"/>
          <w:spacing w:val="-3"/>
          <w:highlight w:val="none"/>
        </w:rPr>
        <w:t>次，则非雨天露天采场防尘用水量为</w:t>
      </w:r>
      <w:r>
        <w:rPr>
          <w:rFonts w:ascii="Times New Roman" w:hAnsi="Times New Roman" w:eastAsia="宋体"/>
          <w:highlight w:val="none"/>
        </w:rPr>
        <w:t>16.0m</w:t>
      </w:r>
      <w:r>
        <w:rPr>
          <w:rFonts w:ascii="Times New Roman" w:hAnsi="Times New Roman" w:eastAsia="宋体"/>
          <w:position w:val="8"/>
          <w:sz w:val="15"/>
          <w:highlight w:val="none"/>
        </w:rPr>
        <w:t>3</w:t>
      </w:r>
      <w:r>
        <w:rPr>
          <w:rFonts w:ascii="Times New Roman" w:hAnsi="Times New Roman" w:eastAsia="宋体"/>
          <w:highlight w:val="none"/>
        </w:rPr>
        <w:t>/d，根据云</w:t>
      </w:r>
      <w:r>
        <w:rPr>
          <w:rFonts w:ascii="Times New Roman" w:hAnsi="Times New Roman" w:eastAsia="宋体"/>
          <w:spacing w:val="-9"/>
          <w:highlight w:val="none"/>
        </w:rPr>
        <w:t>南省气象台《累年累月各要素统计值》可知，</w:t>
      </w:r>
      <w:r>
        <w:rPr>
          <w:rFonts w:hint="eastAsia"/>
          <w:spacing w:val="-9"/>
          <w:highlight w:val="none"/>
          <w:lang w:eastAsia="zh-CN"/>
        </w:rPr>
        <w:t>砚山县</w:t>
      </w:r>
      <w:r>
        <w:rPr>
          <w:rFonts w:ascii="Times New Roman" w:hAnsi="Times New Roman" w:eastAsia="宋体"/>
          <w:spacing w:val="-9"/>
          <w:highlight w:val="none"/>
        </w:rPr>
        <w:t>非雨天天数为</w:t>
      </w:r>
      <w:r>
        <w:rPr>
          <w:rFonts w:ascii="Times New Roman" w:hAnsi="Times New Roman" w:eastAsia="宋体"/>
          <w:highlight w:val="none"/>
        </w:rPr>
        <w:t>180</w:t>
      </w:r>
      <w:r>
        <w:rPr>
          <w:rFonts w:ascii="Times New Roman" w:hAnsi="Times New Roman" w:eastAsia="宋体"/>
          <w:spacing w:val="-9"/>
          <w:highlight w:val="none"/>
        </w:rPr>
        <w:t>天，则项</w:t>
      </w:r>
      <w:r>
        <w:rPr>
          <w:rFonts w:ascii="Times New Roman" w:hAnsi="Times New Roman" w:eastAsia="宋体"/>
          <w:spacing w:val="-6"/>
          <w:highlight w:val="none"/>
        </w:rPr>
        <w:t>目采场防尘用水量为</w:t>
      </w:r>
      <w:r>
        <w:rPr>
          <w:rFonts w:ascii="Times New Roman" w:hAnsi="Times New Roman" w:eastAsia="宋体"/>
          <w:spacing w:val="-5"/>
          <w:highlight w:val="none"/>
        </w:rPr>
        <w:t>2880m</w:t>
      </w:r>
      <w:r>
        <w:rPr>
          <w:rFonts w:ascii="Times New Roman" w:hAnsi="Times New Roman" w:eastAsia="宋体"/>
          <w:spacing w:val="-5"/>
          <w:position w:val="8"/>
          <w:sz w:val="15"/>
          <w:highlight w:val="none"/>
        </w:rPr>
        <w:t>3</w:t>
      </w:r>
      <w:r>
        <w:rPr>
          <w:rFonts w:ascii="Times New Roman" w:hAnsi="Times New Roman" w:eastAsia="宋体"/>
          <w:spacing w:val="-5"/>
          <w:highlight w:val="none"/>
        </w:rPr>
        <w:t>/a</w:t>
      </w:r>
      <w:r>
        <w:rPr>
          <w:rFonts w:ascii="Times New Roman" w:hAnsi="Times New Roman" w:eastAsia="宋体"/>
          <w:spacing w:val="-9"/>
          <w:highlight w:val="none"/>
        </w:rPr>
        <w:t>，降尘水经蒸发损失，无废水产生。项目雨季无需</w:t>
      </w:r>
      <w:r>
        <w:rPr>
          <w:rFonts w:ascii="Times New Roman" w:hAnsi="Times New Roman" w:eastAsia="宋体"/>
          <w:highlight w:val="none"/>
        </w:rPr>
        <w:t>洒水</w:t>
      </w:r>
    </w:p>
    <w:p>
      <w:pPr>
        <w:rPr>
          <w:rFonts w:hint="eastAsia" w:ascii="Times New Roman" w:hAnsi="Times New Roman" w:eastAsia="宋体"/>
          <w:b/>
          <w:bCs/>
          <w:highlight w:val="none"/>
          <w:lang w:eastAsia="zh-CN"/>
        </w:rPr>
      </w:pPr>
      <w:r>
        <w:rPr>
          <w:rFonts w:hint="eastAsia"/>
          <w:b/>
          <w:bCs/>
          <w:highlight w:val="none"/>
          <w:lang w:eastAsia="zh-CN"/>
        </w:rPr>
        <w:t>④运输道路降尘用水</w:t>
      </w:r>
    </w:p>
    <w:p>
      <w:pPr>
        <w:rPr>
          <w:rFonts w:hint="eastAsia" w:ascii="Times New Roman" w:hAnsi="Times New Roman" w:eastAsia="宋体"/>
          <w:highlight w:val="none"/>
          <w:lang w:eastAsia="zh-CN"/>
        </w:rPr>
      </w:pPr>
      <w:r>
        <w:rPr>
          <w:rFonts w:ascii="Times New Roman" w:hAnsi="Times New Roman" w:eastAsia="宋体"/>
          <w:spacing w:val="-3"/>
          <w:highlight w:val="none"/>
        </w:rPr>
        <w:t>项目区内需洒水降尘的道路占地面积约为</w:t>
      </w:r>
      <w:r>
        <w:rPr>
          <w:rFonts w:ascii="Times New Roman" w:hAnsi="Times New Roman" w:eastAsia="宋体"/>
          <w:highlight w:val="none"/>
        </w:rPr>
        <w:t>3000m</w:t>
      </w:r>
      <w:r>
        <w:rPr>
          <w:rFonts w:ascii="Times New Roman" w:hAnsi="Times New Roman" w:eastAsia="宋体"/>
          <w:position w:val="8"/>
          <w:sz w:val="15"/>
          <w:highlight w:val="none"/>
        </w:rPr>
        <w:t>2</w:t>
      </w:r>
      <w:r>
        <w:rPr>
          <w:rFonts w:ascii="Times New Roman" w:hAnsi="Times New Roman" w:eastAsia="宋体"/>
          <w:spacing w:val="-7"/>
          <w:highlight w:val="none"/>
        </w:rPr>
        <w:t>，洒水定额按</w:t>
      </w:r>
      <w:r>
        <w:rPr>
          <w:rFonts w:ascii="Times New Roman" w:hAnsi="Times New Roman" w:eastAsia="宋体"/>
          <w:highlight w:val="none"/>
        </w:rPr>
        <w:t>2.0L/m</w:t>
      </w:r>
      <w:r>
        <w:rPr>
          <w:rFonts w:ascii="Times New Roman" w:hAnsi="Times New Roman" w:eastAsia="宋体"/>
          <w:position w:val="8"/>
          <w:sz w:val="15"/>
          <w:highlight w:val="none"/>
        </w:rPr>
        <w:t>2</w:t>
      </w:r>
      <w:r>
        <w:rPr>
          <w:rFonts w:ascii="Times New Roman" w:hAnsi="Times New Roman" w:eastAsia="宋体"/>
          <w:highlight w:val="none"/>
        </w:rPr>
        <w:t>•次</w:t>
      </w:r>
      <w:r>
        <w:rPr>
          <w:rFonts w:ascii="Times New Roman" w:hAnsi="Times New Roman" w:eastAsia="宋体"/>
          <w:spacing w:val="-13"/>
          <w:highlight w:val="none"/>
        </w:rPr>
        <w:t>计，每天洒水</w:t>
      </w:r>
      <w:r>
        <w:rPr>
          <w:rFonts w:ascii="Times New Roman" w:hAnsi="Times New Roman" w:eastAsia="宋体"/>
          <w:highlight w:val="none"/>
        </w:rPr>
        <w:t>4</w:t>
      </w:r>
      <w:r>
        <w:rPr>
          <w:rFonts w:ascii="Times New Roman" w:hAnsi="Times New Roman" w:eastAsia="宋体"/>
          <w:spacing w:val="-10"/>
          <w:highlight w:val="none"/>
        </w:rPr>
        <w:t>次，则降尘用水量为</w:t>
      </w:r>
      <w:r>
        <w:rPr>
          <w:rFonts w:ascii="Times New Roman" w:hAnsi="Times New Roman" w:eastAsia="宋体"/>
          <w:highlight w:val="none"/>
        </w:rPr>
        <w:t>24.0m</w:t>
      </w:r>
      <w:r>
        <w:rPr>
          <w:rFonts w:ascii="Times New Roman" w:hAnsi="Times New Roman" w:eastAsia="宋体"/>
          <w:position w:val="8"/>
          <w:sz w:val="15"/>
          <w:highlight w:val="none"/>
        </w:rPr>
        <w:t>3</w:t>
      </w:r>
      <w:r>
        <w:rPr>
          <w:rFonts w:ascii="Times New Roman" w:hAnsi="Times New Roman" w:eastAsia="宋体"/>
          <w:highlight w:val="none"/>
        </w:rPr>
        <w:t>/d</w:t>
      </w:r>
      <w:r>
        <w:rPr>
          <w:rFonts w:ascii="Times New Roman" w:hAnsi="Times New Roman" w:eastAsia="宋体"/>
          <w:spacing w:val="-3"/>
          <w:highlight w:val="none"/>
        </w:rPr>
        <w:t>，根据云南省气象台《累年累月各</w:t>
      </w:r>
      <w:r>
        <w:rPr>
          <w:rFonts w:ascii="Times New Roman" w:hAnsi="Times New Roman" w:eastAsia="宋体"/>
          <w:spacing w:val="14"/>
          <w:highlight w:val="none"/>
        </w:rPr>
        <w:t>要素统计值》可知，</w:t>
      </w:r>
      <w:r>
        <w:rPr>
          <w:rFonts w:hint="eastAsia"/>
          <w:spacing w:val="14"/>
          <w:highlight w:val="none"/>
          <w:lang w:eastAsia="zh-CN"/>
        </w:rPr>
        <w:t>砚山县</w:t>
      </w:r>
      <w:r>
        <w:rPr>
          <w:rFonts w:ascii="Times New Roman" w:hAnsi="Times New Roman" w:eastAsia="宋体"/>
          <w:spacing w:val="14"/>
          <w:highlight w:val="none"/>
        </w:rPr>
        <w:t>非雨天天数为</w:t>
      </w:r>
      <w:r>
        <w:rPr>
          <w:rFonts w:ascii="Times New Roman" w:hAnsi="Times New Roman" w:eastAsia="宋体"/>
          <w:highlight w:val="none"/>
        </w:rPr>
        <w:t>180</w:t>
      </w:r>
      <w:r>
        <w:rPr>
          <w:rFonts w:ascii="Times New Roman" w:hAnsi="Times New Roman" w:eastAsia="宋体"/>
          <w:spacing w:val="5"/>
          <w:highlight w:val="none"/>
        </w:rPr>
        <w:t>天，运输道路降尘用水量为4320m</w:t>
      </w:r>
      <w:r>
        <w:rPr>
          <w:rFonts w:ascii="Times New Roman" w:hAnsi="Times New Roman" w:eastAsia="宋体"/>
          <w:spacing w:val="5"/>
          <w:position w:val="8"/>
          <w:sz w:val="15"/>
          <w:highlight w:val="none"/>
        </w:rPr>
        <w:t>3</w:t>
      </w:r>
      <w:r>
        <w:rPr>
          <w:rFonts w:ascii="Times New Roman" w:hAnsi="Times New Roman" w:eastAsia="宋体"/>
          <w:spacing w:val="5"/>
          <w:highlight w:val="none"/>
        </w:rPr>
        <w:t>/a，经蒸发损失，无废水产生</w:t>
      </w:r>
      <w:r>
        <w:rPr>
          <w:rFonts w:hint="eastAsia"/>
          <w:spacing w:val="5"/>
          <w:highlight w:val="none"/>
          <w:lang w:eastAsia="zh-CN"/>
        </w:rPr>
        <w:t>。</w:t>
      </w:r>
    </w:p>
    <w:p>
      <w:pPr>
        <w:rPr>
          <w:rFonts w:hint="eastAsia" w:cs="Times New Roman"/>
          <w:color w:val="auto"/>
          <w:sz w:val="24"/>
          <w:highlight w:val="none"/>
          <w:lang w:val="en-US" w:eastAsia="zh-CN"/>
        </w:rPr>
      </w:pPr>
      <w:r>
        <w:rPr>
          <w:rFonts w:hint="eastAsia" w:cs="Times New Roman"/>
          <w:b/>
          <w:bCs/>
          <w:color w:val="auto"/>
          <w:sz w:val="24"/>
          <w:highlight w:val="none"/>
          <w:lang w:val="en-US" w:eastAsia="zh-CN"/>
        </w:rPr>
        <w:t>⑤破碎工段降尘用水</w:t>
      </w:r>
    </w:p>
    <w:p>
      <w:pPr>
        <w:rPr>
          <w:rFonts w:hint="eastAsia" w:eastAsia="宋体" w:cs="Times New Roman"/>
          <w:color w:val="auto"/>
          <w:sz w:val="24"/>
          <w:highlight w:val="none"/>
          <w:lang w:val="en-US" w:eastAsia="zh-CN"/>
        </w:rPr>
      </w:pPr>
      <w:r>
        <w:rPr>
          <w:rFonts w:ascii="Times New Roman" w:hAnsi="Times New Roman" w:eastAsia="宋体"/>
          <w:spacing w:val="3"/>
          <w:highlight w:val="none"/>
        </w:rPr>
        <w:t>为了减少矿石破碎筛分粉尘产生量，在破碎机上料口设置一</w:t>
      </w:r>
      <w:r>
        <w:rPr>
          <w:rFonts w:hint="eastAsia"/>
          <w:spacing w:val="3"/>
          <w:highlight w:val="none"/>
          <w:lang w:eastAsia="zh-CN"/>
        </w:rPr>
        <w:t>条</w:t>
      </w:r>
      <w:r>
        <w:rPr>
          <w:rFonts w:ascii="Times New Roman" w:hAnsi="Times New Roman" w:eastAsia="宋体"/>
          <w:spacing w:val="3"/>
          <w:highlight w:val="none"/>
        </w:rPr>
        <w:t>喷</w:t>
      </w:r>
      <w:r>
        <w:rPr>
          <w:rFonts w:hint="eastAsia"/>
          <w:spacing w:val="3"/>
          <w:highlight w:val="none"/>
          <w:lang w:eastAsia="zh-CN"/>
        </w:rPr>
        <w:t>淋水管</w:t>
      </w:r>
      <w:r>
        <w:rPr>
          <w:rFonts w:ascii="Times New Roman" w:hAnsi="Times New Roman" w:eastAsia="宋体"/>
          <w:spacing w:val="1"/>
          <w:highlight w:val="none"/>
        </w:rPr>
        <w:t>，进行喷雾洒水。通过类比同类项目，破碎工段抑尘喷淋用水量按</w:t>
      </w:r>
      <w:r>
        <w:rPr>
          <w:rFonts w:ascii="Times New Roman" w:hAnsi="Times New Roman" w:eastAsia="宋体"/>
          <w:highlight w:val="none"/>
        </w:rPr>
        <w:t>0.02m</w:t>
      </w:r>
      <w:r>
        <w:rPr>
          <w:rFonts w:ascii="Times New Roman" w:hAnsi="Times New Roman" w:eastAsia="宋体"/>
          <w:position w:val="8"/>
          <w:sz w:val="15"/>
          <w:highlight w:val="none"/>
        </w:rPr>
        <w:t>3</w:t>
      </w:r>
      <w:r>
        <w:rPr>
          <w:rFonts w:ascii="Times New Roman" w:hAnsi="Times New Roman" w:eastAsia="宋体"/>
          <w:highlight w:val="none"/>
        </w:rPr>
        <w:t>/t</w:t>
      </w:r>
      <w:r>
        <w:rPr>
          <w:rFonts w:hint="eastAsia"/>
          <w:position w:val="-2"/>
          <w:sz w:val="12"/>
          <w:highlight w:val="none"/>
          <w:lang w:eastAsia="zh-CN"/>
        </w:rPr>
        <w:t>矿石</w:t>
      </w:r>
      <w:r>
        <w:rPr>
          <w:rFonts w:ascii="Times New Roman" w:hAnsi="Times New Roman" w:eastAsia="宋体"/>
          <w:spacing w:val="-10"/>
          <w:highlight w:val="none"/>
        </w:rPr>
        <w:t>计，本项目日开采破碎</w:t>
      </w:r>
      <w:r>
        <w:rPr>
          <w:rFonts w:hint="eastAsia"/>
          <w:spacing w:val="-10"/>
          <w:highlight w:val="none"/>
          <w:lang w:val="en-US" w:eastAsia="zh-CN"/>
        </w:rPr>
        <w:t>1000</w:t>
      </w:r>
      <w:r>
        <w:rPr>
          <w:rFonts w:ascii="Times New Roman" w:hAnsi="Times New Roman" w:eastAsia="宋体"/>
          <w:spacing w:val="-3"/>
          <w:highlight w:val="none"/>
        </w:rPr>
        <w:t>t/d</w:t>
      </w:r>
      <w:r>
        <w:rPr>
          <w:rFonts w:ascii="Times New Roman" w:hAnsi="Times New Roman" w:eastAsia="宋体"/>
          <w:spacing w:val="-7"/>
          <w:highlight w:val="none"/>
        </w:rPr>
        <w:t>，则破碎工段降尘用水量为</w:t>
      </w:r>
      <w:r>
        <w:rPr>
          <w:rFonts w:hint="eastAsia"/>
          <w:spacing w:val="-7"/>
          <w:highlight w:val="none"/>
          <w:lang w:val="en-US" w:eastAsia="zh-CN"/>
        </w:rPr>
        <w:t>20</w:t>
      </w:r>
      <w:r>
        <w:rPr>
          <w:rFonts w:ascii="Times New Roman" w:hAnsi="Times New Roman" w:eastAsia="宋体"/>
          <w:spacing w:val="-4"/>
          <w:highlight w:val="none"/>
        </w:rPr>
        <w:t>m</w:t>
      </w:r>
      <w:r>
        <w:rPr>
          <w:rFonts w:ascii="Times New Roman" w:hAnsi="Times New Roman" w:eastAsia="宋体"/>
          <w:spacing w:val="-4"/>
          <w:position w:val="8"/>
          <w:sz w:val="15"/>
          <w:highlight w:val="none"/>
        </w:rPr>
        <w:t>3</w:t>
      </w:r>
      <w:r>
        <w:rPr>
          <w:rFonts w:ascii="Times New Roman" w:hAnsi="Times New Roman" w:eastAsia="宋体"/>
          <w:spacing w:val="-4"/>
          <w:highlight w:val="none"/>
        </w:rPr>
        <w:t>/d</w:t>
      </w:r>
      <w:r>
        <w:rPr>
          <w:rFonts w:ascii="Times New Roman" w:hAnsi="Times New Roman" w:eastAsia="宋体"/>
          <w:spacing w:val="-5"/>
          <w:highlight w:val="none"/>
        </w:rPr>
        <w:t>，此工序的用</w:t>
      </w:r>
      <w:r>
        <w:rPr>
          <w:rFonts w:ascii="Times New Roman" w:hAnsi="Times New Roman" w:eastAsia="宋体"/>
          <w:highlight w:val="none"/>
        </w:rPr>
        <w:t>水通过蒸发及产品带走，无废水产生</w:t>
      </w:r>
      <w:r>
        <w:rPr>
          <w:rFonts w:hint="eastAsia"/>
          <w:highlight w:val="none"/>
          <w:lang w:eastAsia="zh-CN"/>
        </w:rPr>
        <w:t>。</w:t>
      </w:r>
    </w:p>
    <w:p>
      <w:pPr>
        <w:rPr>
          <w:rFonts w:hint="eastAsia" w:cs="Times New Roman"/>
          <w:color w:val="auto"/>
          <w:sz w:val="24"/>
          <w:highlight w:val="none"/>
          <w:lang w:val="en-US" w:eastAsia="zh-CN"/>
        </w:rPr>
      </w:pPr>
      <w:r>
        <w:rPr>
          <w:rFonts w:hint="eastAsia" w:cs="Times New Roman"/>
          <w:b/>
          <w:bCs/>
          <w:color w:val="auto"/>
          <w:sz w:val="24"/>
          <w:highlight w:val="none"/>
          <w:lang w:val="en-US" w:eastAsia="zh-CN"/>
        </w:rPr>
        <w:t>⑥堆料场降尘用水</w:t>
      </w:r>
    </w:p>
    <w:p>
      <w:pPr>
        <w:rPr>
          <w:color w:val="auto"/>
          <w:highlight w:val="none"/>
        </w:rPr>
      </w:pPr>
      <w:r>
        <w:rPr>
          <w:rFonts w:ascii="Times New Roman" w:hAnsi="Times New Roman" w:eastAsia="宋体"/>
          <w:spacing w:val="-6"/>
          <w:highlight w:val="none"/>
        </w:rPr>
        <w:t>项目砂</w:t>
      </w:r>
      <w:r>
        <w:rPr>
          <w:rFonts w:hint="eastAsia"/>
          <w:spacing w:val="-6"/>
          <w:highlight w:val="none"/>
          <w:lang w:eastAsia="zh-CN"/>
        </w:rPr>
        <w:t>石</w:t>
      </w:r>
      <w:r>
        <w:rPr>
          <w:rFonts w:ascii="Times New Roman" w:hAnsi="Times New Roman" w:eastAsia="宋体"/>
          <w:spacing w:val="-6"/>
          <w:highlight w:val="none"/>
        </w:rPr>
        <w:t>堆料场面积</w:t>
      </w:r>
      <w:r>
        <w:rPr>
          <w:rFonts w:hint="eastAsia"/>
          <w:highlight w:val="none"/>
          <w:lang w:val="en-US" w:eastAsia="zh-CN"/>
        </w:rPr>
        <w:t>1600</w:t>
      </w:r>
      <w:r>
        <w:rPr>
          <w:rFonts w:ascii="Times New Roman" w:hAnsi="Times New Roman" w:eastAsia="宋体"/>
          <w:highlight w:val="none"/>
        </w:rPr>
        <w:t>m</w:t>
      </w:r>
      <w:r>
        <w:rPr>
          <w:rFonts w:ascii="Times New Roman" w:hAnsi="Times New Roman" w:eastAsia="宋体"/>
          <w:position w:val="8"/>
          <w:sz w:val="15"/>
          <w:highlight w:val="none"/>
        </w:rPr>
        <w:t>2</w:t>
      </w:r>
      <w:r>
        <w:rPr>
          <w:rFonts w:ascii="Times New Roman" w:hAnsi="Times New Roman" w:eastAsia="宋体"/>
          <w:spacing w:val="-8"/>
          <w:highlight w:val="none"/>
        </w:rPr>
        <w:t>，洒水定额按</w:t>
      </w:r>
      <w:r>
        <w:rPr>
          <w:rFonts w:ascii="Times New Roman" w:hAnsi="Times New Roman" w:eastAsia="宋体"/>
          <w:highlight w:val="none"/>
        </w:rPr>
        <w:t>2.0L/m</w:t>
      </w:r>
      <w:r>
        <w:rPr>
          <w:rFonts w:ascii="Times New Roman" w:hAnsi="Times New Roman" w:eastAsia="宋体"/>
          <w:position w:val="8"/>
          <w:sz w:val="15"/>
          <w:highlight w:val="none"/>
        </w:rPr>
        <w:t>2</w:t>
      </w:r>
      <w:r>
        <w:rPr>
          <w:rFonts w:ascii="Times New Roman" w:hAnsi="Times New Roman" w:eastAsia="宋体"/>
          <w:highlight w:val="none"/>
        </w:rPr>
        <w:t>•</w:t>
      </w:r>
      <w:r>
        <w:rPr>
          <w:rFonts w:ascii="Times New Roman" w:hAnsi="Times New Roman" w:eastAsia="宋体"/>
          <w:spacing w:val="-6"/>
          <w:highlight w:val="none"/>
        </w:rPr>
        <w:t>次计，每天洒水</w:t>
      </w:r>
      <w:r>
        <w:rPr>
          <w:rFonts w:ascii="Times New Roman" w:hAnsi="Times New Roman" w:eastAsia="宋体"/>
          <w:highlight w:val="none"/>
        </w:rPr>
        <w:t>4</w:t>
      </w:r>
      <w:r>
        <w:rPr>
          <w:rFonts w:ascii="Times New Roman" w:hAnsi="Times New Roman" w:eastAsia="宋体"/>
          <w:spacing w:val="2"/>
          <w:highlight w:val="none"/>
        </w:rPr>
        <w:t>次，则</w:t>
      </w:r>
      <w:r>
        <w:rPr>
          <w:rFonts w:ascii="Times New Roman" w:hAnsi="Times New Roman" w:eastAsia="宋体"/>
          <w:spacing w:val="-7"/>
          <w:highlight w:val="none"/>
        </w:rPr>
        <w:t>降尘用水量为</w:t>
      </w:r>
      <w:r>
        <w:rPr>
          <w:rFonts w:hint="eastAsia"/>
          <w:spacing w:val="-5"/>
          <w:highlight w:val="none"/>
          <w:lang w:val="en-US" w:eastAsia="zh-CN"/>
        </w:rPr>
        <w:t>12.8</w:t>
      </w:r>
      <w:r>
        <w:rPr>
          <w:rFonts w:ascii="Times New Roman" w:hAnsi="Times New Roman" w:eastAsia="宋体"/>
          <w:spacing w:val="-5"/>
          <w:highlight w:val="none"/>
        </w:rPr>
        <w:t>m</w:t>
      </w:r>
      <w:r>
        <w:rPr>
          <w:rFonts w:ascii="Times New Roman" w:hAnsi="Times New Roman" w:eastAsia="宋体"/>
          <w:spacing w:val="-5"/>
          <w:position w:val="8"/>
          <w:sz w:val="15"/>
          <w:highlight w:val="none"/>
        </w:rPr>
        <w:t>3</w:t>
      </w:r>
      <w:r>
        <w:rPr>
          <w:rFonts w:ascii="Times New Roman" w:hAnsi="Times New Roman" w:eastAsia="宋体"/>
          <w:spacing w:val="-5"/>
          <w:highlight w:val="none"/>
        </w:rPr>
        <w:t>/d</w:t>
      </w:r>
      <w:r>
        <w:rPr>
          <w:rFonts w:ascii="Times New Roman" w:hAnsi="Times New Roman" w:eastAsia="宋体"/>
          <w:spacing w:val="-9"/>
          <w:highlight w:val="none"/>
        </w:rPr>
        <w:t>，根据云南省气象台《累年累月各要素统计值》可知，</w:t>
      </w:r>
      <w:r>
        <w:rPr>
          <w:rFonts w:hint="eastAsia"/>
          <w:spacing w:val="-9"/>
          <w:highlight w:val="none"/>
          <w:lang w:eastAsia="zh-CN"/>
        </w:rPr>
        <w:t>砚山县</w:t>
      </w:r>
      <w:r>
        <w:rPr>
          <w:rFonts w:ascii="Times New Roman" w:hAnsi="Times New Roman" w:eastAsia="宋体"/>
          <w:spacing w:val="-8"/>
          <w:highlight w:val="none"/>
        </w:rPr>
        <w:t>非雨天天数为</w:t>
      </w:r>
      <w:r>
        <w:rPr>
          <w:rFonts w:ascii="Times New Roman" w:hAnsi="Times New Roman" w:eastAsia="宋体"/>
          <w:highlight w:val="none"/>
        </w:rPr>
        <w:t xml:space="preserve">180 </w:t>
      </w:r>
      <w:r>
        <w:rPr>
          <w:rFonts w:ascii="Times New Roman" w:hAnsi="Times New Roman" w:eastAsia="宋体"/>
          <w:spacing w:val="-10"/>
          <w:highlight w:val="none"/>
        </w:rPr>
        <w:t>天，堆料场年降尘用水量为</w:t>
      </w:r>
      <w:r>
        <w:rPr>
          <w:rFonts w:hint="eastAsia"/>
          <w:spacing w:val="-5"/>
          <w:highlight w:val="none"/>
          <w:lang w:val="en-US" w:eastAsia="zh-CN"/>
        </w:rPr>
        <w:t>2304</w:t>
      </w:r>
      <w:r>
        <w:rPr>
          <w:rFonts w:ascii="Times New Roman" w:hAnsi="Times New Roman" w:eastAsia="宋体"/>
          <w:spacing w:val="-5"/>
          <w:highlight w:val="none"/>
        </w:rPr>
        <w:t>m</w:t>
      </w:r>
      <w:r>
        <w:rPr>
          <w:rFonts w:ascii="Times New Roman" w:hAnsi="Times New Roman" w:eastAsia="宋体"/>
          <w:spacing w:val="-5"/>
          <w:position w:val="8"/>
          <w:sz w:val="15"/>
          <w:highlight w:val="none"/>
        </w:rPr>
        <w:t>3</w:t>
      </w:r>
      <w:r>
        <w:rPr>
          <w:rFonts w:ascii="Times New Roman" w:hAnsi="Times New Roman" w:eastAsia="宋体"/>
          <w:spacing w:val="-5"/>
          <w:highlight w:val="none"/>
        </w:rPr>
        <w:t>/a</w:t>
      </w:r>
      <w:r>
        <w:rPr>
          <w:rFonts w:ascii="Times New Roman" w:hAnsi="Times New Roman" w:eastAsia="宋体"/>
          <w:spacing w:val="-8"/>
          <w:highlight w:val="none"/>
        </w:rPr>
        <w:t>，经蒸发损失，无废水</w:t>
      </w:r>
      <w:r>
        <w:rPr>
          <w:rFonts w:ascii="Times New Roman" w:hAnsi="Times New Roman" w:eastAsia="宋体"/>
          <w:highlight w:val="none"/>
        </w:rPr>
        <w:t>产生</w:t>
      </w:r>
      <w:r>
        <w:rPr>
          <w:rFonts w:hint="eastAsia" w:cs="Times New Roman"/>
          <w:color w:val="auto"/>
          <w:sz w:val="24"/>
          <w:highlight w:val="none"/>
          <w:lang w:val="en-US" w:eastAsia="zh-CN"/>
        </w:rPr>
        <w:t>。</w:t>
      </w:r>
    </w:p>
    <w:p>
      <w:pPr>
        <w:pStyle w:val="17"/>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rFonts w:hint="eastAsia" w:ascii="Times New Roman" w:hAnsi="Times New Roman"/>
          <w:b/>
          <w:bCs/>
          <w:color w:val="auto"/>
          <w:highlight w:val="none"/>
          <w:lang w:eastAsia="zh-CN"/>
        </w:rPr>
      </w:pPr>
      <w:r>
        <w:rPr>
          <w:rFonts w:hint="eastAsia" w:ascii="Times New Roman" w:hAnsi="Times New Roman" w:cs="Times New Roman"/>
          <w:b/>
          <w:bCs/>
          <w:highlight w:val="none"/>
          <w:lang w:val="en-US" w:eastAsia="zh-CN"/>
        </w:rPr>
        <w:t>3</w:t>
      </w:r>
      <w:r>
        <w:rPr>
          <w:rFonts w:hint="eastAsia" w:ascii="Times New Roman" w:hAnsi="Times New Roman"/>
          <w:b/>
          <w:bCs/>
          <w:color w:val="auto"/>
          <w:highlight w:val="none"/>
          <w:lang w:val="en-US" w:eastAsia="zh-CN"/>
        </w:rPr>
        <w:t>）降雨径流</w:t>
      </w:r>
    </w:p>
    <w:p>
      <w:pPr>
        <w:tabs>
          <w:tab w:val="left" w:pos="5580"/>
        </w:tabs>
        <w:adjustRightInd w:val="0"/>
        <w:ind w:firstLine="480"/>
        <w:textAlignment w:val="baseline"/>
        <w:rPr>
          <w:rFonts w:hint="eastAsia" w:eastAsia="新宋体"/>
          <w:highlight w:val="none"/>
          <w:lang w:eastAsia="zh-CN"/>
        </w:rPr>
      </w:pPr>
      <w:r>
        <w:rPr>
          <w:rFonts w:hint="eastAsia" w:eastAsia="新宋体"/>
          <w:highlight w:val="none"/>
        </w:rPr>
        <w:t>根据项目所在地的日最大降雨量，采用日最大降水量法来进行计算雨天地表径流产生量，计算公式为</w:t>
      </w:r>
      <w:r>
        <w:rPr>
          <w:rFonts w:hint="eastAsia" w:eastAsia="新宋体"/>
          <w:highlight w:val="none"/>
          <w:lang w:eastAsia="zh-CN"/>
        </w:rPr>
        <w:t>：</w:t>
      </w:r>
    </w:p>
    <w:p>
      <w:pPr>
        <w:pStyle w:val="2"/>
        <w:ind w:firstLine="480"/>
        <w:jc w:val="center"/>
        <w:rPr>
          <w:color w:val="auto"/>
          <w:highlight w:val="none"/>
        </w:rPr>
      </w:pPr>
      <w:r>
        <w:rPr>
          <w:color w:val="auto"/>
          <w:highlight w:val="none"/>
        </w:rPr>
        <w:t>Q=10</w:t>
      </w:r>
      <w:r>
        <w:rPr>
          <w:color w:val="auto"/>
          <w:highlight w:val="none"/>
          <w:vertAlign w:val="superscript"/>
        </w:rPr>
        <w:t>-3</w:t>
      </w:r>
      <w:r>
        <w:rPr>
          <w:color w:val="auto"/>
          <w:highlight w:val="none"/>
        </w:rPr>
        <w:t>·C·I·A</w:t>
      </w:r>
    </w:p>
    <w:p>
      <w:pPr>
        <w:pStyle w:val="2"/>
        <w:ind w:firstLine="480"/>
        <w:jc w:val="both"/>
        <w:rPr>
          <w:color w:val="auto"/>
          <w:highlight w:val="none"/>
        </w:rPr>
      </w:pPr>
      <w:r>
        <w:rPr>
          <w:rFonts w:hint="eastAsia"/>
          <w:color w:val="auto"/>
          <w:highlight w:val="none"/>
        </w:rPr>
        <w:t>式中：</w:t>
      </w:r>
      <w:r>
        <w:rPr>
          <w:color w:val="auto"/>
          <w:highlight w:val="none"/>
        </w:rPr>
        <w:t>Q-淋滤水，m</w:t>
      </w:r>
      <w:r>
        <w:rPr>
          <w:color w:val="auto"/>
          <w:highlight w:val="none"/>
          <w:vertAlign w:val="superscript"/>
        </w:rPr>
        <w:t>3</w:t>
      </w:r>
      <w:r>
        <w:rPr>
          <w:color w:val="auto"/>
          <w:highlight w:val="none"/>
        </w:rPr>
        <w:t>/d</w:t>
      </w:r>
    </w:p>
    <w:p>
      <w:pPr>
        <w:pStyle w:val="2"/>
        <w:ind w:left="1200" w:leftChars="500" w:firstLine="0" w:firstLineChars="0"/>
        <w:jc w:val="both"/>
        <w:rPr>
          <w:color w:val="auto"/>
          <w:highlight w:val="none"/>
        </w:rPr>
      </w:pPr>
      <w:r>
        <w:rPr>
          <w:color w:val="auto"/>
          <w:highlight w:val="none"/>
        </w:rPr>
        <w:t>I-日</w:t>
      </w:r>
      <w:r>
        <w:rPr>
          <w:rFonts w:hint="eastAsia"/>
          <w:color w:val="auto"/>
          <w:highlight w:val="none"/>
          <w:lang w:eastAsia="zh-CN"/>
        </w:rPr>
        <w:t>均</w:t>
      </w:r>
      <w:r>
        <w:rPr>
          <w:color w:val="auto"/>
          <w:highlight w:val="none"/>
        </w:rPr>
        <w:t>最大降雨量，</w:t>
      </w:r>
      <w:r>
        <w:rPr>
          <w:rFonts w:hint="eastAsia"/>
          <w:color w:val="auto"/>
          <w:highlight w:val="none"/>
        </w:rPr>
        <w:t>根据</w:t>
      </w:r>
      <w:r>
        <w:rPr>
          <w:rFonts w:hint="eastAsia"/>
          <w:color w:val="auto"/>
          <w:highlight w:val="none"/>
          <w:lang w:eastAsia="zh-CN"/>
        </w:rPr>
        <w:t>砚山县</w:t>
      </w:r>
      <w:r>
        <w:rPr>
          <w:rFonts w:hint="eastAsia"/>
          <w:color w:val="auto"/>
          <w:highlight w:val="none"/>
        </w:rPr>
        <w:t>多年气象水文资料，20年一遇24小时最大降雨量为122.7mm</w:t>
      </w:r>
      <w:r>
        <w:rPr>
          <w:color w:val="auto"/>
          <w:highlight w:val="none"/>
        </w:rPr>
        <w:t>mm</w:t>
      </w:r>
    </w:p>
    <w:p>
      <w:pPr>
        <w:pStyle w:val="2"/>
        <w:ind w:firstLine="1200" w:firstLineChars="500"/>
        <w:jc w:val="both"/>
        <w:rPr>
          <w:rFonts w:hint="eastAsia" w:eastAsia="宋体"/>
          <w:color w:val="auto"/>
          <w:highlight w:val="none"/>
          <w:lang w:eastAsia="zh-CN"/>
        </w:rPr>
      </w:pPr>
      <w:r>
        <w:rPr>
          <w:color w:val="auto"/>
          <w:highlight w:val="none"/>
        </w:rPr>
        <w:t>A-场区面积（m</w:t>
      </w:r>
      <w:r>
        <w:rPr>
          <w:color w:val="auto"/>
          <w:highlight w:val="none"/>
          <w:vertAlign w:val="superscript"/>
        </w:rPr>
        <w:t>2</w:t>
      </w:r>
      <w:r>
        <w:rPr>
          <w:color w:val="auto"/>
          <w:highlight w:val="none"/>
        </w:rPr>
        <w:t>）</w:t>
      </w:r>
      <w:r>
        <w:rPr>
          <w:rFonts w:hint="eastAsia"/>
          <w:color w:val="auto"/>
          <w:highlight w:val="none"/>
          <w:lang w:eastAsia="zh-CN"/>
        </w:rPr>
        <w:t>，</w:t>
      </w:r>
      <w:r>
        <w:rPr>
          <w:rFonts w:ascii="Times New Roman" w:hAnsi="Times New Roman" w:eastAsia="宋体"/>
          <w:highlight w:val="none"/>
        </w:rPr>
        <w:t>项目扰动场区面积为20000m²</w:t>
      </w:r>
    </w:p>
    <w:p>
      <w:pPr>
        <w:pStyle w:val="17"/>
        <w:ind w:firstLine="480"/>
        <w:rPr>
          <w:rFonts w:ascii="Times New Roman" w:hAnsi="Times New Roman"/>
          <w:color w:val="auto"/>
          <w:highlight w:val="none"/>
        </w:rPr>
      </w:pPr>
      <w:r>
        <w:rPr>
          <w:color w:val="auto"/>
          <w:highlight w:val="none"/>
        </w:rPr>
        <w:t>C-</w:t>
      </w:r>
      <w:r>
        <w:rPr>
          <w:rFonts w:hint="eastAsia"/>
          <w:color w:val="auto"/>
          <w:highlight w:val="none"/>
        </w:rPr>
        <w:t>径流产生</w:t>
      </w:r>
      <w:r>
        <w:rPr>
          <w:color w:val="auto"/>
          <w:highlight w:val="none"/>
        </w:rPr>
        <w:t>系数，</w:t>
      </w:r>
      <w:r>
        <w:rPr>
          <w:rFonts w:hint="eastAsia"/>
          <w:color w:val="auto"/>
          <w:highlight w:val="none"/>
        </w:rPr>
        <w:t>一般取0.2-0.8，该项目取0.3（根据《室外排水设计规范（2011 年版）》（GB50014-2006），地面为非铺砌土路面，考虑0.3的径流系数）</w:t>
      </w:r>
      <w:r>
        <w:rPr>
          <w:rFonts w:hint="eastAsia" w:ascii="Times New Roman" w:hAnsi="Times New Roman"/>
          <w:color w:val="auto"/>
          <w:highlight w:val="none"/>
          <w:lang w:eastAsia="zh-CN"/>
        </w:rPr>
        <w:t>。</w:t>
      </w:r>
    </w:p>
    <w:p>
      <w:pPr>
        <w:pStyle w:val="17"/>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①露天采场区初期雨水</w:t>
      </w:r>
    </w:p>
    <w:p>
      <w:pPr>
        <w:pStyle w:val="17"/>
        <w:rPr>
          <w:rFonts w:hint="eastAsia" w:ascii="Times New Roman" w:hAnsi="Times New Roman"/>
          <w:highlight w:val="none"/>
          <w:lang w:eastAsia="zh-CN"/>
        </w:rPr>
      </w:pPr>
      <w:r>
        <w:rPr>
          <w:rFonts w:ascii="Times New Roman" w:hAnsi="Times New Roman" w:eastAsia="宋体"/>
          <w:spacing w:val="-8"/>
          <w:highlight w:val="none"/>
        </w:rPr>
        <w:t>根据项目恢复治理方案，项目采取边开采边恢复的方案进行恢复，露天采场</w:t>
      </w:r>
      <w:r>
        <w:rPr>
          <w:rFonts w:ascii="Times New Roman" w:hAnsi="Times New Roman" w:eastAsia="宋体"/>
          <w:spacing w:val="-9"/>
          <w:highlight w:val="none"/>
        </w:rPr>
        <w:t>随着采矿的工作的进行，露天采场在移动，每个时段内各露天采场的实时面积约</w:t>
      </w:r>
      <w:r>
        <w:rPr>
          <w:rFonts w:ascii="Times New Roman" w:hAnsi="Times New Roman" w:eastAsia="宋体"/>
          <w:spacing w:val="-25"/>
          <w:highlight w:val="none"/>
        </w:rPr>
        <w:t xml:space="preserve">为 </w:t>
      </w:r>
      <w:r>
        <w:rPr>
          <w:rFonts w:ascii="Times New Roman" w:hAnsi="Times New Roman" w:eastAsia="宋体"/>
          <w:highlight w:val="none"/>
        </w:rPr>
        <w:t>4000m²</w:t>
      </w:r>
      <w:r>
        <w:rPr>
          <w:rFonts w:ascii="Times New Roman" w:hAnsi="Times New Roman" w:eastAsia="宋体"/>
          <w:spacing w:val="-2"/>
          <w:highlight w:val="none"/>
        </w:rPr>
        <w:t>，由上述公式计算，露天采场区雨天地表径流产生量为</w:t>
      </w:r>
      <w:r>
        <w:rPr>
          <w:rFonts w:ascii="Times New Roman" w:hAnsi="Times New Roman" w:eastAsia="宋体"/>
          <w:highlight w:val="none"/>
        </w:rPr>
        <w:t>147.24m³/d。</w:t>
      </w:r>
      <w:r>
        <w:rPr>
          <w:rFonts w:ascii="Times New Roman" w:hAnsi="Times New Roman" w:eastAsia="宋体"/>
          <w:spacing w:val="-10"/>
          <w:highlight w:val="none"/>
        </w:rPr>
        <w:t>项目收集前</w:t>
      </w:r>
      <w:r>
        <w:rPr>
          <w:rFonts w:ascii="Times New Roman" w:hAnsi="Times New Roman" w:eastAsia="宋体"/>
          <w:highlight w:val="none"/>
        </w:rPr>
        <w:t>30min</w:t>
      </w:r>
      <w:r>
        <w:rPr>
          <w:rFonts w:ascii="Times New Roman" w:hAnsi="Times New Roman" w:eastAsia="宋体"/>
          <w:spacing w:val="-11"/>
          <w:highlight w:val="none"/>
        </w:rPr>
        <w:t>雨水进行处理，处理量为</w:t>
      </w:r>
      <w:r>
        <w:rPr>
          <w:rFonts w:ascii="Times New Roman" w:hAnsi="Times New Roman" w:eastAsia="宋体"/>
          <w:spacing w:val="-6"/>
          <w:highlight w:val="none"/>
        </w:rPr>
        <w:t>3.07m³</w:t>
      </w:r>
      <w:r>
        <w:rPr>
          <w:rFonts w:ascii="Times New Roman" w:hAnsi="Times New Roman" w:eastAsia="宋体"/>
          <w:spacing w:val="-8"/>
          <w:highlight w:val="none"/>
        </w:rPr>
        <w:t>，后期雨水直排。项目拟在</w:t>
      </w:r>
      <w:r>
        <w:rPr>
          <w:rFonts w:hint="eastAsia" w:ascii="Times New Roman" w:hAnsi="Times New Roman"/>
          <w:spacing w:val="-8"/>
          <w:highlight w:val="none"/>
          <w:lang w:eastAsia="zh-CN"/>
        </w:rPr>
        <w:t>采场区</w:t>
      </w:r>
      <w:r>
        <w:rPr>
          <w:rFonts w:ascii="Times New Roman" w:hAnsi="Times New Roman" w:eastAsia="宋体"/>
          <w:spacing w:val="-8"/>
          <w:highlight w:val="none"/>
        </w:rPr>
        <w:t>地</w:t>
      </w:r>
      <w:r>
        <w:rPr>
          <w:rFonts w:ascii="Times New Roman" w:hAnsi="Times New Roman" w:eastAsia="宋体"/>
          <w:spacing w:val="-3"/>
          <w:highlight w:val="none"/>
        </w:rPr>
        <w:t>势较低处靠近排放口处设置容积为</w:t>
      </w:r>
      <w:r>
        <w:rPr>
          <w:rFonts w:hint="eastAsia" w:ascii="Times New Roman" w:hAnsi="Times New Roman"/>
          <w:highlight w:val="none"/>
          <w:lang w:val="en-US" w:eastAsia="zh-CN"/>
        </w:rPr>
        <w:t>30</w:t>
      </w:r>
      <w:r>
        <w:rPr>
          <w:rFonts w:ascii="Times New Roman" w:hAnsi="Times New Roman" w:eastAsia="宋体"/>
          <w:highlight w:val="none"/>
        </w:rPr>
        <w:t>m</w:t>
      </w:r>
      <w:r>
        <w:rPr>
          <w:rFonts w:ascii="Times New Roman" w:hAnsi="Times New Roman" w:eastAsia="宋体"/>
          <w:position w:val="8"/>
          <w:sz w:val="15"/>
          <w:highlight w:val="none"/>
        </w:rPr>
        <w:t xml:space="preserve">3 </w:t>
      </w:r>
      <w:r>
        <w:rPr>
          <w:rFonts w:ascii="Times New Roman" w:hAnsi="Times New Roman" w:eastAsia="宋体"/>
          <w:highlight w:val="none"/>
        </w:rPr>
        <w:t>的雨水沉淀池收集地表径流，经沉淀处理后装入洒水车回用于场区洒水降尘，不外排</w:t>
      </w:r>
      <w:r>
        <w:rPr>
          <w:rFonts w:hint="eastAsia" w:ascii="Times New Roman" w:hAnsi="Times New Roman"/>
          <w:highlight w:val="none"/>
          <w:lang w:eastAsia="zh-CN"/>
        </w:rPr>
        <w:t>。</w:t>
      </w:r>
    </w:p>
    <w:p>
      <w:pPr>
        <w:pStyle w:val="17"/>
        <w:rPr>
          <w:rFonts w:hint="eastAsia" w:ascii="Times New Roman" w:hAnsi="Times New Roman"/>
          <w:highlight w:val="none"/>
          <w:lang w:eastAsia="zh-CN"/>
        </w:rPr>
      </w:pPr>
      <w:r>
        <w:rPr>
          <w:rFonts w:hint="eastAsia" w:ascii="Times New Roman" w:hAnsi="Times New Roman"/>
          <w:highlight w:val="none"/>
          <w:lang w:eastAsia="zh-CN"/>
        </w:rPr>
        <w:t>②工业场地初期雨水</w:t>
      </w:r>
    </w:p>
    <w:p>
      <w:pPr>
        <w:pStyle w:val="17"/>
        <w:ind w:firstLine="480"/>
        <w:rPr>
          <w:rFonts w:hint="eastAsia"/>
          <w:color w:val="auto"/>
          <w:highlight w:val="none"/>
        </w:rPr>
      </w:pPr>
      <w:r>
        <w:rPr>
          <w:rFonts w:hint="eastAsia" w:ascii="Times New Roman" w:hAnsi="Times New Roman"/>
          <w:spacing w:val="-7"/>
          <w:highlight w:val="none"/>
          <w:lang w:eastAsia="zh-CN"/>
        </w:rPr>
        <w:t>工业场地</w:t>
      </w:r>
      <w:r>
        <w:rPr>
          <w:rFonts w:ascii="Times New Roman" w:hAnsi="Times New Roman" w:eastAsia="宋体"/>
          <w:spacing w:val="-7"/>
          <w:highlight w:val="none"/>
        </w:rPr>
        <w:t>占地面积为</w:t>
      </w:r>
      <w:r>
        <w:rPr>
          <w:rFonts w:hint="eastAsia" w:ascii="Times New Roman" w:hAnsi="Times New Roman"/>
          <w:spacing w:val="-4"/>
          <w:highlight w:val="none"/>
          <w:lang w:val="en-US" w:eastAsia="zh-CN"/>
        </w:rPr>
        <w:t>10000</w:t>
      </w:r>
      <w:r>
        <w:rPr>
          <w:rFonts w:ascii="Times New Roman" w:hAnsi="Times New Roman" w:eastAsia="宋体"/>
          <w:spacing w:val="-4"/>
          <w:highlight w:val="none"/>
        </w:rPr>
        <w:t>m</w:t>
      </w:r>
      <w:r>
        <w:rPr>
          <w:rFonts w:ascii="Times New Roman" w:hAnsi="Times New Roman" w:eastAsia="宋体"/>
          <w:spacing w:val="-4"/>
          <w:position w:val="8"/>
          <w:sz w:val="15"/>
          <w:highlight w:val="none"/>
        </w:rPr>
        <w:t>2</w:t>
      </w:r>
      <w:r>
        <w:rPr>
          <w:rFonts w:ascii="Times New Roman" w:hAnsi="Times New Roman" w:eastAsia="宋体"/>
          <w:spacing w:val="-5"/>
          <w:highlight w:val="none"/>
        </w:rPr>
        <w:t>，由上述公式计算，施工期雨天地表径流产生量</w:t>
      </w:r>
      <w:r>
        <w:rPr>
          <w:rFonts w:hint="eastAsia" w:ascii="Times New Roman" w:hAnsi="Times New Roman"/>
          <w:highlight w:val="none"/>
          <w:lang w:val="en-US" w:eastAsia="zh-CN"/>
        </w:rPr>
        <w:t>368.1</w:t>
      </w:r>
      <w:r>
        <w:rPr>
          <w:rFonts w:ascii="Times New Roman" w:hAnsi="Times New Roman" w:eastAsia="宋体"/>
          <w:highlight w:val="none"/>
        </w:rPr>
        <w:t>m³/d</w:t>
      </w:r>
      <w:r>
        <w:rPr>
          <w:rFonts w:ascii="Times New Roman" w:hAnsi="Times New Roman" w:eastAsia="宋体"/>
          <w:spacing w:val="-14"/>
          <w:highlight w:val="none"/>
        </w:rPr>
        <w:t xml:space="preserve">。项目收集前 </w:t>
      </w:r>
      <w:r>
        <w:rPr>
          <w:rFonts w:ascii="Times New Roman" w:hAnsi="Times New Roman" w:eastAsia="宋体"/>
          <w:highlight w:val="none"/>
        </w:rPr>
        <w:t>30min</w:t>
      </w:r>
      <w:r>
        <w:rPr>
          <w:rFonts w:ascii="Times New Roman" w:hAnsi="Times New Roman" w:eastAsia="宋体"/>
          <w:spacing w:val="-10"/>
          <w:highlight w:val="none"/>
        </w:rPr>
        <w:t>雨水进行处理，处理量为</w:t>
      </w:r>
      <w:r>
        <w:rPr>
          <w:rFonts w:hint="eastAsia" w:ascii="Times New Roman" w:hAnsi="Times New Roman"/>
          <w:spacing w:val="-4"/>
          <w:highlight w:val="none"/>
          <w:lang w:val="en-US" w:eastAsia="zh-CN"/>
        </w:rPr>
        <w:t>7.7</w:t>
      </w:r>
      <w:r>
        <w:rPr>
          <w:rFonts w:ascii="Times New Roman" w:hAnsi="Times New Roman" w:eastAsia="宋体"/>
          <w:spacing w:val="-4"/>
          <w:highlight w:val="none"/>
        </w:rPr>
        <w:t>m³，后期雨水直</w:t>
      </w:r>
      <w:r>
        <w:rPr>
          <w:rFonts w:ascii="Times New Roman" w:hAnsi="Times New Roman" w:eastAsia="宋体"/>
          <w:spacing w:val="-14"/>
          <w:highlight w:val="none"/>
        </w:rPr>
        <w:t>排。项目拟在</w:t>
      </w:r>
      <w:r>
        <w:rPr>
          <w:rFonts w:hint="eastAsia" w:ascii="Times New Roman" w:hAnsi="Times New Roman"/>
          <w:spacing w:val="-14"/>
          <w:highlight w:val="none"/>
          <w:lang w:eastAsia="zh-CN"/>
        </w:rPr>
        <w:t>工业场地</w:t>
      </w:r>
      <w:r>
        <w:rPr>
          <w:rFonts w:ascii="Times New Roman" w:hAnsi="Times New Roman" w:eastAsia="宋体"/>
          <w:spacing w:val="-14"/>
          <w:highlight w:val="none"/>
        </w:rPr>
        <w:t>地势较低处靠近排放口处设置容积为</w:t>
      </w:r>
      <w:r>
        <w:rPr>
          <w:rFonts w:hint="eastAsia" w:ascii="Times New Roman" w:hAnsi="Times New Roman"/>
          <w:spacing w:val="-14"/>
          <w:highlight w:val="none"/>
          <w:lang w:val="en-US" w:eastAsia="zh-CN"/>
        </w:rPr>
        <w:t>160</w:t>
      </w:r>
      <w:r>
        <w:rPr>
          <w:rFonts w:ascii="Times New Roman" w:hAnsi="Times New Roman" w:eastAsia="宋体"/>
          <w:highlight w:val="none"/>
        </w:rPr>
        <w:t>m</w:t>
      </w:r>
      <w:r>
        <w:rPr>
          <w:rFonts w:ascii="Times New Roman" w:hAnsi="Times New Roman" w:eastAsia="宋体"/>
          <w:position w:val="8"/>
          <w:sz w:val="15"/>
          <w:highlight w:val="none"/>
        </w:rPr>
        <w:t xml:space="preserve">3 </w:t>
      </w:r>
      <w:r>
        <w:rPr>
          <w:rFonts w:ascii="Times New Roman" w:hAnsi="Times New Roman" w:eastAsia="宋体"/>
          <w:highlight w:val="none"/>
        </w:rPr>
        <w:t>的雨水沉淀池收集地表径流，经沉淀处理后装入洒水车回用于场区洒水降尘，不外排</w:t>
      </w:r>
      <w:r>
        <w:rPr>
          <w:rFonts w:hint="eastAsia" w:ascii="Times New Roman" w:hAnsi="Times New Roman"/>
          <w:highlight w:val="none"/>
          <w:lang w:eastAsia="zh-CN"/>
        </w:rPr>
        <w:t>。</w:t>
      </w:r>
    </w:p>
    <w:p>
      <w:pPr>
        <w:ind w:firstLine="480"/>
        <w:rPr>
          <w:highlight w:val="none"/>
        </w:rPr>
      </w:pPr>
      <w:r>
        <w:rPr>
          <w:rFonts w:hint="eastAsia"/>
          <w:bCs/>
          <w:highlight w:val="none"/>
          <w:lang w:eastAsia="zh-CN"/>
        </w:rPr>
        <w:t>综上，</w:t>
      </w:r>
      <w:r>
        <w:rPr>
          <w:rFonts w:hint="eastAsia"/>
          <w:bCs/>
          <w:highlight w:val="none"/>
        </w:rPr>
        <w:t>项目用排水情况见表</w:t>
      </w:r>
      <w:r>
        <w:rPr>
          <w:rFonts w:hint="eastAsia"/>
          <w:bCs/>
          <w:highlight w:val="none"/>
          <w:lang w:val="en-US" w:eastAsia="zh-CN"/>
        </w:rPr>
        <w:t>3.3-1</w:t>
      </w:r>
      <w:r>
        <w:rPr>
          <w:rFonts w:hint="eastAsia"/>
          <w:bCs/>
          <w:highlight w:val="none"/>
        </w:rPr>
        <w:t>所示；用水平衡图见图</w:t>
      </w:r>
      <w:r>
        <w:rPr>
          <w:rFonts w:hint="eastAsia"/>
          <w:bCs/>
          <w:highlight w:val="none"/>
          <w:lang w:val="en-US" w:eastAsia="zh-CN"/>
        </w:rPr>
        <w:t>3.3-1和图3.3-2</w:t>
      </w:r>
      <w:r>
        <w:rPr>
          <w:rFonts w:hint="eastAsia"/>
          <w:bCs/>
          <w:highlight w:val="none"/>
        </w:rPr>
        <w:t>所示</w:t>
      </w:r>
      <w:r>
        <w:rPr>
          <w:rFonts w:hint="eastAsia"/>
          <w:highlight w:val="none"/>
        </w:rPr>
        <w:t>：</w:t>
      </w:r>
    </w:p>
    <w:p>
      <w:pPr>
        <w:ind w:firstLine="422"/>
        <w:jc w:val="center"/>
        <w:rPr>
          <w:b/>
          <w:bCs/>
          <w:sz w:val="21"/>
          <w:szCs w:val="21"/>
          <w:highlight w:val="none"/>
        </w:rPr>
      </w:pPr>
    </w:p>
    <w:p>
      <w:pPr>
        <w:ind w:firstLine="422"/>
        <w:jc w:val="center"/>
        <w:rPr>
          <w:b/>
          <w:bCs/>
          <w:sz w:val="21"/>
          <w:szCs w:val="21"/>
          <w:highlight w:val="none"/>
        </w:rPr>
      </w:pPr>
      <w:r>
        <w:rPr>
          <w:b/>
          <w:bCs/>
          <w:sz w:val="21"/>
          <w:szCs w:val="21"/>
          <w:highlight w:val="none"/>
        </w:rPr>
        <w:t>表</w:t>
      </w:r>
      <w:r>
        <w:rPr>
          <w:rFonts w:hint="eastAsia"/>
          <w:b/>
          <w:bCs/>
          <w:sz w:val="21"/>
          <w:szCs w:val="21"/>
          <w:highlight w:val="none"/>
          <w:lang w:val="en-US" w:eastAsia="zh-CN"/>
        </w:rPr>
        <w:t>3.3-1</w:t>
      </w:r>
      <w:r>
        <w:rPr>
          <w:b/>
          <w:bCs/>
          <w:sz w:val="21"/>
          <w:szCs w:val="21"/>
          <w:highlight w:val="none"/>
        </w:rPr>
        <w:t xml:space="preserve">  项目</w:t>
      </w:r>
      <w:r>
        <w:rPr>
          <w:rFonts w:hint="eastAsia"/>
          <w:b/>
          <w:bCs/>
          <w:sz w:val="21"/>
          <w:szCs w:val="21"/>
          <w:highlight w:val="none"/>
        </w:rPr>
        <w:t>用排水</w:t>
      </w:r>
      <w:r>
        <w:rPr>
          <w:b/>
          <w:bCs/>
          <w:sz w:val="21"/>
          <w:szCs w:val="21"/>
          <w:highlight w:val="none"/>
        </w:rPr>
        <w:t>情况一览表</w:t>
      </w:r>
    </w:p>
    <w:tbl>
      <w:tblPr>
        <w:tblStyle w:val="29"/>
        <w:tblW w:w="89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961"/>
        <w:gridCol w:w="1388"/>
        <w:gridCol w:w="1275"/>
        <w:gridCol w:w="2660"/>
        <w:gridCol w:w="856"/>
        <w:gridCol w:w="1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783" w:type="dxa"/>
            <w:gridSpan w:val="2"/>
            <w:shd w:val="clear" w:color="auto" w:fill="auto"/>
            <w:vAlign w:val="center"/>
          </w:tcPr>
          <w:p>
            <w:pPr>
              <w:spacing w:line="240" w:lineRule="auto"/>
              <w:ind w:firstLine="0" w:firstLineChars="0"/>
              <w:jc w:val="center"/>
              <w:rPr>
                <w:b/>
                <w:bCs/>
                <w:snapToGrid w:val="0"/>
                <w:sz w:val="21"/>
                <w:szCs w:val="21"/>
                <w:highlight w:val="none"/>
              </w:rPr>
            </w:pPr>
            <w:r>
              <w:rPr>
                <w:b/>
                <w:bCs/>
                <w:snapToGrid w:val="0"/>
                <w:sz w:val="21"/>
                <w:szCs w:val="21"/>
                <w:highlight w:val="none"/>
              </w:rPr>
              <w:t>用水项目</w:t>
            </w:r>
          </w:p>
        </w:tc>
        <w:tc>
          <w:tcPr>
            <w:tcW w:w="1388" w:type="dxa"/>
            <w:shd w:val="clear" w:color="auto" w:fill="auto"/>
            <w:vAlign w:val="center"/>
          </w:tcPr>
          <w:p>
            <w:pPr>
              <w:spacing w:line="240" w:lineRule="auto"/>
              <w:ind w:firstLine="0" w:firstLineChars="0"/>
              <w:jc w:val="center"/>
              <w:rPr>
                <w:b/>
                <w:bCs/>
                <w:snapToGrid w:val="0"/>
                <w:sz w:val="21"/>
                <w:szCs w:val="21"/>
                <w:highlight w:val="none"/>
              </w:rPr>
            </w:pPr>
            <w:r>
              <w:rPr>
                <w:b/>
                <w:bCs/>
                <w:snapToGrid w:val="0"/>
                <w:sz w:val="21"/>
                <w:szCs w:val="21"/>
                <w:highlight w:val="none"/>
              </w:rPr>
              <w:t>用水量</w:t>
            </w:r>
            <w:r>
              <w:rPr>
                <w:rFonts w:hint="eastAsia"/>
                <w:b/>
                <w:bCs/>
                <w:snapToGrid w:val="0"/>
                <w:sz w:val="21"/>
                <w:szCs w:val="21"/>
                <w:highlight w:val="none"/>
              </w:rPr>
              <w:t>系数</w:t>
            </w:r>
          </w:p>
        </w:tc>
        <w:tc>
          <w:tcPr>
            <w:tcW w:w="1275" w:type="dxa"/>
            <w:shd w:val="clear" w:color="auto" w:fill="auto"/>
            <w:vAlign w:val="center"/>
          </w:tcPr>
          <w:p>
            <w:pPr>
              <w:spacing w:line="240" w:lineRule="auto"/>
              <w:ind w:firstLine="0" w:firstLineChars="0"/>
              <w:jc w:val="center"/>
              <w:rPr>
                <w:b/>
                <w:bCs/>
                <w:snapToGrid w:val="0"/>
                <w:sz w:val="21"/>
                <w:szCs w:val="21"/>
                <w:highlight w:val="none"/>
              </w:rPr>
            </w:pPr>
            <w:r>
              <w:rPr>
                <w:b/>
                <w:bCs/>
                <w:snapToGrid w:val="0"/>
                <w:sz w:val="21"/>
                <w:szCs w:val="21"/>
                <w:highlight w:val="none"/>
              </w:rPr>
              <w:t>数量</w:t>
            </w:r>
          </w:p>
        </w:tc>
        <w:tc>
          <w:tcPr>
            <w:tcW w:w="2660" w:type="dxa"/>
            <w:shd w:val="clear" w:color="auto" w:fill="auto"/>
            <w:vAlign w:val="center"/>
          </w:tcPr>
          <w:p>
            <w:pPr>
              <w:spacing w:line="240" w:lineRule="auto"/>
              <w:ind w:firstLine="0" w:firstLineChars="0"/>
              <w:jc w:val="center"/>
              <w:rPr>
                <w:b/>
                <w:bCs/>
                <w:snapToGrid w:val="0"/>
                <w:color w:val="auto"/>
                <w:sz w:val="21"/>
                <w:szCs w:val="21"/>
                <w:highlight w:val="none"/>
              </w:rPr>
            </w:pPr>
            <w:r>
              <w:rPr>
                <w:b/>
                <w:bCs/>
                <w:snapToGrid w:val="0"/>
                <w:color w:val="auto"/>
                <w:sz w:val="21"/>
                <w:szCs w:val="21"/>
                <w:highlight w:val="none"/>
              </w:rPr>
              <w:t>用水量（m</w:t>
            </w:r>
            <w:r>
              <w:rPr>
                <w:b/>
                <w:bCs/>
                <w:snapToGrid w:val="0"/>
                <w:color w:val="auto"/>
                <w:sz w:val="21"/>
                <w:szCs w:val="21"/>
                <w:highlight w:val="none"/>
                <w:vertAlign w:val="superscript"/>
              </w:rPr>
              <w:t>3</w:t>
            </w:r>
            <w:r>
              <w:rPr>
                <w:b/>
                <w:bCs/>
                <w:snapToGrid w:val="0"/>
                <w:color w:val="auto"/>
                <w:sz w:val="21"/>
                <w:szCs w:val="21"/>
                <w:highlight w:val="none"/>
              </w:rPr>
              <w:t>/d）</w:t>
            </w:r>
          </w:p>
        </w:tc>
        <w:tc>
          <w:tcPr>
            <w:tcW w:w="856" w:type="dxa"/>
            <w:shd w:val="clear" w:color="auto" w:fill="auto"/>
            <w:vAlign w:val="center"/>
          </w:tcPr>
          <w:p>
            <w:pPr>
              <w:spacing w:line="240" w:lineRule="auto"/>
              <w:ind w:firstLine="0" w:firstLineChars="0"/>
              <w:jc w:val="center"/>
              <w:rPr>
                <w:b/>
                <w:bCs/>
                <w:snapToGrid w:val="0"/>
                <w:sz w:val="21"/>
                <w:szCs w:val="21"/>
                <w:highlight w:val="none"/>
              </w:rPr>
            </w:pPr>
            <w:r>
              <w:rPr>
                <w:b/>
                <w:bCs/>
                <w:snapToGrid w:val="0"/>
                <w:sz w:val="21"/>
                <w:szCs w:val="21"/>
                <w:highlight w:val="none"/>
              </w:rPr>
              <w:t>产污</w:t>
            </w:r>
          </w:p>
          <w:p>
            <w:pPr>
              <w:spacing w:line="240" w:lineRule="auto"/>
              <w:ind w:firstLine="0" w:firstLineChars="0"/>
              <w:jc w:val="center"/>
              <w:rPr>
                <w:b/>
                <w:bCs/>
                <w:snapToGrid w:val="0"/>
                <w:sz w:val="21"/>
                <w:szCs w:val="21"/>
                <w:highlight w:val="none"/>
              </w:rPr>
            </w:pPr>
            <w:r>
              <w:rPr>
                <w:b/>
                <w:bCs/>
                <w:snapToGrid w:val="0"/>
                <w:sz w:val="21"/>
                <w:szCs w:val="21"/>
                <w:highlight w:val="none"/>
              </w:rPr>
              <w:t>系数</w:t>
            </w:r>
          </w:p>
        </w:tc>
        <w:tc>
          <w:tcPr>
            <w:tcW w:w="1018" w:type="dxa"/>
            <w:shd w:val="clear" w:color="auto" w:fill="auto"/>
            <w:vAlign w:val="center"/>
          </w:tcPr>
          <w:p>
            <w:pPr>
              <w:spacing w:line="240" w:lineRule="auto"/>
              <w:ind w:firstLine="0" w:firstLineChars="0"/>
              <w:jc w:val="center"/>
              <w:rPr>
                <w:b/>
                <w:bCs/>
                <w:snapToGrid w:val="0"/>
                <w:sz w:val="21"/>
                <w:szCs w:val="21"/>
                <w:highlight w:val="none"/>
              </w:rPr>
            </w:pPr>
            <w:r>
              <w:rPr>
                <w:b/>
                <w:bCs/>
                <w:snapToGrid w:val="0"/>
                <w:sz w:val="21"/>
                <w:szCs w:val="21"/>
                <w:highlight w:val="none"/>
              </w:rPr>
              <w:t>产生量</w:t>
            </w:r>
          </w:p>
          <w:p>
            <w:pPr>
              <w:spacing w:line="240" w:lineRule="auto"/>
              <w:ind w:firstLine="0" w:firstLineChars="0"/>
              <w:jc w:val="center"/>
              <w:rPr>
                <w:b/>
                <w:bCs/>
                <w:snapToGrid w:val="0"/>
                <w:sz w:val="21"/>
                <w:szCs w:val="21"/>
                <w:highlight w:val="none"/>
              </w:rPr>
            </w:pPr>
            <w:r>
              <w:rPr>
                <w:b/>
                <w:bCs/>
                <w:snapToGrid w:val="0"/>
                <w:sz w:val="21"/>
                <w:szCs w:val="21"/>
                <w:highlight w:val="none"/>
              </w:rPr>
              <w:t>（m</w:t>
            </w:r>
            <w:r>
              <w:rPr>
                <w:b/>
                <w:bCs/>
                <w:snapToGrid w:val="0"/>
                <w:sz w:val="21"/>
                <w:szCs w:val="21"/>
                <w:highlight w:val="none"/>
                <w:vertAlign w:val="superscript"/>
              </w:rPr>
              <w:t>3</w:t>
            </w:r>
            <w:r>
              <w:rPr>
                <w:b/>
                <w:bCs/>
                <w:snapToGrid w:val="0"/>
                <w:sz w:val="21"/>
                <w:szCs w:val="21"/>
                <w:highlight w:val="none"/>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783" w:type="dxa"/>
            <w:gridSpan w:val="2"/>
            <w:vAlign w:val="center"/>
          </w:tcPr>
          <w:p>
            <w:pPr>
              <w:spacing w:line="240" w:lineRule="auto"/>
              <w:ind w:firstLine="0" w:firstLineChars="0"/>
              <w:jc w:val="center"/>
              <w:rPr>
                <w:snapToGrid w:val="0"/>
                <w:sz w:val="21"/>
                <w:szCs w:val="21"/>
                <w:highlight w:val="none"/>
              </w:rPr>
            </w:pPr>
            <w:r>
              <w:rPr>
                <w:rFonts w:hint="eastAsia"/>
                <w:snapToGrid w:val="0"/>
                <w:sz w:val="21"/>
                <w:szCs w:val="21"/>
                <w:highlight w:val="none"/>
              </w:rPr>
              <w:t>生活用水</w:t>
            </w:r>
          </w:p>
        </w:tc>
        <w:tc>
          <w:tcPr>
            <w:tcW w:w="1388" w:type="dxa"/>
            <w:vAlign w:val="center"/>
          </w:tcPr>
          <w:p>
            <w:pPr>
              <w:spacing w:line="240" w:lineRule="auto"/>
              <w:ind w:firstLine="0" w:firstLineChars="0"/>
              <w:jc w:val="center"/>
              <w:rPr>
                <w:snapToGrid w:val="0"/>
                <w:sz w:val="21"/>
                <w:szCs w:val="21"/>
                <w:highlight w:val="none"/>
              </w:rPr>
            </w:pPr>
            <w:r>
              <w:rPr>
                <w:rFonts w:hint="eastAsia"/>
                <w:snapToGrid w:val="0"/>
                <w:sz w:val="21"/>
                <w:szCs w:val="21"/>
                <w:highlight w:val="none"/>
                <w:lang w:val="en-US" w:eastAsia="zh-CN"/>
              </w:rPr>
              <w:t>30</w:t>
            </w:r>
            <w:r>
              <w:rPr>
                <w:rFonts w:hint="eastAsia"/>
                <w:snapToGrid w:val="0"/>
                <w:sz w:val="21"/>
                <w:szCs w:val="21"/>
                <w:highlight w:val="none"/>
              </w:rPr>
              <w:t>L/</w:t>
            </w:r>
            <w:r>
              <w:rPr>
                <w:snapToGrid w:val="0"/>
                <w:sz w:val="21"/>
                <w:szCs w:val="21"/>
                <w:highlight w:val="none"/>
              </w:rPr>
              <w:t>（人·d）</w:t>
            </w:r>
          </w:p>
        </w:tc>
        <w:tc>
          <w:tcPr>
            <w:tcW w:w="1275" w:type="dxa"/>
            <w:vAlign w:val="center"/>
          </w:tcPr>
          <w:p>
            <w:pPr>
              <w:spacing w:line="240" w:lineRule="auto"/>
              <w:ind w:firstLine="0" w:firstLineChars="0"/>
              <w:jc w:val="center"/>
              <w:rPr>
                <w:snapToGrid w:val="0"/>
                <w:sz w:val="21"/>
                <w:szCs w:val="21"/>
                <w:highlight w:val="none"/>
              </w:rPr>
            </w:pPr>
            <w:r>
              <w:rPr>
                <w:rFonts w:hint="eastAsia"/>
                <w:snapToGrid w:val="0"/>
                <w:sz w:val="21"/>
                <w:szCs w:val="21"/>
                <w:highlight w:val="none"/>
                <w:lang w:val="en-US" w:eastAsia="zh-CN"/>
              </w:rPr>
              <w:t>20</w:t>
            </w:r>
            <w:r>
              <w:rPr>
                <w:rFonts w:hint="eastAsia"/>
                <w:snapToGrid w:val="0"/>
                <w:sz w:val="21"/>
                <w:szCs w:val="21"/>
                <w:highlight w:val="none"/>
              </w:rPr>
              <w:t>人</w:t>
            </w:r>
          </w:p>
        </w:tc>
        <w:tc>
          <w:tcPr>
            <w:tcW w:w="2660" w:type="dxa"/>
            <w:vAlign w:val="center"/>
          </w:tcPr>
          <w:p>
            <w:pPr>
              <w:spacing w:line="240" w:lineRule="auto"/>
              <w:ind w:firstLine="0" w:firstLineChars="0"/>
              <w:jc w:val="center"/>
              <w:rPr>
                <w:rFonts w:hint="default" w:eastAsia="宋体"/>
                <w:snapToGrid w:val="0"/>
                <w:color w:val="auto"/>
                <w:sz w:val="21"/>
                <w:szCs w:val="21"/>
                <w:highlight w:val="none"/>
                <w:lang w:val="en-US" w:eastAsia="zh-CN"/>
              </w:rPr>
            </w:pPr>
            <w:r>
              <w:rPr>
                <w:rFonts w:hint="eastAsia"/>
                <w:snapToGrid w:val="0"/>
                <w:color w:val="auto"/>
                <w:sz w:val="21"/>
                <w:szCs w:val="21"/>
                <w:highlight w:val="none"/>
                <w:lang w:val="en-US" w:eastAsia="zh-CN"/>
              </w:rPr>
              <w:t>0.6</w:t>
            </w:r>
          </w:p>
        </w:tc>
        <w:tc>
          <w:tcPr>
            <w:tcW w:w="856" w:type="dxa"/>
            <w:vAlign w:val="center"/>
          </w:tcPr>
          <w:p>
            <w:pPr>
              <w:spacing w:line="240" w:lineRule="auto"/>
              <w:ind w:firstLine="0" w:firstLineChars="0"/>
              <w:jc w:val="center"/>
              <w:rPr>
                <w:snapToGrid w:val="0"/>
                <w:sz w:val="21"/>
                <w:szCs w:val="21"/>
                <w:highlight w:val="none"/>
              </w:rPr>
            </w:pPr>
            <w:r>
              <w:rPr>
                <w:rFonts w:hint="eastAsia"/>
                <w:snapToGrid w:val="0"/>
                <w:sz w:val="21"/>
                <w:szCs w:val="21"/>
                <w:highlight w:val="none"/>
              </w:rPr>
              <w:t>0.8</w:t>
            </w:r>
          </w:p>
        </w:tc>
        <w:tc>
          <w:tcPr>
            <w:tcW w:w="1018" w:type="dxa"/>
            <w:vAlign w:val="center"/>
          </w:tcPr>
          <w:p>
            <w:pPr>
              <w:spacing w:line="240" w:lineRule="auto"/>
              <w:ind w:firstLine="0" w:firstLineChars="0"/>
              <w:jc w:val="center"/>
              <w:rPr>
                <w:rFonts w:hint="default" w:eastAsia="宋体"/>
                <w:snapToGrid w:val="0"/>
                <w:sz w:val="21"/>
                <w:szCs w:val="21"/>
                <w:highlight w:val="none"/>
                <w:lang w:val="en-US" w:eastAsia="zh-CN"/>
              </w:rPr>
            </w:pPr>
            <w:r>
              <w:rPr>
                <w:rFonts w:hint="eastAsia"/>
                <w:snapToGrid w:val="0"/>
                <w:sz w:val="21"/>
                <w:szCs w:val="21"/>
                <w:highlight w:val="none"/>
                <w:lang w:val="en-US" w:eastAsia="zh-CN"/>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822" w:type="dxa"/>
            <w:vMerge w:val="restart"/>
            <w:vAlign w:val="center"/>
          </w:tcPr>
          <w:p>
            <w:pPr>
              <w:spacing w:line="240" w:lineRule="auto"/>
              <w:ind w:firstLine="0" w:firstLineChars="0"/>
              <w:jc w:val="center"/>
              <w:rPr>
                <w:snapToGrid w:val="0"/>
                <w:sz w:val="21"/>
                <w:szCs w:val="21"/>
                <w:highlight w:val="none"/>
              </w:rPr>
            </w:pPr>
            <w:r>
              <w:rPr>
                <w:rFonts w:hint="eastAsia"/>
                <w:snapToGrid w:val="0"/>
                <w:sz w:val="21"/>
                <w:szCs w:val="21"/>
                <w:highlight w:val="none"/>
              </w:rPr>
              <w:t>生产用水</w:t>
            </w:r>
          </w:p>
        </w:tc>
        <w:tc>
          <w:tcPr>
            <w:tcW w:w="961" w:type="dxa"/>
            <w:vAlign w:val="center"/>
          </w:tcPr>
          <w:p>
            <w:pPr>
              <w:spacing w:line="240" w:lineRule="auto"/>
              <w:ind w:firstLine="0" w:firstLineChars="0"/>
              <w:jc w:val="center"/>
              <w:rPr>
                <w:rFonts w:hint="eastAsia"/>
                <w:snapToGrid w:val="0"/>
                <w:sz w:val="21"/>
                <w:szCs w:val="21"/>
                <w:highlight w:val="none"/>
              </w:rPr>
            </w:pPr>
            <w:r>
              <w:rPr>
                <w:rFonts w:hint="eastAsia"/>
                <w:snapToGrid w:val="0"/>
                <w:sz w:val="21"/>
                <w:szCs w:val="21"/>
                <w:highlight w:val="none"/>
              </w:rPr>
              <w:t>钻孔</w:t>
            </w:r>
          </w:p>
          <w:p>
            <w:pPr>
              <w:spacing w:line="240" w:lineRule="auto"/>
              <w:ind w:firstLine="0" w:firstLineChars="0"/>
              <w:jc w:val="center"/>
              <w:rPr>
                <w:snapToGrid w:val="0"/>
                <w:sz w:val="21"/>
                <w:szCs w:val="21"/>
                <w:highlight w:val="none"/>
              </w:rPr>
            </w:pPr>
            <w:r>
              <w:rPr>
                <w:rFonts w:hint="eastAsia"/>
                <w:snapToGrid w:val="0"/>
                <w:sz w:val="21"/>
                <w:szCs w:val="21"/>
                <w:highlight w:val="none"/>
              </w:rPr>
              <w:t>用水</w:t>
            </w:r>
          </w:p>
        </w:tc>
        <w:tc>
          <w:tcPr>
            <w:tcW w:w="1388" w:type="dxa"/>
            <w:vAlign w:val="center"/>
          </w:tcPr>
          <w:p>
            <w:pPr>
              <w:spacing w:line="240" w:lineRule="auto"/>
              <w:ind w:firstLine="0" w:firstLineChars="0"/>
              <w:jc w:val="center"/>
              <w:rPr>
                <w:snapToGrid w:val="0"/>
                <w:sz w:val="21"/>
                <w:szCs w:val="21"/>
                <w:highlight w:val="none"/>
              </w:rPr>
            </w:pPr>
            <w:r>
              <w:rPr>
                <w:sz w:val="21"/>
                <w:szCs w:val="21"/>
                <w:highlight w:val="none"/>
              </w:rPr>
              <w:t>8L/min/台</w:t>
            </w:r>
          </w:p>
        </w:tc>
        <w:tc>
          <w:tcPr>
            <w:tcW w:w="1275" w:type="dxa"/>
            <w:vAlign w:val="center"/>
          </w:tcPr>
          <w:p>
            <w:pPr>
              <w:spacing w:line="240" w:lineRule="auto"/>
              <w:ind w:firstLine="0" w:firstLineChars="0"/>
              <w:jc w:val="center"/>
              <w:rPr>
                <w:snapToGrid w:val="0"/>
                <w:sz w:val="21"/>
                <w:szCs w:val="21"/>
                <w:highlight w:val="none"/>
              </w:rPr>
            </w:pPr>
            <w:r>
              <w:rPr>
                <w:rFonts w:hint="eastAsia"/>
                <w:snapToGrid w:val="0"/>
                <w:sz w:val="21"/>
                <w:szCs w:val="21"/>
                <w:highlight w:val="none"/>
              </w:rPr>
              <w:t>2台（2h）</w:t>
            </w:r>
          </w:p>
        </w:tc>
        <w:tc>
          <w:tcPr>
            <w:tcW w:w="2660" w:type="dxa"/>
            <w:vAlign w:val="center"/>
          </w:tcPr>
          <w:p>
            <w:pPr>
              <w:spacing w:line="240" w:lineRule="auto"/>
              <w:ind w:firstLine="0" w:firstLineChars="0"/>
              <w:jc w:val="center"/>
              <w:rPr>
                <w:rFonts w:hint="default" w:eastAsia="宋体"/>
                <w:snapToGrid w:val="0"/>
                <w:color w:val="auto"/>
                <w:sz w:val="21"/>
                <w:szCs w:val="21"/>
                <w:highlight w:val="none"/>
                <w:lang w:val="en-US" w:eastAsia="zh-CN"/>
              </w:rPr>
            </w:pPr>
            <w:r>
              <w:rPr>
                <w:rFonts w:hint="eastAsia"/>
                <w:snapToGrid w:val="0"/>
                <w:color w:val="auto"/>
                <w:sz w:val="21"/>
                <w:szCs w:val="21"/>
                <w:highlight w:val="none"/>
                <w:lang w:val="en-US" w:eastAsia="zh-CN"/>
              </w:rPr>
              <w:t>1.92</w:t>
            </w:r>
          </w:p>
        </w:tc>
        <w:tc>
          <w:tcPr>
            <w:tcW w:w="856" w:type="dxa"/>
            <w:vAlign w:val="center"/>
          </w:tcPr>
          <w:p>
            <w:pPr>
              <w:spacing w:line="240" w:lineRule="auto"/>
              <w:ind w:firstLine="0" w:firstLineChars="0"/>
              <w:jc w:val="center"/>
              <w:rPr>
                <w:snapToGrid w:val="0"/>
                <w:sz w:val="21"/>
                <w:szCs w:val="21"/>
                <w:highlight w:val="none"/>
              </w:rPr>
            </w:pPr>
            <w:r>
              <w:rPr>
                <w:rFonts w:hint="eastAsia"/>
                <w:snapToGrid w:val="0"/>
                <w:sz w:val="21"/>
                <w:szCs w:val="21"/>
                <w:highlight w:val="none"/>
              </w:rPr>
              <w:t>0</w:t>
            </w:r>
          </w:p>
        </w:tc>
        <w:tc>
          <w:tcPr>
            <w:tcW w:w="1018" w:type="dxa"/>
            <w:vAlign w:val="center"/>
          </w:tcPr>
          <w:p>
            <w:pPr>
              <w:spacing w:line="240" w:lineRule="auto"/>
              <w:ind w:firstLine="0" w:firstLineChars="0"/>
              <w:jc w:val="center"/>
              <w:rPr>
                <w:snapToGrid w:val="0"/>
                <w:sz w:val="21"/>
                <w:szCs w:val="21"/>
                <w:highlight w:val="none"/>
              </w:rPr>
            </w:pPr>
            <w:r>
              <w:rPr>
                <w:rFonts w:hint="eastAsia"/>
                <w:snapToGrid w:val="0"/>
                <w:sz w:val="21"/>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822" w:type="dxa"/>
            <w:vMerge w:val="continue"/>
            <w:vAlign w:val="center"/>
          </w:tcPr>
          <w:p>
            <w:pPr>
              <w:spacing w:line="240" w:lineRule="auto"/>
              <w:ind w:firstLine="0" w:firstLineChars="0"/>
              <w:jc w:val="center"/>
              <w:rPr>
                <w:snapToGrid w:val="0"/>
                <w:sz w:val="21"/>
                <w:szCs w:val="21"/>
                <w:highlight w:val="none"/>
              </w:rPr>
            </w:pPr>
          </w:p>
        </w:tc>
        <w:tc>
          <w:tcPr>
            <w:tcW w:w="961" w:type="dxa"/>
            <w:vAlign w:val="center"/>
          </w:tcPr>
          <w:p>
            <w:pPr>
              <w:spacing w:line="240" w:lineRule="auto"/>
              <w:ind w:firstLine="0" w:firstLineChars="0"/>
              <w:jc w:val="center"/>
              <w:rPr>
                <w:snapToGrid w:val="0"/>
                <w:sz w:val="21"/>
                <w:szCs w:val="21"/>
                <w:highlight w:val="none"/>
              </w:rPr>
            </w:pPr>
            <w:r>
              <w:rPr>
                <w:rFonts w:hint="eastAsia"/>
                <w:snapToGrid w:val="0"/>
                <w:sz w:val="21"/>
                <w:szCs w:val="21"/>
                <w:highlight w:val="none"/>
              </w:rPr>
              <w:t>采场降尘用水</w:t>
            </w:r>
          </w:p>
        </w:tc>
        <w:tc>
          <w:tcPr>
            <w:tcW w:w="1388" w:type="dxa"/>
            <w:vAlign w:val="center"/>
          </w:tcPr>
          <w:p>
            <w:pPr>
              <w:spacing w:line="240" w:lineRule="auto"/>
              <w:ind w:firstLine="0" w:firstLineChars="0"/>
              <w:jc w:val="center"/>
              <w:rPr>
                <w:rFonts w:hint="default" w:eastAsia="宋体"/>
                <w:snapToGrid w:val="0"/>
                <w:sz w:val="21"/>
                <w:szCs w:val="21"/>
                <w:highlight w:val="none"/>
                <w:lang w:val="en-US" w:eastAsia="zh-CN"/>
              </w:rPr>
            </w:pPr>
            <w:r>
              <w:rPr>
                <w:rFonts w:ascii="Times New Roman" w:hAnsi="Times New Roman" w:eastAsia="宋体"/>
                <w:sz w:val="21"/>
                <w:szCs w:val="21"/>
                <w:highlight w:val="none"/>
              </w:rPr>
              <w:t>2L/m²·d</w:t>
            </w:r>
          </w:p>
        </w:tc>
        <w:tc>
          <w:tcPr>
            <w:tcW w:w="1275" w:type="dxa"/>
            <w:vAlign w:val="center"/>
          </w:tcPr>
          <w:p>
            <w:pPr>
              <w:spacing w:line="240" w:lineRule="auto"/>
              <w:ind w:firstLine="0" w:firstLineChars="0"/>
              <w:jc w:val="center"/>
              <w:rPr>
                <w:rFonts w:hint="default" w:eastAsia="宋体"/>
                <w:snapToGrid w:val="0"/>
                <w:sz w:val="21"/>
                <w:szCs w:val="21"/>
                <w:highlight w:val="none"/>
                <w:lang w:val="en-US" w:eastAsia="zh-CN"/>
              </w:rPr>
            </w:pPr>
            <w:r>
              <w:rPr>
                <w:rFonts w:hint="eastAsia"/>
                <w:snapToGrid w:val="0"/>
                <w:sz w:val="21"/>
                <w:szCs w:val="21"/>
                <w:highlight w:val="none"/>
                <w:lang w:val="en-US" w:eastAsia="zh-CN"/>
              </w:rPr>
              <w:t>4000m</w:t>
            </w:r>
            <w:r>
              <w:rPr>
                <w:rFonts w:hint="eastAsia"/>
                <w:snapToGrid w:val="0"/>
                <w:sz w:val="21"/>
                <w:szCs w:val="21"/>
                <w:highlight w:val="none"/>
                <w:vertAlign w:val="superscript"/>
                <w:lang w:val="en-US" w:eastAsia="zh-CN"/>
              </w:rPr>
              <w:t>2</w:t>
            </w:r>
          </w:p>
        </w:tc>
        <w:tc>
          <w:tcPr>
            <w:tcW w:w="2660" w:type="dxa"/>
            <w:vAlign w:val="center"/>
          </w:tcPr>
          <w:p>
            <w:pPr>
              <w:spacing w:line="240" w:lineRule="auto"/>
              <w:ind w:firstLine="0" w:firstLineChars="0"/>
              <w:jc w:val="center"/>
              <w:rPr>
                <w:rFonts w:hint="default" w:eastAsia="宋体"/>
                <w:snapToGrid w:val="0"/>
                <w:color w:val="auto"/>
                <w:sz w:val="21"/>
                <w:szCs w:val="21"/>
                <w:highlight w:val="none"/>
                <w:lang w:val="en-US" w:eastAsia="zh-CN"/>
              </w:rPr>
            </w:pPr>
            <w:r>
              <w:rPr>
                <w:rFonts w:hint="eastAsia"/>
                <w:snapToGrid w:val="0"/>
                <w:color w:val="auto"/>
                <w:sz w:val="21"/>
                <w:szCs w:val="21"/>
                <w:highlight w:val="none"/>
                <w:lang w:val="en-US" w:eastAsia="zh-CN"/>
              </w:rPr>
              <w:t>8</w:t>
            </w:r>
          </w:p>
        </w:tc>
        <w:tc>
          <w:tcPr>
            <w:tcW w:w="856" w:type="dxa"/>
            <w:vAlign w:val="center"/>
          </w:tcPr>
          <w:p>
            <w:pPr>
              <w:spacing w:line="240" w:lineRule="auto"/>
              <w:ind w:firstLine="0" w:firstLineChars="0"/>
              <w:jc w:val="center"/>
              <w:rPr>
                <w:snapToGrid w:val="0"/>
                <w:sz w:val="21"/>
                <w:szCs w:val="21"/>
                <w:highlight w:val="none"/>
              </w:rPr>
            </w:pPr>
            <w:r>
              <w:rPr>
                <w:rFonts w:hint="eastAsia"/>
                <w:snapToGrid w:val="0"/>
                <w:sz w:val="21"/>
                <w:szCs w:val="21"/>
                <w:highlight w:val="none"/>
              </w:rPr>
              <w:t>0</w:t>
            </w:r>
          </w:p>
        </w:tc>
        <w:tc>
          <w:tcPr>
            <w:tcW w:w="1018" w:type="dxa"/>
            <w:vAlign w:val="center"/>
          </w:tcPr>
          <w:p>
            <w:pPr>
              <w:spacing w:line="240" w:lineRule="auto"/>
              <w:ind w:firstLine="0" w:firstLineChars="0"/>
              <w:jc w:val="center"/>
              <w:rPr>
                <w:snapToGrid w:val="0"/>
                <w:sz w:val="21"/>
                <w:szCs w:val="21"/>
                <w:highlight w:val="none"/>
              </w:rPr>
            </w:pPr>
            <w:r>
              <w:rPr>
                <w:rFonts w:hint="eastAsia"/>
                <w:snapToGrid w:val="0"/>
                <w:sz w:val="21"/>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822" w:type="dxa"/>
            <w:vMerge w:val="continue"/>
            <w:vAlign w:val="center"/>
          </w:tcPr>
          <w:p>
            <w:pPr>
              <w:spacing w:line="240" w:lineRule="auto"/>
              <w:ind w:firstLine="0" w:firstLineChars="0"/>
              <w:jc w:val="center"/>
              <w:rPr>
                <w:snapToGrid w:val="0"/>
                <w:sz w:val="21"/>
                <w:szCs w:val="21"/>
                <w:highlight w:val="none"/>
              </w:rPr>
            </w:pPr>
          </w:p>
        </w:tc>
        <w:tc>
          <w:tcPr>
            <w:tcW w:w="961" w:type="dxa"/>
            <w:vAlign w:val="center"/>
          </w:tcPr>
          <w:p>
            <w:pPr>
              <w:spacing w:line="240" w:lineRule="auto"/>
              <w:ind w:firstLine="0" w:firstLineChars="0"/>
              <w:jc w:val="center"/>
              <w:rPr>
                <w:rFonts w:hint="eastAsia"/>
                <w:snapToGrid w:val="0"/>
                <w:sz w:val="21"/>
                <w:szCs w:val="21"/>
                <w:highlight w:val="none"/>
              </w:rPr>
            </w:pPr>
            <w:r>
              <w:rPr>
                <w:rFonts w:hint="eastAsia"/>
                <w:snapToGrid w:val="0"/>
                <w:sz w:val="21"/>
                <w:szCs w:val="21"/>
                <w:highlight w:val="none"/>
              </w:rPr>
              <w:t>采场铲装输送区用水</w:t>
            </w:r>
          </w:p>
        </w:tc>
        <w:tc>
          <w:tcPr>
            <w:tcW w:w="1388" w:type="dxa"/>
            <w:vAlign w:val="center"/>
          </w:tcPr>
          <w:p>
            <w:pPr>
              <w:spacing w:line="240" w:lineRule="auto"/>
              <w:ind w:firstLine="0" w:firstLineChars="0"/>
              <w:jc w:val="center"/>
              <w:rPr>
                <w:rFonts w:hint="default" w:eastAsia="宋体"/>
                <w:snapToGrid w:val="0"/>
                <w:sz w:val="21"/>
                <w:szCs w:val="21"/>
                <w:highlight w:val="none"/>
                <w:lang w:val="en-US" w:eastAsia="zh-CN"/>
              </w:rPr>
            </w:pPr>
            <w:r>
              <w:rPr>
                <w:rFonts w:ascii="Times New Roman" w:hAnsi="Times New Roman" w:eastAsia="宋体"/>
                <w:spacing w:val="-3"/>
                <w:sz w:val="21"/>
                <w:szCs w:val="21"/>
                <w:highlight w:val="none"/>
              </w:rPr>
              <w:t>2.0L/m</w:t>
            </w:r>
            <w:r>
              <w:rPr>
                <w:rFonts w:ascii="Times New Roman" w:hAnsi="Times New Roman" w:eastAsia="宋体"/>
                <w:spacing w:val="-3"/>
                <w:position w:val="8"/>
                <w:sz w:val="21"/>
                <w:szCs w:val="21"/>
                <w:highlight w:val="none"/>
              </w:rPr>
              <w:t>2</w:t>
            </w:r>
            <w:r>
              <w:rPr>
                <w:rFonts w:ascii="Times New Roman" w:hAnsi="Times New Roman" w:eastAsia="宋体"/>
                <w:spacing w:val="-3"/>
                <w:sz w:val="21"/>
                <w:szCs w:val="21"/>
                <w:highlight w:val="none"/>
              </w:rPr>
              <w:t>·</w:t>
            </w:r>
            <w:r>
              <w:rPr>
                <w:rFonts w:ascii="Times New Roman" w:hAnsi="Times New Roman" w:eastAsia="宋体"/>
                <w:spacing w:val="-10"/>
                <w:sz w:val="21"/>
                <w:szCs w:val="21"/>
                <w:highlight w:val="none"/>
              </w:rPr>
              <w:t>次</w:t>
            </w:r>
          </w:p>
        </w:tc>
        <w:tc>
          <w:tcPr>
            <w:tcW w:w="1275" w:type="dxa"/>
            <w:vAlign w:val="center"/>
          </w:tcPr>
          <w:p>
            <w:pPr>
              <w:spacing w:line="240" w:lineRule="auto"/>
              <w:ind w:firstLine="0" w:firstLineChars="0"/>
              <w:jc w:val="center"/>
              <w:rPr>
                <w:rFonts w:hint="default" w:eastAsia="宋体"/>
                <w:snapToGrid w:val="0"/>
                <w:sz w:val="21"/>
                <w:szCs w:val="21"/>
                <w:highlight w:val="none"/>
                <w:lang w:val="en-US" w:eastAsia="zh-CN"/>
              </w:rPr>
            </w:pPr>
            <w:r>
              <w:rPr>
                <w:rFonts w:hint="eastAsia"/>
                <w:snapToGrid w:val="0"/>
                <w:sz w:val="21"/>
                <w:szCs w:val="21"/>
                <w:highlight w:val="none"/>
                <w:lang w:val="en-US" w:eastAsia="zh-CN"/>
              </w:rPr>
              <w:t>2000m</w:t>
            </w:r>
            <w:r>
              <w:rPr>
                <w:rFonts w:hint="eastAsia"/>
                <w:snapToGrid w:val="0"/>
                <w:sz w:val="21"/>
                <w:szCs w:val="21"/>
                <w:highlight w:val="none"/>
                <w:vertAlign w:val="superscript"/>
                <w:lang w:val="en-US" w:eastAsia="zh-CN"/>
              </w:rPr>
              <w:t>2</w:t>
            </w:r>
          </w:p>
        </w:tc>
        <w:tc>
          <w:tcPr>
            <w:tcW w:w="2660" w:type="dxa"/>
            <w:vAlign w:val="center"/>
          </w:tcPr>
          <w:p>
            <w:pPr>
              <w:spacing w:line="240" w:lineRule="auto"/>
              <w:ind w:firstLine="0" w:firstLineChars="0"/>
              <w:jc w:val="center"/>
              <w:rPr>
                <w:rFonts w:hint="default" w:eastAsia="宋体"/>
                <w:snapToGrid w:val="0"/>
                <w:color w:val="auto"/>
                <w:sz w:val="21"/>
                <w:szCs w:val="21"/>
                <w:highlight w:val="none"/>
                <w:lang w:val="en-US" w:eastAsia="zh-CN"/>
              </w:rPr>
            </w:pPr>
            <w:r>
              <w:rPr>
                <w:rFonts w:hint="eastAsia"/>
                <w:snapToGrid w:val="0"/>
                <w:color w:val="auto"/>
                <w:sz w:val="21"/>
                <w:szCs w:val="21"/>
                <w:highlight w:val="none"/>
                <w:lang w:val="en-US" w:eastAsia="zh-CN"/>
              </w:rPr>
              <w:t>16</w:t>
            </w:r>
          </w:p>
        </w:tc>
        <w:tc>
          <w:tcPr>
            <w:tcW w:w="856" w:type="dxa"/>
            <w:vAlign w:val="center"/>
          </w:tcPr>
          <w:p>
            <w:pPr>
              <w:spacing w:line="240" w:lineRule="auto"/>
              <w:ind w:firstLine="0" w:firstLineChars="0"/>
              <w:jc w:val="center"/>
              <w:rPr>
                <w:rFonts w:hint="eastAsia" w:eastAsia="宋体"/>
                <w:snapToGrid w:val="0"/>
                <w:sz w:val="21"/>
                <w:szCs w:val="21"/>
                <w:highlight w:val="none"/>
                <w:lang w:val="en-US" w:eastAsia="zh-CN"/>
              </w:rPr>
            </w:pPr>
            <w:r>
              <w:rPr>
                <w:rFonts w:hint="eastAsia"/>
                <w:snapToGrid w:val="0"/>
                <w:sz w:val="21"/>
                <w:szCs w:val="21"/>
                <w:highlight w:val="none"/>
                <w:lang w:val="en-US" w:eastAsia="zh-CN"/>
              </w:rPr>
              <w:t>0</w:t>
            </w:r>
          </w:p>
        </w:tc>
        <w:tc>
          <w:tcPr>
            <w:tcW w:w="1018" w:type="dxa"/>
            <w:vAlign w:val="center"/>
          </w:tcPr>
          <w:p>
            <w:pPr>
              <w:spacing w:line="240" w:lineRule="auto"/>
              <w:ind w:firstLine="0" w:firstLineChars="0"/>
              <w:jc w:val="center"/>
              <w:rPr>
                <w:rFonts w:hint="eastAsia" w:eastAsia="宋体"/>
                <w:snapToGrid w:val="0"/>
                <w:sz w:val="21"/>
                <w:szCs w:val="21"/>
                <w:highlight w:val="none"/>
                <w:lang w:val="en-US" w:eastAsia="zh-CN"/>
              </w:rPr>
            </w:pPr>
            <w:r>
              <w:rPr>
                <w:rFonts w:hint="eastAsia"/>
                <w:snapToGrid w:val="0"/>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822" w:type="dxa"/>
            <w:vMerge w:val="continue"/>
            <w:vAlign w:val="center"/>
          </w:tcPr>
          <w:p>
            <w:pPr>
              <w:spacing w:line="240" w:lineRule="auto"/>
              <w:ind w:firstLine="0" w:firstLineChars="0"/>
              <w:jc w:val="center"/>
              <w:rPr>
                <w:snapToGrid w:val="0"/>
                <w:sz w:val="21"/>
                <w:szCs w:val="21"/>
                <w:highlight w:val="none"/>
              </w:rPr>
            </w:pPr>
          </w:p>
        </w:tc>
        <w:tc>
          <w:tcPr>
            <w:tcW w:w="961" w:type="dxa"/>
            <w:vAlign w:val="center"/>
          </w:tcPr>
          <w:p>
            <w:pPr>
              <w:spacing w:line="240" w:lineRule="auto"/>
              <w:ind w:firstLine="0" w:firstLineChars="0"/>
              <w:jc w:val="center"/>
              <w:rPr>
                <w:rFonts w:hint="eastAsia"/>
                <w:snapToGrid w:val="0"/>
                <w:sz w:val="21"/>
                <w:szCs w:val="21"/>
                <w:highlight w:val="none"/>
              </w:rPr>
            </w:pPr>
            <w:r>
              <w:rPr>
                <w:rFonts w:hint="eastAsia"/>
                <w:snapToGrid w:val="0"/>
                <w:sz w:val="21"/>
                <w:szCs w:val="21"/>
                <w:highlight w:val="none"/>
              </w:rPr>
              <w:t>运输道路降尘用水</w:t>
            </w:r>
          </w:p>
        </w:tc>
        <w:tc>
          <w:tcPr>
            <w:tcW w:w="1388" w:type="dxa"/>
            <w:vAlign w:val="center"/>
          </w:tcPr>
          <w:p>
            <w:pPr>
              <w:spacing w:line="240" w:lineRule="auto"/>
              <w:ind w:firstLine="0" w:firstLineChars="0"/>
              <w:jc w:val="center"/>
              <w:rPr>
                <w:rFonts w:hint="default" w:eastAsia="宋体"/>
                <w:snapToGrid w:val="0"/>
                <w:sz w:val="21"/>
                <w:szCs w:val="21"/>
                <w:highlight w:val="none"/>
                <w:lang w:val="en-US" w:eastAsia="zh-CN"/>
              </w:rPr>
            </w:pPr>
            <w:r>
              <w:rPr>
                <w:rFonts w:ascii="Times New Roman" w:hAnsi="Times New Roman" w:eastAsia="宋体"/>
                <w:sz w:val="21"/>
                <w:szCs w:val="21"/>
                <w:highlight w:val="none"/>
              </w:rPr>
              <w:t>2.0L/m</w:t>
            </w:r>
            <w:r>
              <w:rPr>
                <w:rFonts w:ascii="Times New Roman" w:hAnsi="Times New Roman" w:eastAsia="宋体"/>
                <w:position w:val="8"/>
                <w:sz w:val="21"/>
                <w:szCs w:val="21"/>
                <w:highlight w:val="none"/>
              </w:rPr>
              <w:t>2</w:t>
            </w:r>
            <w:r>
              <w:rPr>
                <w:rFonts w:ascii="Times New Roman" w:hAnsi="Times New Roman" w:eastAsia="宋体"/>
                <w:sz w:val="21"/>
                <w:szCs w:val="21"/>
                <w:highlight w:val="none"/>
              </w:rPr>
              <w:t>•次</w:t>
            </w:r>
          </w:p>
        </w:tc>
        <w:tc>
          <w:tcPr>
            <w:tcW w:w="1275" w:type="dxa"/>
            <w:vAlign w:val="center"/>
          </w:tcPr>
          <w:p>
            <w:pPr>
              <w:spacing w:line="240" w:lineRule="auto"/>
              <w:ind w:firstLine="0" w:firstLineChars="0"/>
              <w:jc w:val="center"/>
              <w:rPr>
                <w:rFonts w:hint="default" w:eastAsia="宋体"/>
                <w:snapToGrid w:val="0"/>
                <w:sz w:val="21"/>
                <w:szCs w:val="21"/>
                <w:highlight w:val="none"/>
                <w:lang w:val="en-US" w:eastAsia="zh-CN"/>
              </w:rPr>
            </w:pPr>
            <w:r>
              <w:rPr>
                <w:rFonts w:hint="eastAsia"/>
                <w:snapToGrid w:val="0"/>
                <w:sz w:val="21"/>
                <w:szCs w:val="21"/>
                <w:highlight w:val="none"/>
                <w:lang w:val="en-US" w:eastAsia="zh-CN"/>
              </w:rPr>
              <w:t>3000m</w:t>
            </w:r>
            <w:r>
              <w:rPr>
                <w:rFonts w:hint="eastAsia"/>
                <w:snapToGrid w:val="0"/>
                <w:sz w:val="21"/>
                <w:szCs w:val="21"/>
                <w:highlight w:val="none"/>
                <w:vertAlign w:val="superscript"/>
                <w:lang w:val="en-US" w:eastAsia="zh-CN"/>
              </w:rPr>
              <w:t>2</w:t>
            </w:r>
          </w:p>
        </w:tc>
        <w:tc>
          <w:tcPr>
            <w:tcW w:w="2660" w:type="dxa"/>
            <w:vAlign w:val="center"/>
          </w:tcPr>
          <w:p>
            <w:pPr>
              <w:spacing w:line="240" w:lineRule="auto"/>
              <w:ind w:firstLine="0" w:firstLineChars="0"/>
              <w:jc w:val="center"/>
              <w:rPr>
                <w:rFonts w:hint="default" w:eastAsia="宋体"/>
                <w:snapToGrid w:val="0"/>
                <w:color w:val="auto"/>
                <w:sz w:val="21"/>
                <w:szCs w:val="21"/>
                <w:highlight w:val="none"/>
                <w:lang w:val="en-US" w:eastAsia="zh-CN"/>
              </w:rPr>
            </w:pPr>
            <w:r>
              <w:rPr>
                <w:rFonts w:hint="eastAsia"/>
                <w:snapToGrid w:val="0"/>
                <w:color w:val="auto"/>
                <w:sz w:val="21"/>
                <w:szCs w:val="21"/>
                <w:highlight w:val="none"/>
                <w:lang w:val="en-US" w:eastAsia="zh-CN"/>
              </w:rPr>
              <w:t>24</w:t>
            </w:r>
          </w:p>
        </w:tc>
        <w:tc>
          <w:tcPr>
            <w:tcW w:w="856" w:type="dxa"/>
            <w:vAlign w:val="center"/>
          </w:tcPr>
          <w:p>
            <w:pPr>
              <w:spacing w:line="240" w:lineRule="auto"/>
              <w:ind w:firstLine="0" w:firstLineChars="0"/>
              <w:jc w:val="center"/>
              <w:rPr>
                <w:rFonts w:hint="eastAsia" w:eastAsia="宋体"/>
                <w:snapToGrid w:val="0"/>
                <w:sz w:val="21"/>
                <w:szCs w:val="21"/>
                <w:highlight w:val="none"/>
                <w:lang w:val="en-US" w:eastAsia="zh-CN"/>
              </w:rPr>
            </w:pPr>
            <w:r>
              <w:rPr>
                <w:rFonts w:hint="eastAsia"/>
                <w:snapToGrid w:val="0"/>
                <w:sz w:val="21"/>
                <w:szCs w:val="21"/>
                <w:highlight w:val="none"/>
                <w:lang w:val="en-US" w:eastAsia="zh-CN"/>
              </w:rPr>
              <w:t>0</w:t>
            </w:r>
          </w:p>
        </w:tc>
        <w:tc>
          <w:tcPr>
            <w:tcW w:w="1018" w:type="dxa"/>
            <w:vAlign w:val="center"/>
          </w:tcPr>
          <w:p>
            <w:pPr>
              <w:spacing w:line="240" w:lineRule="auto"/>
              <w:ind w:firstLine="0" w:firstLineChars="0"/>
              <w:jc w:val="center"/>
              <w:rPr>
                <w:rFonts w:hint="eastAsia" w:eastAsia="宋体"/>
                <w:snapToGrid w:val="0"/>
                <w:sz w:val="21"/>
                <w:szCs w:val="21"/>
                <w:highlight w:val="none"/>
                <w:lang w:val="en-US" w:eastAsia="zh-CN"/>
              </w:rPr>
            </w:pPr>
            <w:r>
              <w:rPr>
                <w:rFonts w:hint="eastAsia"/>
                <w:snapToGrid w:val="0"/>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822" w:type="dxa"/>
            <w:vMerge w:val="continue"/>
            <w:vAlign w:val="center"/>
          </w:tcPr>
          <w:p>
            <w:pPr>
              <w:spacing w:line="240" w:lineRule="auto"/>
              <w:ind w:firstLine="0" w:firstLineChars="0"/>
              <w:jc w:val="center"/>
              <w:rPr>
                <w:snapToGrid w:val="0"/>
                <w:sz w:val="21"/>
                <w:szCs w:val="21"/>
                <w:highlight w:val="none"/>
              </w:rPr>
            </w:pPr>
          </w:p>
        </w:tc>
        <w:tc>
          <w:tcPr>
            <w:tcW w:w="961" w:type="dxa"/>
            <w:vAlign w:val="center"/>
          </w:tcPr>
          <w:p>
            <w:pPr>
              <w:spacing w:line="240" w:lineRule="auto"/>
              <w:ind w:firstLine="0" w:firstLineChars="0"/>
              <w:jc w:val="center"/>
              <w:rPr>
                <w:rFonts w:hint="eastAsia"/>
                <w:snapToGrid w:val="0"/>
                <w:sz w:val="21"/>
                <w:szCs w:val="21"/>
                <w:highlight w:val="none"/>
              </w:rPr>
            </w:pPr>
            <w:r>
              <w:rPr>
                <w:rFonts w:hint="eastAsia"/>
                <w:snapToGrid w:val="0"/>
                <w:sz w:val="21"/>
                <w:szCs w:val="21"/>
                <w:highlight w:val="none"/>
              </w:rPr>
              <w:t>破碎工段降尘用水</w:t>
            </w:r>
          </w:p>
        </w:tc>
        <w:tc>
          <w:tcPr>
            <w:tcW w:w="1388" w:type="dxa"/>
            <w:vAlign w:val="center"/>
          </w:tcPr>
          <w:p>
            <w:pPr>
              <w:spacing w:line="240" w:lineRule="auto"/>
              <w:ind w:firstLine="0" w:firstLineChars="0"/>
              <w:jc w:val="center"/>
              <w:rPr>
                <w:rFonts w:hint="default" w:eastAsia="宋体"/>
                <w:snapToGrid w:val="0"/>
                <w:sz w:val="21"/>
                <w:szCs w:val="21"/>
                <w:highlight w:val="none"/>
                <w:lang w:val="en-US" w:eastAsia="zh-CN"/>
              </w:rPr>
            </w:pPr>
            <w:r>
              <w:rPr>
                <w:rFonts w:ascii="Times New Roman" w:hAnsi="Times New Roman" w:eastAsia="宋体"/>
                <w:highlight w:val="none"/>
              </w:rPr>
              <w:t>0.02m</w:t>
            </w:r>
            <w:r>
              <w:rPr>
                <w:rFonts w:ascii="Times New Roman" w:hAnsi="Times New Roman" w:eastAsia="宋体"/>
                <w:position w:val="8"/>
                <w:sz w:val="15"/>
                <w:highlight w:val="none"/>
              </w:rPr>
              <w:t>3</w:t>
            </w:r>
            <w:r>
              <w:rPr>
                <w:rFonts w:ascii="Times New Roman" w:hAnsi="Times New Roman" w:eastAsia="宋体"/>
                <w:highlight w:val="none"/>
              </w:rPr>
              <w:t>/t</w:t>
            </w:r>
            <w:r>
              <w:rPr>
                <w:rFonts w:hint="eastAsia"/>
                <w:position w:val="-2"/>
                <w:sz w:val="12"/>
                <w:highlight w:val="none"/>
                <w:lang w:eastAsia="zh-CN"/>
              </w:rPr>
              <w:t>矿石</w:t>
            </w:r>
          </w:p>
        </w:tc>
        <w:tc>
          <w:tcPr>
            <w:tcW w:w="1275" w:type="dxa"/>
            <w:vAlign w:val="center"/>
          </w:tcPr>
          <w:p>
            <w:pPr>
              <w:spacing w:line="240" w:lineRule="auto"/>
              <w:ind w:firstLine="0" w:firstLineChars="0"/>
              <w:jc w:val="center"/>
              <w:rPr>
                <w:rFonts w:hint="default" w:eastAsia="宋体"/>
                <w:snapToGrid w:val="0"/>
                <w:sz w:val="21"/>
                <w:szCs w:val="21"/>
                <w:highlight w:val="none"/>
                <w:lang w:val="en-US" w:eastAsia="zh-CN"/>
              </w:rPr>
            </w:pPr>
            <w:r>
              <w:rPr>
                <w:rFonts w:hint="eastAsia"/>
                <w:snapToGrid w:val="0"/>
                <w:sz w:val="21"/>
                <w:szCs w:val="21"/>
                <w:highlight w:val="none"/>
                <w:lang w:val="en-US" w:eastAsia="zh-CN"/>
              </w:rPr>
              <w:t>1000t</w:t>
            </w:r>
          </w:p>
        </w:tc>
        <w:tc>
          <w:tcPr>
            <w:tcW w:w="2660" w:type="dxa"/>
            <w:vAlign w:val="center"/>
          </w:tcPr>
          <w:p>
            <w:pPr>
              <w:spacing w:line="240" w:lineRule="auto"/>
              <w:ind w:firstLine="0" w:firstLineChars="0"/>
              <w:jc w:val="center"/>
              <w:rPr>
                <w:rFonts w:hint="default" w:eastAsia="宋体"/>
                <w:snapToGrid w:val="0"/>
                <w:color w:val="auto"/>
                <w:sz w:val="21"/>
                <w:szCs w:val="21"/>
                <w:highlight w:val="none"/>
                <w:lang w:val="en-US" w:eastAsia="zh-CN"/>
              </w:rPr>
            </w:pPr>
            <w:r>
              <w:rPr>
                <w:rFonts w:hint="eastAsia"/>
                <w:snapToGrid w:val="0"/>
                <w:color w:val="auto"/>
                <w:sz w:val="21"/>
                <w:szCs w:val="21"/>
                <w:highlight w:val="none"/>
                <w:lang w:val="en-US" w:eastAsia="zh-CN"/>
              </w:rPr>
              <w:t>20</w:t>
            </w:r>
          </w:p>
        </w:tc>
        <w:tc>
          <w:tcPr>
            <w:tcW w:w="856" w:type="dxa"/>
            <w:vAlign w:val="center"/>
          </w:tcPr>
          <w:p>
            <w:pPr>
              <w:spacing w:line="240" w:lineRule="auto"/>
              <w:ind w:firstLine="0" w:firstLineChars="0"/>
              <w:jc w:val="center"/>
              <w:rPr>
                <w:rFonts w:hint="eastAsia" w:eastAsia="宋体"/>
                <w:snapToGrid w:val="0"/>
                <w:sz w:val="21"/>
                <w:szCs w:val="21"/>
                <w:highlight w:val="none"/>
                <w:lang w:val="en-US" w:eastAsia="zh-CN"/>
              </w:rPr>
            </w:pPr>
            <w:r>
              <w:rPr>
                <w:rFonts w:hint="eastAsia"/>
                <w:snapToGrid w:val="0"/>
                <w:sz w:val="21"/>
                <w:szCs w:val="21"/>
                <w:highlight w:val="none"/>
                <w:lang w:val="en-US" w:eastAsia="zh-CN"/>
              </w:rPr>
              <w:t>0</w:t>
            </w:r>
          </w:p>
        </w:tc>
        <w:tc>
          <w:tcPr>
            <w:tcW w:w="1018" w:type="dxa"/>
            <w:vAlign w:val="center"/>
          </w:tcPr>
          <w:p>
            <w:pPr>
              <w:spacing w:line="240" w:lineRule="auto"/>
              <w:ind w:firstLine="0" w:firstLineChars="0"/>
              <w:jc w:val="center"/>
              <w:rPr>
                <w:rFonts w:hint="eastAsia" w:eastAsia="宋体"/>
                <w:snapToGrid w:val="0"/>
                <w:sz w:val="21"/>
                <w:szCs w:val="21"/>
                <w:highlight w:val="none"/>
                <w:lang w:val="en-US" w:eastAsia="zh-CN"/>
              </w:rPr>
            </w:pPr>
            <w:r>
              <w:rPr>
                <w:rFonts w:hint="eastAsia"/>
                <w:snapToGrid w:val="0"/>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822" w:type="dxa"/>
            <w:vMerge w:val="continue"/>
            <w:vAlign w:val="center"/>
          </w:tcPr>
          <w:p>
            <w:pPr>
              <w:spacing w:line="240" w:lineRule="auto"/>
              <w:ind w:firstLine="0" w:firstLineChars="0"/>
              <w:jc w:val="center"/>
              <w:rPr>
                <w:snapToGrid w:val="0"/>
                <w:sz w:val="21"/>
                <w:szCs w:val="21"/>
                <w:highlight w:val="none"/>
              </w:rPr>
            </w:pPr>
          </w:p>
        </w:tc>
        <w:tc>
          <w:tcPr>
            <w:tcW w:w="961" w:type="dxa"/>
            <w:vAlign w:val="center"/>
          </w:tcPr>
          <w:p>
            <w:pPr>
              <w:spacing w:line="240" w:lineRule="auto"/>
              <w:ind w:firstLine="0" w:firstLineChars="0"/>
              <w:jc w:val="center"/>
              <w:rPr>
                <w:rFonts w:hint="eastAsia"/>
                <w:snapToGrid w:val="0"/>
                <w:sz w:val="21"/>
                <w:szCs w:val="21"/>
                <w:highlight w:val="none"/>
              </w:rPr>
            </w:pPr>
            <w:r>
              <w:rPr>
                <w:rFonts w:hint="eastAsia"/>
                <w:snapToGrid w:val="0"/>
                <w:sz w:val="21"/>
                <w:szCs w:val="21"/>
                <w:highlight w:val="none"/>
              </w:rPr>
              <w:t>堆料场降尘用水</w:t>
            </w:r>
          </w:p>
        </w:tc>
        <w:tc>
          <w:tcPr>
            <w:tcW w:w="1388" w:type="dxa"/>
            <w:vAlign w:val="center"/>
          </w:tcPr>
          <w:p>
            <w:pPr>
              <w:spacing w:line="240" w:lineRule="auto"/>
              <w:ind w:firstLine="0" w:firstLineChars="0"/>
              <w:jc w:val="center"/>
              <w:rPr>
                <w:rFonts w:ascii="Times New Roman" w:hAnsi="Times New Roman" w:eastAsia="宋体"/>
                <w:highlight w:val="none"/>
              </w:rPr>
            </w:pPr>
            <w:r>
              <w:rPr>
                <w:rFonts w:ascii="Times New Roman" w:hAnsi="Times New Roman" w:eastAsia="宋体"/>
                <w:sz w:val="21"/>
                <w:szCs w:val="21"/>
                <w:highlight w:val="none"/>
              </w:rPr>
              <w:t>2.0L/m</w:t>
            </w:r>
            <w:r>
              <w:rPr>
                <w:rFonts w:ascii="Times New Roman" w:hAnsi="Times New Roman" w:eastAsia="宋体"/>
                <w:position w:val="8"/>
                <w:sz w:val="21"/>
                <w:szCs w:val="21"/>
                <w:highlight w:val="none"/>
              </w:rPr>
              <w:t>2</w:t>
            </w:r>
            <w:r>
              <w:rPr>
                <w:rFonts w:ascii="Times New Roman" w:hAnsi="Times New Roman" w:eastAsia="宋体"/>
                <w:sz w:val="21"/>
                <w:szCs w:val="21"/>
                <w:highlight w:val="none"/>
              </w:rPr>
              <w:t>•</w:t>
            </w:r>
            <w:r>
              <w:rPr>
                <w:rFonts w:ascii="Times New Roman" w:hAnsi="Times New Roman" w:eastAsia="宋体"/>
                <w:spacing w:val="-6"/>
                <w:sz w:val="21"/>
                <w:szCs w:val="21"/>
                <w:highlight w:val="none"/>
              </w:rPr>
              <w:t>次</w:t>
            </w:r>
          </w:p>
        </w:tc>
        <w:tc>
          <w:tcPr>
            <w:tcW w:w="1275" w:type="dxa"/>
            <w:vAlign w:val="center"/>
          </w:tcPr>
          <w:p>
            <w:pPr>
              <w:spacing w:line="240" w:lineRule="auto"/>
              <w:ind w:firstLine="0" w:firstLineChars="0"/>
              <w:jc w:val="center"/>
              <w:rPr>
                <w:rFonts w:hint="eastAsia"/>
                <w:snapToGrid w:val="0"/>
                <w:sz w:val="21"/>
                <w:szCs w:val="21"/>
                <w:highlight w:val="none"/>
                <w:lang w:val="en-US" w:eastAsia="zh-CN"/>
              </w:rPr>
            </w:pPr>
            <w:r>
              <w:rPr>
                <w:rFonts w:hint="eastAsia"/>
                <w:snapToGrid w:val="0"/>
                <w:sz w:val="21"/>
                <w:szCs w:val="21"/>
                <w:highlight w:val="none"/>
                <w:lang w:val="en-US" w:eastAsia="zh-CN"/>
              </w:rPr>
              <w:t>1600m</w:t>
            </w:r>
            <w:r>
              <w:rPr>
                <w:rFonts w:hint="eastAsia"/>
                <w:snapToGrid w:val="0"/>
                <w:sz w:val="21"/>
                <w:szCs w:val="21"/>
                <w:highlight w:val="none"/>
                <w:vertAlign w:val="superscript"/>
                <w:lang w:val="en-US" w:eastAsia="zh-CN"/>
              </w:rPr>
              <w:t>2</w:t>
            </w:r>
          </w:p>
        </w:tc>
        <w:tc>
          <w:tcPr>
            <w:tcW w:w="2660" w:type="dxa"/>
            <w:vAlign w:val="center"/>
          </w:tcPr>
          <w:p>
            <w:pPr>
              <w:spacing w:line="240" w:lineRule="auto"/>
              <w:ind w:firstLine="0" w:firstLineChars="0"/>
              <w:jc w:val="center"/>
              <w:rPr>
                <w:rFonts w:hint="default"/>
                <w:snapToGrid w:val="0"/>
                <w:color w:val="auto"/>
                <w:sz w:val="21"/>
                <w:szCs w:val="21"/>
                <w:highlight w:val="none"/>
                <w:lang w:val="en-US" w:eastAsia="zh-CN"/>
              </w:rPr>
            </w:pPr>
            <w:r>
              <w:rPr>
                <w:rFonts w:hint="eastAsia"/>
                <w:snapToGrid w:val="0"/>
                <w:color w:val="auto"/>
                <w:sz w:val="21"/>
                <w:szCs w:val="21"/>
                <w:highlight w:val="none"/>
                <w:lang w:val="en-US" w:eastAsia="zh-CN"/>
              </w:rPr>
              <w:t>12.8</w:t>
            </w:r>
          </w:p>
        </w:tc>
        <w:tc>
          <w:tcPr>
            <w:tcW w:w="856" w:type="dxa"/>
            <w:vAlign w:val="center"/>
          </w:tcPr>
          <w:p>
            <w:pPr>
              <w:spacing w:line="240" w:lineRule="auto"/>
              <w:ind w:firstLine="0" w:firstLineChars="0"/>
              <w:jc w:val="center"/>
              <w:rPr>
                <w:rFonts w:hint="eastAsia"/>
                <w:snapToGrid w:val="0"/>
                <w:sz w:val="21"/>
                <w:szCs w:val="21"/>
                <w:highlight w:val="none"/>
                <w:lang w:val="en-US" w:eastAsia="zh-CN"/>
              </w:rPr>
            </w:pPr>
          </w:p>
        </w:tc>
        <w:tc>
          <w:tcPr>
            <w:tcW w:w="1018" w:type="dxa"/>
            <w:vAlign w:val="center"/>
          </w:tcPr>
          <w:p>
            <w:pPr>
              <w:spacing w:line="240" w:lineRule="auto"/>
              <w:ind w:firstLine="0" w:firstLineChars="0"/>
              <w:jc w:val="center"/>
              <w:rPr>
                <w:rFonts w:hint="eastAsia"/>
                <w:snapToGrid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4446" w:type="dxa"/>
            <w:gridSpan w:val="4"/>
            <w:vAlign w:val="center"/>
          </w:tcPr>
          <w:p>
            <w:pPr>
              <w:spacing w:line="240" w:lineRule="auto"/>
              <w:ind w:firstLine="0" w:firstLineChars="0"/>
              <w:jc w:val="center"/>
              <w:rPr>
                <w:snapToGrid w:val="0"/>
                <w:sz w:val="21"/>
                <w:szCs w:val="21"/>
                <w:highlight w:val="none"/>
              </w:rPr>
            </w:pPr>
            <w:r>
              <w:rPr>
                <w:rFonts w:hint="eastAsia"/>
                <w:snapToGrid w:val="0"/>
                <w:sz w:val="21"/>
                <w:szCs w:val="21"/>
                <w:highlight w:val="none"/>
              </w:rPr>
              <w:t>合计</w:t>
            </w:r>
          </w:p>
        </w:tc>
        <w:tc>
          <w:tcPr>
            <w:tcW w:w="2660" w:type="dxa"/>
            <w:vAlign w:val="center"/>
          </w:tcPr>
          <w:p>
            <w:pPr>
              <w:spacing w:line="240" w:lineRule="auto"/>
              <w:ind w:firstLine="0" w:firstLineChars="0"/>
              <w:jc w:val="center"/>
              <w:rPr>
                <w:rFonts w:hint="default"/>
                <w:snapToGrid w:val="0"/>
                <w:color w:val="auto"/>
                <w:sz w:val="21"/>
                <w:szCs w:val="21"/>
                <w:highlight w:val="none"/>
                <w:lang w:val="en-US" w:eastAsia="zh-CN"/>
              </w:rPr>
            </w:pPr>
            <w:r>
              <w:rPr>
                <w:rFonts w:hint="eastAsia"/>
                <w:snapToGrid w:val="0"/>
                <w:color w:val="auto"/>
                <w:sz w:val="21"/>
                <w:szCs w:val="21"/>
                <w:highlight w:val="none"/>
                <w:lang w:val="en-US" w:eastAsia="zh-CN"/>
              </w:rPr>
              <w:t>83.32</w:t>
            </w:r>
          </w:p>
        </w:tc>
        <w:tc>
          <w:tcPr>
            <w:tcW w:w="856" w:type="dxa"/>
            <w:vAlign w:val="center"/>
          </w:tcPr>
          <w:p>
            <w:pPr>
              <w:spacing w:line="240" w:lineRule="auto"/>
              <w:ind w:firstLine="0" w:firstLineChars="0"/>
              <w:jc w:val="center"/>
              <w:rPr>
                <w:snapToGrid w:val="0"/>
                <w:sz w:val="21"/>
                <w:szCs w:val="21"/>
                <w:highlight w:val="none"/>
              </w:rPr>
            </w:pPr>
            <w:r>
              <w:rPr>
                <w:rFonts w:hint="eastAsia"/>
                <w:snapToGrid w:val="0"/>
                <w:sz w:val="21"/>
                <w:szCs w:val="21"/>
                <w:highlight w:val="none"/>
              </w:rPr>
              <w:t>/</w:t>
            </w:r>
          </w:p>
        </w:tc>
        <w:tc>
          <w:tcPr>
            <w:tcW w:w="1018" w:type="dxa"/>
            <w:vAlign w:val="center"/>
          </w:tcPr>
          <w:p>
            <w:pPr>
              <w:spacing w:line="240" w:lineRule="auto"/>
              <w:ind w:firstLine="0" w:firstLineChars="0"/>
              <w:jc w:val="center"/>
              <w:rPr>
                <w:rFonts w:hint="default" w:eastAsia="宋体"/>
                <w:snapToGrid w:val="0"/>
                <w:sz w:val="21"/>
                <w:szCs w:val="21"/>
                <w:highlight w:val="none"/>
                <w:lang w:val="en-US" w:eastAsia="zh-CN"/>
              </w:rPr>
            </w:pPr>
            <w:r>
              <w:rPr>
                <w:rFonts w:hint="eastAsia"/>
                <w:snapToGrid w:val="0"/>
                <w:sz w:val="21"/>
                <w:szCs w:val="21"/>
                <w:highlight w:val="none"/>
                <w:lang w:val="en-US" w:eastAsia="zh-CN"/>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783" w:type="dxa"/>
            <w:gridSpan w:val="2"/>
            <w:vAlign w:val="center"/>
          </w:tcPr>
          <w:p>
            <w:pPr>
              <w:spacing w:line="240" w:lineRule="auto"/>
              <w:ind w:firstLine="0" w:firstLineChars="0"/>
              <w:jc w:val="center"/>
              <w:rPr>
                <w:snapToGrid w:val="0"/>
                <w:sz w:val="21"/>
                <w:szCs w:val="21"/>
                <w:highlight w:val="none"/>
              </w:rPr>
            </w:pPr>
            <w:r>
              <w:rPr>
                <w:rFonts w:hint="eastAsia"/>
                <w:snapToGrid w:val="0"/>
                <w:sz w:val="21"/>
                <w:szCs w:val="21"/>
                <w:highlight w:val="none"/>
              </w:rPr>
              <w:t>废水产生情况</w:t>
            </w:r>
          </w:p>
        </w:tc>
        <w:tc>
          <w:tcPr>
            <w:tcW w:w="7197" w:type="dxa"/>
            <w:gridSpan w:val="5"/>
            <w:vAlign w:val="center"/>
          </w:tcPr>
          <w:p>
            <w:pPr>
              <w:spacing w:line="240" w:lineRule="auto"/>
              <w:ind w:firstLine="0" w:firstLineChars="0"/>
              <w:jc w:val="center"/>
              <w:rPr>
                <w:snapToGrid w:val="0"/>
                <w:sz w:val="21"/>
                <w:szCs w:val="21"/>
                <w:highlight w:val="none"/>
              </w:rPr>
            </w:pPr>
            <w:r>
              <w:rPr>
                <w:rFonts w:hint="eastAsia"/>
                <w:snapToGrid w:val="0"/>
                <w:sz w:val="21"/>
                <w:szCs w:val="21"/>
                <w:highlight w:val="none"/>
                <w:lang w:val="en-US" w:eastAsia="zh-CN"/>
              </w:rPr>
              <w:t>0.48</w:t>
            </w:r>
            <w:r>
              <w:rPr>
                <w:snapToGrid w:val="0"/>
                <w:sz w:val="21"/>
                <w:szCs w:val="21"/>
                <w:highlight w:val="none"/>
              </w:rPr>
              <w:t>m</w:t>
            </w:r>
            <w:r>
              <w:rPr>
                <w:snapToGrid w:val="0"/>
                <w:sz w:val="21"/>
                <w:szCs w:val="21"/>
                <w:highlight w:val="none"/>
                <w:vertAlign w:val="superscript"/>
              </w:rPr>
              <w:t>3</w:t>
            </w:r>
            <w:r>
              <w:rPr>
                <w:snapToGrid w:val="0"/>
                <w:sz w:val="21"/>
                <w:szCs w:val="21"/>
                <w:highlight w:val="none"/>
              </w:rPr>
              <w:t>/d</w:t>
            </w:r>
            <w:r>
              <w:rPr>
                <w:rFonts w:hint="eastAsia"/>
                <w:snapToGrid w:val="0"/>
                <w:sz w:val="21"/>
                <w:szCs w:val="21"/>
                <w:highlight w:val="none"/>
              </w:rPr>
              <w:t>，</w:t>
            </w:r>
            <w:r>
              <w:rPr>
                <w:rFonts w:hint="eastAsia"/>
                <w:snapToGrid w:val="0"/>
                <w:sz w:val="21"/>
                <w:szCs w:val="21"/>
                <w:highlight w:val="none"/>
                <w:lang w:val="en-US" w:eastAsia="zh-CN"/>
              </w:rPr>
              <w:t>144</w:t>
            </w:r>
            <w:r>
              <w:rPr>
                <w:rFonts w:hint="eastAsia"/>
                <w:snapToGrid w:val="0"/>
                <w:sz w:val="21"/>
                <w:szCs w:val="21"/>
                <w:highlight w:val="none"/>
              </w:rPr>
              <w:t>m</w:t>
            </w:r>
            <w:r>
              <w:rPr>
                <w:rFonts w:hint="eastAsia"/>
                <w:snapToGrid w:val="0"/>
                <w:sz w:val="21"/>
                <w:szCs w:val="21"/>
                <w:highlight w:val="none"/>
                <w:vertAlign w:val="superscript"/>
              </w:rPr>
              <w:t>3</w:t>
            </w:r>
            <w:r>
              <w:rPr>
                <w:rFonts w:hint="eastAsia"/>
                <w:snapToGrid w:val="0"/>
                <w:sz w:val="21"/>
                <w:szCs w:val="21"/>
                <w:highlight w:val="non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783" w:type="dxa"/>
            <w:gridSpan w:val="2"/>
            <w:vAlign w:val="center"/>
          </w:tcPr>
          <w:p>
            <w:pPr>
              <w:spacing w:line="240" w:lineRule="auto"/>
              <w:ind w:firstLine="0" w:firstLineChars="0"/>
              <w:jc w:val="center"/>
              <w:rPr>
                <w:snapToGrid w:val="0"/>
                <w:sz w:val="21"/>
                <w:szCs w:val="21"/>
                <w:highlight w:val="none"/>
              </w:rPr>
            </w:pPr>
            <w:r>
              <w:rPr>
                <w:rFonts w:hint="eastAsia"/>
                <w:snapToGrid w:val="0"/>
                <w:sz w:val="21"/>
                <w:szCs w:val="21"/>
                <w:highlight w:val="none"/>
              </w:rPr>
              <w:t>废水排放情况</w:t>
            </w:r>
          </w:p>
        </w:tc>
        <w:tc>
          <w:tcPr>
            <w:tcW w:w="7197" w:type="dxa"/>
            <w:gridSpan w:val="5"/>
            <w:vAlign w:val="center"/>
          </w:tcPr>
          <w:p>
            <w:pPr>
              <w:spacing w:line="240" w:lineRule="auto"/>
              <w:ind w:firstLine="0" w:firstLineChars="0"/>
              <w:jc w:val="center"/>
              <w:rPr>
                <w:snapToGrid w:val="0"/>
                <w:sz w:val="21"/>
                <w:szCs w:val="21"/>
                <w:highlight w:val="none"/>
              </w:rPr>
            </w:pPr>
            <w:r>
              <w:rPr>
                <w:rFonts w:hint="eastAsia"/>
                <w:snapToGrid w:val="0"/>
                <w:sz w:val="21"/>
                <w:szCs w:val="21"/>
                <w:highlight w:val="none"/>
              </w:rPr>
              <w:t>不外排</w:t>
            </w:r>
          </w:p>
        </w:tc>
      </w:tr>
    </w:tbl>
    <w:p>
      <w:pPr>
        <w:tabs>
          <w:tab w:val="left" w:pos="1246"/>
        </w:tabs>
        <w:ind w:firstLine="422"/>
        <w:jc w:val="center"/>
        <w:rPr>
          <w:b/>
          <w:kern w:val="0"/>
          <w:sz w:val="21"/>
          <w:szCs w:val="21"/>
          <w:highlight w:val="none"/>
        </w:rPr>
      </w:pPr>
    </w:p>
    <w:p>
      <w:pPr>
        <w:pStyle w:val="17"/>
        <w:ind w:firstLine="0" w:firstLineChars="0"/>
        <w:jc w:val="center"/>
        <w:rPr>
          <w:rFonts w:hint="eastAsia" w:ascii="Times New Roman" w:hAnsi="Times New Roman" w:eastAsia="宋体"/>
          <w:b/>
          <w:bCs/>
          <w:sz w:val="24"/>
          <w:szCs w:val="24"/>
          <w:highlight w:val="none"/>
          <w:lang w:eastAsia="zh-CN"/>
        </w:rPr>
      </w:pPr>
      <w:r>
        <w:rPr>
          <w:rFonts w:hint="eastAsia" w:ascii="Times New Roman" w:hAnsi="Times New Roman" w:eastAsia="宋体"/>
          <w:b/>
          <w:bCs/>
          <w:sz w:val="24"/>
          <w:szCs w:val="24"/>
          <w:highlight w:val="none"/>
          <w:lang w:eastAsia="zh-CN"/>
        </w:rPr>
        <w:drawing>
          <wp:inline distT="0" distB="0" distL="114300" distR="114300">
            <wp:extent cx="5755640" cy="4413885"/>
            <wp:effectExtent l="0" t="0" r="16510" b="5715"/>
            <wp:docPr id="34" name="图片 34" descr="非雨天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非雨天水"/>
                    <pic:cNvPicPr>
                      <a:picLocks noChangeAspect="1"/>
                    </pic:cNvPicPr>
                  </pic:nvPicPr>
                  <pic:blipFill>
                    <a:blip r:embed="rId15"/>
                    <a:stretch>
                      <a:fillRect/>
                    </a:stretch>
                  </pic:blipFill>
                  <pic:spPr>
                    <a:xfrm>
                      <a:off x="0" y="0"/>
                      <a:ext cx="5755640" cy="4413885"/>
                    </a:xfrm>
                    <a:prstGeom prst="rect">
                      <a:avLst/>
                    </a:prstGeom>
                  </pic:spPr>
                </pic:pic>
              </a:graphicData>
            </a:graphic>
          </wp:inline>
        </w:drawing>
      </w:r>
    </w:p>
    <w:p>
      <w:pPr>
        <w:pStyle w:val="17"/>
        <w:ind w:firstLine="0" w:firstLineChars="0"/>
        <w:jc w:val="center"/>
        <w:rPr>
          <w:rFonts w:hint="default" w:ascii="Times New Roman" w:hAnsi="Times New Roman" w:eastAsia="宋体"/>
          <w:b/>
          <w:bCs/>
          <w:sz w:val="24"/>
          <w:szCs w:val="24"/>
          <w:highlight w:val="none"/>
          <w:lang w:val="en-US" w:eastAsia="zh-CN"/>
        </w:rPr>
      </w:pPr>
      <w:r>
        <w:rPr>
          <w:rFonts w:hint="eastAsia" w:ascii="Times New Roman" w:hAnsi="Times New Roman"/>
          <w:b/>
          <w:bCs/>
          <w:sz w:val="24"/>
          <w:szCs w:val="24"/>
          <w:highlight w:val="none"/>
          <w:lang w:eastAsia="zh-CN"/>
        </w:rPr>
        <w:t>图</w:t>
      </w:r>
      <w:r>
        <w:rPr>
          <w:rFonts w:hint="eastAsia" w:ascii="Times New Roman" w:hAnsi="Times New Roman"/>
          <w:b/>
          <w:bCs/>
          <w:sz w:val="24"/>
          <w:szCs w:val="24"/>
          <w:highlight w:val="none"/>
          <w:lang w:val="en-US" w:eastAsia="zh-CN"/>
        </w:rPr>
        <w:t>3.3-1项目非雨天水平衡图</w:t>
      </w:r>
    </w:p>
    <w:p>
      <w:pPr>
        <w:pStyle w:val="17"/>
        <w:ind w:firstLine="0" w:firstLineChars="0"/>
        <w:jc w:val="center"/>
        <w:rPr>
          <w:rFonts w:hint="eastAsia" w:ascii="Times New Roman" w:hAnsi="Times New Roman" w:eastAsia="宋体"/>
          <w:b/>
          <w:bCs/>
          <w:sz w:val="24"/>
          <w:szCs w:val="24"/>
          <w:highlight w:val="none"/>
          <w:lang w:eastAsia="zh-CN"/>
        </w:rPr>
      </w:pPr>
      <w:r>
        <w:rPr>
          <w:rFonts w:hint="eastAsia" w:ascii="Times New Roman" w:hAnsi="Times New Roman" w:eastAsia="宋体"/>
          <w:b/>
          <w:bCs/>
          <w:sz w:val="24"/>
          <w:szCs w:val="24"/>
          <w:highlight w:val="none"/>
          <w:lang w:eastAsia="zh-CN"/>
        </w:rPr>
        <w:drawing>
          <wp:inline distT="0" distB="0" distL="114300" distR="114300">
            <wp:extent cx="5761355" cy="2938145"/>
            <wp:effectExtent l="0" t="0" r="10795" b="14605"/>
            <wp:docPr id="36" name="图片 36" descr="雨天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雨天水"/>
                    <pic:cNvPicPr>
                      <a:picLocks noChangeAspect="1"/>
                    </pic:cNvPicPr>
                  </pic:nvPicPr>
                  <pic:blipFill>
                    <a:blip r:embed="rId16"/>
                    <a:stretch>
                      <a:fillRect/>
                    </a:stretch>
                  </pic:blipFill>
                  <pic:spPr>
                    <a:xfrm>
                      <a:off x="0" y="0"/>
                      <a:ext cx="5761355" cy="2938145"/>
                    </a:xfrm>
                    <a:prstGeom prst="rect">
                      <a:avLst/>
                    </a:prstGeom>
                  </pic:spPr>
                </pic:pic>
              </a:graphicData>
            </a:graphic>
          </wp:inline>
        </w:drawing>
      </w:r>
    </w:p>
    <w:p>
      <w:pPr>
        <w:pStyle w:val="17"/>
        <w:ind w:firstLine="0" w:firstLineChars="0"/>
        <w:jc w:val="center"/>
        <w:rPr>
          <w:rFonts w:hint="default" w:ascii="Times New Roman" w:hAnsi="Times New Roman" w:eastAsia="宋体"/>
          <w:b/>
          <w:bCs/>
          <w:sz w:val="24"/>
          <w:szCs w:val="24"/>
          <w:highlight w:val="none"/>
          <w:lang w:val="en-US" w:eastAsia="zh-CN"/>
        </w:rPr>
      </w:pPr>
      <w:r>
        <w:rPr>
          <w:rFonts w:hint="eastAsia" w:ascii="Times New Roman" w:hAnsi="Times New Roman"/>
          <w:b/>
          <w:bCs/>
          <w:sz w:val="24"/>
          <w:szCs w:val="24"/>
          <w:highlight w:val="none"/>
          <w:lang w:eastAsia="zh-CN"/>
        </w:rPr>
        <w:t>图</w:t>
      </w:r>
      <w:r>
        <w:rPr>
          <w:rFonts w:hint="eastAsia" w:ascii="Times New Roman" w:hAnsi="Times New Roman"/>
          <w:b/>
          <w:bCs/>
          <w:sz w:val="24"/>
          <w:szCs w:val="24"/>
          <w:highlight w:val="none"/>
          <w:lang w:val="en-US" w:eastAsia="zh-CN"/>
        </w:rPr>
        <w:t>3.3-2项目雨天水平衡图</w:t>
      </w:r>
    </w:p>
    <w:p>
      <w:pPr>
        <w:pStyle w:val="17"/>
        <w:ind w:firstLine="0" w:firstLineChars="0"/>
        <w:jc w:val="center"/>
        <w:rPr>
          <w:rFonts w:ascii="Times New Roman" w:hAnsi="Times New Roman"/>
          <w:b/>
          <w:bCs/>
          <w:sz w:val="24"/>
          <w:szCs w:val="24"/>
          <w:highlight w:val="none"/>
        </w:rPr>
      </w:pPr>
    </w:p>
    <w:p>
      <w:pPr>
        <w:pStyle w:val="6"/>
        <w:ind w:firstLine="482"/>
        <w:rPr>
          <w:rFonts w:cs="Times New Roman"/>
          <w:highlight w:val="none"/>
        </w:rPr>
      </w:pPr>
      <w:r>
        <w:rPr>
          <w:rFonts w:hint="eastAsia" w:cs="Times New Roman"/>
          <w:highlight w:val="none"/>
          <w:lang w:val="en-US" w:eastAsia="zh-CN"/>
        </w:rPr>
        <w:t>3</w:t>
      </w:r>
      <w:r>
        <w:rPr>
          <w:rFonts w:hint="eastAsia" w:cs="Times New Roman"/>
          <w:highlight w:val="none"/>
        </w:rPr>
        <w:t>.3.2.2废气</w:t>
      </w:r>
    </w:p>
    <w:p>
      <w:pPr>
        <w:pStyle w:val="164"/>
        <w:spacing w:line="360" w:lineRule="auto"/>
        <w:ind w:firstLine="480"/>
        <w:rPr>
          <w:rFonts w:hint="eastAsia"/>
          <w:highlight w:val="none"/>
        </w:rPr>
      </w:pPr>
      <w:r>
        <w:rPr>
          <w:rFonts w:hint="eastAsia"/>
          <w:highlight w:val="none"/>
        </w:rPr>
        <w:t>项目石灰岩矿开采后运至破碎场进行加工，则项目大气污染源主要为露天采场和破碎场粉尘以及运输道路扬尘、表土堆场扬尘、</w:t>
      </w:r>
      <w:r>
        <w:rPr>
          <w:rFonts w:hint="eastAsia"/>
          <w:highlight w:val="none"/>
          <w:lang w:eastAsia="zh-CN"/>
        </w:rPr>
        <w:t>排土场</w:t>
      </w:r>
      <w:r>
        <w:rPr>
          <w:rFonts w:hint="eastAsia"/>
          <w:highlight w:val="none"/>
        </w:rPr>
        <w:t>扬尘等。</w:t>
      </w:r>
    </w:p>
    <w:p>
      <w:pPr>
        <w:spacing w:line="360" w:lineRule="auto"/>
        <w:ind w:firstLine="480"/>
        <w:rPr>
          <w:rFonts w:hint="eastAsia" w:cs="宋体"/>
          <w:sz w:val="24"/>
          <w:highlight w:val="none"/>
        </w:rPr>
      </w:pPr>
      <w:r>
        <w:rPr>
          <w:rFonts w:hint="eastAsia" w:cs="宋体"/>
          <w:sz w:val="24"/>
          <w:highlight w:val="none"/>
        </w:rPr>
        <w:t>1、露天采场</w:t>
      </w:r>
    </w:p>
    <w:p>
      <w:pPr>
        <w:spacing w:line="360" w:lineRule="auto"/>
        <w:ind w:firstLine="480"/>
        <w:rPr>
          <w:rFonts w:hint="eastAsia" w:cs="宋体"/>
          <w:sz w:val="24"/>
          <w:highlight w:val="none"/>
        </w:rPr>
      </w:pPr>
      <w:r>
        <w:rPr>
          <w:rFonts w:hint="eastAsia" w:cs="宋体"/>
          <w:sz w:val="24"/>
          <w:highlight w:val="none"/>
        </w:rPr>
        <w:t>项目露天采场产生的大气污染源主要为露天开采凿岩钻孔粉尘、爆破废气、铲装粉尘。</w:t>
      </w:r>
    </w:p>
    <w:p>
      <w:pPr>
        <w:spacing w:line="360" w:lineRule="auto"/>
        <w:ind w:firstLine="480"/>
        <w:rPr>
          <w:rFonts w:hint="eastAsia" w:cs="宋体"/>
          <w:sz w:val="24"/>
          <w:highlight w:val="none"/>
        </w:rPr>
      </w:pPr>
      <w:r>
        <w:rPr>
          <w:rFonts w:hint="eastAsia" w:cs="宋体"/>
          <w:sz w:val="24"/>
          <w:highlight w:val="none"/>
        </w:rPr>
        <w:t>（1）凿岩钻孔粉尘</w:t>
      </w:r>
    </w:p>
    <w:p>
      <w:pPr>
        <w:shd w:val="clear" w:color="auto" w:fill="FFFFFF"/>
        <w:adjustRightInd w:val="0"/>
        <w:snapToGrid w:val="0"/>
        <w:ind w:firstLine="480"/>
        <w:rPr>
          <w:highlight w:val="none"/>
        </w:rPr>
      </w:pPr>
      <w:r>
        <w:rPr>
          <w:rFonts w:hint="eastAsia" w:cs="宋体"/>
          <w:sz w:val="24"/>
          <w:highlight w:val="none"/>
        </w:rPr>
        <w:t>项目露天开采凿岩钻孔产生粉尘量参照《逸散性工业粉尘控制技术》（中国环境科学出版社）中给出的钻孔的逸散尘排放系数0.004kg/t（矿石），项目年</w:t>
      </w:r>
      <w:r>
        <w:rPr>
          <w:rFonts w:hint="eastAsia" w:cs="宋体"/>
          <w:sz w:val="24"/>
          <w:highlight w:val="none"/>
          <w:lang w:eastAsia="zh-CN"/>
        </w:rPr>
        <w:t>开采</w:t>
      </w:r>
      <w:r>
        <w:rPr>
          <w:rFonts w:hint="eastAsia" w:cs="宋体"/>
          <w:sz w:val="24"/>
          <w:highlight w:val="none"/>
          <w:lang w:val="en-US" w:eastAsia="zh-CN"/>
        </w:rPr>
        <w:t>30</w:t>
      </w:r>
      <w:r>
        <w:rPr>
          <w:rFonts w:hint="eastAsia" w:cs="宋体"/>
          <w:sz w:val="24"/>
          <w:highlight w:val="none"/>
        </w:rPr>
        <w:t>万吨建筑用砂石料，则矿山钻孔过程扬尘产生量为</w:t>
      </w:r>
      <w:r>
        <w:rPr>
          <w:rFonts w:hint="eastAsia" w:cs="宋体"/>
          <w:sz w:val="24"/>
          <w:highlight w:val="none"/>
          <w:lang w:val="en-US" w:eastAsia="zh-CN"/>
        </w:rPr>
        <w:t>1.2</w:t>
      </w:r>
      <w:r>
        <w:rPr>
          <w:rFonts w:hint="eastAsia" w:cs="宋体"/>
          <w:sz w:val="24"/>
          <w:highlight w:val="none"/>
        </w:rPr>
        <w:t>t/a（</w:t>
      </w:r>
      <w:r>
        <w:rPr>
          <w:rFonts w:hint="eastAsia" w:cs="宋体"/>
          <w:sz w:val="24"/>
          <w:highlight w:val="none"/>
          <w:lang w:val="en-US" w:eastAsia="zh-CN"/>
        </w:rPr>
        <w:t>0.5</w:t>
      </w:r>
      <w:r>
        <w:rPr>
          <w:rFonts w:hint="eastAsia" w:cs="宋体"/>
          <w:sz w:val="24"/>
          <w:highlight w:val="none"/>
        </w:rPr>
        <w:t>kg/h）。项目凿岩钻孔作业拟采用湿法作业，且在作业面勤于洒水抑尘，除尘效率按80% 计，则本项目露天开采凿岩钻孔粉尘排放量约</w:t>
      </w:r>
      <w:r>
        <w:rPr>
          <w:rFonts w:hint="eastAsia" w:cs="宋体"/>
          <w:sz w:val="24"/>
          <w:highlight w:val="none"/>
          <w:lang w:val="en-US" w:eastAsia="zh-CN"/>
        </w:rPr>
        <w:t>0.24</w:t>
      </w:r>
      <w:r>
        <w:rPr>
          <w:rFonts w:hint="eastAsia" w:cs="宋体"/>
          <w:sz w:val="24"/>
          <w:highlight w:val="none"/>
        </w:rPr>
        <w:t>t/a（</w:t>
      </w:r>
      <w:r>
        <w:rPr>
          <w:rFonts w:hint="eastAsia" w:cs="宋体"/>
          <w:sz w:val="24"/>
          <w:highlight w:val="none"/>
          <w:lang w:val="en-US" w:eastAsia="zh-CN"/>
        </w:rPr>
        <w:t>0.1</w:t>
      </w:r>
      <w:r>
        <w:rPr>
          <w:rFonts w:hint="eastAsia" w:cs="宋体"/>
          <w:sz w:val="24"/>
          <w:highlight w:val="none"/>
        </w:rPr>
        <w:t>kg/h）</w:t>
      </w:r>
      <w:r>
        <w:rPr>
          <w:highlight w:val="none"/>
        </w:rPr>
        <w:t>。</w:t>
      </w:r>
    </w:p>
    <w:p>
      <w:pPr>
        <w:pStyle w:val="17"/>
        <w:ind w:firstLine="482"/>
        <w:rPr>
          <w:rFonts w:hint="eastAsia" w:eastAsia="宋体"/>
          <w:b w:val="0"/>
          <w:bCs w:val="0"/>
          <w:highlight w:val="none"/>
          <w:lang w:eastAsia="zh-CN"/>
        </w:rPr>
      </w:pPr>
      <w:r>
        <w:rPr>
          <w:rFonts w:hint="eastAsia" w:ascii="Times New Roman" w:hAnsi="Times New Roman"/>
          <w:b w:val="0"/>
          <w:bCs w:val="0"/>
          <w:highlight w:val="none"/>
          <w:lang w:eastAsia="zh-CN"/>
        </w:rPr>
        <w:t>（</w:t>
      </w:r>
      <w:r>
        <w:rPr>
          <w:rFonts w:hint="eastAsia" w:ascii="Times New Roman" w:hAnsi="Times New Roman"/>
          <w:b w:val="0"/>
          <w:bCs w:val="0"/>
          <w:highlight w:val="none"/>
          <w:lang w:val="en-US" w:eastAsia="zh-CN"/>
        </w:rPr>
        <w:t>2</w:t>
      </w:r>
      <w:r>
        <w:rPr>
          <w:rFonts w:hint="eastAsia" w:ascii="Times New Roman" w:hAnsi="Times New Roman"/>
          <w:b w:val="0"/>
          <w:bCs w:val="0"/>
          <w:highlight w:val="none"/>
          <w:lang w:eastAsia="zh-CN"/>
        </w:rPr>
        <w:t>）爆破废气</w:t>
      </w:r>
    </w:p>
    <w:p>
      <w:pPr>
        <w:ind w:firstLine="480"/>
        <w:rPr>
          <w:highlight w:val="none"/>
        </w:rPr>
      </w:pPr>
      <w:r>
        <w:rPr>
          <w:rFonts w:hint="eastAsia"/>
          <w:highlight w:val="none"/>
        </w:rPr>
        <w:t>类比同类矿山统计资料，矿山爆破过程瞬时产尘量较大，但是由此形成的高粉尘浓度空气的维持时间较短，根据《金属矿山》（1996，第三期&lt;露天矿爆破粉尘排放量的计算分析&gt;）的相关研究表明，露天爆破粉尘排放强度约为54.2kg/t炸药。</w:t>
      </w:r>
    </w:p>
    <w:p>
      <w:pPr>
        <w:ind w:firstLine="480"/>
        <w:rPr>
          <w:highlight w:val="none"/>
        </w:rPr>
      </w:pPr>
      <w:r>
        <w:rPr>
          <w:rFonts w:hint="eastAsia"/>
          <w:highlight w:val="none"/>
        </w:rPr>
        <w:t>项目</w:t>
      </w:r>
      <w:r>
        <w:rPr>
          <w:rFonts w:hint="eastAsia"/>
          <w:highlight w:val="none"/>
          <w:lang w:eastAsia="zh-CN"/>
        </w:rPr>
        <w:t>建成</w:t>
      </w:r>
      <w:r>
        <w:rPr>
          <w:rFonts w:hint="eastAsia"/>
          <w:highlight w:val="none"/>
        </w:rPr>
        <w:t>后炸药使用乳化炸药，全年总消耗量</w:t>
      </w:r>
      <w:r>
        <w:rPr>
          <w:rFonts w:hint="eastAsia"/>
          <w:highlight w:val="none"/>
          <w:lang w:val="en-US" w:eastAsia="zh-CN"/>
        </w:rPr>
        <w:t>31</w:t>
      </w:r>
      <w:r>
        <w:rPr>
          <w:rFonts w:hint="eastAsia"/>
          <w:highlight w:val="none"/>
        </w:rPr>
        <w:t>t，则矿山开采过程中爆破产生的粉尘量约为</w:t>
      </w:r>
      <w:r>
        <w:rPr>
          <w:rFonts w:hint="eastAsia"/>
          <w:highlight w:val="none"/>
          <w:lang w:val="en-US" w:eastAsia="zh-CN"/>
        </w:rPr>
        <w:t>1.68</w:t>
      </w:r>
      <w:r>
        <w:rPr>
          <w:rFonts w:hint="eastAsia"/>
          <w:highlight w:val="none"/>
        </w:rPr>
        <w:t>t/a。</w:t>
      </w:r>
    </w:p>
    <w:p>
      <w:pPr>
        <w:ind w:firstLine="480"/>
        <w:rPr>
          <w:highlight w:val="none"/>
        </w:rPr>
      </w:pPr>
      <w:r>
        <w:rPr>
          <w:rFonts w:hint="eastAsia"/>
          <w:highlight w:val="none"/>
        </w:rPr>
        <w:t>爆破后，粒径大的粉尘在短时间内在爆破区内沉降，直径&lt;10um的飘尘不易沉降，但仅占产尘量的1%，直径10~45μm的粉尘在爆破区内也不能短时间沉降，合计为20%左右，故本项目爆破粉尘产生量约为</w:t>
      </w:r>
      <w:r>
        <w:rPr>
          <w:rFonts w:hint="eastAsia"/>
          <w:highlight w:val="none"/>
          <w:lang w:val="en-US" w:eastAsia="zh-CN"/>
        </w:rPr>
        <w:t>0.336</w:t>
      </w:r>
      <w:r>
        <w:rPr>
          <w:rFonts w:hint="eastAsia"/>
          <w:highlight w:val="none"/>
        </w:rPr>
        <w:t>t/a，</w:t>
      </w:r>
      <w:r>
        <w:rPr>
          <w:rFonts w:hint="eastAsia"/>
          <w:color w:val="auto"/>
          <w:highlight w:val="none"/>
        </w:rPr>
        <w:t>通过</w:t>
      </w:r>
      <w:r>
        <w:rPr>
          <w:rFonts w:hint="eastAsia"/>
          <w:color w:val="auto"/>
          <w:highlight w:val="none"/>
          <w:lang w:eastAsia="zh-CN"/>
        </w:rPr>
        <w:t>配备洒水车喷淋</w:t>
      </w:r>
      <w:r>
        <w:rPr>
          <w:color w:val="auto"/>
          <w:highlight w:val="none"/>
        </w:rPr>
        <w:t>洒水</w:t>
      </w:r>
      <w:r>
        <w:rPr>
          <w:rFonts w:hint="eastAsia"/>
          <w:color w:val="auto"/>
          <w:highlight w:val="none"/>
          <w:lang w:eastAsia="zh-CN"/>
        </w:rPr>
        <w:t>等</w:t>
      </w:r>
      <w:r>
        <w:rPr>
          <w:color w:val="auto"/>
          <w:highlight w:val="none"/>
        </w:rPr>
        <w:t>抑尘措施，</w:t>
      </w:r>
      <w:r>
        <w:rPr>
          <w:highlight w:val="none"/>
        </w:rPr>
        <w:t>可有效控制产尘量，洒水抑尘的效率一般可达到</w:t>
      </w:r>
      <w:r>
        <w:rPr>
          <w:rFonts w:hint="eastAsia"/>
          <w:highlight w:val="none"/>
        </w:rPr>
        <w:t>80</w:t>
      </w:r>
      <w:r>
        <w:rPr>
          <w:highlight w:val="none"/>
        </w:rPr>
        <w:t>%左右</w:t>
      </w:r>
      <w:r>
        <w:rPr>
          <w:rFonts w:hint="eastAsia"/>
          <w:highlight w:val="none"/>
        </w:rPr>
        <w:t>，则爆破粉尘排放量约为</w:t>
      </w:r>
      <w:r>
        <w:rPr>
          <w:rFonts w:hint="eastAsia"/>
          <w:highlight w:val="none"/>
          <w:lang w:val="en-US" w:eastAsia="zh-CN"/>
        </w:rPr>
        <w:t>0.07</w:t>
      </w:r>
      <w:r>
        <w:rPr>
          <w:rFonts w:hint="eastAsia"/>
          <w:highlight w:val="none"/>
        </w:rPr>
        <w:t>t/a，呈无组织形式排放。</w:t>
      </w:r>
    </w:p>
    <w:p>
      <w:pPr>
        <w:pStyle w:val="17"/>
        <w:ind w:firstLine="482"/>
        <w:rPr>
          <w:rFonts w:hint="eastAsia" w:ascii="Times New Roman" w:hAnsi="Times New Roman" w:eastAsia="宋体"/>
          <w:b w:val="0"/>
          <w:bCs w:val="0"/>
          <w:highlight w:val="none"/>
          <w:lang w:eastAsia="zh-CN"/>
        </w:rPr>
      </w:pPr>
      <w:r>
        <w:rPr>
          <w:rFonts w:hint="eastAsia" w:ascii="Times New Roman" w:hAnsi="Times New Roman"/>
          <w:b w:val="0"/>
          <w:bCs w:val="0"/>
          <w:highlight w:val="none"/>
          <w:lang w:eastAsia="zh-CN"/>
        </w:rPr>
        <w:t>（</w:t>
      </w:r>
      <w:r>
        <w:rPr>
          <w:rFonts w:hint="eastAsia" w:ascii="Times New Roman" w:hAnsi="Times New Roman"/>
          <w:b w:val="0"/>
          <w:bCs w:val="0"/>
          <w:highlight w:val="none"/>
          <w:lang w:val="en-US" w:eastAsia="zh-CN"/>
        </w:rPr>
        <w:t>3</w:t>
      </w:r>
      <w:r>
        <w:rPr>
          <w:rFonts w:hint="eastAsia" w:ascii="Times New Roman" w:hAnsi="Times New Roman"/>
          <w:b w:val="0"/>
          <w:bCs w:val="0"/>
          <w:highlight w:val="none"/>
          <w:lang w:eastAsia="zh-CN"/>
        </w:rPr>
        <w:t>）二次解石粉尘</w:t>
      </w:r>
    </w:p>
    <w:p>
      <w:pPr>
        <w:ind w:firstLine="480"/>
        <w:rPr>
          <w:rFonts w:hint="eastAsia" w:ascii="Times New Roman" w:hAnsi="Times New Roman" w:eastAsia="宋体"/>
          <w:spacing w:val="5"/>
          <w:highlight w:val="none"/>
          <w:lang w:val="en-US" w:eastAsia="zh-CN"/>
        </w:rPr>
      </w:pPr>
      <w:r>
        <w:rPr>
          <w:rFonts w:ascii="Times New Roman" w:hAnsi="Times New Roman" w:eastAsia="宋体"/>
          <w:spacing w:val="-5"/>
          <w:highlight w:val="none"/>
        </w:rPr>
        <w:t>露天采场出矿块度控制在</w:t>
      </w:r>
      <w:r>
        <w:rPr>
          <w:rFonts w:ascii="Times New Roman" w:hAnsi="Times New Roman" w:eastAsia="宋体"/>
          <w:highlight w:val="none"/>
        </w:rPr>
        <w:t>0.5m</w:t>
      </w:r>
      <w:r>
        <w:rPr>
          <w:rFonts w:ascii="Times New Roman" w:hAnsi="Times New Roman" w:eastAsia="宋体"/>
          <w:spacing w:val="-20"/>
          <w:highlight w:val="none"/>
        </w:rPr>
        <w:t xml:space="preserve">以下，大于 </w:t>
      </w:r>
      <w:r>
        <w:rPr>
          <w:rFonts w:ascii="Times New Roman" w:hAnsi="Times New Roman" w:eastAsia="宋体"/>
          <w:highlight w:val="none"/>
        </w:rPr>
        <w:t>0.5m</w:t>
      </w:r>
      <w:r>
        <w:rPr>
          <w:rFonts w:ascii="Times New Roman" w:hAnsi="Times New Roman" w:eastAsia="宋体"/>
          <w:spacing w:val="-7"/>
          <w:highlight w:val="none"/>
        </w:rPr>
        <w:t>大块需进行二次解石，项目</w:t>
      </w:r>
      <w:r>
        <w:rPr>
          <w:rFonts w:ascii="Times New Roman" w:hAnsi="Times New Roman" w:eastAsia="宋体"/>
          <w:spacing w:val="-6"/>
          <w:highlight w:val="none"/>
        </w:rPr>
        <w:t>采用凿岩机对工作面大块矿石进行二次解石。根据开采设计方案，本项目通过合</w:t>
      </w:r>
      <w:r>
        <w:rPr>
          <w:rFonts w:ascii="Times New Roman" w:hAnsi="Times New Roman" w:eastAsia="宋体"/>
          <w:spacing w:val="-2"/>
          <w:highlight w:val="none"/>
        </w:rPr>
        <w:t>理设计爆破方案控制爆破的大块率，大块率控制在</w:t>
      </w:r>
      <w:r>
        <w:rPr>
          <w:rFonts w:ascii="Times New Roman" w:hAnsi="Times New Roman" w:eastAsia="宋体"/>
          <w:highlight w:val="none"/>
        </w:rPr>
        <w:t>20%以下，则二次解石量为</w:t>
      </w:r>
      <w:r>
        <w:rPr>
          <w:rFonts w:hint="eastAsia"/>
          <w:highlight w:val="none"/>
          <w:lang w:val="en-US" w:eastAsia="zh-CN"/>
        </w:rPr>
        <w:t>6</w:t>
      </w:r>
      <w:r>
        <w:rPr>
          <w:rFonts w:ascii="Times New Roman" w:hAnsi="Times New Roman" w:eastAsia="宋体"/>
          <w:spacing w:val="-24"/>
          <w:highlight w:val="none"/>
        </w:rPr>
        <w:t xml:space="preserve">万 </w:t>
      </w:r>
      <w:r>
        <w:rPr>
          <w:rFonts w:ascii="Times New Roman" w:hAnsi="Times New Roman" w:eastAsia="宋体"/>
          <w:highlight w:val="none"/>
        </w:rPr>
        <w:t>t/a。参照《逸散性工业粉尘控制技术》（中国环境科学出版社），凿岩机</w:t>
      </w:r>
      <w:r>
        <w:rPr>
          <w:rFonts w:ascii="Times New Roman" w:hAnsi="Times New Roman" w:eastAsia="宋体"/>
          <w:spacing w:val="-6"/>
          <w:highlight w:val="none"/>
        </w:rPr>
        <w:t>产生的排放因子为</w:t>
      </w:r>
      <w:r>
        <w:rPr>
          <w:rFonts w:ascii="Times New Roman" w:hAnsi="Times New Roman" w:eastAsia="宋体"/>
          <w:highlight w:val="none"/>
        </w:rPr>
        <w:t>0.004kg/t</w:t>
      </w:r>
      <w:r>
        <w:rPr>
          <w:rFonts w:ascii="Times New Roman" w:hAnsi="Times New Roman" w:eastAsia="宋体"/>
          <w:spacing w:val="-3"/>
          <w:highlight w:val="none"/>
        </w:rPr>
        <w:t>矿石，则二次解石粉尘产生量约为</w:t>
      </w:r>
      <w:r>
        <w:rPr>
          <w:rFonts w:hint="eastAsia"/>
          <w:highlight w:val="none"/>
          <w:lang w:val="en-US" w:eastAsia="zh-CN"/>
        </w:rPr>
        <w:t>0.24</w:t>
      </w:r>
      <w:r>
        <w:rPr>
          <w:rFonts w:ascii="Times New Roman" w:hAnsi="Times New Roman" w:eastAsia="宋体"/>
          <w:highlight w:val="none"/>
        </w:rPr>
        <w:t>t/a，在采用</w:t>
      </w:r>
      <w:r>
        <w:rPr>
          <w:rFonts w:ascii="Times New Roman" w:hAnsi="Times New Roman" w:eastAsia="宋体"/>
          <w:spacing w:val="13"/>
          <w:highlight w:val="none"/>
        </w:rPr>
        <w:t>洒水抑尘等措施进行防尘，除尘效率按</w:t>
      </w:r>
      <w:r>
        <w:rPr>
          <w:rFonts w:hint="eastAsia"/>
          <w:highlight w:val="none"/>
          <w:lang w:val="en-US" w:eastAsia="zh-CN"/>
        </w:rPr>
        <w:t>80</w:t>
      </w:r>
      <w:r>
        <w:rPr>
          <w:rFonts w:ascii="Times New Roman" w:hAnsi="Times New Roman" w:eastAsia="宋体"/>
          <w:highlight w:val="none"/>
        </w:rPr>
        <w:t xml:space="preserve">% </w:t>
      </w:r>
      <w:r>
        <w:rPr>
          <w:rFonts w:ascii="Times New Roman" w:hAnsi="Times New Roman" w:eastAsia="宋体"/>
          <w:spacing w:val="5"/>
          <w:highlight w:val="none"/>
        </w:rPr>
        <w:t>计，则二次解石粉尘排放量为</w:t>
      </w:r>
      <w:r>
        <w:rPr>
          <w:rFonts w:hint="eastAsia"/>
          <w:spacing w:val="5"/>
          <w:highlight w:val="none"/>
          <w:lang w:val="en-US" w:eastAsia="zh-CN"/>
        </w:rPr>
        <w:t>0.048</w:t>
      </w:r>
      <w:r>
        <w:rPr>
          <w:rFonts w:ascii="Times New Roman" w:hAnsi="Times New Roman" w:eastAsia="宋体"/>
          <w:spacing w:val="5"/>
          <w:highlight w:val="none"/>
        </w:rPr>
        <w:t>t/a</w:t>
      </w:r>
      <w:r>
        <w:rPr>
          <w:rFonts w:hint="eastAsia"/>
          <w:spacing w:val="5"/>
          <w:highlight w:val="none"/>
          <w:lang w:eastAsia="zh-CN"/>
        </w:rPr>
        <w:t>。</w:t>
      </w:r>
    </w:p>
    <w:p>
      <w:pPr>
        <w:ind w:firstLine="480"/>
        <w:rPr>
          <w:rFonts w:hint="eastAsia" w:ascii="Times New Roman" w:hAnsi="Times New Roman" w:eastAsia="宋体"/>
          <w:spacing w:val="5"/>
          <w:highlight w:val="none"/>
          <w:lang w:eastAsia="zh-CN"/>
        </w:rPr>
      </w:pPr>
      <w:r>
        <w:rPr>
          <w:rFonts w:hint="eastAsia"/>
          <w:spacing w:val="5"/>
          <w:highlight w:val="none"/>
          <w:lang w:eastAsia="zh-CN"/>
        </w:rPr>
        <w:t>（</w:t>
      </w:r>
      <w:r>
        <w:rPr>
          <w:rFonts w:hint="eastAsia"/>
          <w:spacing w:val="5"/>
          <w:highlight w:val="none"/>
          <w:lang w:val="en-US" w:eastAsia="zh-CN"/>
        </w:rPr>
        <w:t>4</w:t>
      </w:r>
      <w:r>
        <w:rPr>
          <w:rFonts w:hint="eastAsia"/>
          <w:spacing w:val="5"/>
          <w:highlight w:val="none"/>
          <w:lang w:eastAsia="zh-CN"/>
        </w:rPr>
        <w:t>）矿石铲装粉尘</w:t>
      </w:r>
    </w:p>
    <w:p>
      <w:pPr>
        <w:ind w:firstLine="480"/>
        <w:rPr>
          <w:rFonts w:hint="eastAsia" w:ascii="Times New Roman" w:hAnsi="Times New Roman" w:eastAsia="宋体"/>
          <w:highlight w:val="none"/>
          <w:lang w:eastAsia="zh-CN"/>
        </w:rPr>
      </w:pPr>
      <w:r>
        <w:rPr>
          <w:rFonts w:ascii="Times New Roman" w:hAnsi="Times New Roman" w:eastAsia="宋体"/>
          <w:spacing w:val="-4"/>
          <w:highlight w:val="none"/>
        </w:rPr>
        <w:t>矿石需经露天开采区采用装载机运送至破碎加工区，根据物料平衡，需铲装</w:t>
      </w:r>
      <w:r>
        <w:rPr>
          <w:rFonts w:ascii="Times New Roman" w:hAnsi="Times New Roman" w:eastAsia="宋体"/>
          <w:spacing w:val="-18"/>
          <w:highlight w:val="none"/>
        </w:rPr>
        <w:t>总量为</w:t>
      </w:r>
      <w:r>
        <w:rPr>
          <w:rFonts w:hint="eastAsia"/>
          <w:highlight w:val="none"/>
          <w:lang w:val="en-US" w:eastAsia="zh-CN"/>
        </w:rPr>
        <w:t>30</w:t>
      </w:r>
      <w:r>
        <w:rPr>
          <w:rFonts w:ascii="Times New Roman" w:hAnsi="Times New Roman" w:eastAsia="宋体"/>
          <w:spacing w:val="-30"/>
          <w:highlight w:val="none"/>
        </w:rPr>
        <w:t xml:space="preserve">万 </w:t>
      </w:r>
      <w:r>
        <w:rPr>
          <w:rFonts w:ascii="Times New Roman" w:hAnsi="Times New Roman" w:eastAsia="宋体"/>
          <w:highlight w:val="none"/>
        </w:rPr>
        <w:t>t/a，参照《逸散性工业粉尘控制技术》（中国环境科学出版社</w:t>
      </w:r>
      <w:r>
        <w:rPr>
          <w:rFonts w:ascii="Times New Roman" w:hAnsi="Times New Roman" w:eastAsia="宋体"/>
          <w:spacing w:val="-10"/>
          <w:highlight w:val="none"/>
        </w:rPr>
        <w:t>），</w:t>
      </w:r>
      <w:r>
        <w:rPr>
          <w:rFonts w:ascii="Times New Roman" w:hAnsi="Times New Roman" w:eastAsia="宋体"/>
          <w:spacing w:val="-6"/>
          <w:highlight w:val="none"/>
        </w:rPr>
        <w:t>铲装粉尘产生系数为</w:t>
      </w:r>
      <w:r>
        <w:rPr>
          <w:rFonts w:ascii="Times New Roman" w:hAnsi="Times New Roman" w:eastAsia="宋体"/>
          <w:spacing w:val="-7"/>
          <w:highlight w:val="none"/>
        </w:rPr>
        <w:t>0.025kg/t</w:t>
      </w:r>
      <w:r>
        <w:rPr>
          <w:rFonts w:ascii="Times New Roman" w:hAnsi="Times New Roman" w:eastAsia="宋体"/>
          <w:spacing w:val="-8"/>
          <w:highlight w:val="none"/>
        </w:rPr>
        <w:t>，矿石可起尘颗粒物按照</w:t>
      </w:r>
      <w:r>
        <w:rPr>
          <w:rFonts w:ascii="Times New Roman" w:hAnsi="Times New Roman" w:eastAsia="宋体"/>
          <w:highlight w:val="none"/>
        </w:rPr>
        <w:t>10%</w:t>
      </w:r>
      <w:r>
        <w:rPr>
          <w:rFonts w:ascii="Times New Roman" w:hAnsi="Times New Roman" w:eastAsia="宋体"/>
          <w:spacing w:val="-8"/>
          <w:highlight w:val="none"/>
        </w:rPr>
        <w:t>计算，则矿石铲装粉</w:t>
      </w:r>
      <w:r>
        <w:rPr>
          <w:rFonts w:ascii="Times New Roman" w:hAnsi="Times New Roman" w:eastAsia="宋体"/>
          <w:spacing w:val="-17"/>
          <w:highlight w:val="none"/>
        </w:rPr>
        <w:t>尘产生量为</w:t>
      </w:r>
      <w:r>
        <w:rPr>
          <w:rFonts w:hint="eastAsia"/>
          <w:highlight w:val="none"/>
          <w:lang w:val="en-US" w:eastAsia="zh-CN"/>
        </w:rPr>
        <w:t>0.75</w:t>
      </w:r>
      <w:r>
        <w:rPr>
          <w:rFonts w:ascii="Times New Roman" w:hAnsi="Times New Roman" w:eastAsia="宋体"/>
          <w:highlight w:val="none"/>
        </w:rPr>
        <w:t>t/a</w:t>
      </w:r>
      <w:r>
        <w:rPr>
          <w:rFonts w:ascii="Times New Roman" w:hAnsi="Times New Roman" w:eastAsia="宋体"/>
          <w:spacing w:val="-5"/>
          <w:highlight w:val="none"/>
        </w:rPr>
        <w:t>。通过在装卸过程中降低落料高度、装车前洒水使石料含水率为8%</w:t>
      </w:r>
      <w:r>
        <w:rPr>
          <w:rFonts w:ascii="Times New Roman" w:hAnsi="Times New Roman" w:eastAsia="宋体"/>
          <w:spacing w:val="-7"/>
          <w:highlight w:val="none"/>
        </w:rPr>
        <w:t>以上、装车时洒水抑尘等措施，除尘效率按</w:t>
      </w:r>
      <w:r>
        <w:rPr>
          <w:rFonts w:hint="eastAsia"/>
          <w:spacing w:val="-7"/>
          <w:highlight w:val="none"/>
          <w:lang w:val="en-US" w:eastAsia="zh-CN"/>
        </w:rPr>
        <w:t>80</w:t>
      </w:r>
      <w:r>
        <w:rPr>
          <w:rFonts w:ascii="Times New Roman" w:hAnsi="Times New Roman" w:eastAsia="宋体"/>
          <w:highlight w:val="none"/>
        </w:rPr>
        <w:t>%计，故矿石装卸扬尘排放量</w:t>
      </w:r>
      <w:r>
        <w:rPr>
          <w:rFonts w:ascii="Times New Roman" w:hAnsi="Times New Roman" w:eastAsia="宋体"/>
          <w:spacing w:val="-21"/>
          <w:highlight w:val="none"/>
        </w:rPr>
        <w:t xml:space="preserve">约为 </w:t>
      </w:r>
      <w:r>
        <w:rPr>
          <w:rFonts w:hint="eastAsia"/>
          <w:highlight w:val="none"/>
          <w:lang w:val="en-US" w:eastAsia="zh-CN"/>
        </w:rPr>
        <w:t>0.15</w:t>
      </w:r>
      <w:r>
        <w:rPr>
          <w:rFonts w:ascii="Times New Roman" w:hAnsi="Times New Roman" w:eastAsia="宋体"/>
          <w:highlight w:val="none"/>
        </w:rPr>
        <w:t>t/a</w:t>
      </w:r>
      <w:r>
        <w:rPr>
          <w:rFonts w:hint="eastAsia"/>
          <w:highlight w:val="none"/>
          <w:lang w:eastAsia="zh-CN"/>
        </w:rPr>
        <w:t>。</w:t>
      </w:r>
    </w:p>
    <w:p>
      <w:pPr>
        <w:ind w:firstLine="480"/>
        <w:rPr>
          <w:rFonts w:hint="eastAsia" w:ascii="Times New Roman" w:hAnsi="Times New Roman" w:eastAsia="宋体"/>
          <w:highlight w:val="none"/>
          <w:lang w:val="en-US" w:eastAsia="zh-CN"/>
        </w:rPr>
      </w:pPr>
      <w:r>
        <w:rPr>
          <w:rFonts w:hint="eastAsia"/>
          <w:highlight w:val="none"/>
          <w:lang w:val="en-US" w:eastAsia="zh-CN"/>
        </w:rPr>
        <w:t>2、破碎加工场粉尘</w:t>
      </w:r>
    </w:p>
    <w:p>
      <w:pPr>
        <w:ind w:firstLine="480"/>
        <w:rPr>
          <w:rFonts w:hint="eastAsia"/>
          <w:color w:val="auto"/>
          <w:highlight w:val="none"/>
        </w:rPr>
      </w:pPr>
      <w:r>
        <w:rPr>
          <w:rFonts w:hint="eastAsia"/>
          <w:color w:val="auto"/>
          <w:highlight w:val="none"/>
        </w:rPr>
        <w:t>项目石灰石矿运至项目区先暂存于原料堆场，后经粗破、筛分、细破、筛分后得到项目所需成品，破碎加工场粉尘主要来源于原料堆场、给料、粗破、筛分、细破、筛分以及皮带输送</w:t>
      </w:r>
    </w:p>
    <w:p>
      <w:pPr>
        <w:ind w:firstLine="480"/>
        <w:rPr>
          <w:rFonts w:hint="eastAsia" w:eastAsia="宋体"/>
          <w:color w:val="auto"/>
          <w:highlight w:val="none"/>
          <w:lang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）原料、成品堆场粉尘</w:t>
      </w:r>
    </w:p>
    <w:p>
      <w:pPr>
        <w:pStyle w:val="154"/>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hint="eastAsia"/>
          <w:color w:val="auto"/>
          <w:sz w:val="24"/>
          <w:szCs w:val="24"/>
          <w:highlight w:val="none"/>
        </w:rPr>
        <w:t>项目石灰石矿运至项目区原料堆场进行堆放，堆场面积为2400m</w:t>
      </w:r>
      <w:r>
        <w:rPr>
          <w:rFonts w:hint="eastAsia"/>
          <w:color w:val="auto"/>
          <w:sz w:val="24"/>
          <w:szCs w:val="24"/>
          <w:highlight w:val="none"/>
          <w:vertAlign w:val="superscript"/>
        </w:rPr>
        <w:t>2</w:t>
      </w:r>
      <w:r>
        <w:rPr>
          <w:rFonts w:hint="eastAsia"/>
          <w:color w:val="auto"/>
          <w:sz w:val="24"/>
          <w:szCs w:val="24"/>
          <w:highlight w:val="none"/>
        </w:rPr>
        <w:t>，</w:t>
      </w:r>
      <w:r>
        <w:rPr>
          <w:rFonts w:hint="eastAsia"/>
          <w:color w:val="auto"/>
          <w:sz w:val="24"/>
          <w:szCs w:val="24"/>
          <w:highlight w:val="none"/>
          <w:lang w:eastAsia="zh-CN"/>
        </w:rPr>
        <w:t>项目砂石料堆放于成品堆场，</w:t>
      </w:r>
      <w:r>
        <w:rPr>
          <w:rFonts w:hint="eastAsia"/>
          <w:color w:val="auto"/>
          <w:sz w:val="24"/>
          <w:szCs w:val="24"/>
          <w:highlight w:val="none"/>
        </w:rPr>
        <w:t>堆场面积为</w:t>
      </w:r>
      <w:r>
        <w:rPr>
          <w:rFonts w:hint="eastAsia"/>
          <w:color w:val="auto"/>
          <w:sz w:val="24"/>
          <w:szCs w:val="24"/>
          <w:highlight w:val="none"/>
          <w:lang w:val="en-US" w:eastAsia="zh-CN"/>
        </w:rPr>
        <w:t>16</w:t>
      </w:r>
      <w:r>
        <w:rPr>
          <w:rFonts w:hint="eastAsia"/>
          <w:color w:val="auto"/>
          <w:sz w:val="24"/>
          <w:szCs w:val="24"/>
          <w:highlight w:val="none"/>
        </w:rPr>
        <w:t>00m</w:t>
      </w:r>
      <w:r>
        <w:rPr>
          <w:rFonts w:hint="eastAsia"/>
          <w:color w:val="auto"/>
          <w:sz w:val="24"/>
          <w:szCs w:val="24"/>
          <w:highlight w:val="none"/>
          <w:vertAlign w:val="superscript"/>
        </w:rPr>
        <w:t>2</w:t>
      </w:r>
      <w:r>
        <w:rPr>
          <w:rFonts w:hint="eastAsia"/>
          <w:color w:val="auto"/>
          <w:sz w:val="24"/>
          <w:szCs w:val="24"/>
          <w:highlight w:val="none"/>
        </w:rPr>
        <w:t>，在堆放过程中，由于风力的影响产生少量的风力扬尘，项目堆场粉尘采用西安冶金建筑学院的起尘量推荐公式计算</w:t>
      </w:r>
      <w:r>
        <w:rPr>
          <w:rFonts w:hint="eastAsia"/>
          <w:color w:val="auto"/>
          <w:sz w:val="24"/>
          <w:szCs w:val="24"/>
          <w:highlight w:val="none"/>
          <w:lang w:eastAsia="zh-CN"/>
        </w:rPr>
        <w:t>，</w:t>
      </w:r>
      <w:r>
        <w:rPr>
          <w:color w:val="auto"/>
          <w:sz w:val="24"/>
          <w:szCs w:val="24"/>
          <w:highlight w:val="none"/>
        </w:rPr>
        <w:t>公式如下：</w:t>
      </w:r>
    </w:p>
    <w:p>
      <w:pPr>
        <w:pStyle w:val="154"/>
        <w:keepNext w:val="0"/>
        <w:keepLines w:val="0"/>
        <w:pageBreakBefore w:val="0"/>
        <w:kinsoku/>
        <w:wordWrap/>
        <w:overflowPunct/>
        <w:topLinePunct w:val="0"/>
        <w:autoSpaceDE/>
        <w:autoSpaceDN/>
        <w:bidi w:val="0"/>
        <w:adjustRightInd/>
        <w:snapToGrid/>
        <w:spacing w:line="360" w:lineRule="auto"/>
        <w:ind w:firstLine="480" w:firstLineChars="200"/>
        <w:jc w:val="center"/>
        <w:textAlignment w:val="auto"/>
        <w:rPr>
          <w:rFonts w:ascii="Times New Roman" w:hAnsi="Times New Roman"/>
          <w:color w:val="auto"/>
          <w:sz w:val="24"/>
          <w:szCs w:val="24"/>
          <w:highlight w:val="none"/>
        </w:rPr>
      </w:pPr>
      <w:r>
        <w:rPr>
          <w:rFonts w:ascii="Times New Roman" w:hAnsi="Times New Roman"/>
          <w:color w:val="auto"/>
          <w:sz w:val="24"/>
          <w:szCs w:val="24"/>
          <w:highlight w:val="none"/>
        </w:rPr>
        <w:t>Q=4.23×10</w:t>
      </w:r>
      <w:r>
        <w:rPr>
          <w:rFonts w:ascii="Times New Roman" w:hAnsi="Times New Roman"/>
          <w:color w:val="auto"/>
          <w:sz w:val="24"/>
          <w:szCs w:val="24"/>
          <w:highlight w:val="none"/>
          <w:vertAlign w:val="superscript"/>
        </w:rPr>
        <w:t>-4</w:t>
      </w:r>
      <w:r>
        <w:rPr>
          <w:rFonts w:ascii="Times New Roman" w:hAnsi="Times New Roman"/>
          <w:color w:val="auto"/>
          <w:sz w:val="24"/>
          <w:szCs w:val="24"/>
          <w:highlight w:val="none"/>
        </w:rPr>
        <w:t>×V</w:t>
      </w:r>
      <w:r>
        <w:rPr>
          <w:rFonts w:ascii="Times New Roman" w:hAnsi="Times New Roman"/>
          <w:color w:val="auto"/>
          <w:sz w:val="24"/>
          <w:szCs w:val="24"/>
          <w:highlight w:val="none"/>
          <w:vertAlign w:val="superscript"/>
        </w:rPr>
        <w:t>4.9</w:t>
      </w:r>
      <w:r>
        <w:rPr>
          <w:rFonts w:ascii="Times New Roman" w:hAnsi="Times New Roman"/>
          <w:color w:val="auto"/>
          <w:sz w:val="24"/>
          <w:szCs w:val="24"/>
          <w:highlight w:val="none"/>
        </w:rPr>
        <w:t>×S</w:t>
      </w:r>
    </w:p>
    <w:p>
      <w:pPr>
        <w:pStyle w:val="154"/>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color w:val="auto"/>
          <w:sz w:val="24"/>
          <w:szCs w:val="24"/>
          <w:highlight w:val="none"/>
        </w:rPr>
        <w:t>式中：</w:t>
      </w:r>
    </w:p>
    <w:p>
      <w:pPr>
        <w:pStyle w:val="154"/>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Q—</w:t>
      </w:r>
      <w:r>
        <w:rPr>
          <w:color w:val="auto"/>
          <w:sz w:val="24"/>
          <w:szCs w:val="24"/>
          <w:highlight w:val="none"/>
        </w:rPr>
        <w:t>物料无组织排放速率，</w:t>
      </w:r>
      <w:r>
        <w:rPr>
          <w:rFonts w:ascii="Times New Roman" w:hAnsi="Times New Roman"/>
          <w:color w:val="auto"/>
          <w:sz w:val="24"/>
          <w:szCs w:val="24"/>
          <w:highlight w:val="none"/>
        </w:rPr>
        <w:t>mg/s</w:t>
      </w:r>
      <w:r>
        <w:rPr>
          <w:color w:val="auto"/>
          <w:sz w:val="24"/>
          <w:szCs w:val="24"/>
          <w:highlight w:val="none"/>
        </w:rPr>
        <w:t>；</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color w:val="auto"/>
          <w:sz w:val="24"/>
          <w:highlight w:val="none"/>
        </w:rPr>
        <w:t>V—当地平均风速，m/s，</w:t>
      </w:r>
      <w:r>
        <w:rPr>
          <w:rFonts w:hint="eastAsia"/>
          <w:color w:val="auto"/>
          <w:sz w:val="24"/>
          <w:highlight w:val="none"/>
          <w:lang w:eastAsia="zh-CN"/>
        </w:rPr>
        <w:t>取值</w:t>
      </w:r>
      <w:r>
        <w:rPr>
          <w:color w:val="auto"/>
          <w:sz w:val="24"/>
          <w:highlight w:val="none"/>
        </w:rPr>
        <w:t>为</w:t>
      </w:r>
      <w:r>
        <w:rPr>
          <w:rFonts w:hint="eastAsia"/>
          <w:color w:val="auto"/>
          <w:sz w:val="24"/>
          <w:highlight w:val="none"/>
          <w:lang w:val="en-US" w:eastAsia="zh-CN"/>
        </w:rPr>
        <w:t>3.1</w:t>
      </w:r>
      <w:r>
        <w:rPr>
          <w:color w:val="auto"/>
          <w:sz w:val="24"/>
          <w:highlight w:val="none"/>
        </w:rPr>
        <w:t>m/s。</w:t>
      </w:r>
    </w:p>
    <w:p>
      <w:pPr>
        <w:pStyle w:val="154"/>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S—</w:t>
      </w:r>
      <w:r>
        <w:rPr>
          <w:color w:val="auto"/>
          <w:sz w:val="24"/>
          <w:szCs w:val="24"/>
          <w:highlight w:val="none"/>
        </w:rPr>
        <w:t>堆场面积，</w:t>
      </w:r>
      <w:r>
        <w:rPr>
          <w:rFonts w:ascii="Times New Roman" w:hAnsi="Times New Roman"/>
          <w:color w:val="auto"/>
          <w:sz w:val="24"/>
          <w:szCs w:val="24"/>
          <w:highlight w:val="none"/>
        </w:rPr>
        <w:t>m</w:t>
      </w:r>
      <w:r>
        <w:rPr>
          <w:rFonts w:ascii="Times New Roman" w:hAnsi="Times New Roman"/>
          <w:color w:val="auto"/>
          <w:sz w:val="24"/>
          <w:szCs w:val="24"/>
          <w:highlight w:val="none"/>
          <w:vertAlign w:val="superscript"/>
        </w:rPr>
        <w:t>2</w:t>
      </w:r>
      <w:r>
        <w:rPr>
          <w:color w:val="auto"/>
          <w:sz w:val="24"/>
          <w:szCs w:val="24"/>
          <w:highlight w:val="none"/>
        </w:rPr>
        <w:t>，项目</w:t>
      </w:r>
      <w:r>
        <w:rPr>
          <w:rFonts w:hint="eastAsia"/>
          <w:color w:val="auto"/>
          <w:sz w:val="24"/>
          <w:szCs w:val="24"/>
          <w:highlight w:val="none"/>
          <w:lang w:eastAsia="zh-CN"/>
        </w:rPr>
        <w:t>原料</w:t>
      </w:r>
      <w:r>
        <w:rPr>
          <w:color w:val="auto"/>
          <w:sz w:val="24"/>
          <w:szCs w:val="24"/>
          <w:highlight w:val="none"/>
        </w:rPr>
        <w:t>堆场面积为</w:t>
      </w:r>
      <w:r>
        <w:rPr>
          <w:rFonts w:hint="eastAsia"/>
          <w:color w:val="auto"/>
          <w:sz w:val="24"/>
          <w:szCs w:val="24"/>
          <w:highlight w:val="none"/>
          <w:lang w:val="en-US" w:eastAsia="zh-CN"/>
        </w:rPr>
        <w:t>2400</w:t>
      </w:r>
      <w:r>
        <w:rPr>
          <w:rFonts w:ascii="Times New Roman" w:hAnsi="Times New Roman"/>
          <w:color w:val="auto"/>
          <w:sz w:val="24"/>
          <w:szCs w:val="24"/>
          <w:highlight w:val="none"/>
        </w:rPr>
        <w:t>m</w:t>
      </w:r>
      <w:r>
        <w:rPr>
          <w:rFonts w:ascii="Times New Roman" w:hAnsi="Times New Roman"/>
          <w:color w:val="auto"/>
          <w:sz w:val="24"/>
          <w:szCs w:val="24"/>
          <w:highlight w:val="none"/>
          <w:vertAlign w:val="superscript"/>
        </w:rPr>
        <w:t>2</w:t>
      </w:r>
      <w:r>
        <w:rPr>
          <w:color w:val="auto"/>
          <w:sz w:val="24"/>
          <w:szCs w:val="24"/>
          <w:highlight w:val="none"/>
        </w:rPr>
        <w:t>。</w:t>
      </w:r>
    </w:p>
    <w:p>
      <w:pPr>
        <w:ind w:firstLine="480"/>
        <w:rPr>
          <w:rFonts w:hint="eastAsia" w:ascii="Times New Roman" w:hAnsi="Times New Roman" w:eastAsia="宋体"/>
          <w:highlight w:val="none"/>
          <w:lang w:eastAsia="zh-CN"/>
        </w:rPr>
      </w:pPr>
      <w:r>
        <w:rPr>
          <w:rFonts w:hint="eastAsia"/>
          <w:color w:val="auto"/>
          <w:sz w:val="24"/>
          <w:szCs w:val="24"/>
          <w:highlight w:val="none"/>
          <w:lang w:eastAsia="zh-CN"/>
        </w:rPr>
        <w:t>经计算，项目原料</w:t>
      </w:r>
      <w:r>
        <w:rPr>
          <w:color w:val="auto"/>
          <w:sz w:val="24"/>
          <w:szCs w:val="24"/>
          <w:highlight w:val="none"/>
        </w:rPr>
        <w:t>堆场</w:t>
      </w:r>
      <w:r>
        <w:rPr>
          <w:rFonts w:ascii="Times New Roman" w:hAnsi="Times New Roman" w:eastAsia="宋体"/>
          <w:spacing w:val="-9"/>
          <w:highlight w:val="none"/>
        </w:rPr>
        <w:t>起尘量为</w:t>
      </w:r>
      <w:r>
        <w:rPr>
          <w:rFonts w:hint="eastAsia"/>
          <w:highlight w:val="none"/>
          <w:lang w:val="en-US" w:eastAsia="zh-CN"/>
        </w:rPr>
        <w:t>259.55</w:t>
      </w:r>
      <w:r>
        <w:rPr>
          <w:rFonts w:ascii="Times New Roman" w:hAnsi="Times New Roman" w:eastAsia="宋体"/>
          <w:highlight w:val="none"/>
        </w:rPr>
        <w:t>mg/s</w:t>
      </w:r>
      <w:r>
        <w:rPr>
          <w:rFonts w:ascii="Times New Roman" w:hAnsi="Times New Roman" w:eastAsia="宋体"/>
          <w:spacing w:val="-9"/>
          <w:highlight w:val="none"/>
        </w:rPr>
        <w:t>，年堆放时间为</w:t>
      </w:r>
      <w:r>
        <w:rPr>
          <w:rFonts w:ascii="Times New Roman" w:hAnsi="Times New Roman" w:eastAsia="宋体"/>
          <w:highlight w:val="none"/>
        </w:rPr>
        <w:t>300</w:t>
      </w:r>
      <w:r>
        <w:rPr>
          <w:rFonts w:ascii="Times New Roman" w:hAnsi="Times New Roman" w:eastAsia="宋体"/>
          <w:spacing w:val="-19"/>
          <w:highlight w:val="none"/>
        </w:rPr>
        <w:t xml:space="preserve">天，即为 </w:t>
      </w:r>
      <w:r>
        <w:rPr>
          <w:rFonts w:ascii="Times New Roman" w:hAnsi="Times New Roman" w:eastAsia="宋体"/>
          <w:highlight w:val="none"/>
        </w:rPr>
        <w:t>0.0</w:t>
      </w:r>
      <w:r>
        <w:rPr>
          <w:rFonts w:hint="eastAsia"/>
          <w:highlight w:val="none"/>
          <w:lang w:val="en-US" w:eastAsia="zh-CN"/>
        </w:rPr>
        <w:t>37</w:t>
      </w:r>
      <w:r>
        <w:rPr>
          <w:rFonts w:ascii="Times New Roman" w:hAnsi="Times New Roman" w:eastAsia="宋体"/>
          <w:highlight w:val="none"/>
        </w:rPr>
        <w:t>t/a</w:t>
      </w:r>
      <w:r>
        <w:rPr>
          <w:rFonts w:ascii="Times New Roman" w:hAnsi="Times New Roman" w:eastAsia="宋体"/>
          <w:spacing w:val="-7"/>
          <w:highlight w:val="none"/>
        </w:rPr>
        <w:t>，项</w:t>
      </w:r>
      <w:r>
        <w:rPr>
          <w:rFonts w:ascii="Times New Roman" w:hAnsi="Times New Roman" w:eastAsia="宋体"/>
          <w:spacing w:val="-10"/>
          <w:highlight w:val="none"/>
        </w:rPr>
        <w:t>目</w:t>
      </w:r>
      <w:r>
        <w:rPr>
          <w:rFonts w:ascii="Times New Roman" w:hAnsi="Times New Roman" w:eastAsia="宋体"/>
          <w:spacing w:val="-10"/>
          <w:highlight w:val="yellow"/>
        </w:rPr>
        <w:t>原料堆场设置三面围挡，并设置顶棚，并设置</w:t>
      </w:r>
      <w:r>
        <w:rPr>
          <w:rFonts w:hint="eastAsia"/>
          <w:spacing w:val="-10"/>
          <w:highlight w:val="yellow"/>
          <w:lang w:val="en-US" w:eastAsia="zh-CN"/>
        </w:rPr>
        <w:t>2套</w:t>
      </w:r>
      <w:r>
        <w:rPr>
          <w:rFonts w:ascii="Times New Roman" w:hAnsi="Times New Roman" w:eastAsia="宋体"/>
          <w:spacing w:val="-10"/>
          <w:highlight w:val="yellow"/>
        </w:rPr>
        <w:t>洒水</w:t>
      </w:r>
      <w:r>
        <w:rPr>
          <w:rFonts w:hint="eastAsia"/>
          <w:spacing w:val="-10"/>
          <w:highlight w:val="yellow"/>
          <w:lang w:eastAsia="zh-CN"/>
        </w:rPr>
        <w:t>喷淋</w:t>
      </w:r>
      <w:r>
        <w:rPr>
          <w:rFonts w:ascii="Times New Roman" w:hAnsi="Times New Roman" w:eastAsia="宋体"/>
          <w:spacing w:val="-10"/>
          <w:highlight w:val="yellow"/>
        </w:rPr>
        <w:t>设施，</w:t>
      </w:r>
      <w:r>
        <w:rPr>
          <w:rFonts w:ascii="Times New Roman" w:hAnsi="Times New Roman" w:eastAsia="宋体"/>
          <w:spacing w:val="-10"/>
          <w:highlight w:val="none"/>
        </w:rPr>
        <w:t xml:space="preserve">除尘效率按 </w:t>
      </w:r>
      <w:r>
        <w:rPr>
          <w:rFonts w:hint="eastAsia"/>
          <w:spacing w:val="-5"/>
          <w:highlight w:val="none"/>
          <w:lang w:val="en-US" w:eastAsia="zh-CN"/>
        </w:rPr>
        <w:t>90</w:t>
      </w:r>
      <w:r>
        <w:rPr>
          <w:rFonts w:ascii="Times New Roman" w:hAnsi="Times New Roman" w:eastAsia="宋体"/>
          <w:spacing w:val="-5"/>
          <w:highlight w:val="none"/>
        </w:rPr>
        <w:t>%</w:t>
      </w:r>
      <w:r>
        <w:rPr>
          <w:rFonts w:ascii="Times New Roman" w:hAnsi="Times New Roman" w:eastAsia="宋体"/>
          <w:spacing w:val="-6"/>
          <w:highlight w:val="none"/>
        </w:rPr>
        <w:t>计，则堆场粉尘排放量为</w:t>
      </w:r>
      <w:r>
        <w:rPr>
          <w:rFonts w:hint="eastAsia"/>
          <w:spacing w:val="-6"/>
          <w:highlight w:val="none"/>
          <w:lang w:val="en-US" w:eastAsia="zh-CN"/>
        </w:rPr>
        <w:t>0.004</w:t>
      </w:r>
      <w:r>
        <w:rPr>
          <w:rFonts w:ascii="Times New Roman" w:hAnsi="Times New Roman" w:eastAsia="宋体"/>
          <w:highlight w:val="none"/>
        </w:rPr>
        <w:t>t/a</w:t>
      </w:r>
      <w:r>
        <w:rPr>
          <w:rFonts w:hint="eastAsia"/>
          <w:highlight w:val="none"/>
          <w:lang w:eastAsia="zh-CN"/>
        </w:rPr>
        <w:t>。</w:t>
      </w:r>
    </w:p>
    <w:p>
      <w:pPr>
        <w:ind w:firstLine="480"/>
        <w:rPr>
          <w:rFonts w:hint="eastAsia" w:ascii="Times New Roman" w:hAnsi="Times New Roman" w:eastAsia="宋体"/>
          <w:highlight w:val="none"/>
          <w:lang w:eastAsia="zh-CN"/>
        </w:rPr>
      </w:pPr>
      <w:r>
        <w:rPr>
          <w:rFonts w:hint="eastAsia"/>
          <w:color w:val="auto"/>
          <w:sz w:val="24"/>
          <w:szCs w:val="24"/>
          <w:highlight w:val="none"/>
          <w:lang w:eastAsia="zh-CN"/>
        </w:rPr>
        <w:t>经计算，项目成品</w:t>
      </w:r>
      <w:r>
        <w:rPr>
          <w:color w:val="auto"/>
          <w:sz w:val="24"/>
          <w:szCs w:val="24"/>
          <w:highlight w:val="none"/>
        </w:rPr>
        <w:t>堆场</w:t>
      </w:r>
      <w:r>
        <w:rPr>
          <w:rFonts w:ascii="Times New Roman" w:hAnsi="Times New Roman" w:eastAsia="宋体"/>
          <w:spacing w:val="-9"/>
          <w:highlight w:val="none"/>
        </w:rPr>
        <w:t>起尘量为</w:t>
      </w:r>
      <w:r>
        <w:rPr>
          <w:rFonts w:hint="eastAsia"/>
          <w:highlight w:val="none"/>
          <w:lang w:val="en-US" w:eastAsia="zh-CN"/>
        </w:rPr>
        <w:t>173.03</w:t>
      </w:r>
      <w:r>
        <w:rPr>
          <w:rFonts w:ascii="Times New Roman" w:hAnsi="Times New Roman" w:eastAsia="宋体"/>
          <w:highlight w:val="none"/>
        </w:rPr>
        <w:t>mg/s</w:t>
      </w:r>
      <w:r>
        <w:rPr>
          <w:rFonts w:ascii="Times New Roman" w:hAnsi="Times New Roman" w:eastAsia="宋体"/>
          <w:spacing w:val="-9"/>
          <w:highlight w:val="none"/>
        </w:rPr>
        <w:t>，年堆放时间为</w:t>
      </w:r>
      <w:r>
        <w:rPr>
          <w:rFonts w:hint="eastAsia"/>
          <w:highlight w:val="none"/>
          <w:lang w:val="en-US" w:eastAsia="zh-CN"/>
        </w:rPr>
        <w:t>365</w:t>
      </w:r>
      <w:r>
        <w:rPr>
          <w:rFonts w:ascii="Times New Roman" w:hAnsi="Times New Roman" w:eastAsia="宋体"/>
          <w:spacing w:val="-19"/>
          <w:highlight w:val="none"/>
        </w:rPr>
        <w:t xml:space="preserve">天，即为 </w:t>
      </w:r>
      <w:r>
        <w:rPr>
          <w:rFonts w:ascii="Times New Roman" w:hAnsi="Times New Roman" w:eastAsia="宋体"/>
          <w:highlight w:val="none"/>
        </w:rPr>
        <w:t>0.0</w:t>
      </w:r>
      <w:r>
        <w:rPr>
          <w:rFonts w:hint="eastAsia"/>
          <w:highlight w:val="none"/>
          <w:lang w:val="en-US" w:eastAsia="zh-CN"/>
        </w:rPr>
        <w:t>9</w:t>
      </w:r>
      <w:r>
        <w:rPr>
          <w:rFonts w:ascii="Times New Roman" w:hAnsi="Times New Roman" w:eastAsia="宋体"/>
          <w:highlight w:val="none"/>
        </w:rPr>
        <w:t>t/a</w:t>
      </w:r>
      <w:r>
        <w:rPr>
          <w:rFonts w:ascii="Times New Roman" w:hAnsi="Times New Roman" w:eastAsia="宋体"/>
          <w:spacing w:val="-7"/>
          <w:highlight w:val="none"/>
        </w:rPr>
        <w:t>，</w:t>
      </w:r>
      <w:r>
        <w:rPr>
          <w:rFonts w:ascii="Times New Roman" w:hAnsi="Times New Roman" w:eastAsia="宋体"/>
          <w:spacing w:val="-7"/>
          <w:highlight w:val="yellow"/>
        </w:rPr>
        <w:t>项</w:t>
      </w:r>
      <w:r>
        <w:rPr>
          <w:rFonts w:ascii="Times New Roman" w:hAnsi="Times New Roman" w:eastAsia="宋体"/>
          <w:spacing w:val="-10"/>
          <w:highlight w:val="yellow"/>
        </w:rPr>
        <w:t>目</w:t>
      </w:r>
      <w:r>
        <w:rPr>
          <w:rFonts w:hint="eastAsia"/>
          <w:spacing w:val="-10"/>
          <w:highlight w:val="yellow"/>
          <w:lang w:eastAsia="zh-CN"/>
        </w:rPr>
        <w:t>成品</w:t>
      </w:r>
      <w:r>
        <w:rPr>
          <w:rFonts w:ascii="Times New Roman" w:hAnsi="Times New Roman" w:eastAsia="宋体"/>
          <w:spacing w:val="-10"/>
          <w:highlight w:val="yellow"/>
        </w:rPr>
        <w:t>堆场设置三面围挡，并设置顶棚，并设置</w:t>
      </w:r>
      <w:r>
        <w:rPr>
          <w:rFonts w:hint="eastAsia"/>
          <w:spacing w:val="-10"/>
          <w:highlight w:val="yellow"/>
          <w:lang w:val="en-US" w:eastAsia="zh-CN"/>
        </w:rPr>
        <w:t>4套</w:t>
      </w:r>
      <w:r>
        <w:rPr>
          <w:rFonts w:hint="eastAsia"/>
          <w:spacing w:val="-10"/>
          <w:highlight w:val="yellow"/>
          <w:lang w:eastAsia="zh-CN"/>
        </w:rPr>
        <w:t>喷雾喷淋</w:t>
      </w:r>
      <w:r>
        <w:rPr>
          <w:rFonts w:ascii="Times New Roman" w:hAnsi="Times New Roman" w:eastAsia="宋体"/>
          <w:spacing w:val="-10"/>
          <w:highlight w:val="yellow"/>
        </w:rPr>
        <w:t>设施，</w:t>
      </w:r>
      <w:r>
        <w:rPr>
          <w:rFonts w:ascii="Times New Roman" w:hAnsi="Times New Roman" w:eastAsia="宋体"/>
          <w:spacing w:val="-10"/>
          <w:highlight w:val="none"/>
        </w:rPr>
        <w:t xml:space="preserve">除尘效率按 </w:t>
      </w:r>
      <w:r>
        <w:rPr>
          <w:rFonts w:hint="eastAsia"/>
          <w:spacing w:val="-5"/>
          <w:highlight w:val="none"/>
          <w:lang w:val="en-US" w:eastAsia="zh-CN"/>
        </w:rPr>
        <w:t>90</w:t>
      </w:r>
      <w:r>
        <w:rPr>
          <w:rFonts w:ascii="Times New Roman" w:hAnsi="Times New Roman" w:eastAsia="宋体"/>
          <w:spacing w:val="-5"/>
          <w:highlight w:val="none"/>
        </w:rPr>
        <w:t>%</w:t>
      </w:r>
      <w:r>
        <w:rPr>
          <w:rFonts w:ascii="Times New Roman" w:hAnsi="Times New Roman" w:eastAsia="宋体"/>
          <w:spacing w:val="-6"/>
          <w:highlight w:val="none"/>
        </w:rPr>
        <w:t>计，则堆场粉尘排放量为</w:t>
      </w:r>
      <w:r>
        <w:rPr>
          <w:rFonts w:hint="eastAsia"/>
          <w:spacing w:val="-6"/>
          <w:highlight w:val="none"/>
          <w:lang w:val="en-US" w:eastAsia="zh-CN"/>
        </w:rPr>
        <w:t>0.009</w:t>
      </w:r>
      <w:r>
        <w:rPr>
          <w:rFonts w:ascii="Times New Roman" w:hAnsi="Times New Roman" w:eastAsia="宋体"/>
          <w:highlight w:val="none"/>
        </w:rPr>
        <w:t>t/a</w:t>
      </w:r>
      <w:r>
        <w:rPr>
          <w:rFonts w:hint="eastAsia"/>
          <w:highlight w:val="none"/>
          <w:lang w:eastAsia="zh-CN"/>
        </w:rPr>
        <w:t>。</w:t>
      </w:r>
    </w:p>
    <w:p>
      <w:pPr>
        <w:ind w:firstLine="480"/>
        <w:rPr>
          <w:rFonts w:hint="eastAsia" w:ascii="Times New Roman" w:hAnsi="Times New Roman" w:eastAsia="宋体"/>
          <w:highlight w:val="none"/>
          <w:lang w:val="en-US" w:eastAsia="zh-CN"/>
        </w:rPr>
      </w:pPr>
      <w:r>
        <w:rPr>
          <w:rFonts w:hint="eastAsia"/>
          <w:highlight w:val="none"/>
          <w:lang w:eastAsia="zh-CN"/>
        </w:rPr>
        <w:t>综合以上，则项目堆场粉尘排放量为</w:t>
      </w:r>
      <w:r>
        <w:rPr>
          <w:rFonts w:hint="eastAsia"/>
          <w:highlight w:val="none"/>
          <w:lang w:val="en-US" w:eastAsia="zh-CN"/>
        </w:rPr>
        <w:t>0.013t/a</w:t>
      </w:r>
      <w:r>
        <w:rPr>
          <w:rFonts w:hint="eastAsia"/>
          <w:highlight w:val="none"/>
          <w:lang w:eastAsia="zh-CN"/>
        </w:rPr>
        <w:t>。</w:t>
      </w:r>
    </w:p>
    <w:p>
      <w:pPr>
        <w:ind w:firstLine="480"/>
        <w:rPr>
          <w:rFonts w:hint="eastAsia" w:ascii="Times New Roman" w:hAnsi="Times New Roman" w:eastAsia="宋体"/>
          <w:highlight w:val="none"/>
          <w:lang w:eastAsia="zh-CN"/>
        </w:rPr>
      </w:pPr>
      <w:r>
        <w:rPr>
          <w:rFonts w:hint="eastAsia"/>
          <w:highlight w:val="none"/>
          <w:lang w:eastAsia="zh-CN"/>
        </w:rPr>
        <w:t>（</w:t>
      </w:r>
      <w:r>
        <w:rPr>
          <w:rFonts w:hint="eastAsia"/>
          <w:highlight w:val="none"/>
          <w:lang w:val="en-US" w:eastAsia="zh-CN"/>
        </w:rPr>
        <w:t>2</w:t>
      </w:r>
      <w:r>
        <w:rPr>
          <w:rFonts w:hint="eastAsia"/>
          <w:highlight w:val="none"/>
          <w:lang w:eastAsia="zh-CN"/>
        </w:rPr>
        <w:t>）给料粉尘</w:t>
      </w:r>
    </w:p>
    <w:p>
      <w:pPr>
        <w:ind w:firstLine="480"/>
        <w:rPr>
          <w:rFonts w:hint="eastAsia"/>
          <w:color w:val="auto"/>
          <w:highlight w:val="none"/>
        </w:rPr>
      </w:pPr>
      <w:r>
        <w:rPr>
          <w:rFonts w:hint="eastAsia"/>
          <w:color w:val="auto"/>
          <w:highlight w:val="none"/>
        </w:rPr>
        <w:t>本项目采用给料机对矿石进行给料，给料量为</w:t>
      </w:r>
      <w:r>
        <w:rPr>
          <w:rFonts w:hint="eastAsia"/>
          <w:color w:val="auto"/>
          <w:highlight w:val="none"/>
          <w:lang w:val="en-US" w:eastAsia="zh-CN"/>
        </w:rPr>
        <w:t>30</w:t>
      </w:r>
      <w:r>
        <w:rPr>
          <w:rFonts w:hint="eastAsia"/>
          <w:color w:val="auto"/>
          <w:highlight w:val="none"/>
        </w:rPr>
        <w:t>万t/a石灰岩矿。参照《逸散性工业粉尘控制技术》（中国环境科学出版社），出料粉尘产系数为 0.0005kg/t（装料），则给料粉尘产生量约为</w:t>
      </w:r>
      <w:r>
        <w:rPr>
          <w:rFonts w:hint="eastAsia"/>
          <w:color w:val="auto"/>
          <w:highlight w:val="none"/>
          <w:lang w:val="en-US" w:eastAsia="zh-CN"/>
        </w:rPr>
        <w:t>0.15</w:t>
      </w:r>
      <w:r>
        <w:rPr>
          <w:rFonts w:hint="eastAsia"/>
          <w:color w:val="auto"/>
          <w:highlight w:val="none"/>
        </w:rPr>
        <w:t>t/a，在进料口处增加</w:t>
      </w:r>
      <w:r>
        <w:rPr>
          <w:rFonts w:hint="eastAsia"/>
          <w:color w:val="auto"/>
          <w:highlight w:val="none"/>
          <w:lang w:eastAsia="zh-CN"/>
        </w:rPr>
        <w:t>喷淋水管</w:t>
      </w:r>
      <w:r>
        <w:rPr>
          <w:rFonts w:hint="eastAsia"/>
          <w:color w:val="auto"/>
          <w:highlight w:val="none"/>
        </w:rPr>
        <w:t>设施，增加矿石的含水率，降尘效率为70%，则给料粉尘排放量为</w:t>
      </w:r>
      <w:r>
        <w:rPr>
          <w:rFonts w:hint="eastAsia"/>
          <w:color w:val="auto"/>
          <w:highlight w:val="none"/>
          <w:lang w:val="en-US" w:eastAsia="zh-CN"/>
        </w:rPr>
        <w:t>0.045</w:t>
      </w:r>
      <w:r>
        <w:rPr>
          <w:rFonts w:hint="eastAsia"/>
          <w:color w:val="auto"/>
          <w:highlight w:val="none"/>
        </w:rPr>
        <w:t>t/a</w:t>
      </w:r>
    </w:p>
    <w:p>
      <w:pPr>
        <w:ind w:firstLine="480"/>
        <w:rPr>
          <w:rFonts w:hint="eastAsia" w:eastAsia="宋体"/>
          <w:color w:val="auto"/>
          <w:highlight w:val="none"/>
          <w:lang w:eastAsia="zh-CN"/>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）粗碎及筛分粉尘</w:t>
      </w:r>
    </w:p>
    <w:p>
      <w:pPr>
        <w:ind w:firstLine="480"/>
        <w:rPr>
          <w:rFonts w:hint="eastAsia" w:ascii="Times New Roman" w:hAnsi="Times New Roman" w:eastAsia="宋体"/>
          <w:highlight w:val="none"/>
          <w:lang w:eastAsia="zh-CN"/>
        </w:rPr>
      </w:pPr>
      <w:r>
        <w:rPr>
          <w:rFonts w:ascii="Times New Roman" w:hAnsi="Times New Roman" w:eastAsia="宋体"/>
          <w:spacing w:val="11"/>
          <w:highlight w:val="none"/>
        </w:rPr>
        <w:t>矿山采用颚式破碎机对石料进行粗碎，将粒径较大的石料破碎成粒径为10~20cm</w:t>
      </w:r>
      <w:r>
        <w:rPr>
          <w:rFonts w:ascii="Times New Roman" w:hAnsi="Times New Roman" w:eastAsia="宋体"/>
          <w:spacing w:val="-11"/>
          <w:highlight w:val="none"/>
        </w:rPr>
        <w:t>的石子，再进行筛分，将石料中的少许细碎石和泥粉筛分出来，剩下石</w:t>
      </w:r>
      <w:r>
        <w:rPr>
          <w:rFonts w:ascii="Times New Roman" w:hAnsi="Times New Roman" w:eastAsia="宋体"/>
          <w:spacing w:val="-7"/>
          <w:highlight w:val="none"/>
        </w:rPr>
        <w:t>料输送到料仓。参照《逸散性工业粉尘控制技术》</w:t>
      </w:r>
      <w:r>
        <w:rPr>
          <w:rFonts w:ascii="Times New Roman" w:hAnsi="Times New Roman" w:eastAsia="宋体"/>
          <w:highlight w:val="none"/>
        </w:rPr>
        <w:t>（中国环境科学出版社</w:t>
      </w:r>
      <w:r>
        <w:rPr>
          <w:rFonts w:ascii="Times New Roman" w:hAnsi="Times New Roman" w:eastAsia="宋体"/>
          <w:spacing w:val="-15"/>
          <w:highlight w:val="none"/>
        </w:rPr>
        <w:t>）</w:t>
      </w:r>
      <w:r>
        <w:rPr>
          <w:rFonts w:ascii="Times New Roman" w:hAnsi="Times New Roman" w:eastAsia="宋体"/>
          <w:spacing w:val="-14"/>
          <w:highlight w:val="none"/>
        </w:rPr>
        <w:t>，一</w:t>
      </w:r>
      <w:r>
        <w:rPr>
          <w:rFonts w:ascii="Times New Roman" w:hAnsi="Times New Roman" w:eastAsia="宋体"/>
          <w:spacing w:val="-5"/>
          <w:highlight w:val="none"/>
        </w:rPr>
        <w:t>级破碎粉尘与筛分产生系数为</w:t>
      </w:r>
      <w:r>
        <w:rPr>
          <w:rFonts w:ascii="Times New Roman" w:hAnsi="Times New Roman" w:eastAsia="宋体"/>
          <w:spacing w:val="-6"/>
          <w:highlight w:val="none"/>
        </w:rPr>
        <w:t>0.05kg/t</w:t>
      </w:r>
      <w:r>
        <w:rPr>
          <w:rFonts w:ascii="Times New Roman" w:hAnsi="Times New Roman" w:eastAsia="宋体"/>
          <w:spacing w:val="-8"/>
          <w:highlight w:val="none"/>
        </w:rPr>
        <w:t>，项目年加工矿石量为</w:t>
      </w:r>
      <w:r>
        <w:rPr>
          <w:rFonts w:hint="eastAsia"/>
          <w:highlight w:val="none"/>
          <w:lang w:val="en-US" w:eastAsia="zh-CN"/>
        </w:rPr>
        <w:t>30</w:t>
      </w:r>
      <w:r>
        <w:rPr>
          <w:rFonts w:ascii="Times New Roman" w:hAnsi="Times New Roman" w:eastAsia="宋体"/>
          <w:spacing w:val="-11"/>
          <w:highlight w:val="none"/>
        </w:rPr>
        <w:t>万吨，粗碎及筛</w:t>
      </w:r>
      <w:r>
        <w:rPr>
          <w:rFonts w:ascii="Times New Roman" w:hAnsi="Times New Roman" w:eastAsia="宋体"/>
          <w:spacing w:val="-3"/>
          <w:highlight w:val="none"/>
        </w:rPr>
        <w:t>分产生的粉尘量为</w:t>
      </w:r>
      <w:r>
        <w:rPr>
          <w:rFonts w:hint="eastAsia"/>
          <w:highlight w:val="none"/>
          <w:lang w:val="en-US" w:eastAsia="zh-CN"/>
        </w:rPr>
        <w:t>15</w:t>
      </w:r>
      <w:r>
        <w:rPr>
          <w:rFonts w:ascii="Times New Roman" w:hAnsi="Times New Roman" w:eastAsia="宋体"/>
          <w:highlight w:val="none"/>
        </w:rPr>
        <w:t>t/a，项目粗碎筛分设备位于封闭厂房内部，</w:t>
      </w:r>
      <w:r>
        <w:rPr>
          <w:rFonts w:hint="eastAsia"/>
          <w:highlight w:val="none"/>
          <w:lang w:eastAsia="zh-CN"/>
        </w:rPr>
        <w:t>破碎机进料口处</w:t>
      </w:r>
      <w:r>
        <w:rPr>
          <w:rFonts w:ascii="Times New Roman" w:hAnsi="Times New Roman" w:eastAsia="宋体"/>
          <w:highlight w:val="none"/>
        </w:rPr>
        <w:t>设置</w:t>
      </w:r>
      <w:r>
        <w:rPr>
          <w:rFonts w:hint="eastAsia"/>
          <w:highlight w:val="none"/>
          <w:lang w:eastAsia="zh-CN"/>
        </w:rPr>
        <w:t>喷淋水管洒水</w:t>
      </w:r>
      <w:r>
        <w:rPr>
          <w:rFonts w:ascii="Times New Roman" w:hAnsi="Times New Roman" w:eastAsia="宋体"/>
          <w:highlight w:val="none"/>
        </w:rPr>
        <w:t>降</w:t>
      </w:r>
      <w:r>
        <w:rPr>
          <w:rFonts w:ascii="Times New Roman" w:hAnsi="Times New Roman" w:eastAsia="宋体"/>
          <w:spacing w:val="-10"/>
          <w:highlight w:val="none"/>
        </w:rPr>
        <w:t>尘</w:t>
      </w:r>
      <w:r>
        <w:rPr>
          <w:rFonts w:hint="eastAsia"/>
          <w:spacing w:val="-10"/>
          <w:highlight w:val="none"/>
          <w:lang w:eastAsia="zh-CN"/>
        </w:rPr>
        <w:t>，进行湿式破碎</w:t>
      </w:r>
      <w:r>
        <w:rPr>
          <w:rFonts w:ascii="Times New Roman" w:hAnsi="Times New Roman" w:eastAsia="宋体"/>
          <w:spacing w:val="-10"/>
          <w:highlight w:val="none"/>
        </w:rPr>
        <w:t>，</w:t>
      </w:r>
      <w:r>
        <w:rPr>
          <w:rFonts w:hint="eastAsia"/>
          <w:spacing w:val="-10"/>
          <w:highlight w:val="none"/>
          <w:lang w:eastAsia="zh-CN"/>
        </w:rPr>
        <w:t>抑</w:t>
      </w:r>
      <w:r>
        <w:rPr>
          <w:rFonts w:ascii="Times New Roman" w:hAnsi="Times New Roman" w:eastAsia="宋体"/>
          <w:spacing w:val="-10"/>
          <w:highlight w:val="none"/>
        </w:rPr>
        <w:t>尘效率按</w:t>
      </w:r>
      <w:r>
        <w:rPr>
          <w:rFonts w:ascii="Times New Roman" w:hAnsi="Times New Roman" w:eastAsia="宋体"/>
          <w:highlight w:val="none"/>
        </w:rPr>
        <w:t>80%</w:t>
      </w:r>
      <w:r>
        <w:rPr>
          <w:rFonts w:ascii="Times New Roman" w:hAnsi="Times New Roman" w:eastAsia="宋体"/>
          <w:spacing w:val="-8"/>
          <w:highlight w:val="none"/>
        </w:rPr>
        <w:t>计，则粗碎及筛分粉尘排放量为</w:t>
      </w:r>
      <w:r>
        <w:rPr>
          <w:rFonts w:hint="eastAsia"/>
          <w:highlight w:val="none"/>
          <w:lang w:val="en-US" w:eastAsia="zh-CN"/>
        </w:rPr>
        <w:t>3</w:t>
      </w:r>
      <w:r>
        <w:rPr>
          <w:rFonts w:ascii="Times New Roman" w:hAnsi="Times New Roman" w:eastAsia="宋体"/>
          <w:highlight w:val="none"/>
        </w:rPr>
        <w:t>t/a</w:t>
      </w:r>
      <w:r>
        <w:rPr>
          <w:rFonts w:ascii="Times New Roman" w:hAnsi="Times New Roman" w:eastAsia="宋体"/>
          <w:spacing w:val="-6"/>
          <w:highlight w:val="none"/>
        </w:rPr>
        <w:t>。</w:t>
      </w:r>
      <w:r>
        <w:rPr>
          <w:rFonts w:hint="eastAsia"/>
          <w:spacing w:val="-6"/>
          <w:highlight w:val="none"/>
          <w:lang w:eastAsia="zh-CN"/>
        </w:rPr>
        <w:t>在</w:t>
      </w:r>
      <w:r>
        <w:rPr>
          <w:rFonts w:ascii="Times New Roman" w:hAnsi="Times New Roman" w:eastAsia="宋体"/>
          <w:spacing w:val="-6"/>
          <w:highlight w:val="none"/>
        </w:rPr>
        <w:t>粗碎及筛分设备</w:t>
      </w:r>
      <w:r>
        <w:rPr>
          <w:rFonts w:hint="eastAsia"/>
          <w:spacing w:val="-6"/>
          <w:highlight w:val="none"/>
          <w:lang w:eastAsia="zh-CN"/>
        </w:rPr>
        <w:t>落料点</w:t>
      </w:r>
      <w:r>
        <w:rPr>
          <w:rFonts w:ascii="Times New Roman" w:hAnsi="Times New Roman" w:eastAsia="宋体"/>
          <w:spacing w:val="-6"/>
          <w:highlight w:val="none"/>
        </w:rPr>
        <w:t>上方设置集气罩，粉尘采用集气罩收集</w:t>
      </w:r>
      <w:r>
        <w:rPr>
          <w:rFonts w:ascii="Times New Roman" w:hAnsi="Times New Roman" w:eastAsia="宋体"/>
          <w:spacing w:val="-3"/>
          <w:highlight w:val="none"/>
        </w:rPr>
        <w:t>（</w:t>
      </w:r>
      <w:r>
        <w:rPr>
          <w:rFonts w:ascii="Times New Roman" w:hAnsi="Times New Roman" w:eastAsia="宋体"/>
          <w:spacing w:val="-9"/>
          <w:highlight w:val="none"/>
        </w:rPr>
        <w:t>收集效率按照</w:t>
      </w:r>
      <w:r>
        <w:rPr>
          <w:rFonts w:ascii="Times New Roman" w:hAnsi="Times New Roman" w:eastAsia="宋体"/>
          <w:highlight w:val="none"/>
        </w:rPr>
        <w:t>90%计</w:t>
      </w:r>
      <w:r>
        <w:rPr>
          <w:rFonts w:ascii="Times New Roman" w:hAnsi="Times New Roman" w:eastAsia="宋体"/>
          <w:spacing w:val="-36"/>
          <w:highlight w:val="none"/>
        </w:rPr>
        <w:t>）</w:t>
      </w:r>
      <w:r>
        <w:rPr>
          <w:rFonts w:ascii="Times New Roman" w:hAnsi="Times New Roman" w:eastAsia="宋体"/>
          <w:spacing w:val="-3"/>
          <w:highlight w:val="none"/>
        </w:rPr>
        <w:t>后通过集气管</w:t>
      </w:r>
      <w:r>
        <w:rPr>
          <w:rFonts w:ascii="Times New Roman" w:hAnsi="Times New Roman" w:eastAsia="宋体"/>
          <w:spacing w:val="14"/>
          <w:highlight w:val="none"/>
        </w:rPr>
        <w:t>道进入布袋除尘器处理（</w:t>
      </w:r>
      <w:r>
        <w:rPr>
          <w:rFonts w:ascii="Times New Roman" w:hAnsi="Times New Roman" w:eastAsia="宋体"/>
          <w:spacing w:val="1"/>
          <w:highlight w:val="none"/>
        </w:rPr>
        <w:t>除尘效率按</w:t>
      </w:r>
      <w:r>
        <w:rPr>
          <w:rFonts w:ascii="Times New Roman" w:hAnsi="Times New Roman" w:eastAsia="宋体"/>
          <w:spacing w:val="2"/>
          <w:highlight w:val="none"/>
        </w:rPr>
        <w:t>99.9%</w:t>
      </w:r>
      <w:r>
        <w:rPr>
          <w:rFonts w:ascii="Times New Roman" w:hAnsi="Times New Roman" w:eastAsia="宋体"/>
          <w:spacing w:val="14"/>
          <w:highlight w:val="none"/>
        </w:rPr>
        <w:t>计）后通过引风机（</w:t>
      </w:r>
      <w:r>
        <w:rPr>
          <w:rFonts w:ascii="Times New Roman" w:hAnsi="Times New Roman" w:eastAsia="宋体"/>
          <w:spacing w:val="11"/>
          <w:highlight w:val="none"/>
        </w:rPr>
        <w:t>风机风量为8000m</w:t>
      </w:r>
      <w:r>
        <w:rPr>
          <w:rFonts w:ascii="Times New Roman" w:hAnsi="Times New Roman" w:eastAsia="宋体"/>
          <w:spacing w:val="11"/>
          <w:position w:val="8"/>
          <w:sz w:val="15"/>
          <w:highlight w:val="none"/>
        </w:rPr>
        <w:t>3</w:t>
      </w:r>
      <w:r>
        <w:rPr>
          <w:rFonts w:ascii="Times New Roman" w:hAnsi="Times New Roman" w:eastAsia="宋体"/>
          <w:spacing w:val="11"/>
          <w:highlight w:val="none"/>
        </w:rPr>
        <w:t>/h</w:t>
      </w:r>
      <w:r>
        <w:rPr>
          <w:rFonts w:ascii="Times New Roman" w:hAnsi="Times New Roman" w:eastAsia="宋体"/>
          <w:highlight w:val="none"/>
        </w:rPr>
        <w:t>，年运行时间2400h）</w:t>
      </w:r>
      <w:r>
        <w:rPr>
          <w:rFonts w:ascii="Times New Roman" w:hAnsi="Times New Roman" w:eastAsia="宋体"/>
          <w:spacing w:val="-12"/>
          <w:highlight w:val="none"/>
        </w:rPr>
        <w:t>引至一根</w:t>
      </w:r>
      <w:r>
        <w:rPr>
          <w:rFonts w:ascii="Times New Roman" w:hAnsi="Times New Roman" w:eastAsia="宋体"/>
          <w:highlight w:val="none"/>
        </w:rPr>
        <w:t>15m高排气筒（</w:t>
      </w:r>
      <w:r>
        <w:rPr>
          <w:rFonts w:ascii="Times New Roman" w:hAnsi="Times New Roman" w:eastAsia="宋体"/>
          <w:spacing w:val="-20"/>
          <w:highlight w:val="none"/>
        </w:rPr>
        <w:t xml:space="preserve">内径 </w:t>
      </w:r>
      <w:r>
        <w:rPr>
          <w:rFonts w:ascii="Times New Roman" w:hAnsi="Times New Roman" w:eastAsia="宋体"/>
          <w:highlight w:val="none"/>
        </w:rPr>
        <w:t>0.25m）排放</w:t>
      </w:r>
      <w:r>
        <w:rPr>
          <w:rFonts w:hint="eastAsia"/>
          <w:highlight w:val="none"/>
          <w:lang w:eastAsia="zh-CN"/>
        </w:rPr>
        <w:t>。</w:t>
      </w:r>
    </w:p>
    <w:p>
      <w:pPr>
        <w:ind w:firstLine="480"/>
        <w:rPr>
          <w:rFonts w:ascii="Times New Roman" w:hAnsi="Times New Roman" w:eastAsia="宋体"/>
          <w:sz w:val="21"/>
          <w:highlight w:val="none"/>
        </w:rPr>
      </w:pPr>
      <w:r>
        <w:rPr>
          <w:rFonts w:ascii="Times New Roman" w:hAnsi="Times New Roman" w:eastAsia="宋体"/>
          <w:spacing w:val="-9"/>
          <w:highlight w:val="none"/>
        </w:rPr>
        <w:t>采取上述措施后，项目粗碎及筛分粉尘有组织排放量为</w:t>
      </w:r>
      <w:r>
        <w:rPr>
          <w:rFonts w:ascii="Times New Roman" w:hAnsi="Times New Roman" w:eastAsia="宋体"/>
          <w:spacing w:val="-5"/>
          <w:highlight w:val="none"/>
        </w:rPr>
        <w:t>0.00</w:t>
      </w:r>
      <w:r>
        <w:rPr>
          <w:rFonts w:hint="eastAsia"/>
          <w:spacing w:val="-5"/>
          <w:highlight w:val="none"/>
          <w:lang w:val="en-US" w:eastAsia="zh-CN"/>
        </w:rPr>
        <w:t>27</w:t>
      </w:r>
      <w:r>
        <w:rPr>
          <w:rFonts w:ascii="Times New Roman" w:hAnsi="Times New Roman" w:eastAsia="宋体"/>
          <w:spacing w:val="-5"/>
          <w:highlight w:val="none"/>
        </w:rPr>
        <w:t>t/a，排放速率</w:t>
      </w:r>
      <w:r>
        <w:rPr>
          <w:rFonts w:ascii="Times New Roman" w:hAnsi="Times New Roman" w:eastAsia="宋体"/>
          <w:spacing w:val="-31"/>
          <w:highlight w:val="none"/>
        </w:rPr>
        <w:t xml:space="preserve">为 </w:t>
      </w:r>
      <w:r>
        <w:rPr>
          <w:rFonts w:ascii="Times New Roman" w:hAnsi="Times New Roman" w:eastAsia="宋体"/>
          <w:highlight w:val="none"/>
        </w:rPr>
        <w:t>0.00</w:t>
      </w:r>
      <w:r>
        <w:rPr>
          <w:rFonts w:hint="eastAsia"/>
          <w:highlight w:val="none"/>
          <w:lang w:val="en-US" w:eastAsia="zh-CN"/>
        </w:rPr>
        <w:t>1</w:t>
      </w:r>
      <w:r>
        <w:rPr>
          <w:rFonts w:ascii="Times New Roman" w:hAnsi="Times New Roman" w:eastAsia="宋体"/>
          <w:highlight w:val="none"/>
        </w:rPr>
        <w:t>kg/h</w:t>
      </w:r>
      <w:r>
        <w:rPr>
          <w:rFonts w:ascii="Times New Roman" w:hAnsi="Times New Roman" w:eastAsia="宋体"/>
          <w:spacing w:val="-9"/>
          <w:highlight w:val="none"/>
        </w:rPr>
        <w:t xml:space="preserve">，排放浓度为 </w:t>
      </w:r>
      <w:r>
        <w:rPr>
          <w:rFonts w:hint="eastAsia"/>
          <w:highlight w:val="none"/>
          <w:lang w:val="en-US" w:eastAsia="zh-CN"/>
        </w:rPr>
        <w:t>0.125</w:t>
      </w:r>
      <w:r>
        <w:rPr>
          <w:rFonts w:ascii="Times New Roman" w:hAnsi="Times New Roman" w:eastAsia="宋体"/>
          <w:sz w:val="21"/>
          <w:highlight w:val="none"/>
        </w:rPr>
        <w:t>mg/m</w:t>
      </w:r>
      <w:r>
        <w:rPr>
          <w:rFonts w:ascii="Times New Roman" w:hAnsi="Times New Roman" w:eastAsia="宋体"/>
          <w:position w:val="7"/>
          <w:sz w:val="13"/>
          <w:highlight w:val="none"/>
        </w:rPr>
        <w:t>3</w:t>
      </w:r>
      <w:r>
        <w:rPr>
          <w:rFonts w:hint="eastAsia"/>
          <w:color w:val="auto"/>
          <w:highlight w:val="none"/>
        </w:rPr>
        <w:t>。</w:t>
      </w:r>
    </w:p>
    <w:p>
      <w:pPr>
        <w:ind w:firstLine="480"/>
        <w:rPr>
          <w:rFonts w:hint="eastAsia" w:ascii="Times New Roman" w:hAnsi="Times New Roman" w:eastAsia="宋体"/>
          <w:highlight w:val="none"/>
          <w:lang w:eastAsia="zh-CN"/>
        </w:rPr>
      </w:pPr>
      <w:r>
        <w:rPr>
          <w:rFonts w:ascii="Times New Roman" w:hAnsi="Times New Roman" w:eastAsia="宋体"/>
          <w:highlight w:val="none"/>
        </w:rPr>
        <w:t>未经收集粉尘量为0.</w:t>
      </w:r>
      <w:r>
        <w:rPr>
          <w:rFonts w:hint="eastAsia"/>
          <w:highlight w:val="none"/>
          <w:lang w:val="en-US" w:eastAsia="zh-CN"/>
        </w:rPr>
        <w:t>3</w:t>
      </w:r>
      <w:r>
        <w:rPr>
          <w:rFonts w:ascii="Times New Roman" w:hAnsi="Times New Roman" w:eastAsia="宋体"/>
          <w:highlight w:val="none"/>
        </w:rPr>
        <w:t>t/a，项目生产车间封闭，并设置洒水降尘设施，未被收集的粉尘经封闭围挡后大部分沉降，仅有10%呈无组织排放，则无组织排放量为0.0</w:t>
      </w:r>
      <w:r>
        <w:rPr>
          <w:rFonts w:hint="eastAsia"/>
          <w:highlight w:val="none"/>
          <w:lang w:val="en-US" w:eastAsia="zh-CN"/>
        </w:rPr>
        <w:t>3</w:t>
      </w:r>
      <w:r>
        <w:rPr>
          <w:rFonts w:ascii="Times New Roman" w:hAnsi="Times New Roman" w:eastAsia="宋体"/>
          <w:highlight w:val="none"/>
        </w:rPr>
        <w:t>t/a</w:t>
      </w:r>
      <w:r>
        <w:rPr>
          <w:rFonts w:hint="eastAsia"/>
          <w:highlight w:val="none"/>
          <w:lang w:eastAsia="zh-CN"/>
        </w:rPr>
        <w:t>。</w:t>
      </w:r>
    </w:p>
    <w:p>
      <w:pPr>
        <w:ind w:firstLine="480"/>
        <w:rPr>
          <w:rFonts w:hint="eastAsia" w:eastAsia="宋体"/>
          <w:color w:val="auto"/>
          <w:highlight w:val="none"/>
          <w:lang w:eastAsia="zh-CN"/>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）细碎及筛分粉尘</w:t>
      </w:r>
    </w:p>
    <w:p>
      <w:pPr>
        <w:ind w:firstLine="480"/>
        <w:rPr>
          <w:rFonts w:hint="eastAsia" w:ascii="Times New Roman" w:hAnsi="Times New Roman" w:eastAsia="宋体"/>
          <w:highlight w:val="none"/>
          <w:lang w:eastAsia="zh-CN"/>
        </w:rPr>
      </w:pPr>
      <w:r>
        <w:rPr>
          <w:rFonts w:ascii="Times New Roman" w:hAnsi="Times New Roman" w:eastAsia="宋体"/>
          <w:spacing w:val="-3"/>
          <w:highlight w:val="none"/>
        </w:rPr>
        <w:t>项目使用破碎机对石料进行细碎，后利用振动筛将石子进行筛分，</w:t>
      </w:r>
      <w:r>
        <w:rPr>
          <w:rFonts w:ascii="Times New Roman" w:hAnsi="Times New Roman" w:eastAsia="宋体"/>
          <w:spacing w:val="-6"/>
          <w:highlight w:val="none"/>
        </w:rPr>
        <w:t>&gt;3</w:t>
      </w:r>
      <w:r>
        <w:rPr>
          <w:rFonts w:hint="eastAsia"/>
          <w:spacing w:val="-6"/>
          <w:highlight w:val="none"/>
          <w:lang w:val="en-US" w:eastAsia="zh-CN"/>
        </w:rPr>
        <w:t>0</w:t>
      </w:r>
      <w:r>
        <w:rPr>
          <w:rFonts w:ascii="Times New Roman" w:hAnsi="Times New Roman" w:eastAsia="宋体"/>
          <w:spacing w:val="-6"/>
          <w:highlight w:val="none"/>
        </w:rPr>
        <w:t>mm的石子回笼进行二次粉碎。参照《逸散性工业粉尘控制技术》</w:t>
      </w:r>
      <w:r>
        <w:rPr>
          <w:rFonts w:ascii="Times New Roman" w:hAnsi="Times New Roman" w:eastAsia="宋体"/>
          <w:spacing w:val="-3"/>
          <w:highlight w:val="none"/>
        </w:rPr>
        <w:t>（</w:t>
      </w:r>
      <w:r>
        <w:rPr>
          <w:rFonts w:ascii="Times New Roman" w:hAnsi="Times New Roman" w:eastAsia="宋体"/>
          <w:spacing w:val="-2"/>
          <w:highlight w:val="none"/>
        </w:rPr>
        <w:t>中国环境科学出</w:t>
      </w:r>
      <w:r>
        <w:rPr>
          <w:rFonts w:ascii="Times New Roman" w:hAnsi="Times New Roman" w:eastAsia="宋体"/>
          <w:highlight w:val="none"/>
        </w:rPr>
        <w:t>版社），对于二级破碎（粉碎）</w:t>
      </w:r>
      <w:r>
        <w:rPr>
          <w:rFonts w:ascii="Times New Roman" w:hAnsi="Times New Roman" w:eastAsia="宋体"/>
          <w:spacing w:val="-5"/>
          <w:highlight w:val="none"/>
        </w:rPr>
        <w:t>及筛选粉尘产生系数为</w:t>
      </w:r>
      <w:r>
        <w:rPr>
          <w:rFonts w:ascii="Times New Roman" w:hAnsi="Times New Roman" w:eastAsia="宋体"/>
          <w:highlight w:val="none"/>
        </w:rPr>
        <w:t>0.25kg/t，项目年加工矿</w:t>
      </w:r>
      <w:r>
        <w:rPr>
          <w:rFonts w:ascii="Times New Roman" w:hAnsi="Times New Roman" w:eastAsia="宋体"/>
          <w:spacing w:val="-12"/>
          <w:highlight w:val="none"/>
        </w:rPr>
        <w:t>石量为</w:t>
      </w:r>
      <w:r>
        <w:rPr>
          <w:rFonts w:hint="eastAsia"/>
          <w:spacing w:val="-12"/>
          <w:highlight w:val="none"/>
          <w:lang w:val="en-US" w:eastAsia="zh-CN"/>
        </w:rPr>
        <w:t>30</w:t>
      </w:r>
      <w:r>
        <w:rPr>
          <w:rFonts w:ascii="Times New Roman" w:hAnsi="Times New Roman" w:eastAsia="宋体"/>
          <w:spacing w:val="-3"/>
          <w:highlight w:val="none"/>
        </w:rPr>
        <w:t>万吨，则项目细碎及筛分粉尘产生量为</w:t>
      </w:r>
      <w:r>
        <w:rPr>
          <w:rFonts w:hint="eastAsia"/>
          <w:highlight w:val="none"/>
          <w:lang w:val="en-US" w:eastAsia="zh-CN"/>
        </w:rPr>
        <w:t>75</w:t>
      </w:r>
      <w:r>
        <w:rPr>
          <w:rFonts w:ascii="Times New Roman" w:hAnsi="Times New Roman" w:eastAsia="宋体"/>
          <w:highlight w:val="none"/>
        </w:rPr>
        <w:t>t/a。项目细碎筛分设备位</w:t>
      </w:r>
      <w:r>
        <w:rPr>
          <w:rFonts w:ascii="Times New Roman" w:hAnsi="Times New Roman" w:eastAsia="宋体"/>
          <w:spacing w:val="-10"/>
          <w:highlight w:val="none"/>
        </w:rPr>
        <w:t>于封闭厂房内部，</w:t>
      </w:r>
      <w:r>
        <w:rPr>
          <w:rFonts w:hint="eastAsia"/>
          <w:spacing w:val="-10"/>
          <w:highlight w:val="none"/>
          <w:lang w:eastAsia="zh-CN"/>
        </w:rPr>
        <w:t>细碎</w:t>
      </w:r>
      <w:r>
        <w:rPr>
          <w:rFonts w:hint="eastAsia"/>
          <w:highlight w:val="none"/>
          <w:lang w:eastAsia="zh-CN"/>
        </w:rPr>
        <w:t>破碎机进料口处</w:t>
      </w:r>
      <w:r>
        <w:rPr>
          <w:rFonts w:ascii="Times New Roman" w:hAnsi="Times New Roman" w:eastAsia="宋体"/>
          <w:highlight w:val="none"/>
        </w:rPr>
        <w:t>设置</w:t>
      </w:r>
      <w:r>
        <w:rPr>
          <w:rFonts w:hint="eastAsia"/>
          <w:highlight w:val="none"/>
          <w:lang w:eastAsia="zh-CN"/>
        </w:rPr>
        <w:t>喷淋水管洒水</w:t>
      </w:r>
      <w:r>
        <w:rPr>
          <w:rFonts w:ascii="Times New Roman" w:hAnsi="Times New Roman" w:eastAsia="宋体"/>
          <w:highlight w:val="none"/>
        </w:rPr>
        <w:t>降</w:t>
      </w:r>
      <w:r>
        <w:rPr>
          <w:rFonts w:ascii="Times New Roman" w:hAnsi="Times New Roman" w:eastAsia="宋体"/>
          <w:spacing w:val="-10"/>
          <w:highlight w:val="none"/>
        </w:rPr>
        <w:t>尘</w:t>
      </w:r>
      <w:r>
        <w:rPr>
          <w:rFonts w:hint="eastAsia"/>
          <w:spacing w:val="-10"/>
          <w:highlight w:val="none"/>
          <w:lang w:eastAsia="zh-CN"/>
        </w:rPr>
        <w:t>，确保进行湿式破碎</w:t>
      </w:r>
      <w:r>
        <w:rPr>
          <w:rFonts w:ascii="Times New Roman" w:hAnsi="Times New Roman" w:eastAsia="宋体"/>
          <w:spacing w:val="-10"/>
          <w:highlight w:val="none"/>
        </w:rPr>
        <w:t>，</w:t>
      </w:r>
      <w:r>
        <w:rPr>
          <w:rFonts w:hint="eastAsia"/>
          <w:spacing w:val="-10"/>
          <w:highlight w:val="none"/>
          <w:lang w:eastAsia="zh-CN"/>
        </w:rPr>
        <w:t>抑</w:t>
      </w:r>
      <w:r>
        <w:rPr>
          <w:rFonts w:ascii="Times New Roman" w:hAnsi="Times New Roman" w:eastAsia="宋体"/>
          <w:spacing w:val="-10"/>
          <w:highlight w:val="none"/>
        </w:rPr>
        <w:t>尘效率按</w:t>
      </w:r>
      <w:r>
        <w:rPr>
          <w:rFonts w:ascii="Times New Roman" w:hAnsi="Times New Roman" w:eastAsia="宋体"/>
          <w:highlight w:val="none"/>
        </w:rPr>
        <w:t>80%</w:t>
      </w:r>
      <w:r>
        <w:rPr>
          <w:rFonts w:ascii="Times New Roman" w:hAnsi="Times New Roman" w:eastAsia="宋体"/>
          <w:spacing w:val="-8"/>
          <w:highlight w:val="none"/>
        </w:rPr>
        <w:t>计，则</w:t>
      </w:r>
      <w:r>
        <w:rPr>
          <w:rFonts w:hint="eastAsia"/>
          <w:spacing w:val="-8"/>
          <w:highlight w:val="none"/>
          <w:lang w:eastAsia="zh-CN"/>
        </w:rPr>
        <w:t>细碎</w:t>
      </w:r>
      <w:r>
        <w:rPr>
          <w:rFonts w:ascii="Times New Roman" w:hAnsi="Times New Roman" w:eastAsia="宋体"/>
          <w:spacing w:val="-8"/>
          <w:highlight w:val="none"/>
        </w:rPr>
        <w:t>及筛分粉尘排放量为</w:t>
      </w:r>
      <w:r>
        <w:rPr>
          <w:rFonts w:hint="eastAsia"/>
          <w:highlight w:val="none"/>
          <w:lang w:val="en-US" w:eastAsia="zh-CN"/>
        </w:rPr>
        <w:t>15</w:t>
      </w:r>
      <w:r>
        <w:rPr>
          <w:rFonts w:ascii="Times New Roman" w:hAnsi="Times New Roman" w:eastAsia="宋体"/>
          <w:highlight w:val="none"/>
        </w:rPr>
        <w:t>t/a</w:t>
      </w:r>
      <w:r>
        <w:rPr>
          <w:rFonts w:ascii="Times New Roman" w:hAnsi="Times New Roman" w:eastAsia="宋体"/>
          <w:spacing w:val="-6"/>
          <w:highlight w:val="none"/>
        </w:rPr>
        <w:t>。在</w:t>
      </w:r>
      <w:r>
        <w:rPr>
          <w:rFonts w:hint="eastAsia"/>
          <w:spacing w:val="-6"/>
          <w:highlight w:val="none"/>
          <w:lang w:eastAsia="zh-CN"/>
        </w:rPr>
        <w:t>细碎</w:t>
      </w:r>
      <w:r>
        <w:rPr>
          <w:rFonts w:ascii="Times New Roman" w:hAnsi="Times New Roman" w:eastAsia="宋体"/>
          <w:spacing w:val="-6"/>
          <w:highlight w:val="none"/>
        </w:rPr>
        <w:t>及筛分设备</w:t>
      </w:r>
      <w:r>
        <w:rPr>
          <w:rFonts w:hint="eastAsia"/>
          <w:spacing w:val="-6"/>
          <w:highlight w:val="none"/>
          <w:lang w:eastAsia="zh-CN"/>
        </w:rPr>
        <w:t>落料点</w:t>
      </w:r>
      <w:r>
        <w:rPr>
          <w:rFonts w:ascii="Times New Roman" w:hAnsi="Times New Roman" w:eastAsia="宋体"/>
          <w:spacing w:val="-6"/>
          <w:highlight w:val="none"/>
        </w:rPr>
        <w:t>上方设置集气罩，粉尘采用集气罩收集</w:t>
      </w:r>
      <w:r>
        <w:rPr>
          <w:rFonts w:ascii="Times New Roman" w:hAnsi="Times New Roman" w:eastAsia="宋体"/>
          <w:spacing w:val="-3"/>
          <w:highlight w:val="none"/>
        </w:rPr>
        <w:t>（</w:t>
      </w:r>
      <w:r>
        <w:rPr>
          <w:rFonts w:ascii="Times New Roman" w:hAnsi="Times New Roman" w:eastAsia="宋体"/>
          <w:spacing w:val="-9"/>
          <w:highlight w:val="none"/>
        </w:rPr>
        <w:t>收集效率按照</w:t>
      </w:r>
      <w:r>
        <w:rPr>
          <w:rFonts w:ascii="Times New Roman" w:hAnsi="Times New Roman" w:eastAsia="宋体"/>
          <w:highlight w:val="none"/>
        </w:rPr>
        <w:t>90%计</w:t>
      </w:r>
      <w:r>
        <w:rPr>
          <w:rFonts w:ascii="Times New Roman" w:hAnsi="Times New Roman" w:eastAsia="宋体"/>
          <w:spacing w:val="-36"/>
          <w:highlight w:val="none"/>
        </w:rPr>
        <w:t>）</w:t>
      </w:r>
      <w:r>
        <w:rPr>
          <w:rFonts w:ascii="Times New Roman" w:hAnsi="Times New Roman" w:eastAsia="宋体"/>
          <w:spacing w:val="-3"/>
          <w:highlight w:val="none"/>
        </w:rPr>
        <w:t>后通过集气管</w:t>
      </w:r>
      <w:r>
        <w:rPr>
          <w:rFonts w:ascii="Times New Roman" w:hAnsi="Times New Roman" w:eastAsia="宋体"/>
          <w:spacing w:val="14"/>
          <w:highlight w:val="none"/>
        </w:rPr>
        <w:t>道</w:t>
      </w:r>
      <w:r>
        <w:rPr>
          <w:rFonts w:ascii="Times New Roman" w:hAnsi="Times New Roman" w:eastAsia="宋体"/>
          <w:spacing w:val="-3"/>
          <w:highlight w:val="none"/>
        </w:rPr>
        <w:t>与粗破工序共用一台布袋除尘器处理</w:t>
      </w:r>
      <w:r>
        <w:rPr>
          <w:rFonts w:ascii="Times New Roman" w:hAnsi="Times New Roman" w:eastAsia="宋体"/>
          <w:highlight w:val="none"/>
        </w:rPr>
        <w:t>（</w:t>
      </w:r>
      <w:r>
        <w:rPr>
          <w:rFonts w:ascii="Times New Roman" w:hAnsi="Times New Roman" w:eastAsia="宋体"/>
          <w:spacing w:val="-6"/>
          <w:highlight w:val="none"/>
        </w:rPr>
        <w:t>除尘</w:t>
      </w:r>
      <w:r>
        <w:rPr>
          <w:rFonts w:ascii="Times New Roman" w:hAnsi="Times New Roman" w:eastAsia="宋体"/>
          <w:spacing w:val="-16"/>
          <w:highlight w:val="none"/>
        </w:rPr>
        <w:t xml:space="preserve">效率按 </w:t>
      </w:r>
      <w:r>
        <w:rPr>
          <w:rFonts w:ascii="Times New Roman" w:hAnsi="Times New Roman" w:eastAsia="宋体"/>
          <w:highlight w:val="none"/>
        </w:rPr>
        <w:t>99.9%计</w:t>
      </w:r>
      <w:r>
        <w:rPr>
          <w:rFonts w:ascii="Times New Roman" w:hAnsi="Times New Roman" w:eastAsia="宋体"/>
          <w:spacing w:val="-5"/>
          <w:highlight w:val="none"/>
        </w:rPr>
        <w:t>）</w:t>
      </w:r>
      <w:r>
        <w:rPr>
          <w:rFonts w:ascii="Times New Roman" w:hAnsi="Times New Roman" w:eastAsia="宋体"/>
          <w:spacing w:val="-1"/>
          <w:highlight w:val="none"/>
        </w:rPr>
        <w:t>后通过引风机</w:t>
      </w:r>
      <w:r>
        <w:rPr>
          <w:rFonts w:ascii="Times New Roman" w:hAnsi="Times New Roman" w:eastAsia="宋体"/>
          <w:highlight w:val="none"/>
        </w:rPr>
        <w:t>（</w:t>
      </w:r>
      <w:r>
        <w:rPr>
          <w:rFonts w:ascii="Times New Roman" w:hAnsi="Times New Roman" w:eastAsia="宋体"/>
          <w:spacing w:val="-10"/>
          <w:highlight w:val="none"/>
        </w:rPr>
        <w:t>风机风量为</w:t>
      </w:r>
      <w:r>
        <w:rPr>
          <w:rFonts w:ascii="Times New Roman" w:hAnsi="Times New Roman" w:eastAsia="宋体"/>
          <w:highlight w:val="none"/>
        </w:rPr>
        <w:t>8000m</w:t>
      </w:r>
      <w:r>
        <w:rPr>
          <w:rFonts w:ascii="Times New Roman" w:hAnsi="Times New Roman" w:eastAsia="宋体"/>
          <w:position w:val="8"/>
          <w:sz w:val="15"/>
          <w:highlight w:val="none"/>
        </w:rPr>
        <w:t>3</w:t>
      </w:r>
      <w:r>
        <w:rPr>
          <w:rFonts w:ascii="Times New Roman" w:hAnsi="Times New Roman" w:eastAsia="宋体"/>
          <w:highlight w:val="none"/>
        </w:rPr>
        <w:t>/h</w:t>
      </w:r>
      <w:r>
        <w:rPr>
          <w:rFonts w:ascii="Times New Roman" w:hAnsi="Times New Roman" w:eastAsia="宋体"/>
          <w:spacing w:val="-9"/>
          <w:highlight w:val="none"/>
        </w:rPr>
        <w:t>，年运行时间</w:t>
      </w:r>
      <w:r>
        <w:rPr>
          <w:rFonts w:ascii="Times New Roman" w:hAnsi="Times New Roman" w:eastAsia="宋体"/>
          <w:highlight w:val="none"/>
        </w:rPr>
        <w:t>2400h）</w:t>
      </w:r>
      <w:r>
        <w:rPr>
          <w:rFonts w:ascii="Times New Roman" w:hAnsi="Times New Roman" w:eastAsia="宋体"/>
          <w:spacing w:val="-15"/>
          <w:highlight w:val="none"/>
        </w:rPr>
        <w:t>引至一根</w:t>
      </w:r>
      <w:r>
        <w:rPr>
          <w:rFonts w:ascii="Times New Roman" w:hAnsi="Times New Roman" w:eastAsia="宋体"/>
          <w:highlight w:val="none"/>
        </w:rPr>
        <w:t>15m高排气筒（</w:t>
      </w:r>
      <w:r>
        <w:rPr>
          <w:rFonts w:ascii="Times New Roman" w:hAnsi="Times New Roman" w:eastAsia="宋体"/>
          <w:spacing w:val="-20"/>
          <w:highlight w:val="none"/>
        </w:rPr>
        <w:t xml:space="preserve">内径 </w:t>
      </w:r>
      <w:r>
        <w:rPr>
          <w:rFonts w:ascii="Times New Roman" w:hAnsi="Times New Roman" w:eastAsia="宋体"/>
          <w:highlight w:val="none"/>
        </w:rPr>
        <w:t>0.25m）排放</w:t>
      </w:r>
      <w:r>
        <w:rPr>
          <w:rFonts w:hint="eastAsia"/>
          <w:highlight w:val="none"/>
          <w:lang w:eastAsia="zh-CN"/>
        </w:rPr>
        <w:t>。</w:t>
      </w:r>
    </w:p>
    <w:p>
      <w:pPr>
        <w:ind w:firstLine="480"/>
        <w:rPr>
          <w:rFonts w:ascii="Times New Roman" w:hAnsi="Times New Roman" w:eastAsia="宋体"/>
          <w:sz w:val="21"/>
          <w:highlight w:val="none"/>
        </w:rPr>
      </w:pPr>
      <w:r>
        <w:rPr>
          <w:rFonts w:ascii="Times New Roman" w:hAnsi="Times New Roman" w:eastAsia="宋体"/>
          <w:spacing w:val="-9"/>
          <w:highlight w:val="none"/>
        </w:rPr>
        <w:t>采取上述措施后，项目</w:t>
      </w:r>
      <w:r>
        <w:rPr>
          <w:rFonts w:hint="eastAsia"/>
          <w:spacing w:val="-9"/>
          <w:highlight w:val="none"/>
          <w:lang w:eastAsia="zh-CN"/>
        </w:rPr>
        <w:t>细碎</w:t>
      </w:r>
      <w:r>
        <w:rPr>
          <w:rFonts w:ascii="Times New Roman" w:hAnsi="Times New Roman" w:eastAsia="宋体"/>
          <w:spacing w:val="-9"/>
          <w:highlight w:val="none"/>
        </w:rPr>
        <w:t>及筛分粉尘有组织排放量为</w:t>
      </w:r>
      <w:r>
        <w:rPr>
          <w:rFonts w:ascii="Times New Roman" w:hAnsi="Times New Roman" w:eastAsia="宋体"/>
          <w:spacing w:val="-5"/>
          <w:highlight w:val="none"/>
        </w:rPr>
        <w:t>0.0</w:t>
      </w:r>
      <w:r>
        <w:rPr>
          <w:rFonts w:hint="eastAsia"/>
          <w:spacing w:val="-5"/>
          <w:highlight w:val="none"/>
          <w:lang w:val="en-US" w:eastAsia="zh-CN"/>
        </w:rPr>
        <w:t>13</w:t>
      </w:r>
      <w:r>
        <w:rPr>
          <w:rFonts w:ascii="Times New Roman" w:hAnsi="Times New Roman" w:eastAsia="宋体"/>
          <w:spacing w:val="-5"/>
          <w:highlight w:val="none"/>
        </w:rPr>
        <w:t>t/a，排放速率</w:t>
      </w:r>
      <w:r>
        <w:rPr>
          <w:rFonts w:ascii="Times New Roman" w:hAnsi="Times New Roman" w:eastAsia="宋体"/>
          <w:spacing w:val="-31"/>
          <w:highlight w:val="none"/>
        </w:rPr>
        <w:t xml:space="preserve">为 </w:t>
      </w:r>
      <w:r>
        <w:rPr>
          <w:rFonts w:ascii="Times New Roman" w:hAnsi="Times New Roman" w:eastAsia="宋体"/>
          <w:highlight w:val="none"/>
        </w:rPr>
        <w:t>0.00</w:t>
      </w:r>
      <w:r>
        <w:rPr>
          <w:rFonts w:hint="eastAsia"/>
          <w:highlight w:val="none"/>
          <w:lang w:val="en-US" w:eastAsia="zh-CN"/>
        </w:rPr>
        <w:t>5</w:t>
      </w:r>
      <w:r>
        <w:rPr>
          <w:rFonts w:ascii="Times New Roman" w:hAnsi="Times New Roman" w:eastAsia="宋体"/>
          <w:highlight w:val="none"/>
        </w:rPr>
        <w:t>kg/h</w:t>
      </w:r>
      <w:r>
        <w:rPr>
          <w:rFonts w:ascii="Times New Roman" w:hAnsi="Times New Roman" w:eastAsia="宋体"/>
          <w:spacing w:val="-9"/>
          <w:highlight w:val="none"/>
        </w:rPr>
        <w:t xml:space="preserve">，排放浓度为 </w:t>
      </w:r>
      <w:r>
        <w:rPr>
          <w:rFonts w:hint="eastAsia"/>
          <w:highlight w:val="none"/>
          <w:lang w:val="en-US" w:eastAsia="zh-CN"/>
        </w:rPr>
        <w:t>0.625</w:t>
      </w:r>
      <w:r>
        <w:rPr>
          <w:rFonts w:ascii="Times New Roman" w:hAnsi="Times New Roman" w:eastAsia="宋体"/>
          <w:sz w:val="21"/>
          <w:highlight w:val="none"/>
        </w:rPr>
        <w:t>mg/m</w:t>
      </w:r>
      <w:r>
        <w:rPr>
          <w:rFonts w:ascii="Times New Roman" w:hAnsi="Times New Roman" w:eastAsia="宋体"/>
          <w:position w:val="7"/>
          <w:sz w:val="13"/>
          <w:highlight w:val="none"/>
        </w:rPr>
        <w:t>3</w:t>
      </w:r>
      <w:r>
        <w:rPr>
          <w:rFonts w:hint="eastAsia"/>
          <w:color w:val="auto"/>
          <w:highlight w:val="none"/>
        </w:rPr>
        <w:t>。</w:t>
      </w:r>
    </w:p>
    <w:p>
      <w:pPr>
        <w:ind w:firstLine="480"/>
        <w:rPr>
          <w:rFonts w:hint="eastAsia" w:ascii="Times New Roman" w:hAnsi="Times New Roman" w:eastAsia="宋体"/>
          <w:highlight w:val="none"/>
          <w:lang w:eastAsia="zh-CN"/>
        </w:rPr>
      </w:pPr>
      <w:r>
        <w:rPr>
          <w:rFonts w:ascii="Times New Roman" w:hAnsi="Times New Roman" w:eastAsia="宋体"/>
          <w:highlight w:val="none"/>
        </w:rPr>
        <w:t>未经收集粉尘量为</w:t>
      </w:r>
      <w:r>
        <w:rPr>
          <w:rFonts w:hint="eastAsia"/>
          <w:highlight w:val="none"/>
          <w:lang w:val="en-US" w:eastAsia="zh-CN"/>
        </w:rPr>
        <w:t>1.5</w:t>
      </w:r>
      <w:r>
        <w:rPr>
          <w:rFonts w:ascii="Times New Roman" w:hAnsi="Times New Roman" w:eastAsia="宋体"/>
          <w:highlight w:val="none"/>
        </w:rPr>
        <w:t>t/a，项目生产车间封闭，并设置洒水降尘设施，未被收集的粉尘经封闭围挡后大部分沉降，仅有10%呈无组织排放，则无组织排放量为0.</w:t>
      </w:r>
      <w:r>
        <w:rPr>
          <w:rFonts w:hint="eastAsia"/>
          <w:highlight w:val="none"/>
          <w:lang w:val="en-US" w:eastAsia="zh-CN"/>
        </w:rPr>
        <w:t>15</w:t>
      </w:r>
      <w:r>
        <w:rPr>
          <w:rFonts w:ascii="Times New Roman" w:hAnsi="Times New Roman" w:eastAsia="宋体"/>
          <w:highlight w:val="none"/>
        </w:rPr>
        <w:t>t/a</w:t>
      </w:r>
      <w:r>
        <w:rPr>
          <w:rFonts w:hint="eastAsia"/>
          <w:highlight w:val="none"/>
          <w:lang w:eastAsia="zh-CN"/>
        </w:rPr>
        <w:t>。</w:t>
      </w:r>
    </w:p>
    <w:p>
      <w:pPr>
        <w:ind w:firstLine="480"/>
        <w:rPr>
          <w:rFonts w:hint="eastAsia" w:ascii="Times New Roman" w:hAnsi="Times New Roman" w:eastAsia="宋体"/>
          <w:highlight w:val="none"/>
          <w:lang w:eastAsia="zh-CN"/>
        </w:rPr>
      </w:pPr>
      <w:r>
        <w:rPr>
          <w:rFonts w:hint="eastAsia"/>
          <w:highlight w:val="none"/>
          <w:lang w:eastAsia="zh-CN"/>
        </w:rPr>
        <w:t>（</w:t>
      </w:r>
      <w:r>
        <w:rPr>
          <w:rFonts w:hint="eastAsia"/>
          <w:highlight w:val="none"/>
          <w:lang w:val="en-US" w:eastAsia="zh-CN"/>
        </w:rPr>
        <w:t>5</w:t>
      </w:r>
      <w:r>
        <w:rPr>
          <w:rFonts w:hint="eastAsia"/>
          <w:highlight w:val="none"/>
          <w:lang w:eastAsia="zh-CN"/>
        </w:rPr>
        <w:t>）皮带输送粉尘</w:t>
      </w:r>
    </w:p>
    <w:p>
      <w:pPr>
        <w:ind w:firstLine="480"/>
        <w:rPr>
          <w:color w:val="auto"/>
          <w:highlight w:val="none"/>
        </w:rPr>
      </w:pPr>
      <w:r>
        <w:rPr>
          <w:rFonts w:ascii="Times New Roman" w:hAnsi="Times New Roman" w:eastAsia="宋体"/>
          <w:spacing w:val="-4"/>
          <w:highlight w:val="none"/>
        </w:rPr>
        <w:t>项目矿石产品从细碎筛分工序出料后，需要通过输送皮带出料，输送皮带设置全封闭，落料</w:t>
      </w:r>
      <w:r>
        <w:rPr>
          <w:rFonts w:ascii="Times New Roman" w:hAnsi="Times New Roman" w:eastAsia="宋体"/>
          <w:spacing w:val="-9"/>
          <w:highlight w:val="none"/>
        </w:rPr>
        <w:t>口设置溜槽，项目下料口会产生粉尘，参照《逸散性工业粉尘控制技术》</w:t>
      </w:r>
      <w:r>
        <w:rPr>
          <w:rFonts w:ascii="Times New Roman" w:hAnsi="Times New Roman" w:eastAsia="宋体"/>
          <w:highlight w:val="none"/>
        </w:rPr>
        <w:t>（中国环境科学出版社），皮带运输送产尘系数取0.01kg/t，项目</w:t>
      </w:r>
      <w:r>
        <w:rPr>
          <w:rFonts w:hint="eastAsia"/>
          <w:highlight w:val="none"/>
          <w:lang w:eastAsia="zh-CN"/>
        </w:rPr>
        <w:t>按</w:t>
      </w:r>
      <w:r>
        <w:rPr>
          <w:rFonts w:ascii="Times New Roman" w:hAnsi="Times New Roman" w:eastAsia="宋体"/>
          <w:highlight w:val="none"/>
        </w:rPr>
        <w:t>年产</w:t>
      </w:r>
      <w:r>
        <w:rPr>
          <w:rFonts w:hint="eastAsia"/>
          <w:highlight w:val="none"/>
          <w:lang w:val="en-US" w:eastAsia="zh-CN"/>
        </w:rPr>
        <w:t>30</w:t>
      </w:r>
      <w:r>
        <w:rPr>
          <w:rFonts w:ascii="Times New Roman" w:hAnsi="Times New Roman" w:eastAsia="宋体"/>
          <w:highlight w:val="none"/>
        </w:rPr>
        <w:t>万吨建筑用砂</w:t>
      </w:r>
      <w:r>
        <w:rPr>
          <w:rFonts w:ascii="Times New Roman" w:hAnsi="Times New Roman" w:eastAsia="宋体"/>
          <w:spacing w:val="-6"/>
          <w:highlight w:val="none"/>
        </w:rPr>
        <w:t>石料</w:t>
      </w:r>
      <w:r>
        <w:rPr>
          <w:rFonts w:hint="eastAsia"/>
          <w:spacing w:val="-6"/>
          <w:highlight w:val="none"/>
          <w:lang w:eastAsia="zh-CN"/>
        </w:rPr>
        <w:t>计</w:t>
      </w:r>
      <w:r>
        <w:rPr>
          <w:rFonts w:ascii="Times New Roman" w:hAnsi="Times New Roman" w:eastAsia="宋体"/>
          <w:spacing w:val="-6"/>
          <w:highlight w:val="none"/>
        </w:rPr>
        <w:t>，则项目皮带输送转运粉尘产生量为</w:t>
      </w:r>
      <w:r>
        <w:rPr>
          <w:rFonts w:hint="eastAsia"/>
          <w:highlight w:val="none"/>
          <w:lang w:val="en-US" w:eastAsia="zh-CN"/>
        </w:rPr>
        <w:t>3</w:t>
      </w:r>
      <w:r>
        <w:rPr>
          <w:rFonts w:ascii="Times New Roman" w:hAnsi="Times New Roman" w:eastAsia="宋体"/>
          <w:highlight w:val="none"/>
        </w:rPr>
        <w:t>t/a</w:t>
      </w:r>
      <w:r>
        <w:rPr>
          <w:rFonts w:ascii="Times New Roman" w:hAnsi="Times New Roman" w:eastAsia="宋体"/>
          <w:spacing w:val="-9"/>
          <w:highlight w:val="none"/>
        </w:rPr>
        <w:t>。根据《逸散性工业粉尘控制技术》</w:t>
      </w:r>
      <w:r>
        <w:rPr>
          <w:rFonts w:ascii="Times New Roman" w:hAnsi="Times New Roman" w:eastAsia="宋体"/>
          <w:highlight w:val="none"/>
        </w:rPr>
        <w:t>相关数据，对原料转运和运输采取密闭传送措施，粉尘的控制效率能达到95%，则皮带传输转运粉尘排放量约为0.</w:t>
      </w:r>
      <w:r>
        <w:rPr>
          <w:rFonts w:hint="eastAsia"/>
          <w:highlight w:val="none"/>
          <w:lang w:val="en-US" w:eastAsia="zh-CN"/>
        </w:rPr>
        <w:t>15</w:t>
      </w:r>
      <w:r>
        <w:rPr>
          <w:rFonts w:ascii="Times New Roman" w:hAnsi="Times New Roman" w:eastAsia="宋体"/>
          <w:highlight w:val="none"/>
        </w:rPr>
        <w:t>t/a</w:t>
      </w:r>
      <w:r>
        <w:rPr>
          <w:rFonts w:hint="eastAsia"/>
          <w:color w:val="auto"/>
          <w:highlight w:val="none"/>
        </w:rPr>
        <w:t>。</w:t>
      </w:r>
    </w:p>
    <w:p>
      <w:pPr>
        <w:adjustRightInd w:val="0"/>
        <w:snapToGrid w:val="0"/>
        <w:ind w:firstLine="482"/>
        <w:rPr>
          <w:b w:val="0"/>
          <w:bCs/>
          <w:highlight w:val="none"/>
        </w:rPr>
      </w:pPr>
      <w:r>
        <w:rPr>
          <w:rFonts w:hint="eastAsia"/>
          <w:b w:val="0"/>
          <w:bCs/>
          <w:highlight w:val="none"/>
          <w:lang w:val="en-US" w:eastAsia="zh-CN"/>
        </w:rPr>
        <w:t>3、</w:t>
      </w:r>
      <w:r>
        <w:rPr>
          <w:b w:val="0"/>
          <w:bCs/>
          <w:highlight w:val="none"/>
        </w:rPr>
        <w:t>运输扬尘</w:t>
      </w:r>
    </w:p>
    <w:p>
      <w:pPr>
        <w:adjustRightInd w:val="0"/>
        <w:snapToGrid w:val="0"/>
        <w:ind w:firstLine="480"/>
        <w:textAlignment w:val="baseline"/>
        <w:rPr>
          <w:highlight w:val="none"/>
        </w:rPr>
      </w:pPr>
      <w:r>
        <w:rPr>
          <w:highlight w:val="none"/>
        </w:rPr>
        <w:t>矿石在运输过程中会产生一定量的粉尘，按下式</w:t>
      </w:r>
      <w:r>
        <w:rPr>
          <w:rFonts w:hint="eastAsia"/>
          <w:highlight w:val="none"/>
        </w:rPr>
        <w:t>进行估算</w:t>
      </w:r>
      <w:r>
        <w:rPr>
          <w:highlight w:val="none"/>
        </w:rPr>
        <w:t>：</w:t>
      </w:r>
    </w:p>
    <w:p>
      <w:pPr>
        <w:pStyle w:val="17"/>
        <w:ind w:firstLine="480"/>
        <w:jc w:val="center"/>
        <w:rPr>
          <w:rFonts w:ascii="Times New Roman" w:hAnsi="Times New Roman"/>
          <w:highlight w:val="none"/>
          <w:vertAlign w:val="subscript"/>
        </w:rPr>
      </w:pPr>
      <w:r>
        <w:rPr>
          <w:rFonts w:ascii="Times New Roman" w:hAnsi="Times New Roman"/>
          <w:highlight w:val="none"/>
        </w:rPr>
        <w:t>Q＝N·L·Q</w:t>
      </w:r>
      <w:r>
        <w:rPr>
          <w:rFonts w:ascii="Times New Roman" w:hAnsi="Times New Roman"/>
          <w:highlight w:val="none"/>
          <w:vertAlign w:val="subscript"/>
        </w:rPr>
        <w:t>i</w:t>
      </w:r>
      <w:r>
        <w:rPr>
          <w:rFonts w:ascii="Times New Roman" w:hAnsi="Times New Roman"/>
          <w:highlight w:val="none"/>
        </w:rPr>
        <w:t>，Q</w:t>
      </w:r>
      <w:r>
        <w:rPr>
          <w:rFonts w:ascii="Times New Roman" w:hAnsi="Times New Roman"/>
          <w:highlight w:val="none"/>
          <w:vertAlign w:val="subscript"/>
        </w:rPr>
        <w:t>i</w:t>
      </w:r>
      <w:r>
        <w:rPr>
          <w:rFonts w:ascii="Times New Roman" w:hAnsi="Times New Roman"/>
          <w:highlight w:val="none"/>
        </w:rPr>
        <w:t>=0.0079V·W</w:t>
      </w:r>
      <w:r>
        <w:rPr>
          <w:rFonts w:ascii="Times New Roman" w:hAnsi="Times New Roman"/>
          <w:highlight w:val="none"/>
          <w:vertAlign w:val="superscript"/>
        </w:rPr>
        <w:t>0.85</w:t>
      </w:r>
      <w:r>
        <w:rPr>
          <w:rFonts w:ascii="Times New Roman" w:hAnsi="Times New Roman"/>
          <w:highlight w:val="none"/>
        </w:rPr>
        <w:t>·P</w:t>
      </w:r>
      <w:r>
        <w:rPr>
          <w:rFonts w:ascii="Times New Roman" w:hAnsi="Times New Roman"/>
          <w:highlight w:val="none"/>
          <w:vertAlign w:val="superscript"/>
        </w:rPr>
        <w:t>0.72</w:t>
      </w:r>
    </w:p>
    <w:p>
      <w:pPr>
        <w:pStyle w:val="17"/>
        <w:ind w:firstLine="480"/>
        <w:rPr>
          <w:rFonts w:ascii="Times New Roman" w:hAnsi="Times New Roman"/>
          <w:highlight w:val="none"/>
        </w:rPr>
      </w:pPr>
      <w:r>
        <w:rPr>
          <w:rFonts w:ascii="Times New Roman" w:hAnsi="Times New Roman"/>
          <w:highlight w:val="none"/>
        </w:rPr>
        <w:t>其中：Q</w:t>
      </w:r>
      <w:r>
        <w:rPr>
          <w:rFonts w:ascii="Times New Roman" w:hAnsi="Times New Roman"/>
          <w:highlight w:val="none"/>
          <w:vertAlign w:val="subscript"/>
        </w:rPr>
        <w:t>i</w:t>
      </w:r>
      <w:r>
        <w:rPr>
          <w:rFonts w:ascii="Times New Roman" w:hAnsi="Times New Roman"/>
          <w:highlight w:val="none"/>
        </w:rPr>
        <w:t>——每辆汽车行驶扬尘量（kg/km·辆）；</w:t>
      </w:r>
    </w:p>
    <w:p>
      <w:pPr>
        <w:pStyle w:val="17"/>
        <w:ind w:firstLine="1200" w:firstLineChars="500"/>
        <w:rPr>
          <w:rFonts w:ascii="Times New Roman" w:hAnsi="Times New Roman"/>
          <w:highlight w:val="none"/>
        </w:rPr>
      </w:pPr>
      <w:r>
        <w:rPr>
          <w:rFonts w:ascii="Times New Roman" w:hAnsi="Times New Roman"/>
          <w:highlight w:val="none"/>
        </w:rPr>
        <w:t>Q——汽车运输总扬尘量，t/a；</w:t>
      </w:r>
    </w:p>
    <w:p>
      <w:pPr>
        <w:pStyle w:val="17"/>
        <w:ind w:firstLine="1200" w:firstLineChars="500"/>
        <w:rPr>
          <w:rFonts w:hint="eastAsia" w:ascii="Times New Roman" w:hAnsi="Times New Roman" w:eastAsia="宋体"/>
          <w:highlight w:val="none"/>
          <w:lang w:eastAsia="zh-CN"/>
        </w:rPr>
      </w:pPr>
      <w:r>
        <w:rPr>
          <w:rFonts w:ascii="Times New Roman" w:hAnsi="Times New Roman"/>
          <w:highlight w:val="none"/>
        </w:rPr>
        <w:t>V——汽车行驶速度</w:t>
      </w:r>
      <w:r>
        <w:rPr>
          <w:rFonts w:hint="eastAsia" w:ascii="Times New Roman" w:hAnsi="Times New Roman"/>
          <w:highlight w:val="none"/>
          <w:lang w:eastAsia="zh-CN"/>
        </w:rPr>
        <w:t>，</w:t>
      </w:r>
      <w:r>
        <w:rPr>
          <w:rFonts w:hint="eastAsia" w:ascii="Times New Roman" w:hAnsi="Times New Roman"/>
          <w:highlight w:val="none"/>
        </w:rPr>
        <w:t>km/h</w:t>
      </w:r>
      <w:r>
        <w:rPr>
          <w:rFonts w:hint="eastAsia" w:ascii="Times New Roman" w:hAnsi="Times New Roman"/>
          <w:highlight w:val="none"/>
          <w:lang w:eastAsia="zh-CN"/>
        </w:rPr>
        <w:t>；</w:t>
      </w:r>
    </w:p>
    <w:p>
      <w:pPr>
        <w:pStyle w:val="17"/>
        <w:ind w:firstLine="1200" w:firstLineChars="500"/>
        <w:rPr>
          <w:rFonts w:hint="eastAsia" w:ascii="Times New Roman" w:hAnsi="Times New Roman" w:eastAsia="宋体"/>
          <w:highlight w:val="none"/>
          <w:lang w:eastAsia="zh-CN"/>
        </w:rPr>
      </w:pPr>
      <w:r>
        <w:rPr>
          <w:rFonts w:ascii="Times New Roman" w:hAnsi="Times New Roman"/>
          <w:highlight w:val="none"/>
        </w:rPr>
        <w:t>W——汽车重量</w:t>
      </w:r>
      <w:r>
        <w:rPr>
          <w:rFonts w:hint="eastAsia" w:ascii="Times New Roman" w:hAnsi="Times New Roman"/>
          <w:highlight w:val="none"/>
          <w:lang w:eastAsia="zh-CN"/>
        </w:rPr>
        <w:t>，</w:t>
      </w:r>
      <w:r>
        <w:rPr>
          <w:rFonts w:hint="eastAsia" w:ascii="Times New Roman" w:hAnsi="Times New Roman"/>
          <w:highlight w:val="none"/>
        </w:rPr>
        <w:t>t</w:t>
      </w:r>
      <w:r>
        <w:rPr>
          <w:rFonts w:hint="eastAsia" w:ascii="Times New Roman" w:hAnsi="Times New Roman"/>
          <w:highlight w:val="none"/>
          <w:lang w:eastAsia="zh-CN"/>
        </w:rPr>
        <w:t>；</w:t>
      </w:r>
    </w:p>
    <w:p>
      <w:pPr>
        <w:pStyle w:val="17"/>
        <w:ind w:firstLine="1200" w:firstLineChars="500"/>
        <w:rPr>
          <w:rFonts w:hint="eastAsia" w:ascii="Times New Roman" w:hAnsi="Times New Roman" w:eastAsia="宋体"/>
          <w:highlight w:val="none"/>
          <w:lang w:val="en-US" w:eastAsia="zh-CN"/>
        </w:rPr>
      </w:pPr>
      <w:r>
        <w:rPr>
          <w:rFonts w:ascii="Times New Roman" w:hAnsi="Times New Roman"/>
          <w:highlight w:val="none"/>
        </w:rPr>
        <w:t>P——道路表面粉尘量</w:t>
      </w:r>
      <w:r>
        <w:rPr>
          <w:rFonts w:ascii="Times New Roman" w:hAnsi="Times New Roman" w:eastAsia="宋体"/>
          <w:highlight w:val="none"/>
        </w:rPr>
        <w:t>，kg/m</w:t>
      </w:r>
      <w:r>
        <w:rPr>
          <w:rFonts w:ascii="Times New Roman" w:hAnsi="Times New Roman" w:eastAsia="宋体"/>
          <w:position w:val="8"/>
          <w:sz w:val="15"/>
          <w:highlight w:val="none"/>
        </w:rPr>
        <w:t>2</w:t>
      </w:r>
      <w:r>
        <w:rPr>
          <w:rFonts w:ascii="Times New Roman" w:hAnsi="Times New Roman" w:eastAsia="宋体"/>
          <w:highlight w:val="none"/>
        </w:rPr>
        <w:t>（经常洒水、清扫</w:t>
      </w:r>
      <w:r>
        <w:rPr>
          <w:rFonts w:hint="eastAsia" w:ascii="Times New Roman" w:hAnsi="Times New Roman"/>
          <w:highlight w:val="none"/>
          <w:lang w:eastAsia="zh-CN"/>
        </w:rPr>
        <w:t>，</w:t>
      </w:r>
      <w:r>
        <w:rPr>
          <w:rFonts w:ascii="Times New Roman" w:hAnsi="Times New Roman" w:eastAsia="宋体"/>
          <w:highlight w:val="none"/>
        </w:rPr>
        <w:t>降尘率 80%</w:t>
      </w:r>
      <w:r>
        <w:rPr>
          <w:rFonts w:hint="eastAsia" w:ascii="Times New Roman" w:hAnsi="Times New Roman"/>
          <w:highlight w:val="none"/>
          <w:lang w:eastAsia="zh-CN"/>
        </w:rPr>
        <w:t>，</w:t>
      </w:r>
      <w:r>
        <w:rPr>
          <w:rFonts w:ascii="Times New Roman" w:hAnsi="Times New Roman" w:eastAsia="宋体"/>
          <w:highlight w:val="none"/>
        </w:rPr>
        <w:t>以</w:t>
      </w:r>
      <w:r>
        <w:rPr>
          <w:rFonts w:hint="eastAsia" w:ascii="Times New Roman" w:hAnsi="Times New Roman"/>
          <w:highlight w:val="none"/>
          <w:lang w:val="en-US" w:eastAsia="zh-CN"/>
        </w:rPr>
        <w:t>0.015k</w:t>
      </w:r>
      <w:r>
        <w:rPr>
          <w:rFonts w:ascii="Times New Roman" w:hAnsi="Times New Roman" w:eastAsia="宋体"/>
          <w:highlight w:val="none"/>
        </w:rPr>
        <w:t>g/m</w:t>
      </w:r>
      <w:r>
        <w:rPr>
          <w:rFonts w:ascii="Times New Roman" w:hAnsi="Times New Roman" w:eastAsia="宋体"/>
          <w:position w:val="8"/>
          <w:sz w:val="15"/>
          <w:highlight w:val="none"/>
        </w:rPr>
        <w:t xml:space="preserve">2 </w:t>
      </w:r>
      <w:r>
        <w:rPr>
          <w:rFonts w:ascii="Times New Roman" w:hAnsi="Times New Roman" w:eastAsia="宋体"/>
          <w:highlight w:val="none"/>
        </w:rPr>
        <w:t>计</w:t>
      </w:r>
      <w:r>
        <w:rPr>
          <w:rFonts w:hint="eastAsia" w:ascii="Times New Roman" w:hAnsi="Times New Roman"/>
          <w:highlight w:val="none"/>
        </w:rPr>
        <w:t>）</w:t>
      </w:r>
      <w:r>
        <w:rPr>
          <w:rFonts w:hint="eastAsia" w:ascii="Times New Roman" w:hAnsi="Times New Roman"/>
          <w:highlight w:val="none"/>
          <w:lang w:eastAsia="zh-CN"/>
        </w:rPr>
        <w:t>；</w:t>
      </w:r>
    </w:p>
    <w:p>
      <w:pPr>
        <w:pStyle w:val="17"/>
        <w:ind w:firstLine="1200" w:firstLineChars="500"/>
        <w:rPr>
          <w:rFonts w:ascii="Times New Roman" w:hAnsi="Times New Roman"/>
          <w:highlight w:val="none"/>
        </w:rPr>
      </w:pPr>
      <w:r>
        <w:rPr>
          <w:rFonts w:ascii="Times New Roman" w:hAnsi="Times New Roman"/>
          <w:highlight w:val="none"/>
        </w:rPr>
        <w:t>N——汽车数量；</w:t>
      </w:r>
    </w:p>
    <w:p>
      <w:pPr>
        <w:ind w:firstLine="1200" w:firstLineChars="500"/>
        <w:rPr>
          <w:rFonts w:ascii="宋体" w:hAnsi="宋体"/>
          <w:highlight w:val="none"/>
        </w:rPr>
      </w:pPr>
      <w:r>
        <w:rPr>
          <w:rFonts w:hint="eastAsia" w:hAnsi="宋体"/>
          <w:highlight w:val="none"/>
        </w:rPr>
        <w:t>L——运输距离。</w:t>
      </w:r>
    </w:p>
    <w:p>
      <w:pPr>
        <w:ind w:firstLine="480"/>
        <w:rPr>
          <w:highlight w:val="none"/>
        </w:rPr>
      </w:pPr>
      <w:r>
        <w:rPr>
          <w:rFonts w:ascii="Times New Roman" w:hAnsi="Times New Roman" w:eastAsia="宋体"/>
          <w:spacing w:val="-7"/>
          <w:highlight w:val="none"/>
        </w:rPr>
        <w:t>项目矿石装载量</w:t>
      </w:r>
      <w:r>
        <w:rPr>
          <w:rFonts w:hint="eastAsia"/>
          <w:spacing w:val="-7"/>
          <w:highlight w:val="none"/>
          <w:lang w:eastAsia="zh-CN"/>
        </w:rPr>
        <w:t>按</w:t>
      </w:r>
      <w:r>
        <w:rPr>
          <w:rFonts w:hint="eastAsia"/>
          <w:spacing w:val="-5"/>
          <w:highlight w:val="none"/>
          <w:lang w:val="en-US" w:eastAsia="zh-CN"/>
        </w:rPr>
        <w:t>30</w:t>
      </w:r>
      <w:r>
        <w:rPr>
          <w:rFonts w:ascii="Times New Roman" w:hAnsi="Times New Roman" w:eastAsia="宋体"/>
          <w:spacing w:val="-5"/>
          <w:highlight w:val="none"/>
        </w:rPr>
        <w:t>0000t/a</w:t>
      </w:r>
      <w:r>
        <w:rPr>
          <w:rFonts w:hint="eastAsia"/>
          <w:spacing w:val="-5"/>
          <w:highlight w:val="none"/>
          <w:lang w:eastAsia="zh-CN"/>
        </w:rPr>
        <w:t>计</w:t>
      </w:r>
      <w:r>
        <w:rPr>
          <w:rFonts w:ascii="Times New Roman" w:hAnsi="Times New Roman" w:eastAsia="宋体"/>
          <w:spacing w:val="-8"/>
          <w:highlight w:val="none"/>
        </w:rPr>
        <w:t>，产品矿石装载量</w:t>
      </w:r>
      <w:r>
        <w:rPr>
          <w:rFonts w:hint="eastAsia"/>
          <w:spacing w:val="-8"/>
          <w:highlight w:val="none"/>
          <w:lang w:eastAsia="zh-CN"/>
        </w:rPr>
        <w:t>按</w:t>
      </w:r>
      <w:r>
        <w:rPr>
          <w:rFonts w:hint="eastAsia"/>
          <w:spacing w:val="-5"/>
          <w:highlight w:val="none"/>
          <w:lang w:val="en-US" w:eastAsia="zh-CN"/>
        </w:rPr>
        <w:t>30</w:t>
      </w:r>
      <w:r>
        <w:rPr>
          <w:rFonts w:ascii="Times New Roman" w:hAnsi="Times New Roman" w:eastAsia="宋体"/>
          <w:spacing w:val="-5"/>
          <w:highlight w:val="none"/>
        </w:rPr>
        <w:t>0000t/a</w:t>
      </w:r>
      <w:r>
        <w:rPr>
          <w:rFonts w:hint="eastAsia"/>
          <w:spacing w:val="-5"/>
          <w:highlight w:val="none"/>
          <w:lang w:eastAsia="zh-CN"/>
        </w:rPr>
        <w:t>计</w:t>
      </w:r>
      <w:r>
        <w:rPr>
          <w:rFonts w:ascii="Times New Roman" w:hAnsi="Times New Roman" w:eastAsia="宋体"/>
          <w:spacing w:val="-13"/>
          <w:highlight w:val="none"/>
        </w:rPr>
        <w:t>，车型以</w:t>
      </w:r>
      <w:r>
        <w:rPr>
          <w:rFonts w:hint="eastAsia"/>
          <w:highlight w:val="none"/>
          <w:lang w:val="en-US" w:eastAsia="zh-CN"/>
        </w:rPr>
        <w:t>40</w:t>
      </w:r>
      <w:r>
        <w:rPr>
          <w:rFonts w:ascii="Times New Roman" w:hAnsi="Times New Roman" w:eastAsia="宋体"/>
          <w:spacing w:val="-4"/>
          <w:highlight w:val="none"/>
        </w:rPr>
        <w:t>吨自卸</w:t>
      </w:r>
      <w:r>
        <w:rPr>
          <w:rFonts w:ascii="Times New Roman" w:hAnsi="Times New Roman" w:eastAsia="宋体"/>
          <w:spacing w:val="-14"/>
          <w:highlight w:val="none"/>
        </w:rPr>
        <w:t>汽车为主，</w:t>
      </w:r>
      <w:r>
        <w:rPr>
          <w:rFonts w:hint="eastAsia"/>
          <w:spacing w:val="-14"/>
          <w:highlight w:val="none"/>
          <w:lang w:eastAsia="zh-CN"/>
        </w:rPr>
        <w:t>单边</w:t>
      </w:r>
      <w:r>
        <w:rPr>
          <w:rFonts w:ascii="Times New Roman" w:hAnsi="Times New Roman" w:eastAsia="宋体"/>
          <w:spacing w:val="-14"/>
          <w:highlight w:val="none"/>
        </w:rPr>
        <w:t>需运输卡车</w:t>
      </w:r>
      <w:r>
        <w:rPr>
          <w:rFonts w:hint="eastAsia"/>
          <w:highlight w:val="none"/>
          <w:lang w:val="en-US" w:eastAsia="zh-CN"/>
        </w:rPr>
        <w:t>7500</w:t>
      </w:r>
      <w:r>
        <w:rPr>
          <w:rFonts w:ascii="Times New Roman" w:hAnsi="Times New Roman" w:eastAsia="宋体"/>
          <w:spacing w:val="-34"/>
          <w:highlight w:val="none"/>
        </w:rPr>
        <w:t>辆次</w:t>
      </w:r>
      <w:r>
        <w:rPr>
          <w:rFonts w:ascii="Times New Roman" w:hAnsi="Times New Roman" w:eastAsia="宋体"/>
          <w:highlight w:val="none"/>
        </w:rPr>
        <w:t>（</w:t>
      </w:r>
      <w:r>
        <w:rPr>
          <w:rFonts w:hint="eastAsia"/>
          <w:highlight w:val="none"/>
          <w:lang w:val="en-US" w:eastAsia="zh-CN"/>
        </w:rPr>
        <w:t>25</w:t>
      </w:r>
      <w:r>
        <w:rPr>
          <w:rFonts w:ascii="Times New Roman" w:hAnsi="Times New Roman" w:eastAsia="宋体"/>
          <w:highlight w:val="none"/>
        </w:rPr>
        <w:t>辆次/天</w:t>
      </w:r>
      <w:r>
        <w:rPr>
          <w:rFonts w:ascii="Times New Roman" w:hAnsi="Times New Roman" w:eastAsia="宋体"/>
          <w:spacing w:val="-69"/>
          <w:highlight w:val="none"/>
        </w:rPr>
        <w:t>）</w:t>
      </w:r>
      <w:r>
        <w:rPr>
          <w:rFonts w:ascii="Times New Roman" w:hAnsi="Times New Roman" w:eastAsia="宋体"/>
          <w:spacing w:val="-14"/>
          <w:highlight w:val="none"/>
        </w:rPr>
        <w:t>，即空载和满载车流量</w:t>
      </w:r>
      <w:r>
        <w:rPr>
          <w:rFonts w:hint="eastAsia"/>
          <w:spacing w:val="-14"/>
          <w:highlight w:val="none"/>
          <w:lang w:eastAsia="zh-CN"/>
        </w:rPr>
        <w:t>均</w:t>
      </w:r>
      <w:r>
        <w:rPr>
          <w:rFonts w:ascii="Times New Roman" w:hAnsi="Times New Roman" w:eastAsia="宋体"/>
          <w:spacing w:val="-14"/>
          <w:highlight w:val="none"/>
        </w:rPr>
        <w:t xml:space="preserve">达 </w:t>
      </w:r>
      <w:r>
        <w:rPr>
          <w:rFonts w:hint="eastAsia"/>
          <w:spacing w:val="-3"/>
          <w:highlight w:val="none"/>
          <w:lang w:val="en-US" w:eastAsia="zh-CN"/>
        </w:rPr>
        <w:t>15000</w:t>
      </w:r>
      <w:r>
        <w:rPr>
          <w:rFonts w:ascii="Times New Roman" w:hAnsi="Times New Roman" w:eastAsia="宋体"/>
          <w:spacing w:val="-12"/>
          <w:highlight w:val="none"/>
        </w:rPr>
        <w:t>辆次</w:t>
      </w:r>
      <w:r>
        <w:rPr>
          <w:rFonts w:ascii="Times New Roman" w:hAnsi="Times New Roman" w:eastAsia="宋体"/>
          <w:highlight w:val="none"/>
        </w:rPr>
        <w:t>（</w:t>
      </w:r>
      <w:r>
        <w:rPr>
          <w:rFonts w:hint="eastAsia"/>
          <w:highlight w:val="none"/>
          <w:lang w:val="en-US" w:eastAsia="zh-CN"/>
        </w:rPr>
        <w:t>50</w:t>
      </w:r>
      <w:r>
        <w:rPr>
          <w:rFonts w:ascii="Times New Roman" w:hAnsi="Times New Roman" w:eastAsia="宋体"/>
          <w:highlight w:val="none"/>
        </w:rPr>
        <w:t>辆次/天</w:t>
      </w:r>
      <w:r>
        <w:rPr>
          <w:rFonts w:ascii="Times New Roman" w:hAnsi="Times New Roman" w:eastAsia="宋体"/>
          <w:spacing w:val="-24"/>
          <w:highlight w:val="none"/>
        </w:rPr>
        <w:t>），</w:t>
      </w:r>
      <w:r>
        <w:rPr>
          <w:rFonts w:ascii="Times New Roman" w:hAnsi="Times New Roman" w:eastAsia="宋体"/>
          <w:spacing w:val="-20"/>
          <w:highlight w:val="none"/>
        </w:rPr>
        <w:t xml:space="preserve">进出 </w:t>
      </w:r>
      <w:r>
        <w:rPr>
          <w:rFonts w:hint="eastAsia"/>
          <w:highlight w:val="none"/>
          <w:lang w:val="en-US" w:eastAsia="zh-CN"/>
        </w:rPr>
        <w:t>40</w:t>
      </w:r>
      <w:r>
        <w:rPr>
          <w:rFonts w:ascii="Times New Roman" w:hAnsi="Times New Roman" w:eastAsia="宋体"/>
          <w:spacing w:val="-6"/>
          <w:highlight w:val="none"/>
        </w:rPr>
        <w:t>吨自卸汽车满载时重约</w:t>
      </w:r>
      <w:r>
        <w:rPr>
          <w:rFonts w:hint="eastAsia"/>
          <w:highlight w:val="none"/>
          <w:lang w:val="en-US" w:eastAsia="zh-CN"/>
        </w:rPr>
        <w:t>55</w:t>
      </w:r>
      <w:r>
        <w:rPr>
          <w:rFonts w:ascii="Times New Roman" w:hAnsi="Times New Roman" w:eastAsia="宋体"/>
          <w:spacing w:val="-13"/>
          <w:highlight w:val="none"/>
        </w:rPr>
        <w:t>吨，空载时以</w:t>
      </w:r>
      <w:r>
        <w:rPr>
          <w:rFonts w:ascii="Times New Roman" w:hAnsi="Times New Roman" w:eastAsia="宋体"/>
          <w:highlight w:val="none"/>
        </w:rPr>
        <w:t>15</w:t>
      </w:r>
      <w:r>
        <w:rPr>
          <w:rFonts w:ascii="Times New Roman" w:hAnsi="Times New Roman" w:eastAsia="宋体"/>
          <w:spacing w:val="-6"/>
          <w:highlight w:val="none"/>
        </w:rPr>
        <w:t>吨计， 汽车在矿区行驶速度按</w:t>
      </w:r>
      <w:r>
        <w:rPr>
          <w:rFonts w:ascii="Times New Roman" w:hAnsi="Times New Roman" w:eastAsia="宋体"/>
          <w:highlight w:val="none"/>
        </w:rPr>
        <w:t xml:space="preserve">10km/h </w:t>
      </w:r>
      <w:r>
        <w:rPr>
          <w:rFonts w:ascii="Times New Roman" w:hAnsi="Times New Roman" w:eastAsia="宋体"/>
          <w:spacing w:val="-12"/>
          <w:highlight w:val="none"/>
        </w:rPr>
        <w:t>计，露天采场到破碎场距离为</w:t>
      </w:r>
      <w:r>
        <w:rPr>
          <w:rFonts w:hint="eastAsia"/>
          <w:spacing w:val="-12"/>
          <w:highlight w:val="none"/>
          <w:lang w:val="en-US" w:eastAsia="zh-CN"/>
        </w:rPr>
        <w:t>460</w:t>
      </w:r>
      <w:r>
        <w:rPr>
          <w:rFonts w:ascii="Times New Roman" w:hAnsi="Times New Roman" w:eastAsia="宋体"/>
          <w:spacing w:val="-12"/>
          <w:highlight w:val="none"/>
        </w:rPr>
        <w:t>m</w:t>
      </w:r>
      <w:r>
        <w:rPr>
          <w:rFonts w:ascii="Times New Roman" w:hAnsi="Times New Roman" w:eastAsia="宋体"/>
          <w:spacing w:val="-3"/>
          <w:highlight w:val="none"/>
        </w:rPr>
        <w:t>，破碎场出矿</w:t>
      </w:r>
      <w:r>
        <w:rPr>
          <w:rFonts w:ascii="Times New Roman" w:hAnsi="Times New Roman" w:eastAsia="宋体"/>
          <w:spacing w:val="-14"/>
          <w:highlight w:val="none"/>
        </w:rPr>
        <w:t xml:space="preserve">区道路约 </w:t>
      </w:r>
      <w:r>
        <w:rPr>
          <w:rFonts w:ascii="Times New Roman" w:hAnsi="Times New Roman" w:eastAsia="宋体"/>
          <w:spacing w:val="-10"/>
          <w:highlight w:val="none"/>
        </w:rPr>
        <w:t>35</w:t>
      </w:r>
      <w:r>
        <w:rPr>
          <w:rFonts w:hint="eastAsia"/>
          <w:spacing w:val="-10"/>
          <w:highlight w:val="none"/>
          <w:lang w:val="en-US" w:eastAsia="zh-CN"/>
        </w:rPr>
        <w:t>0</w:t>
      </w:r>
      <w:r>
        <w:rPr>
          <w:rFonts w:ascii="Times New Roman" w:hAnsi="Times New Roman" w:eastAsia="宋体"/>
          <w:spacing w:val="-10"/>
          <w:highlight w:val="none"/>
        </w:rPr>
        <w:t>m</w:t>
      </w:r>
      <w:r>
        <w:rPr>
          <w:rFonts w:ascii="Times New Roman" w:hAnsi="Times New Roman" w:eastAsia="宋体"/>
          <w:spacing w:val="-7"/>
          <w:highlight w:val="none"/>
        </w:rPr>
        <w:t>，经计算矿区内汽车道路扬尘产生量约</w:t>
      </w:r>
      <w:r>
        <w:rPr>
          <w:rFonts w:hint="eastAsia"/>
          <w:spacing w:val="-6"/>
          <w:highlight w:val="none"/>
          <w:lang w:val="en-US" w:eastAsia="zh-CN"/>
        </w:rPr>
        <w:t>1.7</w:t>
      </w:r>
      <w:r>
        <w:rPr>
          <w:rFonts w:ascii="Times New Roman" w:hAnsi="Times New Roman" w:eastAsia="宋体"/>
          <w:spacing w:val="-6"/>
          <w:highlight w:val="none"/>
        </w:rPr>
        <w:t>t/a</w:t>
      </w:r>
      <w:r>
        <w:rPr>
          <w:rFonts w:ascii="Times New Roman" w:hAnsi="Times New Roman" w:eastAsia="宋体"/>
          <w:spacing w:val="-2"/>
          <w:highlight w:val="none"/>
        </w:rPr>
        <w:t>，项目配有一辆专</w:t>
      </w:r>
      <w:r>
        <w:rPr>
          <w:rFonts w:ascii="Times New Roman" w:hAnsi="Times New Roman" w:eastAsia="宋体"/>
          <w:spacing w:val="-7"/>
          <w:highlight w:val="none"/>
        </w:rPr>
        <w:t xml:space="preserve">业洒水车在除雨天外均进行 </w:t>
      </w:r>
      <w:r>
        <w:rPr>
          <w:rFonts w:ascii="Times New Roman" w:hAnsi="Times New Roman" w:eastAsia="宋体"/>
          <w:highlight w:val="none"/>
        </w:rPr>
        <w:t>4</w:t>
      </w:r>
      <w:r>
        <w:rPr>
          <w:rFonts w:ascii="Times New Roman" w:hAnsi="Times New Roman" w:eastAsia="宋体"/>
          <w:spacing w:val="-11"/>
          <w:highlight w:val="none"/>
        </w:rPr>
        <w:t xml:space="preserve">次以上洒水降尘，可使地面尘土含水率 </w:t>
      </w:r>
      <w:r>
        <w:rPr>
          <w:rFonts w:ascii="Times New Roman" w:hAnsi="Times New Roman" w:eastAsia="宋体"/>
          <w:spacing w:val="-10"/>
          <w:highlight w:val="none"/>
        </w:rPr>
        <w:t>8~10%</w:t>
      </w:r>
      <w:r>
        <w:rPr>
          <w:rFonts w:ascii="Times New Roman" w:hAnsi="Times New Roman" w:eastAsia="宋体"/>
          <w:spacing w:val="-5"/>
          <w:highlight w:val="none"/>
        </w:rPr>
        <w:t>，扬</w:t>
      </w:r>
      <w:r>
        <w:rPr>
          <w:rFonts w:ascii="Times New Roman" w:hAnsi="Times New Roman" w:eastAsia="宋体"/>
          <w:spacing w:val="13"/>
          <w:highlight w:val="none"/>
        </w:rPr>
        <w:t>尘可得到有效控制，除尘效率按</w:t>
      </w:r>
      <w:r>
        <w:rPr>
          <w:rFonts w:hint="eastAsia"/>
          <w:highlight w:val="none"/>
          <w:lang w:val="en-US" w:eastAsia="zh-CN"/>
        </w:rPr>
        <w:t>8</w:t>
      </w:r>
      <w:r>
        <w:rPr>
          <w:rFonts w:ascii="Times New Roman" w:hAnsi="Times New Roman" w:eastAsia="宋体"/>
          <w:highlight w:val="none"/>
        </w:rPr>
        <w:t xml:space="preserve">0% </w:t>
      </w:r>
      <w:r>
        <w:rPr>
          <w:rFonts w:ascii="Times New Roman" w:hAnsi="Times New Roman" w:eastAsia="宋体"/>
          <w:spacing w:val="6"/>
          <w:highlight w:val="none"/>
        </w:rPr>
        <w:t>计，故矿区内汽车道路扬尘排放量为</w:t>
      </w:r>
      <w:r>
        <w:rPr>
          <w:rFonts w:hint="eastAsia"/>
          <w:spacing w:val="6"/>
          <w:highlight w:val="none"/>
          <w:lang w:val="en-US" w:eastAsia="zh-CN"/>
        </w:rPr>
        <w:t>0.34</w:t>
      </w:r>
      <w:r>
        <w:rPr>
          <w:rFonts w:ascii="Times New Roman" w:hAnsi="Times New Roman" w:eastAsia="宋体"/>
          <w:spacing w:val="6"/>
          <w:highlight w:val="none"/>
        </w:rPr>
        <w:t>t/a</w:t>
      </w:r>
      <w:r>
        <w:rPr>
          <w:highlight w:val="none"/>
        </w:rPr>
        <w:t>。</w:t>
      </w:r>
    </w:p>
    <w:p>
      <w:pPr>
        <w:ind w:firstLine="480"/>
        <w:rPr>
          <w:rFonts w:hint="eastAsia" w:eastAsia="宋体"/>
          <w:highlight w:val="none"/>
          <w:lang w:eastAsia="zh-CN"/>
        </w:rPr>
      </w:pPr>
      <w:r>
        <w:rPr>
          <w:rFonts w:hint="eastAsia"/>
          <w:highlight w:val="none"/>
          <w:lang w:val="en-US" w:eastAsia="zh-CN"/>
        </w:rPr>
        <w:t>4、</w:t>
      </w:r>
      <w:r>
        <w:rPr>
          <w:rFonts w:hint="eastAsia"/>
          <w:highlight w:val="none"/>
          <w:lang w:eastAsia="zh-CN"/>
        </w:rPr>
        <w:t>排土场粉尘</w:t>
      </w:r>
    </w:p>
    <w:p>
      <w:pPr>
        <w:pStyle w:val="154"/>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hint="eastAsia"/>
          <w:color w:val="auto"/>
          <w:sz w:val="24"/>
          <w:szCs w:val="24"/>
          <w:highlight w:val="none"/>
        </w:rPr>
        <w:t>项目</w:t>
      </w:r>
      <w:r>
        <w:rPr>
          <w:rFonts w:hint="eastAsia"/>
          <w:color w:val="auto"/>
          <w:sz w:val="24"/>
          <w:szCs w:val="24"/>
          <w:highlight w:val="none"/>
          <w:lang w:eastAsia="zh-CN"/>
        </w:rPr>
        <w:t>排土场占地</w:t>
      </w:r>
      <w:r>
        <w:rPr>
          <w:rFonts w:hint="eastAsia"/>
          <w:color w:val="auto"/>
          <w:sz w:val="24"/>
          <w:szCs w:val="24"/>
          <w:highlight w:val="none"/>
        </w:rPr>
        <w:t>面积为</w:t>
      </w:r>
      <w:r>
        <w:rPr>
          <w:rFonts w:hint="eastAsia"/>
          <w:color w:val="auto"/>
          <w:sz w:val="24"/>
          <w:szCs w:val="24"/>
          <w:highlight w:val="none"/>
          <w:lang w:val="en-US" w:eastAsia="zh-CN"/>
        </w:rPr>
        <w:t>16</w:t>
      </w:r>
      <w:r>
        <w:rPr>
          <w:rFonts w:hint="eastAsia"/>
          <w:color w:val="auto"/>
          <w:sz w:val="24"/>
          <w:szCs w:val="24"/>
          <w:highlight w:val="none"/>
        </w:rPr>
        <w:t>00m</w:t>
      </w:r>
      <w:r>
        <w:rPr>
          <w:rFonts w:hint="eastAsia"/>
          <w:color w:val="auto"/>
          <w:sz w:val="24"/>
          <w:szCs w:val="24"/>
          <w:highlight w:val="none"/>
          <w:vertAlign w:val="superscript"/>
        </w:rPr>
        <w:t>2</w:t>
      </w:r>
      <w:r>
        <w:rPr>
          <w:rFonts w:hint="eastAsia"/>
          <w:color w:val="auto"/>
          <w:sz w:val="24"/>
          <w:szCs w:val="24"/>
          <w:highlight w:val="none"/>
        </w:rPr>
        <w:t>，</w:t>
      </w:r>
      <w:r>
        <w:rPr>
          <w:rFonts w:hint="eastAsia"/>
          <w:color w:val="auto"/>
          <w:sz w:val="24"/>
          <w:szCs w:val="24"/>
          <w:highlight w:val="none"/>
          <w:lang w:eastAsia="zh-CN"/>
        </w:rPr>
        <w:t>废土石</w:t>
      </w:r>
      <w:r>
        <w:rPr>
          <w:rFonts w:hint="eastAsia"/>
          <w:color w:val="auto"/>
          <w:sz w:val="24"/>
          <w:szCs w:val="24"/>
          <w:highlight w:val="none"/>
        </w:rPr>
        <w:t>在堆放过程中，由于风力的影响产生少量的风力扬尘，项目原料堆场粉尘采用西安冶金建筑学院的起尘量推荐公式计算</w:t>
      </w:r>
      <w:r>
        <w:rPr>
          <w:rFonts w:hint="eastAsia"/>
          <w:color w:val="auto"/>
          <w:sz w:val="24"/>
          <w:szCs w:val="24"/>
          <w:highlight w:val="none"/>
          <w:lang w:eastAsia="zh-CN"/>
        </w:rPr>
        <w:t>，</w:t>
      </w:r>
      <w:r>
        <w:rPr>
          <w:color w:val="auto"/>
          <w:sz w:val="24"/>
          <w:szCs w:val="24"/>
          <w:highlight w:val="none"/>
        </w:rPr>
        <w:t>公式如下：</w:t>
      </w:r>
    </w:p>
    <w:p>
      <w:pPr>
        <w:pStyle w:val="154"/>
        <w:keepNext w:val="0"/>
        <w:keepLines w:val="0"/>
        <w:pageBreakBefore w:val="0"/>
        <w:kinsoku/>
        <w:wordWrap/>
        <w:overflowPunct/>
        <w:topLinePunct w:val="0"/>
        <w:autoSpaceDE/>
        <w:autoSpaceDN/>
        <w:bidi w:val="0"/>
        <w:adjustRightInd/>
        <w:snapToGrid/>
        <w:spacing w:line="360" w:lineRule="auto"/>
        <w:ind w:firstLine="480" w:firstLineChars="200"/>
        <w:jc w:val="center"/>
        <w:textAlignment w:val="auto"/>
        <w:rPr>
          <w:rFonts w:ascii="Times New Roman" w:hAnsi="Times New Roman"/>
          <w:color w:val="auto"/>
          <w:sz w:val="24"/>
          <w:szCs w:val="24"/>
          <w:highlight w:val="none"/>
        </w:rPr>
      </w:pPr>
      <w:r>
        <w:rPr>
          <w:rFonts w:ascii="Times New Roman" w:hAnsi="Times New Roman"/>
          <w:color w:val="auto"/>
          <w:sz w:val="24"/>
          <w:szCs w:val="24"/>
          <w:highlight w:val="none"/>
        </w:rPr>
        <w:t>Q=4.23×10</w:t>
      </w:r>
      <w:r>
        <w:rPr>
          <w:rFonts w:ascii="Times New Roman" w:hAnsi="Times New Roman"/>
          <w:color w:val="auto"/>
          <w:sz w:val="24"/>
          <w:szCs w:val="24"/>
          <w:highlight w:val="none"/>
          <w:vertAlign w:val="superscript"/>
        </w:rPr>
        <w:t>-4</w:t>
      </w:r>
      <w:r>
        <w:rPr>
          <w:rFonts w:ascii="Times New Roman" w:hAnsi="Times New Roman"/>
          <w:color w:val="auto"/>
          <w:sz w:val="24"/>
          <w:szCs w:val="24"/>
          <w:highlight w:val="none"/>
        </w:rPr>
        <w:t>×V</w:t>
      </w:r>
      <w:r>
        <w:rPr>
          <w:rFonts w:ascii="Times New Roman" w:hAnsi="Times New Roman"/>
          <w:color w:val="auto"/>
          <w:sz w:val="24"/>
          <w:szCs w:val="24"/>
          <w:highlight w:val="none"/>
          <w:vertAlign w:val="superscript"/>
        </w:rPr>
        <w:t>4.9</w:t>
      </w:r>
      <w:r>
        <w:rPr>
          <w:rFonts w:ascii="Times New Roman" w:hAnsi="Times New Roman"/>
          <w:color w:val="auto"/>
          <w:sz w:val="24"/>
          <w:szCs w:val="24"/>
          <w:highlight w:val="none"/>
        </w:rPr>
        <w:t>×S</w:t>
      </w:r>
    </w:p>
    <w:p>
      <w:pPr>
        <w:pStyle w:val="154"/>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color w:val="auto"/>
          <w:sz w:val="24"/>
          <w:szCs w:val="24"/>
          <w:highlight w:val="none"/>
        </w:rPr>
        <w:t>式中：</w:t>
      </w:r>
    </w:p>
    <w:p>
      <w:pPr>
        <w:pStyle w:val="154"/>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Q—</w:t>
      </w:r>
      <w:r>
        <w:rPr>
          <w:color w:val="auto"/>
          <w:sz w:val="24"/>
          <w:szCs w:val="24"/>
          <w:highlight w:val="none"/>
        </w:rPr>
        <w:t>物料无组织排放速率，</w:t>
      </w:r>
      <w:r>
        <w:rPr>
          <w:rFonts w:ascii="Times New Roman" w:hAnsi="Times New Roman"/>
          <w:color w:val="auto"/>
          <w:sz w:val="24"/>
          <w:szCs w:val="24"/>
          <w:highlight w:val="none"/>
        </w:rPr>
        <w:t>mg/s</w:t>
      </w:r>
      <w:r>
        <w:rPr>
          <w:color w:val="auto"/>
          <w:sz w:val="24"/>
          <w:szCs w:val="24"/>
          <w:highlight w:val="none"/>
        </w:rPr>
        <w:t>；</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color w:val="auto"/>
          <w:sz w:val="24"/>
          <w:highlight w:val="none"/>
        </w:rPr>
        <w:t>V—当地平均风速，m/s，</w:t>
      </w:r>
      <w:r>
        <w:rPr>
          <w:rFonts w:hint="eastAsia"/>
          <w:color w:val="auto"/>
          <w:sz w:val="24"/>
          <w:highlight w:val="none"/>
          <w:lang w:eastAsia="zh-CN"/>
        </w:rPr>
        <w:t>取值</w:t>
      </w:r>
      <w:r>
        <w:rPr>
          <w:color w:val="auto"/>
          <w:sz w:val="24"/>
          <w:highlight w:val="none"/>
        </w:rPr>
        <w:t>为</w:t>
      </w:r>
      <w:r>
        <w:rPr>
          <w:rFonts w:hint="eastAsia"/>
          <w:color w:val="auto"/>
          <w:sz w:val="24"/>
          <w:highlight w:val="none"/>
          <w:lang w:val="en-US" w:eastAsia="zh-CN"/>
        </w:rPr>
        <w:t>3.1</w:t>
      </w:r>
      <w:r>
        <w:rPr>
          <w:color w:val="auto"/>
          <w:sz w:val="24"/>
          <w:highlight w:val="none"/>
        </w:rPr>
        <w:t>m/s。</w:t>
      </w:r>
    </w:p>
    <w:p>
      <w:pPr>
        <w:pStyle w:val="154"/>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S—</w:t>
      </w:r>
      <w:r>
        <w:rPr>
          <w:color w:val="auto"/>
          <w:sz w:val="24"/>
          <w:szCs w:val="24"/>
          <w:highlight w:val="none"/>
        </w:rPr>
        <w:t>堆场面积，</w:t>
      </w:r>
      <w:r>
        <w:rPr>
          <w:rFonts w:ascii="Times New Roman" w:hAnsi="Times New Roman"/>
          <w:color w:val="auto"/>
          <w:sz w:val="24"/>
          <w:szCs w:val="24"/>
          <w:highlight w:val="none"/>
        </w:rPr>
        <w:t>m</w:t>
      </w:r>
      <w:r>
        <w:rPr>
          <w:rFonts w:ascii="Times New Roman" w:hAnsi="Times New Roman"/>
          <w:color w:val="auto"/>
          <w:sz w:val="24"/>
          <w:szCs w:val="24"/>
          <w:highlight w:val="none"/>
          <w:vertAlign w:val="superscript"/>
        </w:rPr>
        <w:t>2</w:t>
      </w:r>
      <w:r>
        <w:rPr>
          <w:color w:val="auto"/>
          <w:sz w:val="24"/>
          <w:szCs w:val="24"/>
          <w:highlight w:val="none"/>
        </w:rPr>
        <w:t>，项目</w:t>
      </w:r>
      <w:r>
        <w:rPr>
          <w:rFonts w:hint="eastAsia"/>
          <w:color w:val="auto"/>
          <w:sz w:val="24"/>
          <w:szCs w:val="24"/>
          <w:highlight w:val="none"/>
          <w:lang w:eastAsia="zh-CN"/>
        </w:rPr>
        <w:t>原料</w:t>
      </w:r>
      <w:r>
        <w:rPr>
          <w:color w:val="auto"/>
          <w:sz w:val="24"/>
          <w:szCs w:val="24"/>
          <w:highlight w:val="none"/>
        </w:rPr>
        <w:t>堆场面积为</w:t>
      </w:r>
      <w:r>
        <w:rPr>
          <w:rFonts w:hint="eastAsia"/>
          <w:color w:val="auto"/>
          <w:sz w:val="24"/>
          <w:szCs w:val="24"/>
          <w:highlight w:val="none"/>
          <w:lang w:val="en-US" w:eastAsia="zh-CN"/>
        </w:rPr>
        <w:t>1600</w:t>
      </w:r>
      <w:r>
        <w:rPr>
          <w:rFonts w:ascii="Times New Roman" w:hAnsi="Times New Roman"/>
          <w:color w:val="auto"/>
          <w:sz w:val="24"/>
          <w:szCs w:val="24"/>
          <w:highlight w:val="none"/>
        </w:rPr>
        <w:t>m</w:t>
      </w:r>
      <w:r>
        <w:rPr>
          <w:rFonts w:ascii="Times New Roman" w:hAnsi="Times New Roman"/>
          <w:color w:val="auto"/>
          <w:sz w:val="24"/>
          <w:szCs w:val="24"/>
          <w:highlight w:val="none"/>
          <w:vertAlign w:val="superscript"/>
        </w:rPr>
        <w:t>2</w:t>
      </w:r>
      <w:r>
        <w:rPr>
          <w:color w:val="auto"/>
          <w:sz w:val="24"/>
          <w:szCs w:val="24"/>
          <w:highlight w:val="none"/>
        </w:rPr>
        <w:t>。</w:t>
      </w:r>
    </w:p>
    <w:p>
      <w:pPr>
        <w:ind w:firstLine="480"/>
        <w:rPr>
          <w:highlight w:val="none"/>
        </w:rPr>
      </w:pPr>
      <w:r>
        <w:rPr>
          <w:rFonts w:hint="eastAsia"/>
          <w:color w:val="auto"/>
          <w:sz w:val="24"/>
          <w:szCs w:val="24"/>
          <w:highlight w:val="none"/>
          <w:lang w:eastAsia="zh-CN"/>
        </w:rPr>
        <w:t>经计算，项目排土场</w:t>
      </w:r>
      <w:r>
        <w:rPr>
          <w:rFonts w:ascii="Times New Roman" w:hAnsi="Times New Roman" w:eastAsia="宋体"/>
          <w:spacing w:val="-9"/>
          <w:highlight w:val="none"/>
        </w:rPr>
        <w:t>起尘量为</w:t>
      </w:r>
      <w:r>
        <w:rPr>
          <w:rFonts w:hint="eastAsia"/>
          <w:highlight w:val="none"/>
          <w:lang w:val="en-US" w:eastAsia="zh-CN"/>
        </w:rPr>
        <w:t>173.03</w:t>
      </w:r>
      <w:r>
        <w:rPr>
          <w:rFonts w:ascii="Times New Roman" w:hAnsi="Times New Roman" w:eastAsia="宋体"/>
          <w:highlight w:val="none"/>
        </w:rPr>
        <w:t>mg/s</w:t>
      </w:r>
      <w:r>
        <w:rPr>
          <w:rFonts w:ascii="Times New Roman" w:hAnsi="Times New Roman" w:eastAsia="宋体"/>
          <w:spacing w:val="-9"/>
          <w:highlight w:val="none"/>
        </w:rPr>
        <w:t>，年堆放时间为</w:t>
      </w:r>
      <w:r>
        <w:rPr>
          <w:rFonts w:hint="eastAsia"/>
          <w:highlight w:val="none"/>
          <w:lang w:val="en-US" w:eastAsia="zh-CN"/>
        </w:rPr>
        <w:t>365</w:t>
      </w:r>
      <w:r>
        <w:rPr>
          <w:rFonts w:ascii="Times New Roman" w:hAnsi="Times New Roman" w:eastAsia="宋体"/>
          <w:spacing w:val="-19"/>
          <w:highlight w:val="none"/>
        </w:rPr>
        <w:t xml:space="preserve">天，即为 </w:t>
      </w:r>
      <w:r>
        <w:rPr>
          <w:rFonts w:ascii="Times New Roman" w:hAnsi="Times New Roman" w:eastAsia="宋体"/>
          <w:highlight w:val="none"/>
        </w:rPr>
        <w:t>0.0</w:t>
      </w:r>
      <w:r>
        <w:rPr>
          <w:rFonts w:hint="eastAsia"/>
          <w:highlight w:val="none"/>
          <w:lang w:val="en-US" w:eastAsia="zh-CN"/>
        </w:rPr>
        <w:t>9</w:t>
      </w:r>
      <w:r>
        <w:rPr>
          <w:rFonts w:ascii="Times New Roman" w:hAnsi="Times New Roman" w:eastAsia="宋体"/>
          <w:highlight w:val="none"/>
        </w:rPr>
        <w:t>t/a</w:t>
      </w:r>
      <w:r>
        <w:rPr>
          <w:rFonts w:ascii="Times New Roman" w:hAnsi="Times New Roman" w:eastAsia="宋体"/>
          <w:spacing w:val="-7"/>
          <w:highlight w:val="none"/>
        </w:rPr>
        <w:t>，</w:t>
      </w:r>
      <w:r>
        <w:rPr>
          <w:rFonts w:ascii="Times New Roman" w:hAnsi="Times New Roman" w:eastAsia="宋体"/>
          <w:spacing w:val="-4"/>
          <w:highlight w:val="none"/>
        </w:rPr>
        <w:t>项目</w:t>
      </w:r>
      <w:r>
        <w:rPr>
          <w:rFonts w:hint="eastAsia"/>
          <w:spacing w:val="-4"/>
          <w:highlight w:val="none"/>
          <w:lang w:eastAsia="zh-CN"/>
        </w:rPr>
        <w:t>排土场</w:t>
      </w:r>
      <w:r>
        <w:rPr>
          <w:rFonts w:ascii="Times New Roman" w:hAnsi="Times New Roman" w:eastAsia="宋体"/>
          <w:spacing w:val="-4"/>
          <w:highlight w:val="none"/>
        </w:rPr>
        <w:t>采用洒水降尘</w:t>
      </w:r>
      <w:r>
        <w:rPr>
          <w:rFonts w:ascii="Times New Roman" w:hAnsi="Times New Roman" w:eastAsia="宋体"/>
          <w:spacing w:val="-10"/>
          <w:highlight w:val="none"/>
        </w:rPr>
        <w:t>，并设置</w:t>
      </w:r>
      <w:r>
        <w:rPr>
          <w:rFonts w:hint="eastAsia"/>
          <w:spacing w:val="-10"/>
          <w:highlight w:val="none"/>
          <w:lang w:eastAsia="zh-CN"/>
        </w:rPr>
        <w:t>防尘网覆盖</w:t>
      </w:r>
      <w:r>
        <w:rPr>
          <w:rFonts w:ascii="Times New Roman" w:hAnsi="Times New Roman" w:eastAsia="宋体"/>
          <w:spacing w:val="-10"/>
          <w:highlight w:val="none"/>
        </w:rPr>
        <w:t xml:space="preserve">，除尘效率按 </w:t>
      </w:r>
      <w:r>
        <w:rPr>
          <w:rFonts w:ascii="Times New Roman" w:hAnsi="Times New Roman" w:eastAsia="宋体"/>
          <w:spacing w:val="-5"/>
          <w:highlight w:val="none"/>
        </w:rPr>
        <w:t>8</w:t>
      </w:r>
      <w:r>
        <w:rPr>
          <w:rFonts w:hint="eastAsia"/>
          <w:spacing w:val="-5"/>
          <w:highlight w:val="none"/>
          <w:lang w:val="en-US" w:eastAsia="zh-CN"/>
        </w:rPr>
        <w:t>5</w:t>
      </w:r>
      <w:r>
        <w:rPr>
          <w:rFonts w:ascii="Times New Roman" w:hAnsi="Times New Roman" w:eastAsia="宋体"/>
          <w:spacing w:val="-5"/>
          <w:highlight w:val="none"/>
        </w:rPr>
        <w:t>%</w:t>
      </w:r>
      <w:r>
        <w:rPr>
          <w:rFonts w:ascii="Times New Roman" w:hAnsi="Times New Roman" w:eastAsia="宋体"/>
          <w:spacing w:val="-6"/>
          <w:highlight w:val="none"/>
        </w:rPr>
        <w:t>计，则堆场粉尘排放量为</w:t>
      </w:r>
      <w:r>
        <w:rPr>
          <w:rFonts w:hint="eastAsia"/>
          <w:spacing w:val="-6"/>
          <w:highlight w:val="none"/>
          <w:lang w:val="en-US" w:eastAsia="zh-CN"/>
        </w:rPr>
        <w:t>0.0135</w:t>
      </w:r>
      <w:r>
        <w:rPr>
          <w:rFonts w:ascii="Times New Roman" w:hAnsi="Times New Roman" w:eastAsia="宋体"/>
          <w:highlight w:val="none"/>
        </w:rPr>
        <w:t>t/a</w:t>
      </w:r>
      <w:r>
        <w:rPr>
          <w:highlight w:val="none"/>
        </w:rPr>
        <w:t>。</w:t>
      </w:r>
    </w:p>
    <w:p>
      <w:pPr>
        <w:pStyle w:val="17"/>
        <w:ind w:firstLine="480"/>
        <w:rPr>
          <w:rFonts w:hint="eastAsia"/>
          <w:highlight w:val="none"/>
        </w:rPr>
      </w:pPr>
      <w:r>
        <w:rPr>
          <w:rFonts w:ascii="Times New Roman" w:hAnsi="Times New Roman" w:eastAsia="宋体"/>
          <w:highlight w:val="none"/>
        </w:rPr>
        <w:t>项目从矿石开采到石料产出的整个过程中，大气污染物汇总见表</w:t>
      </w:r>
      <w:r>
        <w:rPr>
          <w:rFonts w:hint="eastAsia" w:ascii="Times New Roman" w:hAnsi="Times New Roman"/>
          <w:highlight w:val="none"/>
          <w:lang w:val="en-US" w:eastAsia="zh-CN"/>
        </w:rPr>
        <w:t>3.3</w:t>
      </w:r>
      <w:r>
        <w:rPr>
          <w:rFonts w:ascii="Times New Roman" w:hAnsi="Times New Roman" w:eastAsia="宋体"/>
          <w:highlight w:val="none"/>
        </w:rPr>
        <w:t>-2</w:t>
      </w:r>
      <w:r>
        <w:rPr>
          <w:rFonts w:hint="eastAsia" w:ascii="Times New Roman" w:hAnsi="Times New Roman"/>
          <w:highlight w:val="none"/>
        </w:rPr>
        <w:t>。</w:t>
      </w:r>
    </w:p>
    <w:p>
      <w:pPr>
        <w:pStyle w:val="17"/>
        <w:ind w:firstLine="0" w:firstLineChars="0"/>
        <w:jc w:val="center"/>
        <w:rPr>
          <w:rFonts w:ascii="Times New Roman" w:hAnsi="Times New Roman"/>
          <w:b/>
          <w:bCs/>
          <w:sz w:val="21"/>
          <w:szCs w:val="21"/>
          <w:highlight w:val="none"/>
        </w:rPr>
      </w:pPr>
      <w:r>
        <w:rPr>
          <w:rFonts w:ascii="Times New Roman" w:hAnsi="Times New Roman"/>
          <w:b/>
          <w:bCs/>
          <w:sz w:val="21"/>
          <w:szCs w:val="21"/>
          <w:highlight w:val="none"/>
        </w:rPr>
        <w:t>表</w:t>
      </w:r>
      <w:r>
        <w:rPr>
          <w:rFonts w:hint="eastAsia" w:ascii="Times New Roman" w:hAnsi="Times New Roman"/>
          <w:b/>
          <w:bCs/>
          <w:sz w:val="21"/>
          <w:szCs w:val="21"/>
          <w:highlight w:val="none"/>
          <w:lang w:val="en-US" w:eastAsia="zh-CN"/>
        </w:rPr>
        <w:t>3.3-2</w:t>
      </w:r>
      <w:r>
        <w:rPr>
          <w:rFonts w:hint="eastAsia" w:ascii="Times New Roman" w:hAnsi="Times New Roman"/>
          <w:b/>
          <w:bCs/>
          <w:sz w:val="21"/>
          <w:szCs w:val="21"/>
          <w:highlight w:val="none"/>
        </w:rPr>
        <w:t xml:space="preserve">  </w:t>
      </w:r>
      <w:r>
        <w:rPr>
          <w:rFonts w:hint="eastAsia" w:ascii="Times New Roman" w:hAnsi="Times New Roman"/>
          <w:b/>
          <w:bCs/>
          <w:sz w:val="21"/>
          <w:szCs w:val="21"/>
          <w:highlight w:val="none"/>
          <w:lang w:eastAsia="zh-CN"/>
        </w:rPr>
        <w:t>项目</w:t>
      </w:r>
      <w:r>
        <w:rPr>
          <w:rFonts w:ascii="Times New Roman" w:hAnsi="Times New Roman"/>
          <w:b/>
          <w:bCs/>
          <w:sz w:val="21"/>
          <w:szCs w:val="21"/>
          <w:highlight w:val="none"/>
        </w:rPr>
        <w:t>废气产生及排放情况一览表</w:t>
      </w:r>
    </w:p>
    <w:tbl>
      <w:tblPr>
        <w:tblStyle w:val="29"/>
        <w:tblW w:w="89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528"/>
        <w:gridCol w:w="1280"/>
        <w:gridCol w:w="715"/>
        <w:gridCol w:w="936"/>
        <w:gridCol w:w="2917"/>
        <w:gridCol w:w="1115"/>
        <w:gridCol w:w="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568" w:type="dxa"/>
            <w:shd w:val="clear" w:color="auto" w:fill="auto"/>
            <w:vAlign w:val="center"/>
          </w:tcPr>
          <w:p>
            <w:pPr>
              <w:pStyle w:val="17"/>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序号</w:t>
            </w:r>
          </w:p>
        </w:tc>
        <w:tc>
          <w:tcPr>
            <w:tcW w:w="1808" w:type="dxa"/>
            <w:gridSpan w:val="2"/>
            <w:shd w:val="clear" w:color="auto" w:fill="auto"/>
            <w:vAlign w:val="center"/>
          </w:tcPr>
          <w:p>
            <w:pPr>
              <w:pStyle w:val="17"/>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产生位置</w:t>
            </w:r>
          </w:p>
        </w:tc>
        <w:tc>
          <w:tcPr>
            <w:tcW w:w="715" w:type="dxa"/>
            <w:shd w:val="clear" w:color="auto" w:fill="auto"/>
            <w:vAlign w:val="center"/>
          </w:tcPr>
          <w:p>
            <w:pPr>
              <w:pStyle w:val="17"/>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污染</w:t>
            </w:r>
            <w:r>
              <w:rPr>
                <w:rFonts w:hint="eastAsia" w:ascii="Times New Roman" w:hAnsi="Times New Roman"/>
                <w:b/>
                <w:bCs/>
                <w:color w:val="auto"/>
                <w:sz w:val="21"/>
                <w:szCs w:val="21"/>
                <w:highlight w:val="none"/>
              </w:rPr>
              <w:t>物</w:t>
            </w:r>
          </w:p>
        </w:tc>
        <w:tc>
          <w:tcPr>
            <w:tcW w:w="936" w:type="dxa"/>
            <w:shd w:val="clear" w:color="auto" w:fill="auto"/>
            <w:vAlign w:val="center"/>
          </w:tcPr>
          <w:p>
            <w:pPr>
              <w:pStyle w:val="17"/>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产生量</w:t>
            </w:r>
          </w:p>
        </w:tc>
        <w:tc>
          <w:tcPr>
            <w:tcW w:w="2917" w:type="dxa"/>
            <w:shd w:val="clear" w:color="auto" w:fill="auto"/>
            <w:vAlign w:val="center"/>
          </w:tcPr>
          <w:p>
            <w:pPr>
              <w:pStyle w:val="17"/>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处置措施</w:t>
            </w:r>
          </w:p>
        </w:tc>
        <w:tc>
          <w:tcPr>
            <w:tcW w:w="1115" w:type="dxa"/>
            <w:shd w:val="clear" w:color="auto" w:fill="auto"/>
            <w:vAlign w:val="center"/>
          </w:tcPr>
          <w:p>
            <w:pPr>
              <w:pStyle w:val="17"/>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排放量</w:t>
            </w:r>
          </w:p>
        </w:tc>
        <w:tc>
          <w:tcPr>
            <w:tcW w:w="861" w:type="dxa"/>
            <w:shd w:val="clear" w:color="auto" w:fill="auto"/>
            <w:vAlign w:val="center"/>
          </w:tcPr>
          <w:p>
            <w:pPr>
              <w:pStyle w:val="17"/>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568" w:type="dxa"/>
            <w:vMerge w:val="restart"/>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w:t>
            </w:r>
          </w:p>
        </w:tc>
        <w:tc>
          <w:tcPr>
            <w:tcW w:w="528" w:type="dxa"/>
            <w:vMerge w:val="restart"/>
            <w:shd w:val="clear" w:color="auto" w:fill="auto"/>
            <w:vAlign w:val="center"/>
          </w:tcPr>
          <w:p>
            <w:pPr>
              <w:pStyle w:val="17"/>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采区</w:t>
            </w:r>
          </w:p>
        </w:tc>
        <w:tc>
          <w:tcPr>
            <w:tcW w:w="1280"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钻孔</w:t>
            </w:r>
          </w:p>
        </w:tc>
        <w:tc>
          <w:tcPr>
            <w:tcW w:w="715" w:type="dxa"/>
            <w:vMerge w:val="restart"/>
            <w:shd w:val="clear" w:color="auto" w:fill="auto"/>
            <w:vAlign w:val="center"/>
          </w:tcPr>
          <w:p>
            <w:pPr>
              <w:pStyle w:val="17"/>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粉尘</w:t>
            </w:r>
          </w:p>
        </w:tc>
        <w:tc>
          <w:tcPr>
            <w:tcW w:w="936"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1.2</w:t>
            </w:r>
            <w:r>
              <w:rPr>
                <w:rFonts w:hint="eastAsia" w:ascii="Times New Roman" w:hAnsi="Times New Roman"/>
                <w:color w:val="auto"/>
                <w:sz w:val="21"/>
                <w:szCs w:val="21"/>
                <w:highlight w:val="none"/>
              </w:rPr>
              <w:t>t/a</w:t>
            </w:r>
          </w:p>
        </w:tc>
        <w:tc>
          <w:tcPr>
            <w:tcW w:w="2917"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湿式凿岩钻孔</w:t>
            </w:r>
          </w:p>
        </w:tc>
        <w:tc>
          <w:tcPr>
            <w:tcW w:w="1115"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0.24</w:t>
            </w:r>
            <w:r>
              <w:rPr>
                <w:rFonts w:hint="eastAsia" w:ascii="Times New Roman" w:hAnsi="Times New Roman"/>
                <w:color w:val="auto"/>
                <w:sz w:val="21"/>
                <w:szCs w:val="21"/>
                <w:highlight w:val="none"/>
              </w:rPr>
              <w:t>t/a</w:t>
            </w:r>
          </w:p>
        </w:tc>
        <w:tc>
          <w:tcPr>
            <w:tcW w:w="861" w:type="dxa"/>
            <w:vMerge w:val="restart"/>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568" w:type="dxa"/>
            <w:vMerge w:val="continue"/>
            <w:shd w:val="clear" w:color="auto" w:fill="auto"/>
            <w:vAlign w:val="center"/>
          </w:tcPr>
          <w:p>
            <w:pPr>
              <w:pStyle w:val="17"/>
              <w:ind w:firstLine="0" w:firstLineChars="0"/>
              <w:jc w:val="center"/>
              <w:rPr>
                <w:rFonts w:ascii="Times New Roman" w:hAnsi="Times New Roman"/>
                <w:color w:val="auto"/>
                <w:sz w:val="21"/>
                <w:szCs w:val="21"/>
                <w:highlight w:val="none"/>
              </w:rPr>
            </w:pPr>
          </w:p>
        </w:tc>
        <w:tc>
          <w:tcPr>
            <w:tcW w:w="528" w:type="dxa"/>
            <w:vMerge w:val="continue"/>
            <w:shd w:val="clear" w:color="auto" w:fill="auto"/>
            <w:vAlign w:val="center"/>
          </w:tcPr>
          <w:p>
            <w:pPr>
              <w:pStyle w:val="17"/>
              <w:ind w:firstLine="0" w:firstLineChars="0"/>
              <w:jc w:val="center"/>
              <w:rPr>
                <w:rFonts w:ascii="Times New Roman" w:hAnsi="Times New Roman"/>
                <w:color w:val="auto"/>
                <w:sz w:val="21"/>
                <w:szCs w:val="21"/>
                <w:highlight w:val="none"/>
              </w:rPr>
            </w:pPr>
          </w:p>
        </w:tc>
        <w:tc>
          <w:tcPr>
            <w:tcW w:w="1280"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爆破</w:t>
            </w:r>
          </w:p>
        </w:tc>
        <w:tc>
          <w:tcPr>
            <w:tcW w:w="715" w:type="dxa"/>
            <w:vMerge w:val="continue"/>
            <w:shd w:val="clear" w:color="auto" w:fill="auto"/>
            <w:vAlign w:val="center"/>
          </w:tcPr>
          <w:p>
            <w:pPr>
              <w:pStyle w:val="17"/>
              <w:ind w:firstLine="0" w:firstLineChars="0"/>
              <w:jc w:val="center"/>
              <w:rPr>
                <w:rFonts w:ascii="Times New Roman" w:hAnsi="Times New Roman"/>
                <w:color w:val="auto"/>
                <w:sz w:val="21"/>
                <w:szCs w:val="21"/>
                <w:highlight w:val="none"/>
              </w:rPr>
            </w:pPr>
          </w:p>
        </w:tc>
        <w:tc>
          <w:tcPr>
            <w:tcW w:w="936"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0.336</w:t>
            </w:r>
            <w:r>
              <w:rPr>
                <w:rFonts w:hint="eastAsia" w:ascii="Times New Roman" w:hAnsi="Times New Roman"/>
                <w:color w:val="auto"/>
                <w:sz w:val="21"/>
                <w:szCs w:val="21"/>
                <w:highlight w:val="none"/>
              </w:rPr>
              <w:t>t/a</w:t>
            </w:r>
          </w:p>
        </w:tc>
        <w:tc>
          <w:tcPr>
            <w:tcW w:w="2917" w:type="dxa"/>
            <w:vMerge w:val="restart"/>
            <w:shd w:val="clear" w:color="auto" w:fill="auto"/>
            <w:vAlign w:val="center"/>
          </w:tcPr>
          <w:p>
            <w:pPr>
              <w:pStyle w:val="17"/>
              <w:ind w:firstLine="0" w:firstLineChars="0"/>
              <w:jc w:val="center"/>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rPr>
              <w:t>洒水降尘</w:t>
            </w:r>
          </w:p>
        </w:tc>
        <w:tc>
          <w:tcPr>
            <w:tcW w:w="1115"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0.07</w:t>
            </w:r>
            <w:r>
              <w:rPr>
                <w:rFonts w:hint="eastAsia" w:ascii="Times New Roman" w:hAnsi="Times New Roman"/>
                <w:color w:val="auto"/>
                <w:sz w:val="21"/>
                <w:szCs w:val="21"/>
                <w:highlight w:val="none"/>
              </w:rPr>
              <w:t>t/a</w:t>
            </w:r>
          </w:p>
        </w:tc>
        <w:tc>
          <w:tcPr>
            <w:tcW w:w="861" w:type="dxa"/>
            <w:vMerge w:val="continue"/>
            <w:shd w:val="clear" w:color="auto" w:fill="auto"/>
            <w:vAlign w:val="center"/>
          </w:tcPr>
          <w:p>
            <w:pPr>
              <w:pStyle w:val="17"/>
              <w:ind w:firstLine="0" w:firstLineChars="0"/>
              <w:jc w:val="center"/>
              <w:rPr>
                <w:rFonts w:ascii="Times New Roman" w:hAnsi="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568" w:type="dxa"/>
            <w:vMerge w:val="continue"/>
            <w:shd w:val="clear" w:color="auto" w:fill="auto"/>
            <w:vAlign w:val="center"/>
          </w:tcPr>
          <w:p>
            <w:pPr>
              <w:pStyle w:val="17"/>
              <w:ind w:firstLine="0" w:firstLineChars="0"/>
              <w:jc w:val="center"/>
              <w:rPr>
                <w:rFonts w:ascii="Times New Roman" w:hAnsi="Times New Roman"/>
                <w:color w:val="auto"/>
                <w:sz w:val="21"/>
                <w:szCs w:val="21"/>
                <w:highlight w:val="none"/>
              </w:rPr>
            </w:pPr>
          </w:p>
        </w:tc>
        <w:tc>
          <w:tcPr>
            <w:tcW w:w="528" w:type="dxa"/>
            <w:vMerge w:val="continue"/>
            <w:shd w:val="clear" w:color="auto" w:fill="auto"/>
            <w:vAlign w:val="center"/>
          </w:tcPr>
          <w:p>
            <w:pPr>
              <w:pStyle w:val="17"/>
              <w:ind w:firstLine="0" w:firstLineChars="0"/>
              <w:jc w:val="center"/>
              <w:rPr>
                <w:rFonts w:ascii="Times New Roman" w:hAnsi="Times New Roman"/>
                <w:color w:val="auto"/>
                <w:sz w:val="21"/>
                <w:szCs w:val="21"/>
                <w:highlight w:val="none"/>
              </w:rPr>
            </w:pPr>
          </w:p>
        </w:tc>
        <w:tc>
          <w:tcPr>
            <w:tcW w:w="1280" w:type="dxa"/>
            <w:shd w:val="clear" w:color="auto" w:fill="auto"/>
            <w:vAlign w:val="center"/>
          </w:tcPr>
          <w:p>
            <w:pPr>
              <w:pStyle w:val="17"/>
              <w:ind w:firstLine="0" w:firstLineChars="0"/>
              <w:jc w:val="center"/>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lang w:eastAsia="zh-CN"/>
              </w:rPr>
              <w:t>二次解石</w:t>
            </w:r>
          </w:p>
        </w:tc>
        <w:tc>
          <w:tcPr>
            <w:tcW w:w="715" w:type="dxa"/>
            <w:vMerge w:val="continue"/>
            <w:shd w:val="clear" w:color="auto" w:fill="auto"/>
            <w:vAlign w:val="center"/>
          </w:tcPr>
          <w:p>
            <w:pPr>
              <w:pStyle w:val="17"/>
              <w:ind w:firstLine="0" w:firstLineChars="0"/>
              <w:jc w:val="center"/>
              <w:rPr>
                <w:rFonts w:ascii="Times New Roman" w:hAnsi="Times New Roman"/>
                <w:color w:val="auto"/>
                <w:sz w:val="21"/>
                <w:szCs w:val="21"/>
                <w:highlight w:val="none"/>
              </w:rPr>
            </w:pPr>
          </w:p>
        </w:tc>
        <w:tc>
          <w:tcPr>
            <w:tcW w:w="936"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0.24</w:t>
            </w:r>
            <w:r>
              <w:rPr>
                <w:rFonts w:hint="eastAsia" w:ascii="Times New Roman" w:hAnsi="Times New Roman"/>
                <w:color w:val="auto"/>
                <w:sz w:val="21"/>
                <w:szCs w:val="21"/>
                <w:highlight w:val="none"/>
              </w:rPr>
              <w:t>t/a</w:t>
            </w:r>
          </w:p>
        </w:tc>
        <w:tc>
          <w:tcPr>
            <w:tcW w:w="2917" w:type="dxa"/>
            <w:vMerge w:val="continue"/>
            <w:shd w:val="clear" w:color="auto" w:fill="auto"/>
            <w:vAlign w:val="center"/>
          </w:tcPr>
          <w:p>
            <w:pPr>
              <w:pStyle w:val="17"/>
              <w:ind w:firstLine="0" w:firstLineChars="0"/>
              <w:jc w:val="center"/>
              <w:rPr>
                <w:rFonts w:ascii="Times New Roman" w:hAnsi="Times New Roman"/>
                <w:color w:val="auto"/>
                <w:sz w:val="21"/>
                <w:szCs w:val="21"/>
                <w:highlight w:val="none"/>
              </w:rPr>
            </w:pPr>
          </w:p>
        </w:tc>
        <w:tc>
          <w:tcPr>
            <w:tcW w:w="1115"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0.048</w:t>
            </w:r>
            <w:r>
              <w:rPr>
                <w:rFonts w:hint="eastAsia" w:ascii="Times New Roman" w:hAnsi="Times New Roman"/>
                <w:color w:val="auto"/>
                <w:sz w:val="21"/>
                <w:szCs w:val="21"/>
                <w:highlight w:val="none"/>
              </w:rPr>
              <w:t>t/a</w:t>
            </w:r>
          </w:p>
        </w:tc>
        <w:tc>
          <w:tcPr>
            <w:tcW w:w="861" w:type="dxa"/>
            <w:vMerge w:val="continue"/>
            <w:shd w:val="clear" w:color="auto" w:fill="auto"/>
            <w:vAlign w:val="center"/>
          </w:tcPr>
          <w:p>
            <w:pPr>
              <w:pStyle w:val="17"/>
              <w:ind w:firstLine="0" w:firstLineChars="0"/>
              <w:jc w:val="center"/>
              <w:rPr>
                <w:rFonts w:ascii="Times New Roman" w:hAnsi="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568" w:type="dxa"/>
            <w:vMerge w:val="continue"/>
            <w:shd w:val="clear" w:color="auto" w:fill="auto"/>
            <w:vAlign w:val="center"/>
          </w:tcPr>
          <w:p>
            <w:pPr>
              <w:pStyle w:val="17"/>
              <w:ind w:firstLine="0" w:firstLineChars="0"/>
              <w:jc w:val="center"/>
              <w:rPr>
                <w:rFonts w:ascii="Times New Roman" w:hAnsi="Times New Roman"/>
                <w:color w:val="auto"/>
                <w:sz w:val="21"/>
                <w:szCs w:val="21"/>
                <w:highlight w:val="none"/>
              </w:rPr>
            </w:pPr>
          </w:p>
        </w:tc>
        <w:tc>
          <w:tcPr>
            <w:tcW w:w="528" w:type="dxa"/>
            <w:vMerge w:val="continue"/>
            <w:shd w:val="clear" w:color="auto" w:fill="auto"/>
            <w:vAlign w:val="center"/>
          </w:tcPr>
          <w:p>
            <w:pPr>
              <w:pStyle w:val="17"/>
              <w:ind w:firstLine="0" w:firstLineChars="0"/>
              <w:jc w:val="center"/>
              <w:rPr>
                <w:rFonts w:ascii="Times New Roman" w:hAnsi="Times New Roman"/>
                <w:color w:val="auto"/>
                <w:sz w:val="21"/>
                <w:szCs w:val="21"/>
                <w:highlight w:val="none"/>
              </w:rPr>
            </w:pPr>
          </w:p>
        </w:tc>
        <w:tc>
          <w:tcPr>
            <w:tcW w:w="1280" w:type="dxa"/>
            <w:shd w:val="clear" w:color="auto" w:fill="auto"/>
            <w:vAlign w:val="center"/>
          </w:tcPr>
          <w:p>
            <w:pPr>
              <w:pStyle w:val="17"/>
              <w:ind w:firstLine="0" w:firstLineChars="0"/>
              <w:jc w:val="center"/>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lang w:eastAsia="zh-CN"/>
              </w:rPr>
              <w:t>矿石铲装</w:t>
            </w:r>
          </w:p>
        </w:tc>
        <w:tc>
          <w:tcPr>
            <w:tcW w:w="715" w:type="dxa"/>
            <w:vMerge w:val="continue"/>
            <w:shd w:val="clear" w:color="auto" w:fill="auto"/>
            <w:vAlign w:val="center"/>
          </w:tcPr>
          <w:p>
            <w:pPr>
              <w:pStyle w:val="17"/>
              <w:ind w:firstLine="0" w:firstLineChars="0"/>
              <w:jc w:val="center"/>
              <w:rPr>
                <w:rFonts w:ascii="Times New Roman" w:hAnsi="Times New Roman"/>
                <w:color w:val="auto"/>
                <w:sz w:val="21"/>
                <w:szCs w:val="21"/>
                <w:highlight w:val="none"/>
              </w:rPr>
            </w:pPr>
          </w:p>
        </w:tc>
        <w:tc>
          <w:tcPr>
            <w:tcW w:w="936"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0.75</w:t>
            </w:r>
            <w:r>
              <w:rPr>
                <w:rFonts w:hint="eastAsia" w:ascii="Times New Roman" w:hAnsi="Times New Roman"/>
                <w:color w:val="auto"/>
                <w:sz w:val="21"/>
                <w:szCs w:val="21"/>
                <w:highlight w:val="none"/>
              </w:rPr>
              <w:t>t/a</w:t>
            </w:r>
          </w:p>
        </w:tc>
        <w:tc>
          <w:tcPr>
            <w:tcW w:w="2917" w:type="dxa"/>
            <w:vMerge w:val="continue"/>
            <w:shd w:val="clear" w:color="auto" w:fill="auto"/>
            <w:vAlign w:val="center"/>
          </w:tcPr>
          <w:p>
            <w:pPr>
              <w:pStyle w:val="17"/>
              <w:ind w:firstLine="0" w:firstLineChars="0"/>
              <w:jc w:val="center"/>
              <w:rPr>
                <w:rFonts w:ascii="Times New Roman" w:hAnsi="Times New Roman"/>
                <w:color w:val="auto"/>
                <w:sz w:val="21"/>
                <w:szCs w:val="21"/>
                <w:highlight w:val="none"/>
              </w:rPr>
            </w:pPr>
          </w:p>
        </w:tc>
        <w:tc>
          <w:tcPr>
            <w:tcW w:w="1115"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0.15</w:t>
            </w:r>
            <w:r>
              <w:rPr>
                <w:rFonts w:hint="eastAsia" w:ascii="Times New Roman" w:hAnsi="Times New Roman"/>
                <w:color w:val="auto"/>
                <w:sz w:val="21"/>
                <w:szCs w:val="21"/>
                <w:highlight w:val="none"/>
              </w:rPr>
              <w:t>t/a</w:t>
            </w:r>
          </w:p>
        </w:tc>
        <w:tc>
          <w:tcPr>
            <w:tcW w:w="861" w:type="dxa"/>
            <w:vMerge w:val="continue"/>
            <w:shd w:val="clear" w:color="auto" w:fill="auto"/>
            <w:vAlign w:val="center"/>
          </w:tcPr>
          <w:p>
            <w:pPr>
              <w:pStyle w:val="17"/>
              <w:ind w:firstLine="0" w:firstLineChars="0"/>
              <w:jc w:val="center"/>
              <w:rPr>
                <w:rFonts w:ascii="Times New Roman" w:hAnsi="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568" w:type="dxa"/>
            <w:vMerge w:val="restart"/>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w:t>
            </w:r>
          </w:p>
        </w:tc>
        <w:tc>
          <w:tcPr>
            <w:tcW w:w="528" w:type="dxa"/>
            <w:vMerge w:val="restart"/>
            <w:shd w:val="clear" w:color="auto" w:fill="auto"/>
            <w:vAlign w:val="center"/>
          </w:tcPr>
          <w:p>
            <w:pPr>
              <w:pStyle w:val="17"/>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工业</w:t>
            </w:r>
          </w:p>
          <w:p>
            <w:pPr>
              <w:pStyle w:val="17"/>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场地</w:t>
            </w:r>
          </w:p>
        </w:tc>
        <w:tc>
          <w:tcPr>
            <w:tcW w:w="1280" w:type="dxa"/>
            <w:shd w:val="clear" w:color="auto" w:fill="auto"/>
            <w:vAlign w:val="center"/>
          </w:tcPr>
          <w:p>
            <w:pPr>
              <w:pStyle w:val="17"/>
              <w:ind w:firstLine="0" w:firstLineChars="0"/>
              <w:jc w:val="center"/>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lang w:eastAsia="zh-CN"/>
              </w:rPr>
              <w:t>原料、成品堆场</w:t>
            </w:r>
          </w:p>
        </w:tc>
        <w:tc>
          <w:tcPr>
            <w:tcW w:w="715" w:type="dxa"/>
            <w:vMerge w:val="restart"/>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粉尘</w:t>
            </w:r>
          </w:p>
        </w:tc>
        <w:tc>
          <w:tcPr>
            <w:tcW w:w="936"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0.127</w:t>
            </w:r>
            <w:r>
              <w:rPr>
                <w:rFonts w:hint="eastAsia" w:ascii="Times New Roman" w:hAnsi="Times New Roman"/>
                <w:color w:val="auto"/>
                <w:sz w:val="21"/>
                <w:szCs w:val="21"/>
                <w:highlight w:val="none"/>
              </w:rPr>
              <w:t>t/a</w:t>
            </w:r>
          </w:p>
        </w:tc>
        <w:tc>
          <w:tcPr>
            <w:tcW w:w="2917" w:type="dxa"/>
            <w:shd w:val="clear" w:color="auto" w:fill="auto"/>
            <w:vAlign w:val="center"/>
          </w:tcPr>
          <w:p>
            <w:pPr>
              <w:pStyle w:val="17"/>
              <w:ind w:firstLine="0" w:firstLineChars="0"/>
              <w:jc w:val="center"/>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yellow"/>
                <w:lang w:eastAsia="zh-CN"/>
              </w:rPr>
              <w:t>堆场设置3面围挡，</w:t>
            </w:r>
            <w:r>
              <w:rPr>
                <w:rFonts w:hint="eastAsia" w:ascii="Times New Roman" w:hAnsi="Times New Roman"/>
                <w:color w:val="auto"/>
                <w:sz w:val="21"/>
                <w:szCs w:val="21"/>
                <w:highlight w:val="yellow"/>
                <w:lang w:eastAsia="zh-CN"/>
              </w:rPr>
              <w:t>加盖顶棚</w:t>
            </w:r>
            <w:r>
              <w:rPr>
                <w:rFonts w:hint="eastAsia" w:ascii="Times New Roman" w:hAnsi="Times New Roman" w:eastAsia="宋体"/>
                <w:color w:val="auto"/>
                <w:sz w:val="21"/>
                <w:szCs w:val="21"/>
                <w:highlight w:val="yellow"/>
                <w:lang w:eastAsia="zh-CN"/>
              </w:rPr>
              <w:t>并设置洒水降尘设施</w:t>
            </w:r>
          </w:p>
        </w:tc>
        <w:tc>
          <w:tcPr>
            <w:tcW w:w="1115"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0.013</w:t>
            </w:r>
            <w:r>
              <w:rPr>
                <w:rFonts w:hint="eastAsia" w:ascii="Times New Roman" w:hAnsi="Times New Roman"/>
                <w:color w:val="auto"/>
                <w:sz w:val="21"/>
                <w:szCs w:val="21"/>
                <w:highlight w:val="none"/>
              </w:rPr>
              <w:t>t/a</w:t>
            </w:r>
          </w:p>
        </w:tc>
        <w:tc>
          <w:tcPr>
            <w:tcW w:w="861" w:type="dxa"/>
            <w:shd w:val="clear" w:color="auto" w:fill="auto"/>
            <w:vAlign w:val="center"/>
          </w:tcPr>
          <w:p>
            <w:pPr>
              <w:pStyle w:val="17"/>
              <w:ind w:firstLine="0" w:firstLineChars="0"/>
              <w:jc w:val="center"/>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lang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68" w:type="dxa"/>
            <w:vMerge w:val="continue"/>
            <w:shd w:val="clear" w:color="auto" w:fill="auto"/>
            <w:vAlign w:val="center"/>
          </w:tcPr>
          <w:p>
            <w:pPr>
              <w:pStyle w:val="17"/>
              <w:ind w:firstLine="0" w:firstLineChars="0"/>
              <w:jc w:val="center"/>
              <w:rPr>
                <w:rFonts w:ascii="Times New Roman" w:hAnsi="Times New Roman"/>
                <w:color w:val="auto"/>
                <w:sz w:val="21"/>
                <w:szCs w:val="21"/>
                <w:highlight w:val="none"/>
              </w:rPr>
            </w:pPr>
          </w:p>
        </w:tc>
        <w:tc>
          <w:tcPr>
            <w:tcW w:w="528" w:type="dxa"/>
            <w:vMerge w:val="continue"/>
            <w:shd w:val="clear" w:color="auto" w:fill="auto"/>
            <w:vAlign w:val="center"/>
          </w:tcPr>
          <w:p>
            <w:pPr>
              <w:pStyle w:val="17"/>
              <w:ind w:firstLine="0" w:firstLineChars="0"/>
              <w:jc w:val="center"/>
              <w:rPr>
                <w:rFonts w:ascii="Times New Roman" w:hAnsi="Times New Roman"/>
                <w:color w:val="auto"/>
                <w:sz w:val="21"/>
                <w:szCs w:val="21"/>
                <w:highlight w:val="none"/>
              </w:rPr>
            </w:pPr>
          </w:p>
        </w:tc>
        <w:tc>
          <w:tcPr>
            <w:tcW w:w="1280" w:type="dxa"/>
            <w:shd w:val="clear" w:color="auto" w:fill="auto"/>
            <w:vAlign w:val="center"/>
          </w:tcPr>
          <w:p>
            <w:pPr>
              <w:pStyle w:val="17"/>
              <w:ind w:firstLine="0" w:firstLineChars="0"/>
              <w:jc w:val="center"/>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lang w:eastAsia="zh-CN"/>
              </w:rPr>
              <w:t>给料粉尘</w:t>
            </w:r>
          </w:p>
        </w:tc>
        <w:tc>
          <w:tcPr>
            <w:tcW w:w="715" w:type="dxa"/>
            <w:vMerge w:val="continue"/>
            <w:shd w:val="clear" w:color="auto" w:fill="auto"/>
            <w:vAlign w:val="center"/>
          </w:tcPr>
          <w:p>
            <w:pPr>
              <w:pStyle w:val="17"/>
              <w:ind w:firstLine="0" w:firstLineChars="0"/>
              <w:jc w:val="center"/>
              <w:rPr>
                <w:rFonts w:ascii="Times New Roman" w:hAnsi="Times New Roman"/>
                <w:color w:val="auto"/>
                <w:sz w:val="21"/>
                <w:szCs w:val="21"/>
                <w:highlight w:val="none"/>
              </w:rPr>
            </w:pPr>
          </w:p>
        </w:tc>
        <w:tc>
          <w:tcPr>
            <w:tcW w:w="936"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0.15</w:t>
            </w:r>
            <w:r>
              <w:rPr>
                <w:rFonts w:hint="eastAsia" w:ascii="Times New Roman" w:hAnsi="Times New Roman"/>
                <w:color w:val="auto"/>
                <w:sz w:val="21"/>
                <w:szCs w:val="21"/>
                <w:highlight w:val="none"/>
              </w:rPr>
              <w:t>t/a</w:t>
            </w:r>
          </w:p>
        </w:tc>
        <w:tc>
          <w:tcPr>
            <w:tcW w:w="2917"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进料口处增加喷水设施</w:t>
            </w:r>
          </w:p>
        </w:tc>
        <w:tc>
          <w:tcPr>
            <w:tcW w:w="1115"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0.045</w:t>
            </w:r>
            <w:r>
              <w:rPr>
                <w:rFonts w:hint="eastAsia" w:ascii="Times New Roman" w:hAnsi="Times New Roman"/>
                <w:color w:val="auto"/>
                <w:sz w:val="21"/>
                <w:szCs w:val="21"/>
                <w:highlight w:val="none"/>
              </w:rPr>
              <w:t>t/a</w:t>
            </w:r>
          </w:p>
        </w:tc>
        <w:tc>
          <w:tcPr>
            <w:tcW w:w="861" w:type="dxa"/>
            <w:shd w:val="clear" w:color="auto" w:fill="auto"/>
            <w:vAlign w:val="center"/>
          </w:tcPr>
          <w:p>
            <w:pPr>
              <w:pStyle w:val="17"/>
              <w:ind w:firstLine="0" w:firstLineChars="0"/>
              <w:jc w:val="center"/>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lang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568" w:type="dxa"/>
            <w:vMerge w:val="continue"/>
            <w:shd w:val="clear" w:color="auto" w:fill="auto"/>
            <w:vAlign w:val="center"/>
          </w:tcPr>
          <w:p>
            <w:pPr>
              <w:pStyle w:val="17"/>
              <w:ind w:firstLine="0" w:firstLineChars="0"/>
              <w:jc w:val="center"/>
              <w:rPr>
                <w:color w:val="auto"/>
                <w:highlight w:val="none"/>
              </w:rPr>
            </w:pPr>
          </w:p>
        </w:tc>
        <w:tc>
          <w:tcPr>
            <w:tcW w:w="528" w:type="dxa"/>
            <w:vMerge w:val="continue"/>
            <w:shd w:val="clear" w:color="auto" w:fill="auto"/>
            <w:vAlign w:val="center"/>
          </w:tcPr>
          <w:p>
            <w:pPr>
              <w:pStyle w:val="17"/>
              <w:ind w:firstLine="0" w:firstLineChars="0"/>
              <w:jc w:val="center"/>
              <w:rPr>
                <w:color w:val="auto"/>
                <w:highlight w:val="none"/>
              </w:rPr>
            </w:pPr>
          </w:p>
        </w:tc>
        <w:tc>
          <w:tcPr>
            <w:tcW w:w="1280" w:type="dxa"/>
            <w:vMerge w:val="restart"/>
            <w:shd w:val="clear" w:color="auto" w:fill="auto"/>
            <w:vAlign w:val="center"/>
          </w:tcPr>
          <w:p>
            <w:pPr>
              <w:pStyle w:val="17"/>
              <w:ind w:firstLine="0" w:firstLineChars="0"/>
              <w:jc w:val="center"/>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lang w:eastAsia="zh-CN"/>
              </w:rPr>
              <w:t>粗碎及筛分</w:t>
            </w:r>
          </w:p>
        </w:tc>
        <w:tc>
          <w:tcPr>
            <w:tcW w:w="715" w:type="dxa"/>
            <w:vMerge w:val="continue"/>
            <w:shd w:val="clear" w:color="auto" w:fill="auto"/>
            <w:vAlign w:val="center"/>
          </w:tcPr>
          <w:p>
            <w:pPr>
              <w:pStyle w:val="17"/>
              <w:ind w:firstLine="0" w:firstLineChars="0"/>
              <w:jc w:val="center"/>
              <w:rPr>
                <w:color w:val="auto"/>
                <w:highlight w:val="none"/>
              </w:rPr>
            </w:pPr>
          </w:p>
        </w:tc>
        <w:tc>
          <w:tcPr>
            <w:tcW w:w="936"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3</w:t>
            </w:r>
            <w:r>
              <w:rPr>
                <w:rFonts w:hint="eastAsia" w:ascii="Times New Roman" w:hAnsi="Times New Roman"/>
                <w:color w:val="auto"/>
                <w:sz w:val="21"/>
                <w:szCs w:val="21"/>
                <w:highlight w:val="none"/>
              </w:rPr>
              <w:t>t/a</w:t>
            </w:r>
          </w:p>
        </w:tc>
        <w:tc>
          <w:tcPr>
            <w:tcW w:w="2917" w:type="dxa"/>
            <w:vMerge w:val="restart"/>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封闭围挡+洒水降尘+集气罩+袋式除尘（集气效率90%，除尘率99.9%）+15m高排气筒</w:t>
            </w:r>
          </w:p>
        </w:tc>
        <w:tc>
          <w:tcPr>
            <w:tcW w:w="1115"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0.0027</w:t>
            </w:r>
            <w:r>
              <w:rPr>
                <w:rFonts w:hint="eastAsia" w:ascii="Times New Roman" w:hAnsi="Times New Roman"/>
                <w:color w:val="auto"/>
                <w:sz w:val="21"/>
                <w:szCs w:val="21"/>
                <w:highlight w:val="none"/>
              </w:rPr>
              <w:t>t/a</w:t>
            </w:r>
          </w:p>
        </w:tc>
        <w:tc>
          <w:tcPr>
            <w:tcW w:w="861" w:type="dxa"/>
            <w:shd w:val="clear" w:color="auto" w:fill="auto"/>
            <w:vAlign w:val="center"/>
          </w:tcPr>
          <w:p>
            <w:pPr>
              <w:pStyle w:val="17"/>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568" w:type="dxa"/>
            <w:vMerge w:val="continue"/>
            <w:shd w:val="clear" w:color="auto" w:fill="auto"/>
            <w:vAlign w:val="center"/>
          </w:tcPr>
          <w:p>
            <w:pPr>
              <w:pStyle w:val="17"/>
              <w:ind w:firstLine="0" w:firstLineChars="0"/>
              <w:jc w:val="center"/>
              <w:rPr>
                <w:color w:val="auto"/>
                <w:highlight w:val="none"/>
              </w:rPr>
            </w:pPr>
          </w:p>
        </w:tc>
        <w:tc>
          <w:tcPr>
            <w:tcW w:w="528" w:type="dxa"/>
            <w:vMerge w:val="continue"/>
            <w:shd w:val="clear" w:color="auto" w:fill="auto"/>
            <w:vAlign w:val="center"/>
          </w:tcPr>
          <w:p>
            <w:pPr>
              <w:pStyle w:val="17"/>
              <w:ind w:firstLine="0" w:firstLineChars="0"/>
              <w:jc w:val="center"/>
              <w:rPr>
                <w:color w:val="auto"/>
                <w:highlight w:val="none"/>
              </w:rPr>
            </w:pPr>
          </w:p>
        </w:tc>
        <w:tc>
          <w:tcPr>
            <w:tcW w:w="1280" w:type="dxa"/>
            <w:vMerge w:val="continue"/>
            <w:shd w:val="clear" w:color="auto" w:fill="auto"/>
            <w:vAlign w:val="center"/>
          </w:tcPr>
          <w:p>
            <w:pPr>
              <w:pStyle w:val="17"/>
              <w:ind w:firstLine="0" w:firstLineChars="0"/>
              <w:jc w:val="center"/>
              <w:rPr>
                <w:rFonts w:hint="eastAsia" w:ascii="Times New Roman" w:hAnsi="Times New Roman"/>
                <w:color w:val="auto"/>
                <w:sz w:val="21"/>
                <w:szCs w:val="21"/>
                <w:highlight w:val="none"/>
                <w:lang w:eastAsia="zh-CN"/>
              </w:rPr>
            </w:pPr>
          </w:p>
        </w:tc>
        <w:tc>
          <w:tcPr>
            <w:tcW w:w="715" w:type="dxa"/>
            <w:vMerge w:val="continue"/>
            <w:shd w:val="clear" w:color="auto" w:fill="auto"/>
            <w:vAlign w:val="center"/>
          </w:tcPr>
          <w:p>
            <w:pPr>
              <w:pStyle w:val="17"/>
              <w:ind w:firstLine="0" w:firstLineChars="0"/>
              <w:jc w:val="center"/>
              <w:rPr>
                <w:color w:val="auto"/>
                <w:highlight w:val="none"/>
              </w:rPr>
            </w:pPr>
          </w:p>
        </w:tc>
        <w:tc>
          <w:tcPr>
            <w:tcW w:w="936" w:type="dxa"/>
            <w:shd w:val="clear" w:color="auto" w:fill="auto"/>
            <w:vAlign w:val="center"/>
          </w:tcPr>
          <w:p>
            <w:pPr>
              <w:pStyle w:val="17"/>
              <w:ind w:firstLine="0" w:firstLineChars="0"/>
              <w:jc w:val="center"/>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0.3t/a</w:t>
            </w:r>
          </w:p>
        </w:tc>
        <w:tc>
          <w:tcPr>
            <w:tcW w:w="2917" w:type="dxa"/>
            <w:vMerge w:val="continue"/>
            <w:shd w:val="clear" w:color="auto" w:fill="auto"/>
            <w:vAlign w:val="center"/>
          </w:tcPr>
          <w:p>
            <w:pPr>
              <w:pStyle w:val="17"/>
              <w:ind w:firstLine="0" w:firstLineChars="0"/>
              <w:jc w:val="center"/>
              <w:rPr>
                <w:rFonts w:ascii="Times New Roman" w:hAnsi="Times New Roman"/>
                <w:color w:val="auto"/>
                <w:sz w:val="21"/>
                <w:szCs w:val="21"/>
                <w:highlight w:val="none"/>
              </w:rPr>
            </w:pPr>
          </w:p>
        </w:tc>
        <w:tc>
          <w:tcPr>
            <w:tcW w:w="1115" w:type="dxa"/>
            <w:shd w:val="clear" w:color="auto" w:fill="auto"/>
            <w:vAlign w:val="center"/>
          </w:tcPr>
          <w:p>
            <w:pPr>
              <w:pStyle w:val="17"/>
              <w:ind w:firstLine="0" w:firstLineChars="0"/>
              <w:jc w:val="center"/>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0.03t/a</w:t>
            </w:r>
          </w:p>
        </w:tc>
        <w:tc>
          <w:tcPr>
            <w:tcW w:w="861" w:type="dxa"/>
            <w:shd w:val="clear" w:color="auto" w:fill="auto"/>
            <w:vAlign w:val="center"/>
          </w:tcPr>
          <w:p>
            <w:pPr>
              <w:pStyle w:val="17"/>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568" w:type="dxa"/>
            <w:vMerge w:val="continue"/>
            <w:shd w:val="clear" w:color="auto" w:fill="auto"/>
            <w:vAlign w:val="center"/>
          </w:tcPr>
          <w:p>
            <w:pPr>
              <w:pStyle w:val="17"/>
              <w:ind w:firstLine="0" w:firstLineChars="0"/>
              <w:jc w:val="center"/>
              <w:rPr>
                <w:color w:val="auto"/>
                <w:highlight w:val="none"/>
              </w:rPr>
            </w:pPr>
          </w:p>
        </w:tc>
        <w:tc>
          <w:tcPr>
            <w:tcW w:w="528" w:type="dxa"/>
            <w:vMerge w:val="continue"/>
            <w:shd w:val="clear" w:color="auto" w:fill="auto"/>
            <w:vAlign w:val="center"/>
          </w:tcPr>
          <w:p>
            <w:pPr>
              <w:pStyle w:val="17"/>
              <w:ind w:firstLine="0" w:firstLineChars="0"/>
              <w:jc w:val="center"/>
              <w:rPr>
                <w:color w:val="auto"/>
                <w:highlight w:val="none"/>
              </w:rPr>
            </w:pPr>
          </w:p>
        </w:tc>
        <w:tc>
          <w:tcPr>
            <w:tcW w:w="1280" w:type="dxa"/>
            <w:vMerge w:val="restart"/>
            <w:shd w:val="clear" w:color="auto" w:fill="auto"/>
            <w:vAlign w:val="center"/>
          </w:tcPr>
          <w:p>
            <w:pPr>
              <w:pStyle w:val="17"/>
              <w:ind w:firstLine="0" w:firstLineChars="0"/>
              <w:jc w:val="center"/>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lang w:eastAsia="zh-CN"/>
              </w:rPr>
              <w:t>细碎及筛分</w:t>
            </w:r>
          </w:p>
        </w:tc>
        <w:tc>
          <w:tcPr>
            <w:tcW w:w="715" w:type="dxa"/>
            <w:vMerge w:val="continue"/>
            <w:shd w:val="clear" w:color="auto" w:fill="auto"/>
            <w:vAlign w:val="center"/>
          </w:tcPr>
          <w:p>
            <w:pPr>
              <w:pStyle w:val="17"/>
              <w:ind w:firstLine="0" w:firstLineChars="0"/>
              <w:jc w:val="center"/>
              <w:rPr>
                <w:color w:val="auto"/>
                <w:highlight w:val="none"/>
              </w:rPr>
            </w:pPr>
          </w:p>
        </w:tc>
        <w:tc>
          <w:tcPr>
            <w:tcW w:w="936"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15</w:t>
            </w:r>
            <w:r>
              <w:rPr>
                <w:rFonts w:hint="eastAsia" w:ascii="Times New Roman" w:hAnsi="Times New Roman"/>
                <w:color w:val="auto"/>
                <w:sz w:val="21"/>
                <w:szCs w:val="21"/>
                <w:highlight w:val="none"/>
              </w:rPr>
              <w:t>t/a</w:t>
            </w:r>
          </w:p>
        </w:tc>
        <w:tc>
          <w:tcPr>
            <w:tcW w:w="2917" w:type="dxa"/>
            <w:vMerge w:val="continue"/>
            <w:shd w:val="clear" w:color="auto" w:fill="auto"/>
            <w:vAlign w:val="center"/>
          </w:tcPr>
          <w:p>
            <w:pPr>
              <w:pStyle w:val="17"/>
              <w:ind w:firstLine="0" w:firstLineChars="0"/>
              <w:jc w:val="center"/>
              <w:rPr>
                <w:rFonts w:ascii="Times New Roman" w:hAnsi="Times New Roman"/>
                <w:color w:val="auto"/>
                <w:sz w:val="21"/>
                <w:szCs w:val="21"/>
                <w:highlight w:val="none"/>
              </w:rPr>
            </w:pPr>
          </w:p>
        </w:tc>
        <w:tc>
          <w:tcPr>
            <w:tcW w:w="1115"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0.013</w:t>
            </w:r>
            <w:r>
              <w:rPr>
                <w:rFonts w:hint="eastAsia" w:ascii="Times New Roman" w:hAnsi="Times New Roman"/>
                <w:color w:val="auto"/>
                <w:sz w:val="21"/>
                <w:szCs w:val="21"/>
                <w:highlight w:val="none"/>
              </w:rPr>
              <w:t>t/a</w:t>
            </w:r>
          </w:p>
        </w:tc>
        <w:tc>
          <w:tcPr>
            <w:tcW w:w="861" w:type="dxa"/>
            <w:shd w:val="clear" w:color="auto" w:fill="auto"/>
            <w:vAlign w:val="center"/>
          </w:tcPr>
          <w:p>
            <w:pPr>
              <w:pStyle w:val="17"/>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568" w:type="dxa"/>
            <w:vMerge w:val="continue"/>
            <w:shd w:val="clear" w:color="auto" w:fill="auto"/>
            <w:vAlign w:val="center"/>
          </w:tcPr>
          <w:p>
            <w:pPr>
              <w:pStyle w:val="17"/>
              <w:ind w:firstLine="0" w:firstLineChars="0"/>
              <w:jc w:val="center"/>
              <w:rPr>
                <w:color w:val="auto"/>
                <w:highlight w:val="none"/>
              </w:rPr>
            </w:pPr>
          </w:p>
        </w:tc>
        <w:tc>
          <w:tcPr>
            <w:tcW w:w="528" w:type="dxa"/>
            <w:vMerge w:val="continue"/>
            <w:shd w:val="clear" w:color="auto" w:fill="auto"/>
            <w:vAlign w:val="center"/>
          </w:tcPr>
          <w:p>
            <w:pPr>
              <w:pStyle w:val="17"/>
              <w:ind w:firstLine="0" w:firstLineChars="0"/>
              <w:jc w:val="center"/>
              <w:rPr>
                <w:color w:val="auto"/>
                <w:highlight w:val="none"/>
              </w:rPr>
            </w:pPr>
          </w:p>
        </w:tc>
        <w:tc>
          <w:tcPr>
            <w:tcW w:w="1280" w:type="dxa"/>
            <w:vMerge w:val="continue"/>
            <w:shd w:val="clear" w:color="auto" w:fill="auto"/>
            <w:vAlign w:val="center"/>
          </w:tcPr>
          <w:p>
            <w:pPr>
              <w:pStyle w:val="17"/>
              <w:ind w:firstLine="0" w:firstLineChars="0"/>
              <w:jc w:val="center"/>
              <w:rPr>
                <w:rFonts w:hint="eastAsia" w:ascii="Times New Roman" w:hAnsi="Times New Roman"/>
                <w:color w:val="auto"/>
                <w:sz w:val="21"/>
                <w:szCs w:val="21"/>
                <w:highlight w:val="none"/>
                <w:lang w:eastAsia="zh-CN"/>
              </w:rPr>
            </w:pPr>
          </w:p>
        </w:tc>
        <w:tc>
          <w:tcPr>
            <w:tcW w:w="715" w:type="dxa"/>
            <w:vMerge w:val="continue"/>
            <w:shd w:val="clear" w:color="auto" w:fill="auto"/>
            <w:vAlign w:val="center"/>
          </w:tcPr>
          <w:p>
            <w:pPr>
              <w:pStyle w:val="17"/>
              <w:ind w:firstLine="0" w:firstLineChars="0"/>
              <w:jc w:val="center"/>
              <w:rPr>
                <w:color w:val="auto"/>
                <w:highlight w:val="none"/>
              </w:rPr>
            </w:pPr>
          </w:p>
        </w:tc>
        <w:tc>
          <w:tcPr>
            <w:tcW w:w="936" w:type="dxa"/>
            <w:shd w:val="clear" w:color="auto" w:fill="auto"/>
            <w:vAlign w:val="center"/>
          </w:tcPr>
          <w:p>
            <w:pPr>
              <w:pStyle w:val="17"/>
              <w:ind w:firstLine="0" w:firstLineChars="0"/>
              <w:jc w:val="center"/>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1.5t/a</w:t>
            </w:r>
          </w:p>
        </w:tc>
        <w:tc>
          <w:tcPr>
            <w:tcW w:w="2917" w:type="dxa"/>
            <w:vMerge w:val="continue"/>
            <w:shd w:val="clear" w:color="auto" w:fill="auto"/>
            <w:vAlign w:val="center"/>
          </w:tcPr>
          <w:p>
            <w:pPr>
              <w:pStyle w:val="17"/>
              <w:ind w:firstLine="0" w:firstLineChars="0"/>
              <w:jc w:val="center"/>
              <w:rPr>
                <w:rFonts w:ascii="Times New Roman" w:hAnsi="Times New Roman"/>
                <w:color w:val="auto"/>
                <w:sz w:val="21"/>
                <w:szCs w:val="21"/>
                <w:highlight w:val="none"/>
              </w:rPr>
            </w:pPr>
          </w:p>
        </w:tc>
        <w:tc>
          <w:tcPr>
            <w:tcW w:w="1115" w:type="dxa"/>
            <w:shd w:val="clear" w:color="auto" w:fill="auto"/>
            <w:vAlign w:val="center"/>
          </w:tcPr>
          <w:p>
            <w:pPr>
              <w:pStyle w:val="17"/>
              <w:ind w:firstLine="0" w:firstLineChars="0"/>
              <w:jc w:val="center"/>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0.15t/a</w:t>
            </w:r>
          </w:p>
        </w:tc>
        <w:tc>
          <w:tcPr>
            <w:tcW w:w="861" w:type="dxa"/>
            <w:shd w:val="clear" w:color="auto" w:fill="auto"/>
            <w:vAlign w:val="center"/>
          </w:tcPr>
          <w:p>
            <w:pPr>
              <w:pStyle w:val="17"/>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568" w:type="dxa"/>
            <w:vMerge w:val="continue"/>
            <w:shd w:val="clear" w:color="auto" w:fill="auto"/>
            <w:vAlign w:val="center"/>
          </w:tcPr>
          <w:p>
            <w:pPr>
              <w:pStyle w:val="17"/>
              <w:ind w:firstLine="0" w:firstLineChars="0"/>
              <w:jc w:val="center"/>
              <w:rPr>
                <w:color w:val="auto"/>
                <w:highlight w:val="none"/>
              </w:rPr>
            </w:pPr>
          </w:p>
        </w:tc>
        <w:tc>
          <w:tcPr>
            <w:tcW w:w="528" w:type="dxa"/>
            <w:vMerge w:val="continue"/>
            <w:shd w:val="clear" w:color="auto" w:fill="auto"/>
            <w:vAlign w:val="center"/>
          </w:tcPr>
          <w:p>
            <w:pPr>
              <w:pStyle w:val="17"/>
              <w:ind w:firstLine="0" w:firstLineChars="0"/>
              <w:jc w:val="center"/>
              <w:rPr>
                <w:color w:val="auto"/>
                <w:highlight w:val="none"/>
              </w:rPr>
            </w:pPr>
          </w:p>
        </w:tc>
        <w:tc>
          <w:tcPr>
            <w:tcW w:w="1280" w:type="dxa"/>
            <w:shd w:val="clear" w:color="auto" w:fill="auto"/>
            <w:vAlign w:val="center"/>
          </w:tcPr>
          <w:p>
            <w:pPr>
              <w:pStyle w:val="17"/>
              <w:ind w:firstLine="0" w:firstLineChars="0"/>
              <w:jc w:val="center"/>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lang w:eastAsia="zh-CN"/>
              </w:rPr>
              <w:t>皮带输送</w:t>
            </w:r>
          </w:p>
        </w:tc>
        <w:tc>
          <w:tcPr>
            <w:tcW w:w="715" w:type="dxa"/>
            <w:vMerge w:val="continue"/>
            <w:shd w:val="clear" w:color="auto" w:fill="auto"/>
            <w:vAlign w:val="center"/>
          </w:tcPr>
          <w:p>
            <w:pPr>
              <w:pStyle w:val="17"/>
              <w:ind w:firstLine="0" w:firstLineChars="0"/>
              <w:jc w:val="center"/>
              <w:rPr>
                <w:color w:val="auto"/>
                <w:highlight w:val="none"/>
              </w:rPr>
            </w:pPr>
          </w:p>
        </w:tc>
        <w:tc>
          <w:tcPr>
            <w:tcW w:w="936" w:type="dxa"/>
            <w:shd w:val="clear" w:color="auto" w:fill="auto"/>
            <w:vAlign w:val="center"/>
          </w:tcPr>
          <w:p>
            <w:pPr>
              <w:pStyle w:val="17"/>
              <w:ind w:firstLine="0" w:firstLineChars="0"/>
              <w:jc w:val="center"/>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3t/a</w:t>
            </w:r>
          </w:p>
        </w:tc>
        <w:tc>
          <w:tcPr>
            <w:tcW w:w="2917"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原料转运和运输采取密闭传送措施</w:t>
            </w:r>
          </w:p>
        </w:tc>
        <w:tc>
          <w:tcPr>
            <w:tcW w:w="1115" w:type="dxa"/>
            <w:shd w:val="clear" w:color="auto" w:fill="auto"/>
            <w:vAlign w:val="center"/>
          </w:tcPr>
          <w:p>
            <w:pPr>
              <w:pStyle w:val="17"/>
              <w:ind w:firstLine="0" w:firstLineChars="0"/>
              <w:jc w:val="center"/>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0.15t/a</w:t>
            </w:r>
          </w:p>
        </w:tc>
        <w:tc>
          <w:tcPr>
            <w:tcW w:w="861" w:type="dxa"/>
            <w:shd w:val="clear" w:color="auto" w:fill="auto"/>
            <w:vAlign w:val="center"/>
          </w:tcPr>
          <w:p>
            <w:pPr>
              <w:pStyle w:val="17"/>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568" w:type="dxa"/>
            <w:shd w:val="clear" w:color="auto" w:fill="auto"/>
            <w:vAlign w:val="center"/>
          </w:tcPr>
          <w:p>
            <w:pPr>
              <w:pStyle w:val="17"/>
              <w:ind w:firstLine="0" w:firstLineChars="0"/>
              <w:jc w:val="center"/>
              <w:rPr>
                <w:rFonts w:hint="eastAsia" w:eastAsia="宋体"/>
                <w:color w:val="auto"/>
                <w:highlight w:val="none"/>
                <w:lang w:val="en-US" w:eastAsia="zh-CN"/>
              </w:rPr>
            </w:pPr>
            <w:r>
              <w:rPr>
                <w:rFonts w:hint="eastAsia"/>
                <w:color w:val="auto"/>
                <w:highlight w:val="none"/>
                <w:lang w:val="en-US" w:eastAsia="zh-CN"/>
              </w:rPr>
              <w:t>3</w:t>
            </w:r>
          </w:p>
        </w:tc>
        <w:tc>
          <w:tcPr>
            <w:tcW w:w="1808" w:type="dxa"/>
            <w:gridSpan w:val="2"/>
            <w:shd w:val="clear" w:color="auto" w:fill="auto"/>
            <w:vAlign w:val="center"/>
          </w:tcPr>
          <w:p>
            <w:pPr>
              <w:pStyle w:val="17"/>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道路运输</w:t>
            </w:r>
          </w:p>
        </w:tc>
        <w:tc>
          <w:tcPr>
            <w:tcW w:w="715" w:type="dxa"/>
            <w:shd w:val="clear" w:color="auto" w:fill="auto"/>
            <w:vAlign w:val="center"/>
          </w:tcPr>
          <w:p>
            <w:pPr>
              <w:pStyle w:val="17"/>
              <w:ind w:firstLine="0" w:firstLineChars="0"/>
              <w:jc w:val="center"/>
              <w:rPr>
                <w:rFonts w:hint="eastAsia" w:eastAsia="宋体"/>
                <w:color w:val="auto"/>
                <w:highlight w:val="none"/>
                <w:lang w:eastAsia="zh-CN"/>
              </w:rPr>
            </w:pPr>
            <w:r>
              <w:rPr>
                <w:rFonts w:hint="eastAsia"/>
                <w:color w:val="auto"/>
                <w:highlight w:val="none"/>
                <w:lang w:eastAsia="zh-CN"/>
              </w:rPr>
              <w:t>粉尘</w:t>
            </w:r>
          </w:p>
        </w:tc>
        <w:tc>
          <w:tcPr>
            <w:tcW w:w="936" w:type="dxa"/>
            <w:shd w:val="clear" w:color="auto" w:fill="auto"/>
            <w:vAlign w:val="center"/>
          </w:tcPr>
          <w:p>
            <w:pPr>
              <w:pStyle w:val="17"/>
              <w:ind w:firstLine="0" w:firstLineChars="0"/>
              <w:jc w:val="center"/>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1.7t/a</w:t>
            </w:r>
          </w:p>
        </w:tc>
        <w:tc>
          <w:tcPr>
            <w:tcW w:w="2917" w:type="dxa"/>
            <w:shd w:val="clear" w:color="auto" w:fill="auto"/>
            <w:vAlign w:val="center"/>
          </w:tcPr>
          <w:p>
            <w:pPr>
              <w:pStyle w:val="17"/>
              <w:ind w:firstLine="0" w:firstLineChars="0"/>
              <w:jc w:val="center"/>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lang w:eastAsia="zh-CN"/>
              </w:rPr>
              <w:t>洒水降尘</w:t>
            </w:r>
          </w:p>
        </w:tc>
        <w:tc>
          <w:tcPr>
            <w:tcW w:w="1115" w:type="dxa"/>
            <w:shd w:val="clear" w:color="auto" w:fill="auto"/>
            <w:vAlign w:val="center"/>
          </w:tcPr>
          <w:p>
            <w:pPr>
              <w:pStyle w:val="17"/>
              <w:ind w:firstLine="0" w:firstLineChars="0"/>
              <w:jc w:val="center"/>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0.34</w:t>
            </w:r>
          </w:p>
        </w:tc>
        <w:tc>
          <w:tcPr>
            <w:tcW w:w="861" w:type="dxa"/>
            <w:shd w:val="clear" w:color="auto" w:fill="auto"/>
            <w:vAlign w:val="center"/>
          </w:tcPr>
          <w:p>
            <w:pPr>
              <w:pStyle w:val="17"/>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568" w:type="dxa"/>
            <w:shd w:val="clear" w:color="auto" w:fill="auto"/>
            <w:vAlign w:val="center"/>
          </w:tcPr>
          <w:p>
            <w:pPr>
              <w:pStyle w:val="17"/>
              <w:ind w:firstLine="0" w:firstLineChars="0"/>
              <w:jc w:val="center"/>
              <w:rPr>
                <w:rFonts w:hint="eastAsia" w:eastAsia="宋体"/>
                <w:color w:val="auto"/>
                <w:highlight w:val="none"/>
                <w:lang w:val="en-US" w:eastAsia="zh-CN"/>
              </w:rPr>
            </w:pPr>
            <w:r>
              <w:rPr>
                <w:rFonts w:hint="eastAsia"/>
                <w:color w:val="auto"/>
                <w:highlight w:val="none"/>
                <w:lang w:val="en-US" w:eastAsia="zh-CN"/>
              </w:rPr>
              <w:t>4</w:t>
            </w:r>
          </w:p>
        </w:tc>
        <w:tc>
          <w:tcPr>
            <w:tcW w:w="1808" w:type="dxa"/>
            <w:gridSpan w:val="2"/>
            <w:shd w:val="clear" w:color="auto" w:fill="auto"/>
            <w:vAlign w:val="center"/>
          </w:tcPr>
          <w:p>
            <w:pPr>
              <w:pStyle w:val="17"/>
              <w:ind w:firstLine="0" w:firstLineChars="0"/>
              <w:jc w:val="center"/>
              <w:rPr>
                <w:rFonts w:hint="eastAsia" w:ascii="Times New Roman" w:hAnsi="Times New Roman"/>
                <w:color w:val="auto"/>
                <w:sz w:val="21"/>
                <w:szCs w:val="21"/>
                <w:highlight w:val="none"/>
                <w:lang w:eastAsia="zh-CN"/>
              </w:rPr>
            </w:pPr>
            <w:r>
              <w:rPr>
                <w:rFonts w:hint="eastAsia" w:ascii="Times New Roman" w:hAnsi="Times New Roman"/>
                <w:color w:val="auto"/>
                <w:sz w:val="21"/>
                <w:szCs w:val="21"/>
                <w:highlight w:val="none"/>
                <w:lang w:eastAsia="zh-CN"/>
              </w:rPr>
              <w:t>排土场</w:t>
            </w:r>
          </w:p>
        </w:tc>
        <w:tc>
          <w:tcPr>
            <w:tcW w:w="715" w:type="dxa"/>
            <w:shd w:val="clear" w:color="auto" w:fill="auto"/>
            <w:vAlign w:val="center"/>
          </w:tcPr>
          <w:p>
            <w:pPr>
              <w:pStyle w:val="17"/>
              <w:ind w:firstLine="0" w:firstLineChars="0"/>
              <w:jc w:val="center"/>
              <w:rPr>
                <w:rFonts w:hint="eastAsia" w:eastAsia="宋体"/>
                <w:color w:val="auto"/>
                <w:highlight w:val="none"/>
                <w:lang w:eastAsia="zh-CN"/>
              </w:rPr>
            </w:pPr>
            <w:r>
              <w:rPr>
                <w:rFonts w:hint="eastAsia"/>
                <w:color w:val="auto"/>
                <w:highlight w:val="none"/>
                <w:lang w:eastAsia="zh-CN"/>
              </w:rPr>
              <w:t>粉尘</w:t>
            </w:r>
          </w:p>
        </w:tc>
        <w:tc>
          <w:tcPr>
            <w:tcW w:w="936" w:type="dxa"/>
            <w:shd w:val="clear" w:color="auto" w:fill="auto"/>
            <w:vAlign w:val="center"/>
          </w:tcPr>
          <w:p>
            <w:pPr>
              <w:pStyle w:val="17"/>
              <w:ind w:firstLine="0" w:firstLineChars="0"/>
              <w:jc w:val="center"/>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0.09t/a</w:t>
            </w:r>
          </w:p>
        </w:tc>
        <w:tc>
          <w:tcPr>
            <w:tcW w:w="2917" w:type="dxa"/>
            <w:shd w:val="clear" w:color="auto" w:fill="auto"/>
            <w:vAlign w:val="center"/>
          </w:tcPr>
          <w:p>
            <w:pPr>
              <w:pStyle w:val="17"/>
              <w:ind w:firstLine="0" w:firstLineChars="0"/>
              <w:jc w:val="center"/>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lang w:eastAsia="zh-CN"/>
              </w:rPr>
              <w:t>洒水降尘、防尘网覆盖</w:t>
            </w:r>
          </w:p>
        </w:tc>
        <w:tc>
          <w:tcPr>
            <w:tcW w:w="1115" w:type="dxa"/>
            <w:shd w:val="clear" w:color="auto" w:fill="auto"/>
            <w:vAlign w:val="center"/>
          </w:tcPr>
          <w:p>
            <w:pPr>
              <w:pStyle w:val="17"/>
              <w:ind w:firstLine="0" w:firstLineChars="0"/>
              <w:jc w:val="center"/>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0.0135t/a</w:t>
            </w:r>
          </w:p>
        </w:tc>
        <w:tc>
          <w:tcPr>
            <w:tcW w:w="861" w:type="dxa"/>
            <w:shd w:val="clear" w:color="auto" w:fill="auto"/>
            <w:vAlign w:val="center"/>
          </w:tcPr>
          <w:p>
            <w:pPr>
              <w:pStyle w:val="17"/>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944" w:type="dxa"/>
            <w:gridSpan w:val="6"/>
            <w:vMerge w:val="restart"/>
            <w:shd w:val="clear" w:color="auto" w:fill="auto"/>
            <w:vAlign w:val="center"/>
          </w:tcPr>
          <w:p>
            <w:pPr>
              <w:pStyle w:val="17"/>
              <w:ind w:firstLine="0"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合计</w:t>
            </w:r>
          </w:p>
        </w:tc>
        <w:tc>
          <w:tcPr>
            <w:tcW w:w="1115" w:type="dxa"/>
            <w:shd w:val="clear" w:color="auto" w:fill="auto"/>
            <w:vAlign w:val="center"/>
          </w:tcPr>
          <w:p>
            <w:pPr>
              <w:pStyle w:val="17"/>
              <w:ind w:firstLine="0"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lang w:val="en-US" w:eastAsia="zh-CN"/>
              </w:rPr>
              <w:t>1.25</w:t>
            </w:r>
            <w:r>
              <w:rPr>
                <w:rFonts w:hint="eastAsia" w:ascii="Times New Roman" w:hAnsi="Times New Roman"/>
                <w:b/>
                <w:bCs/>
                <w:color w:val="auto"/>
                <w:sz w:val="21"/>
                <w:szCs w:val="21"/>
                <w:highlight w:val="none"/>
              </w:rPr>
              <w:t>t/a</w:t>
            </w:r>
          </w:p>
        </w:tc>
        <w:tc>
          <w:tcPr>
            <w:tcW w:w="861" w:type="dxa"/>
            <w:shd w:val="clear" w:color="auto" w:fill="auto"/>
            <w:vAlign w:val="center"/>
          </w:tcPr>
          <w:p>
            <w:pPr>
              <w:pStyle w:val="17"/>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6944" w:type="dxa"/>
            <w:gridSpan w:val="6"/>
            <w:vMerge w:val="continue"/>
            <w:shd w:val="clear" w:color="auto" w:fill="auto"/>
            <w:vAlign w:val="center"/>
          </w:tcPr>
          <w:p>
            <w:pPr>
              <w:pStyle w:val="17"/>
              <w:ind w:firstLine="0" w:firstLineChars="0"/>
              <w:jc w:val="center"/>
              <w:rPr>
                <w:rFonts w:hint="eastAsia" w:ascii="Times New Roman" w:hAnsi="Times New Roman"/>
                <w:b/>
                <w:bCs/>
                <w:color w:val="auto"/>
                <w:sz w:val="21"/>
                <w:szCs w:val="21"/>
                <w:highlight w:val="none"/>
              </w:rPr>
            </w:pPr>
          </w:p>
        </w:tc>
        <w:tc>
          <w:tcPr>
            <w:tcW w:w="1115" w:type="dxa"/>
            <w:shd w:val="clear" w:color="auto" w:fill="auto"/>
            <w:vAlign w:val="center"/>
          </w:tcPr>
          <w:p>
            <w:pPr>
              <w:pStyle w:val="17"/>
              <w:ind w:firstLine="0" w:firstLineChars="0"/>
              <w:jc w:val="center"/>
              <w:rPr>
                <w:rFonts w:hint="default" w:ascii="Times New Roman" w:hAnsi="Times New Roman"/>
                <w:b/>
                <w:bCs/>
                <w:color w:val="auto"/>
                <w:sz w:val="21"/>
                <w:szCs w:val="21"/>
                <w:highlight w:val="none"/>
                <w:lang w:val="en-US" w:eastAsia="zh-CN"/>
              </w:rPr>
            </w:pPr>
            <w:r>
              <w:rPr>
                <w:rFonts w:hint="eastAsia" w:ascii="Times New Roman" w:hAnsi="Times New Roman"/>
                <w:b/>
                <w:bCs/>
                <w:color w:val="auto"/>
                <w:sz w:val="21"/>
                <w:szCs w:val="21"/>
                <w:highlight w:val="none"/>
                <w:lang w:val="en-US" w:eastAsia="zh-CN"/>
              </w:rPr>
              <w:t>0.0157</w:t>
            </w:r>
            <w:r>
              <w:rPr>
                <w:rFonts w:hint="eastAsia" w:ascii="Times New Roman" w:hAnsi="Times New Roman"/>
                <w:b/>
                <w:bCs/>
                <w:color w:val="auto"/>
                <w:sz w:val="21"/>
                <w:szCs w:val="21"/>
                <w:highlight w:val="none"/>
              </w:rPr>
              <w:t>t/a</w:t>
            </w:r>
          </w:p>
        </w:tc>
        <w:tc>
          <w:tcPr>
            <w:tcW w:w="861" w:type="dxa"/>
            <w:shd w:val="clear" w:color="auto" w:fill="auto"/>
            <w:vAlign w:val="center"/>
          </w:tcPr>
          <w:p>
            <w:pPr>
              <w:pStyle w:val="17"/>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有组织</w:t>
            </w:r>
          </w:p>
        </w:tc>
      </w:tr>
    </w:tbl>
    <w:p>
      <w:pPr>
        <w:pStyle w:val="17"/>
        <w:ind w:firstLine="0" w:firstLineChars="0"/>
        <w:rPr>
          <w:highlight w:val="none"/>
        </w:rPr>
      </w:pPr>
    </w:p>
    <w:p>
      <w:pPr>
        <w:pStyle w:val="6"/>
        <w:ind w:firstLine="482"/>
        <w:rPr>
          <w:rFonts w:cs="Times New Roman"/>
          <w:highlight w:val="none"/>
        </w:rPr>
      </w:pPr>
      <w:r>
        <w:rPr>
          <w:rFonts w:hint="eastAsia" w:cs="Times New Roman"/>
          <w:highlight w:val="none"/>
          <w:lang w:val="en-US" w:eastAsia="zh-CN"/>
        </w:rPr>
        <w:t>3</w:t>
      </w:r>
      <w:r>
        <w:rPr>
          <w:rFonts w:hint="eastAsia" w:cs="Times New Roman"/>
          <w:highlight w:val="none"/>
        </w:rPr>
        <w:t>.3.2.3噪声</w:t>
      </w:r>
    </w:p>
    <w:p>
      <w:pPr>
        <w:adjustRightInd w:val="0"/>
        <w:snapToGrid w:val="0"/>
        <w:ind w:firstLine="480"/>
        <w:rPr>
          <w:highlight w:val="none"/>
        </w:rPr>
      </w:pPr>
      <w:r>
        <w:rPr>
          <w:rFonts w:hint="eastAsia"/>
          <w:highlight w:val="none"/>
        </w:rPr>
        <w:t>项目运营期噪声污染源包括爆破噪声、振动和设备噪声</w:t>
      </w:r>
      <w:r>
        <w:rPr>
          <w:highlight w:val="none"/>
        </w:rPr>
        <w:t>。</w:t>
      </w:r>
    </w:p>
    <w:p>
      <w:pPr>
        <w:adjustRightInd w:val="0"/>
        <w:snapToGrid w:val="0"/>
        <w:ind w:firstLine="480"/>
        <w:rPr>
          <w:highlight w:val="none"/>
        </w:rPr>
      </w:pPr>
      <w:r>
        <w:rPr>
          <w:rFonts w:hint="eastAsia"/>
          <w:highlight w:val="none"/>
          <w:lang w:val="en-US" w:eastAsia="zh-CN"/>
        </w:rPr>
        <w:t>1</w:t>
      </w:r>
      <w:r>
        <w:rPr>
          <w:rFonts w:hint="eastAsia"/>
          <w:highlight w:val="none"/>
        </w:rPr>
        <w:t>、爆破</w:t>
      </w:r>
      <w:r>
        <w:rPr>
          <w:rFonts w:hint="eastAsia"/>
          <w:highlight w:val="none"/>
          <w:lang w:eastAsia="zh-CN"/>
        </w:rPr>
        <w:t>振动、</w:t>
      </w:r>
      <w:r>
        <w:rPr>
          <w:rFonts w:hint="eastAsia"/>
          <w:highlight w:val="none"/>
        </w:rPr>
        <w:t>噪声</w:t>
      </w:r>
    </w:p>
    <w:p>
      <w:pPr>
        <w:adjustRightInd w:val="0"/>
        <w:snapToGrid w:val="0"/>
        <w:ind w:firstLine="480"/>
        <w:rPr>
          <w:color w:val="auto"/>
          <w:highlight w:val="none"/>
        </w:rPr>
      </w:pPr>
      <w:r>
        <w:rPr>
          <w:rFonts w:ascii="Times New Roman" w:hAnsi="Times New Roman" w:eastAsia="宋体"/>
          <w:spacing w:val="-3"/>
          <w:highlight w:val="none"/>
        </w:rPr>
        <w:t>为保证爆破工序的安全，项目按照《爆破安全规程》</w:t>
      </w:r>
      <w:r>
        <w:rPr>
          <w:rFonts w:ascii="Times New Roman" w:hAnsi="Times New Roman" w:eastAsia="宋体"/>
          <w:highlight w:val="none"/>
        </w:rPr>
        <w:t>（GB6722-2014）</w:t>
      </w:r>
      <w:r>
        <w:rPr>
          <w:rFonts w:ascii="Times New Roman" w:hAnsi="Times New Roman" w:eastAsia="宋体"/>
          <w:spacing w:val="-8"/>
          <w:highlight w:val="none"/>
        </w:rPr>
        <w:t>的规</w:t>
      </w:r>
      <w:r>
        <w:rPr>
          <w:rFonts w:ascii="Times New Roman" w:hAnsi="Times New Roman" w:eastAsia="宋体"/>
          <w:spacing w:val="-6"/>
          <w:highlight w:val="none"/>
        </w:rPr>
        <w:t>定划定安全距离</w:t>
      </w:r>
      <w:r>
        <w:rPr>
          <w:rFonts w:ascii="Times New Roman" w:hAnsi="Times New Roman" w:eastAsia="宋体"/>
          <w:highlight w:val="none"/>
        </w:rPr>
        <w:t>300m，项目区爆破工序可能产生地面振动，振动的强弱受装药</w:t>
      </w:r>
      <w:r>
        <w:rPr>
          <w:rFonts w:ascii="Times New Roman" w:hAnsi="Times New Roman" w:eastAsia="宋体"/>
          <w:spacing w:val="-10"/>
          <w:highlight w:val="none"/>
        </w:rPr>
        <w:t>量影响，可以通过对装药量的控制，爆破产生的冲击振动特点是瞬时的，爆破结</w:t>
      </w:r>
      <w:r>
        <w:rPr>
          <w:rFonts w:ascii="Times New Roman" w:hAnsi="Times New Roman" w:eastAsia="宋体"/>
          <w:spacing w:val="-2"/>
          <w:highlight w:val="none"/>
        </w:rPr>
        <w:t>束以后马上消失。爆破过程会产生噪声，矿山爆破时距爆破源</w:t>
      </w:r>
      <w:r>
        <w:rPr>
          <w:rFonts w:ascii="Times New Roman" w:hAnsi="Times New Roman" w:eastAsia="宋体"/>
          <w:highlight w:val="none"/>
        </w:rPr>
        <w:t>50m处，其声压</w:t>
      </w:r>
      <w:r>
        <w:rPr>
          <w:rFonts w:ascii="Times New Roman" w:hAnsi="Times New Roman" w:eastAsia="宋体"/>
          <w:spacing w:val="-16"/>
          <w:highlight w:val="none"/>
        </w:rPr>
        <w:t xml:space="preserve">级约为 </w:t>
      </w:r>
      <w:r>
        <w:rPr>
          <w:rFonts w:ascii="Times New Roman" w:hAnsi="Times New Roman" w:eastAsia="宋体"/>
          <w:highlight w:val="none"/>
        </w:rPr>
        <w:t>86dB（A）</w:t>
      </w:r>
      <w:r>
        <w:rPr>
          <w:rFonts w:hint="eastAsia"/>
          <w:color w:val="auto"/>
          <w:highlight w:val="none"/>
        </w:rPr>
        <w:t>。</w:t>
      </w:r>
    </w:p>
    <w:p>
      <w:pPr>
        <w:adjustRightInd w:val="0"/>
        <w:snapToGrid w:val="0"/>
        <w:ind w:firstLine="480"/>
        <w:rPr>
          <w:highlight w:val="none"/>
        </w:rPr>
      </w:pPr>
      <w:r>
        <w:rPr>
          <w:rFonts w:hint="eastAsia"/>
          <w:highlight w:val="none"/>
          <w:lang w:val="en-US" w:eastAsia="zh-CN"/>
        </w:rPr>
        <w:t>2</w:t>
      </w:r>
      <w:r>
        <w:rPr>
          <w:rFonts w:hint="eastAsia"/>
          <w:highlight w:val="none"/>
        </w:rPr>
        <w:t>、</w:t>
      </w:r>
      <w:r>
        <w:rPr>
          <w:rFonts w:hint="eastAsia"/>
          <w:highlight w:val="none"/>
          <w:lang w:eastAsia="zh-CN"/>
        </w:rPr>
        <w:t>设备</w:t>
      </w:r>
      <w:r>
        <w:rPr>
          <w:rFonts w:hint="eastAsia"/>
          <w:highlight w:val="none"/>
        </w:rPr>
        <w:t>噪声</w:t>
      </w:r>
    </w:p>
    <w:p>
      <w:pPr>
        <w:adjustRightInd w:val="0"/>
        <w:snapToGrid w:val="0"/>
        <w:ind w:firstLine="480"/>
        <w:rPr>
          <w:highlight w:val="none"/>
        </w:rPr>
      </w:pPr>
      <w:r>
        <w:rPr>
          <w:rFonts w:hint="eastAsia"/>
          <w:highlight w:val="none"/>
        </w:rPr>
        <w:t>主要来自于凿岩钻机、挖掘机、装载机、推土机等，主要机械设备噪声源强见表</w:t>
      </w:r>
      <w:r>
        <w:rPr>
          <w:rFonts w:hint="eastAsia"/>
          <w:highlight w:val="none"/>
          <w:lang w:val="en-US" w:eastAsia="zh-CN"/>
        </w:rPr>
        <w:t>3.3-3</w:t>
      </w:r>
      <w:r>
        <w:rPr>
          <w:rFonts w:hint="eastAsia"/>
          <w:highlight w:val="none"/>
        </w:rPr>
        <w:t>。</w:t>
      </w:r>
    </w:p>
    <w:p>
      <w:pPr>
        <w:ind w:firstLine="0" w:firstLineChars="0"/>
        <w:jc w:val="center"/>
        <w:rPr>
          <w:b/>
          <w:sz w:val="21"/>
          <w:szCs w:val="21"/>
          <w:highlight w:val="none"/>
        </w:rPr>
      </w:pPr>
      <w:r>
        <w:rPr>
          <w:b/>
          <w:sz w:val="21"/>
          <w:szCs w:val="21"/>
          <w:highlight w:val="none"/>
        </w:rPr>
        <w:t>表</w:t>
      </w:r>
      <w:r>
        <w:rPr>
          <w:rFonts w:hint="eastAsia"/>
          <w:b/>
          <w:sz w:val="21"/>
          <w:szCs w:val="21"/>
          <w:highlight w:val="none"/>
          <w:lang w:val="en-US" w:eastAsia="zh-CN"/>
        </w:rPr>
        <w:t>3.3-3</w:t>
      </w:r>
      <w:r>
        <w:rPr>
          <w:b/>
          <w:sz w:val="21"/>
          <w:szCs w:val="21"/>
          <w:highlight w:val="none"/>
        </w:rPr>
        <w:t xml:space="preserve">  项目机械设备噪声源强一览表</w:t>
      </w:r>
    </w:p>
    <w:tbl>
      <w:tblPr>
        <w:tblStyle w:val="29"/>
        <w:tblW w:w="88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5"/>
        <w:gridCol w:w="3195"/>
        <w:gridCol w:w="1113"/>
        <w:gridCol w:w="1114"/>
        <w:gridCol w:w="2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175" w:type="dxa"/>
            <w:shd w:val="clear" w:color="auto" w:fill="auto"/>
            <w:vAlign w:val="center"/>
          </w:tcPr>
          <w:p>
            <w:pPr>
              <w:adjustRightInd w:val="0"/>
              <w:snapToGrid w:val="0"/>
              <w:ind w:firstLine="0" w:firstLineChars="0"/>
              <w:jc w:val="center"/>
              <w:rPr>
                <w:b/>
                <w:color w:val="auto"/>
                <w:sz w:val="21"/>
                <w:szCs w:val="21"/>
                <w:highlight w:val="none"/>
              </w:rPr>
            </w:pPr>
            <w:r>
              <w:rPr>
                <w:b/>
                <w:color w:val="auto"/>
                <w:sz w:val="21"/>
                <w:szCs w:val="21"/>
                <w:highlight w:val="none"/>
              </w:rPr>
              <w:t>序号</w:t>
            </w:r>
          </w:p>
        </w:tc>
        <w:tc>
          <w:tcPr>
            <w:tcW w:w="3195" w:type="dxa"/>
            <w:shd w:val="clear" w:color="auto" w:fill="auto"/>
            <w:vAlign w:val="center"/>
          </w:tcPr>
          <w:p>
            <w:pPr>
              <w:adjustRightInd w:val="0"/>
              <w:snapToGrid w:val="0"/>
              <w:ind w:firstLine="0" w:firstLineChars="0"/>
              <w:jc w:val="center"/>
              <w:rPr>
                <w:b/>
                <w:color w:val="auto"/>
                <w:sz w:val="21"/>
                <w:szCs w:val="21"/>
                <w:highlight w:val="none"/>
              </w:rPr>
            </w:pPr>
            <w:r>
              <w:rPr>
                <w:b/>
                <w:color w:val="auto"/>
                <w:sz w:val="21"/>
                <w:szCs w:val="21"/>
                <w:highlight w:val="none"/>
              </w:rPr>
              <w:t>设备</w:t>
            </w:r>
          </w:p>
        </w:tc>
        <w:tc>
          <w:tcPr>
            <w:tcW w:w="1113" w:type="dxa"/>
            <w:shd w:val="clear" w:color="auto" w:fill="auto"/>
            <w:vAlign w:val="center"/>
          </w:tcPr>
          <w:p>
            <w:pPr>
              <w:adjustRightInd w:val="0"/>
              <w:snapToGrid w:val="0"/>
              <w:ind w:firstLine="0" w:firstLineChars="0"/>
              <w:jc w:val="center"/>
              <w:rPr>
                <w:b/>
                <w:color w:val="auto"/>
                <w:sz w:val="21"/>
                <w:szCs w:val="21"/>
                <w:highlight w:val="none"/>
              </w:rPr>
            </w:pPr>
            <w:r>
              <w:rPr>
                <w:b/>
                <w:color w:val="auto"/>
                <w:sz w:val="21"/>
                <w:szCs w:val="21"/>
                <w:highlight w:val="none"/>
              </w:rPr>
              <w:t>单位</w:t>
            </w:r>
          </w:p>
        </w:tc>
        <w:tc>
          <w:tcPr>
            <w:tcW w:w="1114" w:type="dxa"/>
            <w:shd w:val="clear" w:color="auto" w:fill="auto"/>
            <w:vAlign w:val="center"/>
          </w:tcPr>
          <w:p>
            <w:pPr>
              <w:adjustRightInd w:val="0"/>
              <w:snapToGrid w:val="0"/>
              <w:ind w:firstLine="0" w:firstLineChars="0"/>
              <w:jc w:val="center"/>
              <w:rPr>
                <w:b/>
                <w:color w:val="auto"/>
                <w:sz w:val="21"/>
                <w:szCs w:val="21"/>
                <w:highlight w:val="none"/>
              </w:rPr>
            </w:pPr>
            <w:r>
              <w:rPr>
                <w:b/>
                <w:color w:val="auto"/>
                <w:sz w:val="21"/>
                <w:szCs w:val="21"/>
                <w:highlight w:val="none"/>
              </w:rPr>
              <w:t>数量</w:t>
            </w:r>
          </w:p>
        </w:tc>
        <w:tc>
          <w:tcPr>
            <w:tcW w:w="2263" w:type="dxa"/>
            <w:shd w:val="clear" w:color="auto" w:fill="auto"/>
            <w:vAlign w:val="center"/>
          </w:tcPr>
          <w:p>
            <w:pPr>
              <w:adjustRightInd w:val="0"/>
              <w:snapToGrid w:val="0"/>
              <w:ind w:firstLine="0" w:firstLineChars="0"/>
              <w:jc w:val="center"/>
              <w:rPr>
                <w:b/>
                <w:color w:val="auto"/>
                <w:sz w:val="21"/>
                <w:szCs w:val="21"/>
                <w:highlight w:val="none"/>
              </w:rPr>
            </w:pPr>
            <w:r>
              <w:rPr>
                <w:b/>
                <w:color w:val="auto"/>
                <w:sz w:val="21"/>
                <w:szCs w:val="21"/>
                <w:highlight w:val="none"/>
              </w:rPr>
              <w:t>等效声级[dB(A)]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175" w:type="dxa"/>
            <w:vAlign w:val="center"/>
          </w:tcPr>
          <w:p>
            <w:pPr>
              <w:adjustRightInd w:val="0"/>
              <w:snapToGrid w:val="0"/>
              <w:ind w:firstLine="0" w:firstLineChars="0"/>
              <w:jc w:val="center"/>
              <w:rPr>
                <w:color w:val="auto"/>
                <w:sz w:val="21"/>
                <w:szCs w:val="21"/>
                <w:highlight w:val="none"/>
              </w:rPr>
            </w:pPr>
            <w:r>
              <w:rPr>
                <w:color w:val="auto"/>
                <w:sz w:val="21"/>
                <w:szCs w:val="21"/>
                <w:highlight w:val="none"/>
              </w:rPr>
              <w:t>1</w:t>
            </w:r>
          </w:p>
        </w:tc>
        <w:tc>
          <w:tcPr>
            <w:tcW w:w="3195" w:type="dxa"/>
            <w:vAlign w:val="center"/>
          </w:tcPr>
          <w:p>
            <w:pPr>
              <w:widowControl/>
              <w:ind w:firstLine="0" w:firstLineChars="0"/>
              <w:jc w:val="center"/>
              <w:rPr>
                <w:color w:val="auto"/>
                <w:sz w:val="21"/>
                <w:szCs w:val="21"/>
                <w:highlight w:val="none"/>
              </w:rPr>
            </w:pPr>
            <w:r>
              <w:rPr>
                <w:rFonts w:hint="eastAsia"/>
                <w:color w:val="auto"/>
                <w:sz w:val="21"/>
                <w:szCs w:val="21"/>
                <w:highlight w:val="none"/>
              </w:rPr>
              <w:t>凿岩机</w:t>
            </w:r>
          </w:p>
        </w:tc>
        <w:tc>
          <w:tcPr>
            <w:tcW w:w="1113" w:type="dxa"/>
            <w:vAlign w:val="center"/>
          </w:tcPr>
          <w:p>
            <w:pPr>
              <w:adjustRightInd w:val="0"/>
              <w:snapToGrid w:val="0"/>
              <w:ind w:firstLine="0" w:firstLineChars="0"/>
              <w:jc w:val="center"/>
              <w:rPr>
                <w:color w:val="auto"/>
                <w:sz w:val="21"/>
                <w:szCs w:val="21"/>
                <w:highlight w:val="none"/>
              </w:rPr>
            </w:pPr>
            <w:r>
              <w:rPr>
                <w:color w:val="auto"/>
                <w:sz w:val="21"/>
                <w:szCs w:val="21"/>
                <w:highlight w:val="none"/>
              </w:rPr>
              <w:t>台</w:t>
            </w:r>
          </w:p>
        </w:tc>
        <w:tc>
          <w:tcPr>
            <w:tcW w:w="1114" w:type="dxa"/>
            <w:vAlign w:val="center"/>
          </w:tcPr>
          <w:p>
            <w:pPr>
              <w:pStyle w:val="62"/>
              <w:spacing w:line="360" w:lineRule="auto"/>
              <w:ind w:firstLine="0" w:firstLineChars="0"/>
              <w:rPr>
                <w:color w:val="auto"/>
                <w:sz w:val="21"/>
                <w:szCs w:val="21"/>
                <w:highlight w:val="none"/>
              </w:rPr>
            </w:pPr>
            <w:r>
              <w:rPr>
                <w:rFonts w:hint="eastAsia"/>
                <w:color w:val="auto"/>
                <w:highlight w:val="none"/>
                <w:lang w:val="en-US" w:eastAsia="zh-CN"/>
              </w:rPr>
              <w:t>6</w:t>
            </w:r>
          </w:p>
        </w:tc>
        <w:tc>
          <w:tcPr>
            <w:tcW w:w="2263" w:type="dxa"/>
            <w:vAlign w:val="center"/>
          </w:tcPr>
          <w:p>
            <w:pPr>
              <w:adjustRightInd w:val="0"/>
              <w:snapToGrid w:val="0"/>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175" w:type="dxa"/>
            <w:vAlign w:val="center"/>
          </w:tcPr>
          <w:p>
            <w:pPr>
              <w:adjustRightInd w:val="0"/>
              <w:snapToGrid w:val="0"/>
              <w:ind w:firstLine="0" w:firstLineChars="0"/>
              <w:jc w:val="center"/>
              <w:rPr>
                <w:color w:val="auto"/>
                <w:sz w:val="21"/>
                <w:szCs w:val="21"/>
                <w:highlight w:val="none"/>
              </w:rPr>
            </w:pPr>
            <w:r>
              <w:rPr>
                <w:color w:val="auto"/>
                <w:sz w:val="21"/>
                <w:szCs w:val="21"/>
                <w:highlight w:val="none"/>
              </w:rPr>
              <w:t>2</w:t>
            </w:r>
          </w:p>
        </w:tc>
        <w:tc>
          <w:tcPr>
            <w:tcW w:w="3195" w:type="dxa"/>
            <w:vAlign w:val="center"/>
          </w:tcPr>
          <w:p>
            <w:pPr>
              <w:ind w:firstLine="0" w:firstLineChars="0"/>
              <w:jc w:val="center"/>
              <w:rPr>
                <w:color w:val="auto"/>
                <w:sz w:val="21"/>
                <w:szCs w:val="21"/>
                <w:highlight w:val="none"/>
              </w:rPr>
            </w:pPr>
            <w:r>
              <w:rPr>
                <w:rFonts w:hint="eastAsia"/>
                <w:color w:val="auto"/>
                <w:sz w:val="21"/>
                <w:szCs w:val="21"/>
                <w:highlight w:val="none"/>
                <w:lang w:eastAsia="zh-CN"/>
              </w:rPr>
              <w:t>挖掘机</w:t>
            </w:r>
          </w:p>
        </w:tc>
        <w:tc>
          <w:tcPr>
            <w:tcW w:w="1113" w:type="dxa"/>
            <w:vAlign w:val="center"/>
          </w:tcPr>
          <w:p>
            <w:pPr>
              <w:adjustRightInd w:val="0"/>
              <w:snapToGrid w:val="0"/>
              <w:ind w:firstLine="0" w:firstLineChars="0"/>
              <w:jc w:val="center"/>
              <w:rPr>
                <w:color w:val="auto"/>
                <w:sz w:val="21"/>
                <w:szCs w:val="21"/>
                <w:highlight w:val="none"/>
              </w:rPr>
            </w:pPr>
            <w:r>
              <w:rPr>
                <w:rFonts w:hint="eastAsia"/>
                <w:color w:val="auto"/>
                <w:sz w:val="21"/>
                <w:szCs w:val="21"/>
                <w:highlight w:val="none"/>
              </w:rPr>
              <w:t>台</w:t>
            </w:r>
          </w:p>
        </w:tc>
        <w:tc>
          <w:tcPr>
            <w:tcW w:w="1114" w:type="dxa"/>
            <w:vAlign w:val="center"/>
          </w:tcPr>
          <w:p>
            <w:pPr>
              <w:pStyle w:val="62"/>
              <w:spacing w:line="360" w:lineRule="auto"/>
              <w:ind w:firstLine="0" w:firstLineChars="0"/>
              <w:rPr>
                <w:color w:val="auto"/>
                <w:sz w:val="21"/>
                <w:szCs w:val="21"/>
                <w:highlight w:val="none"/>
              </w:rPr>
            </w:pPr>
            <w:r>
              <w:rPr>
                <w:rFonts w:hint="eastAsia"/>
                <w:color w:val="auto"/>
                <w:highlight w:val="none"/>
                <w:lang w:val="en-US" w:eastAsia="zh-CN"/>
              </w:rPr>
              <w:t>4</w:t>
            </w:r>
          </w:p>
        </w:tc>
        <w:tc>
          <w:tcPr>
            <w:tcW w:w="2263" w:type="dxa"/>
            <w:vAlign w:val="center"/>
          </w:tcPr>
          <w:p>
            <w:pPr>
              <w:adjustRightInd w:val="0"/>
              <w:snapToGrid w:val="0"/>
              <w:ind w:firstLine="0" w:firstLineChars="0"/>
              <w:jc w:val="center"/>
              <w:rPr>
                <w:color w:val="auto"/>
                <w:sz w:val="21"/>
                <w:szCs w:val="21"/>
                <w:highlight w:val="none"/>
              </w:rPr>
            </w:pPr>
            <w:r>
              <w:rPr>
                <w:rFonts w:hint="eastAsia"/>
                <w:color w:val="auto"/>
                <w:sz w:val="21"/>
                <w:szCs w:val="21"/>
                <w:highlight w:val="none"/>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175" w:type="dxa"/>
            <w:vAlign w:val="center"/>
          </w:tcPr>
          <w:p>
            <w:pPr>
              <w:adjustRightInd w:val="0"/>
              <w:snapToGrid w:val="0"/>
              <w:ind w:firstLine="0" w:firstLineChars="0"/>
              <w:jc w:val="center"/>
              <w:rPr>
                <w:color w:val="auto"/>
                <w:sz w:val="21"/>
                <w:szCs w:val="21"/>
                <w:highlight w:val="none"/>
              </w:rPr>
            </w:pPr>
            <w:r>
              <w:rPr>
                <w:color w:val="auto"/>
                <w:sz w:val="21"/>
                <w:szCs w:val="21"/>
                <w:highlight w:val="none"/>
              </w:rPr>
              <w:t>3</w:t>
            </w:r>
          </w:p>
        </w:tc>
        <w:tc>
          <w:tcPr>
            <w:tcW w:w="3195" w:type="dxa"/>
            <w:vAlign w:val="center"/>
          </w:tcPr>
          <w:p>
            <w:pPr>
              <w:pStyle w:val="62"/>
              <w:spacing w:line="360" w:lineRule="auto"/>
              <w:ind w:firstLine="0" w:firstLineChars="0"/>
              <w:rPr>
                <w:color w:val="auto"/>
                <w:sz w:val="21"/>
                <w:szCs w:val="21"/>
                <w:highlight w:val="none"/>
              </w:rPr>
            </w:pPr>
            <w:r>
              <w:rPr>
                <w:rFonts w:hint="eastAsia"/>
                <w:color w:val="auto"/>
                <w:sz w:val="21"/>
                <w:szCs w:val="21"/>
                <w:highlight w:val="none"/>
                <w:lang w:eastAsia="zh-CN"/>
              </w:rPr>
              <w:t>挖掘机</w:t>
            </w:r>
          </w:p>
        </w:tc>
        <w:tc>
          <w:tcPr>
            <w:tcW w:w="1113" w:type="dxa"/>
            <w:vAlign w:val="center"/>
          </w:tcPr>
          <w:p>
            <w:pPr>
              <w:adjustRightInd w:val="0"/>
              <w:snapToGrid w:val="0"/>
              <w:ind w:firstLine="0" w:firstLineChars="0"/>
              <w:jc w:val="center"/>
              <w:rPr>
                <w:color w:val="auto"/>
                <w:sz w:val="21"/>
                <w:szCs w:val="21"/>
                <w:highlight w:val="none"/>
              </w:rPr>
            </w:pPr>
            <w:r>
              <w:rPr>
                <w:color w:val="auto"/>
                <w:sz w:val="21"/>
                <w:szCs w:val="21"/>
                <w:highlight w:val="none"/>
              </w:rPr>
              <w:t>台</w:t>
            </w:r>
          </w:p>
        </w:tc>
        <w:tc>
          <w:tcPr>
            <w:tcW w:w="1114" w:type="dxa"/>
            <w:vAlign w:val="center"/>
          </w:tcPr>
          <w:p>
            <w:pPr>
              <w:pStyle w:val="62"/>
              <w:spacing w:line="360" w:lineRule="auto"/>
              <w:ind w:firstLine="0" w:firstLineChars="0"/>
              <w:rPr>
                <w:color w:val="auto"/>
                <w:sz w:val="21"/>
                <w:szCs w:val="21"/>
                <w:highlight w:val="none"/>
              </w:rPr>
            </w:pPr>
            <w:r>
              <w:rPr>
                <w:rFonts w:hint="eastAsia"/>
                <w:color w:val="auto"/>
                <w:highlight w:val="none"/>
                <w:lang w:val="en-US" w:eastAsia="zh-CN"/>
              </w:rPr>
              <w:t>4</w:t>
            </w:r>
          </w:p>
        </w:tc>
        <w:tc>
          <w:tcPr>
            <w:tcW w:w="2263" w:type="dxa"/>
            <w:vAlign w:val="center"/>
          </w:tcPr>
          <w:p>
            <w:pPr>
              <w:adjustRightInd w:val="0"/>
              <w:snapToGrid w:val="0"/>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175" w:type="dxa"/>
            <w:vAlign w:val="center"/>
          </w:tcPr>
          <w:p>
            <w:pPr>
              <w:adjustRightInd w:val="0"/>
              <w:snapToGrid w:val="0"/>
              <w:ind w:firstLine="0" w:firstLineChars="0"/>
              <w:jc w:val="center"/>
              <w:rPr>
                <w:color w:val="auto"/>
                <w:sz w:val="21"/>
                <w:szCs w:val="21"/>
                <w:highlight w:val="none"/>
              </w:rPr>
            </w:pPr>
            <w:r>
              <w:rPr>
                <w:rFonts w:hint="eastAsia"/>
                <w:color w:val="auto"/>
                <w:sz w:val="21"/>
                <w:szCs w:val="21"/>
                <w:highlight w:val="none"/>
              </w:rPr>
              <w:t>4</w:t>
            </w:r>
          </w:p>
        </w:tc>
        <w:tc>
          <w:tcPr>
            <w:tcW w:w="3195" w:type="dxa"/>
            <w:vAlign w:val="center"/>
          </w:tcPr>
          <w:p>
            <w:pPr>
              <w:widowControl/>
              <w:ind w:firstLine="0" w:firstLineChars="0"/>
              <w:jc w:val="center"/>
              <w:rPr>
                <w:color w:val="auto"/>
                <w:sz w:val="21"/>
                <w:szCs w:val="21"/>
                <w:highlight w:val="none"/>
              </w:rPr>
            </w:pPr>
            <w:r>
              <w:rPr>
                <w:rFonts w:hint="eastAsia"/>
                <w:color w:val="auto"/>
                <w:sz w:val="21"/>
                <w:szCs w:val="21"/>
                <w:highlight w:val="none"/>
              </w:rPr>
              <w:t>挖掘机</w:t>
            </w:r>
          </w:p>
        </w:tc>
        <w:tc>
          <w:tcPr>
            <w:tcW w:w="1113" w:type="dxa"/>
            <w:vAlign w:val="center"/>
          </w:tcPr>
          <w:p>
            <w:pPr>
              <w:adjustRightInd w:val="0"/>
              <w:snapToGrid w:val="0"/>
              <w:ind w:firstLine="0" w:firstLineChars="0"/>
              <w:jc w:val="center"/>
              <w:rPr>
                <w:color w:val="auto"/>
                <w:sz w:val="21"/>
                <w:szCs w:val="21"/>
                <w:highlight w:val="none"/>
              </w:rPr>
            </w:pPr>
            <w:r>
              <w:rPr>
                <w:rFonts w:hint="eastAsia"/>
                <w:color w:val="auto"/>
                <w:sz w:val="21"/>
                <w:szCs w:val="21"/>
                <w:highlight w:val="none"/>
              </w:rPr>
              <w:t>台</w:t>
            </w:r>
          </w:p>
        </w:tc>
        <w:tc>
          <w:tcPr>
            <w:tcW w:w="1114" w:type="dxa"/>
            <w:vAlign w:val="center"/>
          </w:tcPr>
          <w:p>
            <w:pPr>
              <w:pStyle w:val="62"/>
              <w:spacing w:line="360" w:lineRule="auto"/>
              <w:ind w:firstLine="0" w:firstLineChars="0"/>
              <w:rPr>
                <w:color w:val="auto"/>
                <w:sz w:val="21"/>
                <w:szCs w:val="21"/>
                <w:highlight w:val="none"/>
              </w:rPr>
            </w:pPr>
            <w:r>
              <w:rPr>
                <w:rFonts w:hint="eastAsia"/>
                <w:color w:val="auto"/>
                <w:highlight w:val="none"/>
                <w:lang w:val="en-US" w:eastAsia="zh-CN"/>
              </w:rPr>
              <w:t>4</w:t>
            </w:r>
          </w:p>
        </w:tc>
        <w:tc>
          <w:tcPr>
            <w:tcW w:w="2263" w:type="dxa"/>
            <w:vAlign w:val="center"/>
          </w:tcPr>
          <w:p>
            <w:pPr>
              <w:adjustRightInd w:val="0"/>
              <w:snapToGrid w:val="0"/>
              <w:ind w:firstLine="0" w:firstLineChars="0"/>
              <w:jc w:val="center"/>
              <w:rPr>
                <w:color w:val="auto"/>
                <w:sz w:val="21"/>
                <w:szCs w:val="21"/>
                <w:highlight w:val="none"/>
              </w:rPr>
            </w:pPr>
            <w:r>
              <w:rPr>
                <w:rFonts w:hint="eastAsia"/>
                <w:color w:val="auto"/>
                <w:sz w:val="21"/>
                <w:szCs w:val="21"/>
                <w:highlight w:val="none"/>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175" w:type="dxa"/>
            <w:vAlign w:val="center"/>
          </w:tcPr>
          <w:p>
            <w:pPr>
              <w:adjustRightInd w:val="0"/>
              <w:snapToGrid w:val="0"/>
              <w:ind w:firstLine="0" w:firstLineChars="0"/>
              <w:jc w:val="center"/>
              <w:rPr>
                <w:color w:val="auto"/>
                <w:sz w:val="21"/>
                <w:szCs w:val="21"/>
                <w:highlight w:val="none"/>
              </w:rPr>
            </w:pPr>
            <w:r>
              <w:rPr>
                <w:rFonts w:hint="eastAsia"/>
                <w:color w:val="auto"/>
                <w:sz w:val="21"/>
                <w:szCs w:val="21"/>
                <w:highlight w:val="none"/>
              </w:rPr>
              <w:t>5</w:t>
            </w:r>
          </w:p>
        </w:tc>
        <w:tc>
          <w:tcPr>
            <w:tcW w:w="3195" w:type="dxa"/>
            <w:vAlign w:val="center"/>
          </w:tcPr>
          <w:p>
            <w:pPr>
              <w:pStyle w:val="62"/>
              <w:spacing w:line="360" w:lineRule="auto"/>
              <w:ind w:firstLine="0" w:firstLineChars="0"/>
              <w:rPr>
                <w:color w:val="auto"/>
                <w:sz w:val="21"/>
                <w:szCs w:val="21"/>
                <w:highlight w:val="none"/>
              </w:rPr>
            </w:pPr>
            <w:r>
              <w:rPr>
                <w:rFonts w:hint="eastAsia"/>
                <w:color w:val="auto"/>
                <w:highlight w:val="none"/>
                <w:lang w:eastAsia="zh-CN"/>
              </w:rPr>
              <w:t>装载机（成工）</w:t>
            </w:r>
          </w:p>
        </w:tc>
        <w:tc>
          <w:tcPr>
            <w:tcW w:w="1113" w:type="dxa"/>
            <w:vAlign w:val="center"/>
          </w:tcPr>
          <w:p>
            <w:pPr>
              <w:adjustRightInd w:val="0"/>
              <w:snapToGrid w:val="0"/>
              <w:ind w:firstLine="0" w:firstLineChars="0"/>
              <w:jc w:val="center"/>
              <w:rPr>
                <w:color w:val="auto"/>
                <w:sz w:val="21"/>
                <w:szCs w:val="21"/>
                <w:highlight w:val="none"/>
              </w:rPr>
            </w:pPr>
            <w:r>
              <w:rPr>
                <w:rFonts w:hint="eastAsia"/>
                <w:color w:val="auto"/>
                <w:sz w:val="21"/>
                <w:szCs w:val="21"/>
                <w:highlight w:val="none"/>
              </w:rPr>
              <w:t>台</w:t>
            </w:r>
          </w:p>
        </w:tc>
        <w:tc>
          <w:tcPr>
            <w:tcW w:w="1114" w:type="dxa"/>
            <w:vAlign w:val="center"/>
          </w:tcPr>
          <w:p>
            <w:pPr>
              <w:pStyle w:val="62"/>
              <w:spacing w:line="360" w:lineRule="auto"/>
              <w:ind w:firstLine="0" w:firstLineChars="0"/>
              <w:rPr>
                <w:color w:val="auto"/>
                <w:sz w:val="21"/>
                <w:szCs w:val="21"/>
                <w:highlight w:val="none"/>
              </w:rPr>
            </w:pPr>
            <w:r>
              <w:rPr>
                <w:rFonts w:hint="eastAsia"/>
                <w:color w:val="auto"/>
                <w:highlight w:val="none"/>
                <w:lang w:val="en-US" w:eastAsia="zh-CN"/>
              </w:rPr>
              <w:t>2</w:t>
            </w:r>
          </w:p>
        </w:tc>
        <w:tc>
          <w:tcPr>
            <w:tcW w:w="2263" w:type="dxa"/>
            <w:vAlign w:val="center"/>
          </w:tcPr>
          <w:p>
            <w:pPr>
              <w:adjustRightInd w:val="0"/>
              <w:snapToGrid w:val="0"/>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75" w:type="dxa"/>
            <w:vAlign w:val="center"/>
          </w:tcPr>
          <w:p>
            <w:pPr>
              <w:adjustRightInd w:val="0"/>
              <w:snapToGrid w:val="0"/>
              <w:ind w:firstLine="0" w:firstLineChars="0"/>
              <w:jc w:val="center"/>
              <w:rPr>
                <w:color w:val="auto"/>
                <w:sz w:val="21"/>
                <w:szCs w:val="21"/>
                <w:highlight w:val="none"/>
              </w:rPr>
            </w:pPr>
            <w:r>
              <w:rPr>
                <w:rFonts w:hint="eastAsia"/>
                <w:color w:val="auto"/>
                <w:sz w:val="21"/>
                <w:szCs w:val="21"/>
                <w:highlight w:val="none"/>
              </w:rPr>
              <w:t>6</w:t>
            </w:r>
          </w:p>
        </w:tc>
        <w:tc>
          <w:tcPr>
            <w:tcW w:w="3195" w:type="dxa"/>
            <w:vAlign w:val="center"/>
          </w:tcPr>
          <w:p>
            <w:pPr>
              <w:widowControl/>
              <w:ind w:firstLine="0" w:firstLineChars="0"/>
              <w:jc w:val="center"/>
              <w:rPr>
                <w:color w:val="auto"/>
                <w:kern w:val="0"/>
                <w:sz w:val="21"/>
                <w:szCs w:val="21"/>
                <w:highlight w:val="none"/>
              </w:rPr>
            </w:pPr>
            <w:r>
              <w:rPr>
                <w:rFonts w:hint="eastAsia"/>
                <w:color w:val="auto"/>
                <w:sz w:val="21"/>
                <w:szCs w:val="21"/>
                <w:highlight w:val="none"/>
                <w:lang w:eastAsia="zh-CN"/>
              </w:rPr>
              <w:t>装载机（柳工）</w:t>
            </w:r>
          </w:p>
        </w:tc>
        <w:tc>
          <w:tcPr>
            <w:tcW w:w="1113" w:type="dxa"/>
            <w:vAlign w:val="center"/>
          </w:tcPr>
          <w:p>
            <w:pPr>
              <w:adjustRightInd w:val="0"/>
              <w:snapToGrid w:val="0"/>
              <w:ind w:firstLine="0" w:firstLineChars="0"/>
              <w:jc w:val="center"/>
              <w:rPr>
                <w:color w:val="auto"/>
                <w:sz w:val="21"/>
                <w:szCs w:val="21"/>
                <w:highlight w:val="none"/>
              </w:rPr>
            </w:pPr>
            <w:r>
              <w:rPr>
                <w:rFonts w:hint="eastAsia"/>
                <w:color w:val="auto"/>
                <w:sz w:val="21"/>
                <w:szCs w:val="21"/>
                <w:highlight w:val="none"/>
              </w:rPr>
              <w:t>台</w:t>
            </w:r>
          </w:p>
        </w:tc>
        <w:tc>
          <w:tcPr>
            <w:tcW w:w="1114" w:type="dxa"/>
            <w:vAlign w:val="center"/>
          </w:tcPr>
          <w:p>
            <w:pPr>
              <w:pStyle w:val="62"/>
              <w:spacing w:line="360" w:lineRule="auto"/>
              <w:ind w:firstLine="0" w:firstLineChars="0"/>
              <w:rPr>
                <w:color w:val="auto"/>
                <w:sz w:val="21"/>
                <w:szCs w:val="21"/>
                <w:highlight w:val="none"/>
              </w:rPr>
            </w:pPr>
            <w:r>
              <w:rPr>
                <w:rFonts w:hint="eastAsia"/>
                <w:color w:val="auto"/>
                <w:highlight w:val="none"/>
                <w:lang w:val="en-US" w:eastAsia="zh-CN"/>
              </w:rPr>
              <w:t>4</w:t>
            </w:r>
          </w:p>
        </w:tc>
        <w:tc>
          <w:tcPr>
            <w:tcW w:w="2263" w:type="dxa"/>
            <w:vAlign w:val="center"/>
          </w:tcPr>
          <w:p>
            <w:pPr>
              <w:adjustRightInd w:val="0"/>
              <w:snapToGrid w:val="0"/>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75" w:type="dxa"/>
            <w:vAlign w:val="center"/>
          </w:tcPr>
          <w:p>
            <w:pPr>
              <w:adjustRightInd w:val="0"/>
              <w:snapToGrid w:val="0"/>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7</w:t>
            </w:r>
          </w:p>
        </w:tc>
        <w:tc>
          <w:tcPr>
            <w:tcW w:w="3195" w:type="dxa"/>
            <w:vAlign w:val="center"/>
          </w:tcPr>
          <w:p>
            <w:pPr>
              <w:widowControl/>
              <w:ind w:firstLine="0" w:firstLineChars="0"/>
              <w:jc w:val="center"/>
              <w:rPr>
                <w:rFonts w:hint="eastAsia" w:eastAsia="宋体"/>
                <w:color w:val="auto"/>
                <w:kern w:val="0"/>
                <w:sz w:val="21"/>
                <w:szCs w:val="21"/>
                <w:highlight w:val="none"/>
                <w:lang w:eastAsia="zh-CN"/>
              </w:rPr>
            </w:pPr>
            <w:r>
              <w:rPr>
                <w:rFonts w:hint="eastAsia"/>
                <w:color w:val="auto"/>
                <w:sz w:val="21"/>
                <w:szCs w:val="21"/>
                <w:highlight w:val="none"/>
                <w:lang w:eastAsia="zh-CN"/>
              </w:rPr>
              <w:t>装载机（柳工）</w:t>
            </w:r>
          </w:p>
        </w:tc>
        <w:tc>
          <w:tcPr>
            <w:tcW w:w="1113" w:type="dxa"/>
            <w:vAlign w:val="center"/>
          </w:tcPr>
          <w:p>
            <w:pPr>
              <w:adjustRightInd w:val="0"/>
              <w:snapToGrid w:val="0"/>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台</w:t>
            </w:r>
          </w:p>
        </w:tc>
        <w:tc>
          <w:tcPr>
            <w:tcW w:w="1114" w:type="dxa"/>
            <w:vAlign w:val="center"/>
          </w:tcPr>
          <w:p>
            <w:pPr>
              <w:pStyle w:val="62"/>
              <w:spacing w:line="360" w:lineRule="auto"/>
              <w:ind w:firstLine="0" w:firstLineChars="0"/>
              <w:rPr>
                <w:rFonts w:hint="default" w:eastAsia="宋体"/>
                <w:color w:val="auto"/>
                <w:sz w:val="21"/>
                <w:szCs w:val="21"/>
                <w:highlight w:val="none"/>
                <w:lang w:val="en-US" w:eastAsia="zh-CN"/>
              </w:rPr>
            </w:pPr>
            <w:r>
              <w:rPr>
                <w:rFonts w:hint="eastAsia"/>
                <w:color w:val="auto"/>
                <w:highlight w:val="none"/>
                <w:lang w:val="en-US" w:eastAsia="zh-CN"/>
              </w:rPr>
              <w:t>4</w:t>
            </w:r>
          </w:p>
        </w:tc>
        <w:tc>
          <w:tcPr>
            <w:tcW w:w="2263" w:type="dxa"/>
            <w:vAlign w:val="center"/>
          </w:tcPr>
          <w:p>
            <w:pPr>
              <w:adjustRightInd w:val="0"/>
              <w:snapToGrid w:val="0"/>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75" w:type="dxa"/>
            <w:vAlign w:val="center"/>
          </w:tcPr>
          <w:p>
            <w:pPr>
              <w:adjustRightInd w:val="0"/>
              <w:snapToGrid w:val="0"/>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8</w:t>
            </w:r>
          </w:p>
        </w:tc>
        <w:tc>
          <w:tcPr>
            <w:tcW w:w="3195" w:type="dxa"/>
            <w:vAlign w:val="center"/>
          </w:tcPr>
          <w:p>
            <w:pPr>
              <w:pStyle w:val="62"/>
              <w:spacing w:line="360" w:lineRule="auto"/>
              <w:ind w:firstLine="0" w:firstLineChars="0"/>
              <w:rPr>
                <w:rFonts w:hint="eastAsia"/>
                <w:color w:val="auto"/>
                <w:kern w:val="0"/>
                <w:sz w:val="21"/>
                <w:szCs w:val="21"/>
                <w:highlight w:val="none"/>
                <w:lang w:eastAsia="zh-CN"/>
              </w:rPr>
            </w:pPr>
            <w:r>
              <w:rPr>
                <w:rFonts w:hint="eastAsia"/>
                <w:color w:val="auto"/>
                <w:highlight w:val="none"/>
                <w:lang w:eastAsia="zh-CN"/>
              </w:rPr>
              <w:t>振动给料机</w:t>
            </w:r>
          </w:p>
        </w:tc>
        <w:tc>
          <w:tcPr>
            <w:tcW w:w="1113" w:type="dxa"/>
            <w:vAlign w:val="center"/>
          </w:tcPr>
          <w:p>
            <w:pPr>
              <w:adjustRightInd w:val="0"/>
              <w:snapToGrid w:val="0"/>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台</w:t>
            </w:r>
          </w:p>
        </w:tc>
        <w:tc>
          <w:tcPr>
            <w:tcW w:w="1114" w:type="dxa"/>
            <w:vAlign w:val="center"/>
          </w:tcPr>
          <w:p>
            <w:pPr>
              <w:pStyle w:val="62"/>
              <w:spacing w:line="360" w:lineRule="auto"/>
              <w:ind w:firstLine="0" w:firstLineChars="0"/>
              <w:rPr>
                <w:rFonts w:hint="default" w:eastAsia="宋体"/>
                <w:color w:val="auto"/>
                <w:sz w:val="21"/>
                <w:szCs w:val="21"/>
                <w:highlight w:val="none"/>
                <w:lang w:val="en-US" w:eastAsia="zh-CN"/>
              </w:rPr>
            </w:pPr>
            <w:r>
              <w:rPr>
                <w:rFonts w:hint="eastAsia"/>
                <w:color w:val="auto"/>
                <w:highlight w:val="none"/>
                <w:lang w:val="en-US" w:eastAsia="zh-CN"/>
              </w:rPr>
              <w:t>6</w:t>
            </w:r>
          </w:p>
        </w:tc>
        <w:tc>
          <w:tcPr>
            <w:tcW w:w="2263" w:type="dxa"/>
            <w:vAlign w:val="center"/>
          </w:tcPr>
          <w:p>
            <w:pPr>
              <w:adjustRightInd w:val="0"/>
              <w:snapToGrid w:val="0"/>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75" w:type="dxa"/>
            <w:vAlign w:val="center"/>
          </w:tcPr>
          <w:p>
            <w:pPr>
              <w:adjustRightInd w:val="0"/>
              <w:snapToGrid w:val="0"/>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9</w:t>
            </w:r>
          </w:p>
        </w:tc>
        <w:tc>
          <w:tcPr>
            <w:tcW w:w="3195" w:type="dxa"/>
            <w:vAlign w:val="center"/>
          </w:tcPr>
          <w:p>
            <w:pPr>
              <w:widowControl/>
              <w:ind w:firstLine="0" w:firstLineChars="0"/>
              <w:jc w:val="center"/>
              <w:rPr>
                <w:rFonts w:hint="eastAsia"/>
                <w:color w:val="auto"/>
                <w:kern w:val="0"/>
                <w:sz w:val="21"/>
                <w:szCs w:val="21"/>
                <w:highlight w:val="none"/>
                <w:lang w:eastAsia="zh-CN"/>
              </w:rPr>
            </w:pPr>
            <w:r>
              <w:rPr>
                <w:rFonts w:hint="eastAsia"/>
                <w:color w:val="auto"/>
                <w:sz w:val="21"/>
                <w:szCs w:val="21"/>
                <w:highlight w:val="none"/>
                <w:lang w:eastAsia="zh-CN"/>
              </w:rPr>
              <w:t>振动给料机</w:t>
            </w:r>
          </w:p>
        </w:tc>
        <w:tc>
          <w:tcPr>
            <w:tcW w:w="1113" w:type="dxa"/>
            <w:vAlign w:val="center"/>
          </w:tcPr>
          <w:p>
            <w:pPr>
              <w:adjustRightInd w:val="0"/>
              <w:snapToGrid w:val="0"/>
              <w:ind w:firstLine="0" w:firstLineChars="0"/>
              <w:jc w:val="center"/>
              <w:rPr>
                <w:rFonts w:hint="eastAsia"/>
                <w:color w:val="auto"/>
                <w:sz w:val="21"/>
                <w:szCs w:val="21"/>
                <w:highlight w:val="none"/>
                <w:lang w:eastAsia="zh-CN"/>
              </w:rPr>
            </w:pPr>
            <w:r>
              <w:rPr>
                <w:rFonts w:hint="eastAsia"/>
                <w:color w:val="auto"/>
                <w:sz w:val="21"/>
                <w:szCs w:val="21"/>
                <w:highlight w:val="none"/>
                <w:lang w:eastAsia="zh-CN"/>
              </w:rPr>
              <w:t>台</w:t>
            </w:r>
          </w:p>
        </w:tc>
        <w:tc>
          <w:tcPr>
            <w:tcW w:w="1114" w:type="dxa"/>
            <w:vAlign w:val="center"/>
          </w:tcPr>
          <w:p>
            <w:pPr>
              <w:pStyle w:val="62"/>
              <w:spacing w:line="360" w:lineRule="auto"/>
              <w:ind w:firstLine="0" w:firstLineChars="0"/>
              <w:rPr>
                <w:rFonts w:hint="eastAsia"/>
                <w:color w:val="auto"/>
                <w:sz w:val="21"/>
                <w:szCs w:val="21"/>
                <w:highlight w:val="none"/>
                <w:lang w:val="en-US" w:eastAsia="zh-CN"/>
              </w:rPr>
            </w:pPr>
            <w:r>
              <w:rPr>
                <w:rFonts w:hint="eastAsia"/>
                <w:color w:val="auto"/>
                <w:highlight w:val="none"/>
                <w:lang w:val="en-US" w:eastAsia="zh-CN"/>
              </w:rPr>
              <w:t>2</w:t>
            </w:r>
          </w:p>
        </w:tc>
        <w:tc>
          <w:tcPr>
            <w:tcW w:w="2263" w:type="dxa"/>
            <w:vAlign w:val="center"/>
          </w:tcPr>
          <w:p>
            <w:pPr>
              <w:adjustRightInd w:val="0"/>
              <w:snapToGrid w:val="0"/>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75" w:type="dxa"/>
            <w:vAlign w:val="center"/>
          </w:tcPr>
          <w:p>
            <w:pPr>
              <w:adjustRightInd w:val="0"/>
              <w:snapToGrid w:val="0"/>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10</w:t>
            </w:r>
          </w:p>
        </w:tc>
        <w:tc>
          <w:tcPr>
            <w:tcW w:w="3195" w:type="dxa"/>
            <w:vAlign w:val="center"/>
          </w:tcPr>
          <w:p>
            <w:pPr>
              <w:widowControl/>
              <w:ind w:firstLine="0" w:firstLineChars="0"/>
              <w:jc w:val="center"/>
              <w:rPr>
                <w:rFonts w:hint="eastAsia"/>
                <w:color w:val="auto"/>
                <w:kern w:val="0"/>
                <w:sz w:val="21"/>
                <w:szCs w:val="21"/>
                <w:highlight w:val="none"/>
                <w:lang w:eastAsia="zh-CN"/>
              </w:rPr>
            </w:pPr>
            <w:r>
              <w:rPr>
                <w:rFonts w:hint="eastAsia"/>
                <w:color w:val="auto"/>
                <w:sz w:val="21"/>
                <w:szCs w:val="21"/>
                <w:highlight w:val="none"/>
                <w:lang w:eastAsia="zh-CN"/>
              </w:rPr>
              <w:t>立式复合破碎机</w:t>
            </w:r>
          </w:p>
        </w:tc>
        <w:tc>
          <w:tcPr>
            <w:tcW w:w="1113" w:type="dxa"/>
            <w:vAlign w:val="center"/>
          </w:tcPr>
          <w:p>
            <w:pPr>
              <w:adjustRightInd w:val="0"/>
              <w:snapToGrid w:val="0"/>
              <w:ind w:firstLine="0" w:firstLineChars="0"/>
              <w:jc w:val="center"/>
              <w:rPr>
                <w:rFonts w:hint="eastAsia"/>
                <w:color w:val="auto"/>
                <w:sz w:val="21"/>
                <w:szCs w:val="21"/>
                <w:highlight w:val="none"/>
                <w:lang w:eastAsia="zh-CN"/>
              </w:rPr>
            </w:pPr>
            <w:r>
              <w:rPr>
                <w:rFonts w:hint="eastAsia"/>
                <w:color w:val="auto"/>
                <w:sz w:val="21"/>
                <w:szCs w:val="21"/>
                <w:highlight w:val="none"/>
                <w:lang w:eastAsia="zh-CN"/>
              </w:rPr>
              <w:t>台</w:t>
            </w:r>
          </w:p>
        </w:tc>
        <w:tc>
          <w:tcPr>
            <w:tcW w:w="1114" w:type="dxa"/>
            <w:vAlign w:val="center"/>
          </w:tcPr>
          <w:p>
            <w:pPr>
              <w:pStyle w:val="62"/>
              <w:spacing w:line="360" w:lineRule="auto"/>
              <w:ind w:firstLine="0" w:firstLineChars="0"/>
              <w:rPr>
                <w:rFonts w:hint="eastAsia"/>
                <w:color w:val="auto"/>
                <w:sz w:val="21"/>
                <w:szCs w:val="21"/>
                <w:highlight w:val="none"/>
                <w:lang w:val="en-US" w:eastAsia="zh-CN"/>
              </w:rPr>
            </w:pPr>
            <w:r>
              <w:rPr>
                <w:rFonts w:hint="eastAsia"/>
                <w:color w:val="auto"/>
                <w:highlight w:val="none"/>
                <w:lang w:val="en-US" w:eastAsia="zh-CN"/>
              </w:rPr>
              <w:t>2</w:t>
            </w:r>
          </w:p>
        </w:tc>
        <w:tc>
          <w:tcPr>
            <w:tcW w:w="2263" w:type="dxa"/>
            <w:vAlign w:val="center"/>
          </w:tcPr>
          <w:p>
            <w:pPr>
              <w:adjustRightInd w:val="0"/>
              <w:snapToGrid w:val="0"/>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75" w:type="dxa"/>
            <w:vAlign w:val="center"/>
          </w:tcPr>
          <w:p>
            <w:pPr>
              <w:adjustRightInd w:val="0"/>
              <w:snapToGrid w:val="0"/>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11</w:t>
            </w:r>
          </w:p>
        </w:tc>
        <w:tc>
          <w:tcPr>
            <w:tcW w:w="3195" w:type="dxa"/>
            <w:vAlign w:val="center"/>
          </w:tcPr>
          <w:p>
            <w:pPr>
              <w:widowControl/>
              <w:ind w:firstLine="0" w:firstLineChars="0"/>
              <w:jc w:val="center"/>
              <w:rPr>
                <w:rFonts w:hint="eastAsia"/>
                <w:color w:val="auto"/>
                <w:kern w:val="0"/>
                <w:sz w:val="21"/>
                <w:szCs w:val="21"/>
                <w:highlight w:val="none"/>
                <w:lang w:eastAsia="zh-CN"/>
              </w:rPr>
            </w:pPr>
            <w:r>
              <w:rPr>
                <w:rFonts w:hint="eastAsia"/>
                <w:color w:val="auto"/>
                <w:sz w:val="21"/>
                <w:szCs w:val="21"/>
                <w:highlight w:val="none"/>
                <w:lang w:eastAsia="zh-CN"/>
              </w:rPr>
              <w:t>颚式破碎机</w:t>
            </w:r>
          </w:p>
        </w:tc>
        <w:tc>
          <w:tcPr>
            <w:tcW w:w="1113" w:type="dxa"/>
            <w:vAlign w:val="center"/>
          </w:tcPr>
          <w:p>
            <w:pPr>
              <w:adjustRightInd w:val="0"/>
              <w:snapToGrid w:val="0"/>
              <w:ind w:firstLine="0" w:firstLineChars="0"/>
              <w:jc w:val="center"/>
              <w:rPr>
                <w:rFonts w:hint="eastAsia"/>
                <w:color w:val="auto"/>
                <w:sz w:val="21"/>
                <w:szCs w:val="21"/>
                <w:highlight w:val="none"/>
                <w:lang w:eastAsia="zh-CN"/>
              </w:rPr>
            </w:pPr>
            <w:r>
              <w:rPr>
                <w:rFonts w:hint="eastAsia"/>
                <w:color w:val="auto"/>
                <w:sz w:val="21"/>
                <w:szCs w:val="21"/>
                <w:highlight w:val="none"/>
                <w:lang w:eastAsia="zh-CN"/>
              </w:rPr>
              <w:t>台</w:t>
            </w:r>
          </w:p>
        </w:tc>
        <w:tc>
          <w:tcPr>
            <w:tcW w:w="1114" w:type="dxa"/>
            <w:vAlign w:val="center"/>
          </w:tcPr>
          <w:p>
            <w:pPr>
              <w:pStyle w:val="62"/>
              <w:spacing w:line="360" w:lineRule="auto"/>
              <w:ind w:firstLine="0" w:firstLineChars="0"/>
              <w:rPr>
                <w:rFonts w:hint="eastAsia"/>
                <w:color w:val="auto"/>
                <w:sz w:val="21"/>
                <w:szCs w:val="21"/>
                <w:highlight w:val="none"/>
                <w:lang w:val="en-US" w:eastAsia="zh-CN"/>
              </w:rPr>
            </w:pPr>
            <w:r>
              <w:rPr>
                <w:rFonts w:hint="eastAsia"/>
                <w:color w:val="auto"/>
                <w:highlight w:val="none"/>
                <w:lang w:val="en-US" w:eastAsia="zh-CN"/>
              </w:rPr>
              <w:t>2</w:t>
            </w:r>
          </w:p>
        </w:tc>
        <w:tc>
          <w:tcPr>
            <w:tcW w:w="2263" w:type="dxa"/>
            <w:vAlign w:val="center"/>
          </w:tcPr>
          <w:p>
            <w:pPr>
              <w:adjustRightInd w:val="0"/>
              <w:snapToGrid w:val="0"/>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75" w:type="dxa"/>
            <w:vAlign w:val="center"/>
          </w:tcPr>
          <w:p>
            <w:pPr>
              <w:adjustRightInd w:val="0"/>
              <w:snapToGrid w:val="0"/>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12</w:t>
            </w:r>
          </w:p>
        </w:tc>
        <w:tc>
          <w:tcPr>
            <w:tcW w:w="3195" w:type="dxa"/>
            <w:vAlign w:val="center"/>
          </w:tcPr>
          <w:p>
            <w:pPr>
              <w:widowControl/>
              <w:ind w:firstLine="0" w:firstLineChars="0"/>
              <w:jc w:val="center"/>
              <w:rPr>
                <w:rFonts w:hint="eastAsia"/>
                <w:color w:val="auto"/>
                <w:kern w:val="0"/>
                <w:sz w:val="21"/>
                <w:szCs w:val="21"/>
                <w:highlight w:val="none"/>
                <w:lang w:eastAsia="zh-CN"/>
              </w:rPr>
            </w:pPr>
            <w:r>
              <w:rPr>
                <w:rFonts w:hint="eastAsia"/>
                <w:color w:val="auto"/>
                <w:sz w:val="21"/>
                <w:szCs w:val="21"/>
                <w:highlight w:val="none"/>
                <w:lang w:eastAsia="zh-CN"/>
              </w:rPr>
              <w:t>强力反击破碎机</w:t>
            </w:r>
          </w:p>
        </w:tc>
        <w:tc>
          <w:tcPr>
            <w:tcW w:w="1113" w:type="dxa"/>
            <w:vAlign w:val="center"/>
          </w:tcPr>
          <w:p>
            <w:pPr>
              <w:adjustRightInd w:val="0"/>
              <w:snapToGrid w:val="0"/>
              <w:ind w:firstLine="0" w:firstLineChars="0"/>
              <w:jc w:val="center"/>
              <w:rPr>
                <w:rFonts w:hint="eastAsia"/>
                <w:color w:val="auto"/>
                <w:sz w:val="21"/>
                <w:szCs w:val="21"/>
                <w:highlight w:val="none"/>
                <w:lang w:eastAsia="zh-CN"/>
              </w:rPr>
            </w:pPr>
            <w:r>
              <w:rPr>
                <w:rFonts w:hint="eastAsia"/>
                <w:color w:val="auto"/>
                <w:sz w:val="21"/>
                <w:szCs w:val="21"/>
                <w:highlight w:val="none"/>
                <w:lang w:eastAsia="zh-CN"/>
              </w:rPr>
              <w:t>台</w:t>
            </w:r>
          </w:p>
        </w:tc>
        <w:tc>
          <w:tcPr>
            <w:tcW w:w="1114" w:type="dxa"/>
            <w:vAlign w:val="center"/>
          </w:tcPr>
          <w:p>
            <w:pPr>
              <w:pStyle w:val="62"/>
              <w:spacing w:line="360" w:lineRule="auto"/>
              <w:ind w:firstLine="0" w:firstLineChars="0"/>
              <w:rPr>
                <w:rFonts w:hint="eastAsia"/>
                <w:color w:val="auto"/>
                <w:sz w:val="21"/>
                <w:szCs w:val="21"/>
                <w:highlight w:val="none"/>
                <w:lang w:val="en-US" w:eastAsia="zh-CN"/>
              </w:rPr>
            </w:pPr>
            <w:r>
              <w:rPr>
                <w:rFonts w:hint="eastAsia"/>
                <w:color w:val="auto"/>
                <w:highlight w:val="none"/>
                <w:lang w:val="en-US" w:eastAsia="zh-CN"/>
              </w:rPr>
              <w:t>2</w:t>
            </w:r>
          </w:p>
        </w:tc>
        <w:tc>
          <w:tcPr>
            <w:tcW w:w="2263" w:type="dxa"/>
            <w:vAlign w:val="center"/>
          </w:tcPr>
          <w:p>
            <w:pPr>
              <w:adjustRightInd w:val="0"/>
              <w:snapToGrid w:val="0"/>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75" w:type="dxa"/>
            <w:vAlign w:val="center"/>
          </w:tcPr>
          <w:p>
            <w:pPr>
              <w:adjustRightInd w:val="0"/>
              <w:snapToGrid w:val="0"/>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13</w:t>
            </w:r>
          </w:p>
        </w:tc>
        <w:tc>
          <w:tcPr>
            <w:tcW w:w="3195" w:type="dxa"/>
            <w:vAlign w:val="center"/>
          </w:tcPr>
          <w:p>
            <w:pPr>
              <w:widowControl/>
              <w:ind w:firstLine="0" w:firstLineChars="0"/>
              <w:jc w:val="center"/>
              <w:rPr>
                <w:rFonts w:hint="eastAsia"/>
                <w:color w:val="auto"/>
                <w:kern w:val="0"/>
                <w:sz w:val="21"/>
                <w:szCs w:val="21"/>
                <w:highlight w:val="none"/>
                <w:lang w:eastAsia="zh-CN"/>
              </w:rPr>
            </w:pPr>
            <w:r>
              <w:rPr>
                <w:rFonts w:hint="eastAsia"/>
                <w:color w:val="auto"/>
                <w:sz w:val="21"/>
                <w:szCs w:val="21"/>
                <w:highlight w:val="none"/>
                <w:lang w:eastAsia="zh-CN"/>
              </w:rPr>
              <w:t>振动筛</w:t>
            </w:r>
          </w:p>
        </w:tc>
        <w:tc>
          <w:tcPr>
            <w:tcW w:w="1113" w:type="dxa"/>
            <w:vAlign w:val="center"/>
          </w:tcPr>
          <w:p>
            <w:pPr>
              <w:adjustRightInd w:val="0"/>
              <w:snapToGrid w:val="0"/>
              <w:ind w:firstLine="0" w:firstLineChars="0"/>
              <w:jc w:val="center"/>
              <w:rPr>
                <w:rFonts w:hint="eastAsia"/>
                <w:color w:val="auto"/>
                <w:sz w:val="21"/>
                <w:szCs w:val="21"/>
                <w:highlight w:val="none"/>
                <w:lang w:eastAsia="zh-CN"/>
              </w:rPr>
            </w:pPr>
            <w:r>
              <w:rPr>
                <w:rFonts w:hint="eastAsia"/>
                <w:color w:val="auto"/>
                <w:sz w:val="21"/>
                <w:szCs w:val="21"/>
                <w:highlight w:val="none"/>
                <w:lang w:eastAsia="zh-CN"/>
              </w:rPr>
              <w:t>台</w:t>
            </w:r>
          </w:p>
        </w:tc>
        <w:tc>
          <w:tcPr>
            <w:tcW w:w="1114" w:type="dxa"/>
            <w:vAlign w:val="center"/>
          </w:tcPr>
          <w:p>
            <w:pPr>
              <w:pStyle w:val="62"/>
              <w:spacing w:line="360" w:lineRule="auto"/>
              <w:ind w:firstLine="0" w:firstLineChars="0"/>
              <w:rPr>
                <w:rFonts w:hint="eastAsia"/>
                <w:color w:val="auto"/>
                <w:sz w:val="21"/>
                <w:szCs w:val="21"/>
                <w:highlight w:val="none"/>
                <w:lang w:val="en-US" w:eastAsia="zh-CN"/>
              </w:rPr>
            </w:pPr>
            <w:r>
              <w:rPr>
                <w:rFonts w:hint="eastAsia"/>
                <w:color w:val="auto"/>
                <w:highlight w:val="none"/>
                <w:lang w:val="en-US" w:eastAsia="zh-CN"/>
              </w:rPr>
              <w:t>2</w:t>
            </w:r>
          </w:p>
        </w:tc>
        <w:tc>
          <w:tcPr>
            <w:tcW w:w="2263" w:type="dxa"/>
            <w:vAlign w:val="center"/>
          </w:tcPr>
          <w:p>
            <w:pPr>
              <w:adjustRightInd w:val="0"/>
              <w:snapToGrid w:val="0"/>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75" w:type="dxa"/>
            <w:vAlign w:val="center"/>
          </w:tcPr>
          <w:p>
            <w:pPr>
              <w:adjustRightInd w:val="0"/>
              <w:snapToGrid w:val="0"/>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14</w:t>
            </w:r>
          </w:p>
        </w:tc>
        <w:tc>
          <w:tcPr>
            <w:tcW w:w="3195" w:type="dxa"/>
            <w:vAlign w:val="center"/>
          </w:tcPr>
          <w:p>
            <w:pPr>
              <w:pStyle w:val="62"/>
              <w:spacing w:line="360" w:lineRule="auto"/>
              <w:ind w:firstLine="0" w:firstLineChars="0"/>
              <w:rPr>
                <w:rFonts w:hint="eastAsia"/>
                <w:color w:val="auto"/>
                <w:kern w:val="0"/>
                <w:sz w:val="21"/>
                <w:szCs w:val="21"/>
                <w:highlight w:val="none"/>
                <w:lang w:eastAsia="zh-CN"/>
              </w:rPr>
            </w:pPr>
            <w:r>
              <w:rPr>
                <w:rFonts w:hint="eastAsia"/>
                <w:color w:val="auto"/>
                <w:highlight w:val="none"/>
                <w:lang w:eastAsia="zh-CN"/>
              </w:rPr>
              <w:t>振动筛</w:t>
            </w:r>
          </w:p>
        </w:tc>
        <w:tc>
          <w:tcPr>
            <w:tcW w:w="1113" w:type="dxa"/>
            <w:vAlign w:val="center"/>
          </w:tcPr>
          <w:p>
            <w:pPr>
              <w:adjustRightInd w:val="0"/>
              <w:snapToGrid w:val="0"/>
              <w:ind w:firstLine="0" w:firstLineChars="0"/>
              <w:jc w:val="center"/>
              <w:rPr>
                <w:rFonts w:hint="eastAsia"/>
                <w:color w:val="auto"/>
                <w:sz w:val="21"/>
                <w:szCs w:val="21"/>
                <w:highlight w:val="none"/>
                <w:lang w:eastAsia="zh-CN"/>
              </w:rPr>
            </w:pPr>
            <w:r>
              <w:rPr>
                <w:rFonts w:hint="eastAsia"/>
                <w:color w:val="auto"/>
                <w:sz w:val="21"/>
                <w:szCs w:val="21"/>
                <w:highlight w:val="none"/>
                <w:lang w:eastAsia="zh-CN"/>
              </w:rPr>
              <w:t>台</w:t>
            </w:r>
          </w:p>
        </w:tc>
        <w:tc>
          <w:tcPr>
            <w:tcW w:w="1114" w:type="dxa"/>
            <w:vAlign w:val="center"/>
          </w:tcPr>
          <w:p>
            <w:pPr>
              <w:pStyle w:val="62"/>
              <w:spacing w:line="360" w:lineRule="auto"/>
              <w:ind w:firstLine="0" w:firstLineChars="0"/>
              <w:rPr>
                <w:rFonts w:hint="eastAsia"/>
                <w:color w:val="auto"/>
                <w:sz w:val="21"/>
                <w:szCs w:val="21"/>
                <w:highlight w:val="none"/>
                <w:lang w:val="en-US" w:eastAsia="zh-CN"/>
              </w:rPr>
            </w:pPr>
            <w:r>
              <w:rPr>
                <w:rFonts w:hint="eastAsia"/>
                <w:color w:val="auto"/>
                <w:highlight w:val="none"/>
                <w:lang w:val="en-US" w:eastAsia="zh-CN"/>
              </w:rPr>
              <w:t>2</w:t>
            </w:r>
          </w:p>
        </w:tc>
        <w:tc>
          <w:tcPr>
            <w:tcW w:w="2263" w:type="dxa"/>
            <w:vAlign w:val="center"/>
          </w:tcPr>
          <w:p>
            <w:pPr>
              <w:adjustRightInd w:val="0"/>
              <w:snapToGrid w:val="0"/>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75" w:type="dxa"/>
            <w:vAlign w:val="center"/>
          </w:tcPr>
          <w:p>
            <w:pPr>
              <w:adjustRightInd w:val="0"/>
              <w:snapToGrid w:val="0"/>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15</w:t>
            </w:r>
          </w:p>
        </w:tc>
        <w:tc>
          <w:tcPr>
            <w:tcW w:w="3195" w:type="dxa"/>
            <w:vAlign w:val="center"/>
          </w:tcPr>
          <w:p>
            <w:pPr>
              <w:pStyle w:val="62"/>
              <w:spacing w:line="360" w:lineRule="auto"/>
              <w:ind w:firstLine="0" w:firstLineChars="0"/>
              <w:rPr>
                <w:rFonts w:hint="eastAsia"/>
                <w:color w:val="auto"/>
                <w:kern w:val="0"/>
                <w:sz w:val="21"/>
                <w:szCs w:val="21"/>
                <w:highlight w:val="none"/>
                <w:lang w:eastAsia="zh-CN"/>
              </w:rPr>
            </w:pPr>
            <w:r>
              <w:rPr>
                <w:rFonts w:hint="eastAsia"/>
                <w:color w:val="auto"/>
                <w:highlight w:val="none"/>
                <w:lang w:eastAsia="zh-CN"/>
              </w:rPr>
              <w:t>振动筛</w:t>
            </w:r>
          </w:p>
        </w:tc>
        <w:tc>
          <w:tcPr>
            <w:tcW w:w="1113" w:type="dxa"/>
            <w:vAlign w:val="center"/>
          </w:tcPr>
          <w:p>
            <w:pPr>
              <w:adjustRightInd w:val="0"/>
              <w:snapToGrid w:val="0"/>
              <w:ind w:firstLine="0" w:firstLineChars="0"/>
              <w:jc w:val="center"/>
              <w:rPr>
                <w:rFonts w:hint="eastAsia"/>
                <w:color w:val="auto"/>
                <w:sz w:val="21"/>
                <w:szCs w:val="21"/>
                <w:highlight w:val="none"/>
                <w:lang w:eastAsia="zh-CN"/>
              </w:rPr>
            </w:pPr>
            <w:r>
              <w:rPr>
                <w:rFonts w:hint="eastAsia"/>
                <w:color w:val="auto"/>
                <w:sz w:val="21"/>
                <w:szCs w:val="21"/>
                <w:highlight w:val="none"/>
                <w:lang w:eastAsia="zh-CN"/>
              </w:rPr>
              <w:t>台</w:t>
            </w:r>
          </w:p>
        </w:tc>
        <w:tc>
          <w:tcPr>
            <w:tcW w:w="1114" w:type="dxa"/>
            <w:vAlign w:val="center"/>
          </w:tcPr>
          <w:p>
            <w:pPr>
              <w:pStyle w:val="62"/>
              <w:spacing w:line="360" w:lineRule="auto"/>
              <w:ind w:firstLine="0" w:firstLineChars="0"/>
              <w:rPr>
                <w:rFonts w:hint="eastAsia"/>
                <w:color w:val="auto"/>
                <w:sz w:val="21"/>
                <w:szCs w:val="21"/>
                <w:highlight w:val="none"/>
                <w:lang w:val="en-US" w:eastAsia="zh-CN"/>
              </w:rPr>
            </w:pPr>
            <w:r>
              <w:rPr>
                <w:rFonts w:hint="eastAsia"/>
                <w:color w:val="auto"/>
                <w:highlight w:val="none"/>
                <w:lang w:val="en-US" w:eastAsia="zh-CN"/>
              </w:rPr>
              <w:t>2</w:t>
            </w:r>
          </w:p>
        </w:tc>
        <w:tc>
          <w:tcPr>
            <w:tcW w:w="2263" w:type="dxa"/>
            <w:vAlign w:val="center"/>
          </w:tcPr>
          <w:p>
            <w:pPr>
              <w:adjustRightInd w:val="0"/>
              <w:snapToGrid w:val="0"/>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75" w:type="dxa"/>
            <w:vAlign w:val="center"/>
          </w:tcPr>
          <w:p>
            <w:pPr>
              <w:adjustRightInd w:val="0"/>
              <w:snapToGrid w:val="0"/>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16</w:t>
            </w:r>
          </w:p>
        </w:tc>
        <w:tc>
          <w:tcPr>
            <w:tcW w:w="3195" w:type="dxa"/>
            <w:vAlign w:val="center"/>
          </w:tcPr>
          <w:p>
            <w:pPr>
              <w:widowControl/>
              <w:ind w:firstLine="0" w:firstLineChars="0"/>
              <w:jc w:val="center"/>
              <w:rPr>
                <w:rFonts w:hint="eastAsia"/>
                <w:color w:val="auto"/>
                <w:kern w:val="0"/>
                <w:sz w:val="21"/>
                <w:szCs w:val="21"/>
                <w:highlight w:val="none"/>
                <w:lang w:eastAsia="zh-CN"/>
              </w:rPr>
            </w:pPr>
            <w:r>
              <w:rPr>
                <w:rFonts w:hint="eastAsia"/>
                <w:color w:val="auto"/>
                <w:sz w:val="21"/>
                <w:szCs w:val="21"/>
                <w:highlight w:val="none"/>
                <w:lang w:eastAsia="zh-CN"/>
              </w:rPr>
              <w:t>负压抽风机</w:t>
            </w:r>
          </w:p>
        </w:tc>
        <w:tc>
          <w:tcPr>
            <w:tcW w:w="1113" w:type="dxa"/>
            <w:vAlign w:val="center"/>
          </w:tcPr>
          <w:p>
            <w:pPr>
              <w:adjustRightInd w:val="0"/>
              <w:snapToGrid w:val="0"/>
              <w:ind w:firstLine="0" w:firstLineChars="0"/>
              <w:jc w:val="center"/>
              <w:rPr>
                <w:rFonts w:hint="eastAsia"/>
                <w:color w:val="auto"/>
                <w:sz w:val="21"/>
                <w:szCs w:val="21"/>
                <w:highlight w:val="none"/>
                <w:lang w:eastAsia="zh-CN"/>
              </w:rPr>
            </w:pPr>
            <w:r>
              <w:rPr>
                <w:rFonts w:hint="eastAsia"/>
                <w:color w:val="auto"/>
                <w:sz w:val="21"/>
                <w:szCs w:val="21"/>
                <w:highlight w:val="none"/>
                <w:lang w:eastAsia="zh-CN"/>
              </w:rPr>
              <w:t>台</w:t>
            </w:r>
          </w:p>
        </w:tc>
        <w:tc>
          <w:tcPr>
            <w:tcW w:w="1114" w:type="dxa"/>
            <w:vAlign w:val="center"/>
          </w:tcPr>
          <w:p>
            <w:pPr>
              <w:pStyle w:val="62"/>
              <w:spacing w:line="360" w:lineRule="auto"/>
              <w:ind w:firstLine="0" w:firstLineChars="0"/>
              <w:rPr>
                <w:rFonts w:hint="eastAsia"/>
                <w:color w:val="auto"/>
                <w:sz w:val="21"/>
                <w:szCs w:val="21"/>
                <w:highlight w:val="none"/>
                <w:lang w:val="en-US" w:eastAsia="zh-CN"/>
              </w:rPr>
            </w:pPr>
            <w:r>
              <w:rPr>
                <w:rFonts w:hint="eastAsia"/>
                <w:color w:val="auto"/>
                <w:highlight w:val="none"/>
                <w:lang w:val="en-US" w:eastAsia="zh-CN"/>
              </w:rPr>
              <w:t>2</w:t>
            </w:r>
          </w:p>
        </w:tc>
        <w:tc>
          <w:tcPr>
            <w:tcW w:w="2263" w:type="dxa"/>
            <w:vAlign w:val="center"/>
          </w:tcPr>
          <w:p>
            <w:pPr>
              <w:adjustRightInd w:val="0"/>
              <w:snapToGrid w:val="0"/>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85</w:t>
            </w:r>
          </w:p>
        </w:tc>
      </w:tr>
    </w:tbl>
    <w:p>
      <w:pPr>
        <w:ind w:left="0" w:leftChars="0" w:firstLine="0" w:firstLineChars="0"/>
        <w:rPr>
          <w:highlight w:val="none"/>
        </w:rPr>
      </w:pPr>
    </w:p>
    <w:p>
      <w:pPr>
        <w:pStyle w:val="6"/>
        <w:ind w:firstLine="482"/>
        <w:rPr>
          <w:rFonts w:cs="Times New Roman"/>
          <w:highlight w:val="none"/>
        </w:rPr>
      </w:pPr>
      <w:r>
        <w:rPr>
          <w:rFonts w:hint="eastAsia" w:cs="Times New Roman"/>
          <w:highlight w:val="none"/>
          <w:lang w:val="en-US" w:eastAsia="zh-CN"/>
        </w:rPr>
        <w:t>3</w:t>
      </w:r>
      <w:r>
        <w:rPr>
          <w:rFonts w:hint="eastAsia" w:cs="Times New Roman"/>
          <w:highlight w:val="none"/>
        </w:rPr>
        <w:t>.3.2.4固废</w:t>
      </w:r>
    </w:p>
    <w:p>
      <w:pPr>
        <w:autoSpaceDE w:val="0"/>
        <w:autoSpaceDN w:val="0"/>
        <w:adjustRightInd w:val="0"/>
        <w:ind w:firstLine="480"/>
        <w:rPr>
          <w:rFonts w:hint="eastAsia" w:ascii="Times New Roman" w:hAnsi="Times New Roman" w:cs="Times New Roman"/>
          <w:color w:val="auto"/>
          <w:highlight w:val="none"/>
          <w:lang w:val="en-US" w:eastAsia="zh-CN"/>
        </w:rPr>
      </w:pPr>
      <w:r>
        <w:rPr>
          <w:rFonts w:ascii="Times New Roman" w:hAnsi="Times New Roman" w:eastAsia="宋体"/>
          <w:highlight w:val="none"/>
        </w:rPr>
        <w:t>项目运营期固体废物主要有废渣、表土、沉淀池污泥、废机油以及生活垃圾</w:t>
      </w:r>
      <w:r>
        <w:rPr>
          <w:rFonts w:hint="eastAsia" w:ascii="Times New Roman" w:hAnsi="Times New Roman" w:cs="Times New Roman"/>
          <w:color w:val="auto"/>
          <w:highlight w:val="none"/>
          <w:lang w:val="en-US" w:eastAsia="zh-CN"/>
        </w:rPr>
        <w:t>。</w:t>
      </w:r>
    </w:p>
    <w:p>
      <w:pPr>
        <w:autoSpaceDE w:val="0"/>
        <w:autoSpaceDN w:val="0"/>
        <w:adjustRightInd w:val="0"/>
        <w:ind w:firstLine="480"/>
        <w:rPr>
          <w:rFonts w:hint="eastAsia"/>
          <w:color w:val="auto"/>
          <w:highlight w:val="none"/>
        </w:rPr>
      </w:pPr>
      <w:r>
        <w:rPr>
          <w:rFonts w:hint="eastAsia"/>
          <w:color w:val="auto"/>
          <w:highlight w:val="none"/>
        </w:rPr>
        <w:t>1、一般工业固体废物</w:t>
      </w:r>
    </w:p>
    <w:p>
      <w:pPr>
        <w:autoSpaceDE w:val="0"/>
        <w:autoSpaceDN w:val="0"/>
        <w:adjustRightInd w:val="0"/>
        <w:ind w:firstLine="480"/>
        <w:rPr>
          <w:rFonts w:hint="eastAsia"/>
          <w:color w:val="auto"/>
          <w:highlight w:val="none"/>
        </w:rPr>
      </w:pPr>
      <w:r>
        <w:rPr>
          <w:rFonts w:hint="eastAsia"/>
          <w:color w:val="auto"/>
          <w:highlight w:val="none"/>
        </w:rPr>
        <w:t>（1）剥离表土</w:t>
      </w:r>
    </w:p>
    <w:p>
      <w:pPr>
        <w:autoSpaceDE w:val="0"/>
        <w:autoSpaceDN w:val="0"/>
        <w:adjustRightInd w:val="0"/>
        <w:ind w:firstLine="480"/>
        <w:rPr>
          <w:rFonts w:hint="eastAsia"/>
          <w:color w:val="auto"/>
          <w:highlight w:val="none"/>
        </w:rPr>
      </w:pPr>
      <w:r>
        <w:rPr>
          <w:rFonts w:hint="eastAsia"/>
          <w:color w:val="auto"/>
          <w:highlight w:val="none"/>
        </w:rPr>
        <w:t>项目将根据开采进度对露天采场依次进行表土剥离，直至服务期满，项目矿区面积为0.</w:t>
      </w:r>
      <w:r>
        <w:rPr>
          <w:rFonts w:hint="eastAsia"/>
          <w:color w:val="auto"/>
          <w:highlight w:val="none"/>
          <w:lang w:val="en-US" w:eastAsia="zh-CN"/>
        </w:rPr>
        <w:t>095</w:t>
      </w:r>
      <w:r>
        <w:rPr>
          <w:rFonts w:hint="eastAsia"/>
          <w:color w:val="auto"/>
          <w:highlight w:val="none"/>
        </w:rPr>
        <w:t>km²，</w:t>
      </w:r>
      <w:r>
        <w:rPr>
          <w:rFonts w:hint="eastAsia"/>
          <w:color w:val="auto"/>
          <w:highlight w:val="none"/>
          <w:lang w:eastAsia="zh-CN"/>
        </w:rPr>
        <w:t>项目为新建矿山</w:t>
      </w:r>
      <w:r>
        <w:rPr>
          <w:rFonts w:hint="eastAsia"/>
          <w:color w:val="auto"/>
          <w:highlight w:val="none"/>
        </w:rPr>
        <w:t>，</w:t>
      </w:r>
      <w:r>
        <w:rPr>
          <w:rFonts w:hint="eastAsia"/>
          <w:color w:val="auto"/>
          <w:highlight w:val="none"/>
          <w:lang w:eastAsia="zh-CN"/>
        </w:rPr>
        <w:t>矿山</w:t>
      </w:r>
      <w:r>
        <w:rPr>
          <w:rFonts w:hint="eastAsia"/>
          <w:color w:val="auto"/>
          <w:highlight w:val="none"/>
        </w:rPr>
        <w:t>地表未进行扰动，未扰动面积为0.0</w:t>
      </w:r>
      <w:r>
        <w:rPr>
          <w:rFonts w:hint="eastAsia"/>
          <w:color w:val="auto"/>
          <w:highlight w:val="none"/>
          <w:lang w:val="en-US" w:eastAsia="zh-CN"/>
        </w:rPr>
        <w:t>95</w:t>
      </w:r>
      <w:r>
        <w:rPr>
          <w:rFonts w:hint="eastAsia"/>
          <w:color w:val="auto"/>
          <w:highlight w:val="none"/>
        </w:rPr>
        <w:t>km²，</w:t>
      </w:r>
      <w:r>
        <w:rPr>
          <w:rFonts w:hint="eastAsia"/>
          <w:color w:val="auto"/>
          <w:highlight w:val="none"/>
          <w:lang w:eastAsia="zh-CN"/>
        </w:rPr>
        <w:t>矿体裸露地表，不需要进行剥离作业</w:t>
      </w:r>
      <w:r>
        <w:rPr>
          <w:rFonts w:hint="eastAsia"/>
          <w:color w:val="auto"/>
          <w:highlight w:val="none"/>
        </w:rPr>
        <w:t>。</w:t>
      </w:r>
    </w:p>
    <w:p>
      <w:pPr>
        <w:autoSpaceDE w:val="0"/>
        <w:autoSpaceDN w:val="0"/>
        <w:adjustRightInd w:val="0"/>
        <w:ind w:firstLine="480"/>
        <w:rPr>
          <w:rFonts w:hint="eastAsia"/>
          <w:color w:val="auto"/>
          <w:highlight w:val="none"/>
        </w:rPr>
      </w:pPr>
      <w:r>
        <w:rPr>
          <w:rFonts w:hint="eastAsia"/>
          <w:color w:val="auto"/>
          <w:highlight w:val="none"/>
        </w:rPr>
        <w:t>（2）废土石方</w:t>
      </w:r>
    </w:p>
    <w:p>
      <w:pPr>
        <w:autoSpaceDE w:val="0"/>
        <w:autoSpaceDN w:val="0"/>
        <w:adjustRightInd w:val="0"/>
        <w:ind w:firstLine="480"/>
        <w:rPr>
          <w:rFonts w:hint="eastAsia"/>
          <w:color w:val="auto"/>
          <w:highlight w:val="none"/>
        </w:rPr>
      </w:pPr>
      <w:r>
        <w:rPr>
          <w:rFonts w:hint="eastAsia"/>
          <w:color w:val="auto"/>
          <w:highlight w:val="none"/>
        </w:rPr>
        <w:t>项目本次设计可采资源量为</w:t>
      </w:r>
      <w:r>
        <w:rPr>
          <w:rFonts w:hint="eastAsia" w:ascii="Times New Roman" w:hAnsi="Times New Roman"/>
          <w:color w:val="auto"/>
          <w:highlight w:val="none"/>
        </w:rPr>
        <w:t>81.54万m</w:t>
      </w:r>
      <w:r>
        <w:rPr>
          <w:rFonts w:hint="eastAsia" w:ascii="Times New Roman" w:hAnsi="Times New Roman"/>
          <w:color w:val="auto"/>
          <w:highlight w:val="none"/>
          <w:vertAlign w:val="superscript"/>
        </w:rPr>
        <w:t>3</w:t>
      </w:r>
      <w:r>
        <w:rPr>
          <w:rFonts w:hint="eastAsia" w:ascii="Times New Roman" w:hAnsi="Times New Roman"/>
          <w:color w:val="auto"/>
          <w:highlight w:val="none"/>
        </w:rPr>
        <w:t>(203.85万t)</w:t>
      </w:r>
      <w:r>
        <w:rPr>
          <w:rFonts w:hint="eastAsia"/>
          <w:color w:val="auto"/>
          <w:highlight w:val="none"/>
        </w:rPr>
        <w:t>，回釆率95%，采出矿石量为</w:t>
      </w:r>
      <w:r>
        <w:rPr>
          <w:rFonts w:hint="eastAsia"/>
          <w:color w:val="auto"/>
          <w:highlight w:val="none"/>
          <w:lang w:val="en-US" w:eastAsia="zh-CN"/>
        </w:rPr>
        <w:t>77.46</w:t>
      </w:r>
      <w:r>
        <w:rPr>
          <w:rFonts w:hint="eastAsia"/>
          <w:color w:val="auto"/>
          <w:highlight w:val="none"/>
        </w:rPr>
        <w:t xml:space="preserve"> 万m³；则废土石量为</w:t>
      </w:r>
      <w:r>
        <w:rPr>
          <w:rFonts w:hint="eastAsia"/>
          <w:color w:val="auto"/>
          <w:highlight w:val="none"/>
          <w:lang w:val="en-US" w:eastAsia="zh-CN"/>
        </w:rPr>
        <w:t>4.08</w:t>
      </w:r>
      <w:r>
        <w:rPr>
          <w:rFonts w:hint="eastAsia"/>
          <w:color w:val="auto"/>
          <w:highlight w:val="none"/>
        </w:rPr>
        <w:t>万m³，项目拟设计容量约</w:t>
      </w:r>
      <w:r>
        <w:rPr>
          <w:rFonts w:hint="eastAsia"/>
          <w:color w:val="auto"/>
          <w:highlight w:val="none"/>
          <w:lang w:val="en-US" w:eastAsia="zh-CN"/>
        </w:rPr>
        <w:t>6.5</w:t>
      </w:r>
      <w:r>
        <w:rPr>
          <w:rFonts w:hint="eastAsia"/>
          <w:color w:val="auto"/>
          <w:highlight w:val="none"/>
        </w:rPr>
        <w:t>万m³的</w:t>
      </w:r>
      <w:r>
        <w:rPr>
          <w:rFonts w:hint="eastAsia"/>
          <w:color w:val="auto"/>
          <w:highlight w:val="none"/>
          <w:lang w:eastAsia="zh-CN"/>
        </w:rPr>
        <w:t>排土场</w:t>
      </w:r>
      <w:r>
        <w:rPr>
          <w:rFonts w:hint="eastAsia"/>
          <w:color w:val="auto"/>
          <w:highlight w:val="none"/>
        </w:rPr>
        <w:t>对废土石方进行堆存，用于后期采空区回填。</w:t>
      </w:r>
    </w:p>
    <w:p>
      <w:pPr>
        <w:autoSpaceDE w:val="0"/>
        <w:autoSpaceDN w:val="0"/>
        <w:adjustRightInd w:val="0"/>
        <w:ind w:firstLine="480"/>
        <w:rPr>
          <w:rFonts w:hint="eastAsia"/>
          <w:color w:val="auto"/>
          <w:highlight w:val="none"/>
        </w:rPr>
      </w:pPr>
      <w:r>
        <w:rPr>
          <w:rFonts w:hint="eastAsia"/>
          <w:color w:val="auto"/>
          <w:highlight w:val="none"/>
        </w:rPr>
        <w:t>（3）沉淀池污泥</w:t>
      </w:r>
    </w:p>
    <w:p>
      <w:pPr>
        <w:autoSpaceDE w:val="0"/>
        <w:autoSpaceDN w:val="0"/>
        <w:adjustRightInd w:val="0"/>
        <w:ind w:firstLine="480"/>
        <w:rPr>
          <w:rFonts w:hint="eastAsia"/>
          <w:color w:val="auto"/>
          <w:highlight w:val="none"/>
        </w:rPr>
      </w:pPr>
      <w:r>
        <w:rPr>
          <w:rFonts w:hint="eastAsia"/>
          <w:color w:val="auto"/>
          <w:highlight w:val="none"/>
        </w:rPr>
        <w:t>初期雨水沉淀池和</w:t>
      </w:r>
      <w:r>
        <w:rPr>
          <w:rFonts w:hint="eastAsia"/>
          <w:color w:val="auto"/>
          <w:highlight w:val="none"/>
          <w:lang w:eastAsia="zh-CN"/>
        </w:rPr>
        <w:t>排土场</w:t>
      </w:r>
      <w:r>
        <w:rPr>
          <w:rFonts w:hint="eastAsia"/>
          <w:color w:val="auto"/>
          <w:highlight w:val="none"/>
        </w:rPr>
        <w:t>淋滤废水沉淀池污泥年产生量约为</w:t>
      </w:r>
      <w:r>
        <w:rPr>
          <w:rFonts w:hint="eastAsia"/>
          <w:color w:val="auto"/>
          <w:highlight w:val="none"/>
          <w:lang w:val="en-US" w:eastAsia="zh-CN"/>
        </w:rPr>
        <w:t>3.8</w:t>
      </w:r>
      <w:r>
        <w:rPr>
          <w:rFonts w:hint="eastAsia"/>
          <w:color w:val="auto"/>
          <w:highlight w:val="none"/>
        </w:rPr>
        <w:t>t，沉淀池污泥定期清理至</w:t>
      </w:r>
      <w:r>
        <w:rPr>
          <w:rFonts w:hint="eastAsia"/>
          <w:color w:val="auto"/>
          <w:highlight w:val="none"/>
          <w:lang w:eastAsia="zh-CN"/>
        </w:rPr>
        <w:t>排土场</w:t>
      </w:r>
      <w:r>
        <w:rPr>
          <w:rFonts w:hint="eastAsia"/>
          <w:color w:val="auto"/>
          <w:highlight w:val="none"/>
        </w:rPr>
        <w:t>，用于后期复垦。</w:t>
      </w:r>
    </w:p>
    <w:p>
      <w:pPr>
        <w:autoSpaceDE w:val="0"/>
        <w:autoSpaceDN w:val="0"/>
        <w:adjustRightInd w:val="0"/>
        <w:ind w:firstLine="480"/>
        <w:rPr>
          <w:rFonts w:hint="eastAsia"/>
          <w:color w:val="auto"/>
          <w:highlight w:val="none"/>
        </w:rPr>
      </w:pPr>
      <w:r>
        <w:rPr>
          <w:rFonts w:hint="eastAsia"/>
          <w:color w:val="auto"/>
          <w:highlight w:val="none"/>
        </w:rPr>
        <w:t>（4）除尘器收尘灰</w:t>
      </w:r>
    </w:p>
    <w:p>
      <w:pPr>
        <w:autoSpaceDE w:val="0"/>
        <w:autoSpaceDN w:val="0"/>
        <w:adjustRightInd w:val="0"/>
        <w:ind w:firstLine="480"/>
        <w:rPr>
          <w:color w:val="auto"/>
          <w:highlight w:val="none"/>
        </w:rPr>
      </w:pPr>
      <w:r>
        <w:rPr>
          <w:rFonts w:hint="eastAsia"/>
          <w:color w:val="auto"/>
          <w:highlight w:val="none"/>
        </w:rPr>
        <w:t>根据污染源强核算，矿石破碎加工过程中破碎和筛分设备配套的袋式除尘器收集的粉尘量约为</w:t>
      </w:r>
      <w:r>
        <w:rPr>
          <w:rFonts w:hint="eastAsia"/>
          <w:color w:val="auto"/>
          <w:highlight w:val="none"/>
          <w:lang w:val="en-US" w:eastAsia="zh-CN"/>
        </w:rPr>
        <w:t>17.98</w:t>
      </w:r>
      <w:r>
        <w:rPr>
          <w:rFonts w:hint="eastAsia"/>
          <w:color w:val="auto"/>
          <w:highlight w:val="none"/>
        </w:rPr>
        <w:t>t/a，经收集后作为石粉外售。</w:t>
      </w:r>
    </w:p>
    <w:p>
      <w:pPr>
        <w:autoSpaceDE w:val="0"/>
        <w:autoSpaceDN w:val="0"/>
        <w:adjustRightInd w:val="0"/>
        <w:ind w:firstLine="480"/>
        <w:rPr>
          <w:rFonts w:hint="eastAsia"/>
          <w:color w:val="auto"/>
          <w:highlight w:val="none"/>
        </w:rPr>
      </w:pPr>
      <w:r>
        <w:rPr>
          <w:rFonts w:hint="eastAsia"/>
          <w:color w:val="auto"/>
          <w:highlight w:val="none"/>
        </w:rPr>
        <w:t>2、危险废物</w:t>
      </w:r>
    </w:p>
    <w:p>
      <w:pPr>
        <w:autoSpaceDE w:val="0"/>
        <w:autoSpaceDN w:val="0"/>
        <w:adjustRightInd w:val="0"/>
        <w:ind w:firstLine="480"/>
        <w:rPr>
          <w:rFonts w:hint="eastAsia" w:eastAsia="宋体"/>
          <w:color w:val="auto"/>
          <w:highlight w:val="none"/>
          <w:lang w:eastAsia="zh-CN"/>
        </w:rPr>
      </w:pPr>
      <w:r>
        <w:rPr>
          <w:rFonts w:hint="eastAsia"/>
          <w:color w:val="auto"/>
          <w:highlight w:val="none"/>
        </w:rPr>
        <w:t>项目设置机修车间（1间，</w:t>
      </w:r>
      <w:r>
        <w:rPr>
          <w:rFonts w:hint="eastAsia"/>
          <w:color w:val="auto"/>
          <w:highlight w:val="none"/>
          <w:lang w:val="en-US" w:eastAsia="zh-CN"/>
        </w:rPr>
        <w:t>1</w:t>
      </w:r>
      <w:r>
        <w:rPr>
          <w:rFonts w:hint="eastAsia"/>
          <w:color w:val="auto"/>
          <w:highlight w:val="none"/>
        </w:rPr>
        <w:t>00m</w:t>
      </w:r>
      <w:r>
        <w:rPr>
          <w:rFonts w:hint="eastAsia"/>
          <w:color w:val="auto"/>
          <w:highlight w:val="none"/>
          <w:vertAlign w:val="superscript"/>
        </w:rPr>
        <w:t>2</w:t>
      </w:r>
      <w:r>
        <w:rPr>
          <w:rFonts w:hint="eastAsia"/>
          <w:color w:val="auto"/>
          <w:highlight w:val="none"/>
        </w:rPr>
        <w:t>），用于简单维修，维修过程中将产生少量废机油，根据《机械设备维修行业产排污系数》废机油（HW08危险废物）的产污系数：0.9千克/台计算，项目共有</w:t>
      </w:r>
      <w:r>
        <w:rPr>
          <w:rFonts w:hint="eastAsia"/>
          <w:color w:val="auto"/>
          <w:highlight w:val="none"/>
          <w:lang w:val="en-US" w:eastAsia="zh-CN"/>
        </w:rPr>
        <w:t>46</w:t>
      </w:r>
      <w:r>
        <w:rPr>
          <w:rFonts w:hint="eastAsia"/>
          <w:color w:val="auto"/>
          <w:highlight w:val="none"/>
        </w:rPr>
        <w:t xml:space="preserve">台机械设备，按一年更换两次计算，则废机油产生量约为 </w:t>
      </w:r>
      <w:r>
        <w:rPr>
          <w:rFonts w:hint="eastAsia"/>
          <w:color w:val="auto"/>
          <w:highlight w:val="none"/>
          <w:lang w:val="en-US" w:eastAsia="zh-CN"/>
        </w:rPr>
        <w:t>0.08</w:t>
      </w:r>
      <w:r>
        <w:rPr>
          <w:rFonts w:hint="eastAsia"/>
          <w:color w:val="auto"/>
          <w:highlight w:val="none"/>
        </w:rPr>
        <w:t>t/a，专用桶收集后暂存于项目破碎区危废暂存间（1间，10m</w:t>
      </w:r>
      <w:r>
        <w:rPr>
          <w:rFonts w:hint="eastAsia"/>
          <w:color w:val="auto"/>
          <w:highlight w:val="none"/>
          <w:vertAlign w:val="superscript"/>
        </w:rPr>
        <w:t>2</w:t>
      </w:r>
      <w:r>
        <w:rPr>
          <w:rFonts w:hint="eastAsia"/>
          <w:color w:val="auto"/>
          <w:highlight w:val="none"/>
        </w:rPr>
        <w:t>），定期委托有资质单位处置</w:t>
      </w:r>
      <w:r>
        <w:rPr>
          <w:rFonts w:hint="eastAsia"/>
          <w:color w:val="auto"/>
          <w:highlight w:val="none"/>
          <w:lang w:eastAsia="zh-CN"/>
        </w:rPr>
        <w:t>。</w:t>
      </w:r>
    </w:p>
    <w:p>
      <w:pPr>
        <w:pStyle w:val="17"/>
        <w:ind w:firstLine="480"/>
        <w:rPr>
          <w:rFonts w:hint="eastAsia" w:ascii="Times New Roman" w:hAnsi="Times New Roman"/>
          <w:color w:val="auto"/>
          <w:highlight w:val="none"/>
          <w:lang w:eastAsia="zh-CN"/>
        </w:rPr>
      </w:pPr>
      <w:r>
        <w:rPr>
          <w:rFonts w:hint="eastAsia" w:ascii="Times New Roman" w:hAnsi="Times New Roman"/>
          <w:color w:val="auto"/>
          <w:highlight w:val="none"/>
          <w:lang w:eastAsia="zh-CN"/>
        </w:rPr>
        <w:t>3、生活垃圾</w:t>
      </w:r>
    </w:p>
    <w:p>
      <w:pPr>
        <w:pStyle w:val="17"/>
        <w:ind w:firstLine="480"/>
        <w:rPr>
          <w:rFonts w:hint="eastAsia" w:ascii="Times New Roman" w:hAnsi="Times New Roman"/>
          <w:color w:val="FF0000"/>
          <w:highlight w:val="none"/>
          <w:lang w:eastAsia="zh-CN"/>
        </w:rPr>
      </w:pPr>
      <w:r>
        <w:rPr>
          <w:rFonts w:hint="eastAsia" w:ascii="Times New Roman" w:hAnsi="Times New Roman"/>
          <w:color w:val="auto"/>
          <w:highlight w:val="none"/>
          <w:lang w:eastAsia="zh-CN"/>
        </w:rPr>
        <w:t>项目劳动定员为20人，生活垃圾按0.5kg/人·d计，则生活垃圾产生量约10kg/d（3t/a），垃圾桶收集后，定期外运至卡子村指定垃圾堆放地点，由环卫部门清运处置。</w:t>
      </w:r>
    </w:p>
    <w:p>
      <w:pPr>
        <w:pStyle w:val="17"/>
        <w:ind w:firstLine="480"/>
        <w:rPr>
          <w:rFonts w:ascii="Times New Roman" w:hAnsi="Times New Roman"/>
          <w:highlight w:val="none"/>
        </w:rPr>
      </w:pPr>
      <w:r>
        <w:rPr>
          <w:rFonts w:hint="eastAsia" w:ascii="Times New Roman" w:hAnsi="Times New Roman"/>
          <w:highlight w:val="none"/>
          <w:lang w:eastAsia="zh-CN"/>
        </w:rPr>
        <w:t>综上，项目固体废物产排污情况见表</w:t>
      </w:r>
      <w:r>
        <w:rPr>
          <w:rFonts w:hint="eastAsia" w:ascii="Times New Roman" w:hAnsi="Times New Roman"/>
          <w:highlight w:val="none"/>
          <w:lang w:val="en-US" w:eastAsia="zh-CN"/>
        </w:rPr>
        <w:t>3.3-4</w:t>
      </w:r>
      <w:r>
        <w:rPr>
          <w:rFonts w:hint="eastAsia" w:ascii="Times New Roman" w:hAnsi="Times New Roman"/>
          <w:highlight w:val="none"/>
        </w:rPr>
        <w:t>。</w:t>
      </w:r>
    </w:p>
    <w:p>
      <w:pPr>
        <w:pStyle w:val="17"/>
        <w:ind w:firstLine="0" w:firstLineChars="0"/>
        <w:jc w:val="center"/>
        <w:rPr>
          <w:rFonts w:ascii="Times New Roman" w:hAnsi="Times New Roman"/>
          <w:b/>
          <w:bCs/>
          <w:sz w:val="21"/>
          <w:szCs w:val="21"/>
          <w:highlight w:val="none"/>
        </w:rPr>
      </w:pPr>
      <w:r>
        <w:rPr>
          <w:rFonts w:hint="eastAsia" w:ascii="Times New Roman" w:hAnsi="Times New Roman"/>
          <w:b/>
          <w:bCs/>
          <w:sz w:val="21"/>
          <w:szCs w:val="21"/>
          <w:highlight w:val="none"/>
        </w:rPr>
        <w:t>表</w:t>
      </w:r>
      <w:r>
        <w:rPr>
          <w:rFonts w:hint="eastAsia" w:ascii="Times New Roman" w:hAnsi="Times New Roman"/>
          <w:b/>
          <w:bCs/>
          <w:sz w:val="21"/>
          <w:szCs w:val="21"/>
          <w:highlight w:val="none"/>
          <w:lang w:val="en-US" w:eastAsia="zh-CN"/>
        </w:rPr>
        <w:t>3.3-4</w:t>
      </w:r>
      <w:r>
        <w:rPr>
          <w:rFonts w:hint="eastAsia" w:ascii="Times New Roman" w:hAnsi="Times New Roman"/>
          <w:b/>
          <w:bCs/>
          <w:sz w:val="21"/>
          <w:szCs w:val="21"/>
          <w:highlight w:val="none"/>
        </w:rPr>
        <w:t xml:space="preserve">   固体废物产、排情况及污染防治措施一览表</w:t>
      </w:r>
    </w:p>
    <w:tbl>
      <w:tblPr>
        <w:tblStyle w:val="29"/>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7"/>
        <w:gridCol w:w="1271"/>
        <w:gridCol w:w="1498"/>
        <w:gridCol w:w="1050"/>
        <w:gridCol w:w="3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67" w:type="dxa"/>
            <w:shd w:val="clear" w:color="auto" w:fill="auto"/>
            <w:vAlign w:val="center"/>
          </w:tcPr>
          <w:p>
            <w:pPr>
              <w:pStyle w:val="17"/>
              <w:ind w:firstLine="0" w:firstLineChars="0"/>
              <w:jc w:val="center"/>
              <w:rPr>
                <w:rFonts w:ascii="Times New Roman" w:hAnsi="Times New Roman"/>
                <w:b/>
                <w:bCs/>
                <w:sz w:val="21"/>
                <w:szCs w:val="21"/>
                <w:highlight w:val="none"/>
              </w:rPr>
            </w:pPr>
            <w:r>
              <w:rPr>
                <w:rFonts w:hint="eastAsia" w:ascii="Times New Roman" w:hAnsi="Times New Roman"/>
                <w:b/>
                <w:bCs/>
                <w:sz w:val="21"/>
                <w:szCs w:val="21"/>
                <w:highlight w:val="none"/>
              </w:rPr>
              <w:t>污染源</w:t>
            </w:r>
          </w:p>
        </w:tc>
        <w:tc>
          <w:tcPr>
            <w:tcW w:w="1271" w:type="dxa"/>
            <w:shd w:val="clear" w:color="auto" w:fill="auto"/>
            <w:vAlign w:val="center"/>
          </w:tcPr>
          <w:p>
            <w:pPr>
              <w:pStyle w:val="17"/>
              <w:ind w:firstLine="0" w:firstLineChars="0"/>
              <w:jc w:val="center"/>
              <w:rPr>
                <w:rFonts w:ascii="Times New Roman" w:hAnsi="Times New Roman"/>
                <w:b/>
                <w:bCs/>
                <w:sz w:val="21"/>
                <w:szCs w:val="21"/>
                <w:highlight w:val="none"/>
              </w:rPr>
            </w:pPr>
            <w:r>
              <w:rPr>
                <w:rFonts w:hint="eastAsia" w:ascii="Times New Roman" w:hAnsi="Times New Roman"/>
                <w:b/>
                <w:bCs/>
                <w:sz w:val="21"/>
                <w:szCs w:val="21"/>
                <w:highlight w:val="none"/>
              </w:rPr>
              <w:t>污染物</w:t>
            </w:r>
          </w:p>
        </w:tc>
        <w:tc>
          <w:tcPr>
            <w:tcW w:w="1498" w:type="dxa"/>
            <w:shd w:val="clear" w:color="auto" w:fill="auto"/>
            <w:vAlign w:val="center"/>
          </w:tcPr>
          <w:p>
            <w:pPr>
              <w:pStyle w:val="17"/>
              <w:ind w:firstLine="0" w:firstLineChars="0"/>
              <w:jc w:val="center"/>
              <w:rPr>
                <w:rFonts w:ascii="Times New Roman" w:hAnsi="Times New Roman"/>
                <w:b/>
                <w:bCs/>
                <w:sz w:val="21"/>
                <w:szCs w:val="21"/>
                <w:highlight w:val="none"/>
              </w:rPr>
            </w:pPr>
            <w:r>
              <w:rPr>
                <w:rFonts w:hint="eastAsia" w:ascii="Times New Roman" w:hAnsi="Times New Roman"/>
                <w:b/>
                <w:bCs/>
                <w:sz w:val="21"/>
                <w:szCs w:val="21"/>
                <w:highlight w:val="none"/>
              </w:rPr>
              <w:t>产生量</w:t>
            </w:r>
          </w:p>
        </w:tc>
        <w:tc>
          <w:tcPr>
            <w:tcW w:w="1050" w:type="dxa"/>
            <w:shd w:val="clear" w:color="auto" w:fill="auto"/>
            <w:vAlign w:val="center"/>
          </w:tcPr>
          <w:p>
            <w:pPr>
              <w:pStyle w:val="17"/>
              <w:ind w:firstLine="0" w:firstLineChars="0"/>
              <w:jc w:val="center"/>
              <w:rPr>
                <w:rFonts w:ascii="Times New Roman" w:hAnsi="Times New Roman"/>
                <w:b/>
                <w:bCs/>
                <w:sz w:val="21"/>
                <w:szCs w:val="21"/>
                <w:highlight w:val="none"/>
              </w:rPr>
            </w:pPr>
            <w:r>
              <w:rPr>
                <w:rFonts w:hint="eastAsia" w:ascii="Times New Roman" w:hAnsi="Times New Roman"/>
                <w:b/>
                <w:bCs/>
                <w:sz w:val="21"/>
                <w:szCs w:val="21"/>
                <w:highlight w:val="none"/>
              </w:rPr>
              <w:t>排放量</w:t>
            </w:r>
          </w:p>
        </w:tc>
        <w:tc>
          <w:tcPr>
            <w:tcW w:w="3600" w:type="dxa"/>
            <w:shd w:val="clear" w:color="auto" w:fill="auto"/>
            <w:vAlign w:val="center"/>
          </w:tcPr>
          <w:p>
            <w:pPr>
              <w:pStyle w:val="17"/>
              <w:ind w:firstLine="0" w:firstLineChars="0"/>
              <w:jc w:val="center"/>
              <w:rPr>
                <w:rFonts w:ascii="Times New Roman" w:hAnsi="Times New Roman"/>
                <w:b/>
                <w:bCs/>
                <w:sz w:val="21"/>
                <w:szCs w:val="21"/>
                <w:highlight w:val="none"/>
              </w:rPr>
            </w:pPr>
            <w:r>
              <w:rPr>
                <w:rFonts w:hint="eastAsia" w:ascii="Times New Roman" w:hAnsi="Times New Roman"/>
                <w:b/>
                <w:bCs/>
                <w:sz w:val="21"/>
                <w:szCs w:val="21"/>
                <w:highlight w:val="none"/>
              </w:rPr>
              <w:t>污染防治措施排放去向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67" w:type="dxa"/>
            <w:shd w:val="clear" w:color="auto" w:fill="auto"/>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废土石方</w:t>
            </w:r>
          </w:p>
        </w:tc>
        <w:tc>
          <w:tcPr>
            <w:tcW w:w="1271" w:type="dxa"/>
            <w:shd w:val="clear" w:color="auto" w:fill="auto"/>
            <w:vAlign w:val="center"/>
          </w:tcPr>
          <w:p>
            <w:pPr>
              <w:pStyle w:val="17"/>
              <w:ind w:firstLine="0" w:firstLineChars="0"/>
              <w:jc w:val="center"/>
              <w:rPr>
                <w:rFonts w:hint="eastAsia" w:ascii="Times New Roman" w:hAnsi="Times New Roman" w:eastAsia="宋体"/>
                <w:sz w:val="21"/>
                <w:szCs w:val="21"/>
                <w:highlight w:val="none"/>
                <w:lang w:eastAsia="zh-CN"/>
              </w:rPr>
            </w:pPr>
            <w:r>
              <w:rPr>
                <w:rFonts w:hint="eastAsia" w:ascii="Times New Roman" w:hAnsi="Times New Roman"/>
                <w:sz w:val="21"/>
                <w:szCs w:val="21"/>
                <w:highlight w:val="none"/>
                <w:lang w:eastAsia="zh-CN"/>
              </w:rPr>
              <w:t>废渣</w:t>
            </w:r>
          </w:p>
        </w:tc>
        <w:tc>
          <w:tcPr>
            <w:tcW w:w="1498" w:type="dxa"/>
            <w:shd w:val="clear" w:color="auto" w:fill="auto"/>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lang w:val="en-US" w:eastAsia="zh-CN"/>
              </w:rPr>
              <w:t>4.08万m</w:t>
            </w:r>
            <w:r>
              <w:rPr>
                <w:rFonts w:hint="eastAsia" w:ascii="Times New Roman" w:hAnsi="Times New Roman"/>
                <w:sz w:val="21"/>
                <w:szCs w:val="21"/>
                <w:highlight w:val="none"/>
                <w:vertAlign w:val="superscript"/>
                <w:lang w:val="en-US" w:eastAsia="zh-CN"/>
              </w:rPr>
              <w:t>3</w:t>
            </w:r>
          </w:p>
        </w:tc>
        <w:tc>
          <w:tcPr>
            <w:tcW w:w="1050" w:type="dxa"/>
            <w:shd w:val="clear" w:color="auto" w:fill="auto"/>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0</w:t>
            </w:r>
          </w:p>
        </w:tc>
        <w:tc>
          <w:tcPr>
            <w:tcW w:w="3600" w:type="dxa"/>
            <w:shd w:val="clear" w:color="auto" w:fill="auto"/>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堆放于</w:t>
            </w:r>
            <w:r>
              <w:rPr>
                <w:rFonts w:hint="eastAsia" w:ascii="Times New Roman" w:hAnsi="Times New Roman"/>
                <w:sz w:val="21"/>
                <w:szCs w:val="21"/>
                <w:highlight w:val="none"/>
                <w:lang w:eastAsia="zh-CN"/>
              </w:rPr>
              <w:t>排土</w:t>
            </w:r>
            <w:r>
              <w:rPr>
                <w:rFonts w:hint="eastAsia" w:ascii="Times New Roman" w:hAnsi="Times New Roman"/>
                <w:sz w:val="21"/>
                <w:szCs w:val="21"/>
                <w:highlight w:val="none"/>
              </w:rPr>
              <w:t>场，用于后期采空区回填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67" w:type="dxa"/>
            <w:shd w:val="clear" w:color="auto" w:fill="auto"/>
            <w:vAlign w:val="center"/>
          </w:tcPr>
          <w:p>
            <w:pPr>
              <w:pStyle w:val="17"/>
              <w:ind w:firstLine="0" w:firstLineChars="0"/>
              <w:jc w:val="center"/>
              <w:rPr>
                <w:rFonts w:hint="eastAsia" w:ascii="Times New Roman" w:hAnsi="Times New Roman" w:eastAsia="宋体"/>
                <w:sz w:val="21"/>
                <w:szCs w:val="21"/>
                <w:highlight w:val="none"/>
                <w:lang w:eastAsia="zh-CN"/>
              </w:rPr>
            </w:pPr>
            <w:r>
              <w:rPr>
                <w:rFonts w:hint="eastAsia" w:ascii="Times New Roman" w:hAnsi="Times New Roman"/>
                <w:sz w:val="21"/>
                <w:szCs w:val="21"/>
                <w:highlight w:val="none"/>
                <w:lang w:eastAsia="zh-CN"/>
              </w:rPr>
              <w:t>沉淀池</w:t>
            </w:r>
          </w:p>
        </w:tc>
        <w:tc>
          <w:tcPr>
            <w:tcW w:w="1271" w:type="dxa"/>
            <w:shd w:val="clear" w:color="auto" w:fill="auto"/>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污泥</w:t>
            </w:r>
          </w:p>
        </w:tc>
        <w:tc>
          <w:tcPr>
            <w:tcW w:w="1498" w:type="dxa"/>
            <w:shd w:val="clear" w:color="auto" w:fill="auto"/>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lang w:val="en-US" w:eastAsia="zh-CN"/>
              </w:rPr>
              <w:t>3.8</w:t>
            </w:r>
            <w:r>
              <w:rPr>
                <w:rFonts w:hint="eastAsia" w:ascii="Times New Roman" w:hAnsi="Times New Roman"/>
                <w:sz w:val="21"/>
                <w:szCs w:val="21"/>
                <w:highlight w:val="none"/>
              </w:rPr>
              <w:t>t/a</w:t>
            </w:r>
          </w:p>
        </w:tc>
        <w:tc>
          <w:tcPr>
            <w:tcW w:w="1050" w:type="dxa"/>
            <w:shd w:val="clear" w:color="auto" w:fill="auto"/>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0</w:t>
            </w:r>
          </w:p>
        </w:tc>
        <w:tc>
          <w:tcPr>
            <w:tcW w:w="3600" w:type="dxa"/>
            <w:shd w:val="clear" w:color="auto" w:fill="auto"/>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清理至排土场，用于后期复垦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67" w:type="dxa"/>
            <w:shd w:val="clear" w:color="auto" w:fill="auto"/>
            <w:vAlign w:val="center"/>
          </w:tcPr>
          <w:p>
            <w:pPr>
              <w:pStyle w:val="17"/>
              <w:ind w:firstLine="0" w:firstLineChars="0"/>
              <w:jc w:val="center"/>
              <w:rPr>
                <w:rFonts w:hint="eastAsia" w:ascii="Times New Roman" w:hAnsi="Times New Roman" w:eastAsia="宋体"/>
                <w:sz w:val="21"/>
                <w:szCs w:val="21"/>
                <w:highlight w:val="none"/>
                <w:lang w:eastAsia="zh-CN"/>
              </w:rPr>
            </w:pPr>
            <w:r>
              <w:rPr>
                <w:rFonts w:hint="eastAsia" w:ascii="Times New Roman" w:hAnsi="Times New Roman"/>
                <w:sz w:val="21"/>
                <w:szCs w:val="21"/>
                <w:highlight w:val="none"/>
                <w:lang w:eastAsia="zh-CN"/>
              </w:rPr>
              <w:t>收尘器收尘灰</w:t>
            </w:r>
          </w:p>
        </w:tc>
        <w:tc>
          <w:tcPr>
            <w:tcW w:w="1271" w:type="dxa"/>
            <w:shd w:val="clear" w:color="auto" w:fill="auto"/>
            <w:vAlign w:val="center"/>
          </w:tcPr>
          <w:p>
            <w:pPr>
              <w:pStyle w:val="17"/>
              <w:ind w:firstLine="0" w:firstLineChars="0"/>
              <w:jc w:val="center"/>
              <w:rPr>
                <w:rFonts w:hint="eastAsia" w:ascii="Times New Roman" w:hAnsi="Times New Roman" w:eastAsia="宋体"/>
                <w:sz w:val="21"/>
                <w:szCs w:val="21"/>
                <w:highlight w:val="none"/>
                <w:lang w:eastAsia="zh-CN"/>
              </w:rPr>
            </w:pPr>
            <w:r>
              <w:rPr>
                <w:rFonts w:hint="eastAsia" w:ascii="Times New Roman" w:hAnsi="Times New Roman"/>
                <w:sz w:val="21"/>
                <w:szCs w:val="21"/>
                <w:highlight w:val="none"/>
                <w:lang w:eastAsia="zh-CN"/>
              </w:rPr>
              <w:t>石粉</w:t>
            </w:r>
          </w:p>
        </w:tc>
        <w:tc>
          <w:tcPr>
            <w:tcW w:w="1498" w:type="dxa"/>
            <w:shd w:val="clear" w:color="auto" w:fill="auto"/>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lang w:val="en-US" w:eastAsia="zh-CN"/>
              </w:rPr>
              <w:t>17.98</w:t>
            </w:r>
            <w:r>
              <w:rPr>
                <w:rFonts w:hint="eastAsia" w:ascii="Times New Roman" w:hAnsi="Times New Roman"/>
                <w:sz w:val="21"/>
                <w:szCs w:val="21"/>
                <w:highlight w:val="none"/>
              </w:rPr>
              <w:t>t/a</w:t>
            </w:r>
          </w:p>
        </w:tc>
        <w:tc>
          <w:tcPr>
            <w:tcW w:w="1050" w:type="dxa"/>
            <w:shd w:val="clear" w:color="auto" w:fill="auto"/>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0</w:t>
            </w:r>
          </w:p>
        </w:tc>
        <w:tc>
          <w:tcPr>
            <w:tcW w:w="3600" w:type="dxa"/>
            <w:shd w:val="clear" w:color="auto" w:fill="auto"/>
            <w:vAlign w:val="center"/>
          </w:tcPr>
          <w:p>
            <w:pPr>
              <w:pStyle w:val="17"/>
              <w:ind w:firstLine="0" w:firstLineChars="0"/>
              <w:jc w:val="center"/>
              <w:rPr>
                <w:rFonts w:ascii="Times New Roman" w:hAnsi="Times New Roman"/>
                <w:sz w:val="21"/>
                <w:szCs w:val="21"/>
                <w:highlight w:val="none"/>
              </w:rPr>
            </w:pPr>
            <w:r>
              <w:rPr>
                <w:rFonts w:ascii="Times New Roman" w:hAnsi="Times New Roman" w:eastAsia="宋体"/>
                <w:sz w:val="21"/>
                <w:highlight w:val="none"/>
              </w:rPr>
              <w:t>经收集后作为石粉外售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67" w:type="dxa"/>
            <w:shd w:val="clear" w:color="auto" w:fill="auto"/>
            <w:vAlign w:val="center"/>
          </w:tcPr>
          <w:p>
            <w:pPr>
              <w:pStyle w:val="17"/>
              <w:ind w:firstLine="0" w:firstLineChars="0"/>
              <w:jc w:val="center"/>
              <w:rPr>
                <w:rFonts w:hint="eastAsia" w:ascii="Times New Roman" w:hAnsi="Times New Roman" w:eastAsia="宋体"/>
                <w:sz w:val="21"/>
                <w:szCs w:val="21"/>
                <w:highlight w:val="none"/>
                <w:lang w:eastAsia="zh-CN"/>
              </w:rPr>
            </w:pPr>
            <w:r>
              <w:rPr>
                <w:rFonts w:hint="eastAsia" w:ascii="Times New Roman" w:hAnsi="Times New Roman"/>
                <w:sz w:val="21"/>
                <w:szCs w:val="21"/>
                <w:highlight w:val="none"/>
                <w:lang w:eastAsia="zh-CN"/>
              </w:rPr>
              <w:t>机修车间</w:t>
            </w:r>
          </w:p>
        </w:tc>
        <w:tc>
          <w:tcPr>
            <w:tcW w:w="1271" w:type="dxa"/>
            <w:shd w:val="clear" w:color="auto" w:fill="auto"/>
            <w:vAlign w:val="center"/>
          </w:tcPr>
          <w:p>
            <w:pPr>
              <w:pStyle w:val="17"/>
              <w:ind w:firstLine="0" w:firstLineChars="0"/>
              <w:jc w:val="center"/>
              <w:rPr>
                <w:rFonts w:hint="eastAsia" w:ascii="Times New Roman" w:hAnsi="Times New Roman" w:eastAsia="宋体"/>
                <w:sz w:val="21"/>
                <w:szCs w:val="21"/>
                <w:highlight w:val="none"/>
                <w:lang w:eastAsia="zh-CN"/>
              </w:rPr>
            </w:pPr>
            <w:r>
              <w:rPr>
                <w:rFonts w:hint="eastAsia" w:ascii="Times New Roman" w:hAnsi="Times New Roman"/>
                <w:sz w:val="21"/>
                <w:szCs w:val="21"/>
                <w:highlight w:val="none"/>
                <w:lang w:eastAsia="zh-CN"/>
              </w:rPr>
              <w:t>废机油</w:t>
            </w:r>
          </w:p>
        </w:tc>
        <w:tc>
          <w:tcPr>
            <w:tcW w:w="1498" w:type="dxa"/>
            <w:shd w:val="clear" w:color="auto" w:fill="auto"/>
            <w:vAlign w:val="center"/>
          </w:tcPr>
          <w:p>
            <w:pPr>
              <w:pStyle w:val="17"/>
              <w:ind w:firstLine="0" w:firstLineChars="0"/>
              <w:jc w:val="center"/>
              <w:rPr>
                <w:rFonts w:hint="default" w:ascii="Times New Roman" w:hAnsi="Times New Roman"/>
                <w:sz w:val="21"/>
                <w:szCs w:val="21"/>
                <w:highlight w:val="none"/>
                <w:lang w:val="en-US"/>
              </w:rPr>
            </w:pPr>
            <w:r>
              <w:rPr>
                <w:rFonts w:hint="eastAsia" w:ascii="Times New Roman" w:hAnsi="Times New Roman"/>
                <w:sz w:val="21"/>
                <w:szCs w:val="21"/>
                <w:highlight w:val="none"/>
                <w:lang w:val="en-US" w:eastAsia="zh-CN"/>
              </w:rPr>
              <w:t>0.08t/d</w:t>
            </w:r>
          </w:p>
        </w:tc>
        <w:tc>
          <w:tcPr>
            <w:tcW w:w="1050" w:type="dxa"/>
            <w:shd w:val="clear" w:color="auto" w:fill="auto"/>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0</w:t>
            </w:r>
          </w:p>
        </w:tc>
        <w:tc>
          <w:tcPr>
            <w:tcW w:w="3600" w:type="dxa"/>
            <w:shd w:val="clear" w:color="auto" w:fill="auto"/>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专用桶收集后暂存于项目破碎区危废暂存间（1间，10m</w:t>
            </w:r>
            <w:r>
              <w:rPr>
                <w:rFonts w:hint="eastAsia" w:ascii="Times New Roman" w:hAnsi="Times New Roman"/>
                <w:sz w:val="21"/>
                <w:szCs w:val="21"/>
                <w:highlight w:val="none"/>
                <w:vertAlign w:val="superscript"/>
              </w:rPr>
              <w:t>2</w:t>
            </w:r>
            <w:r>
              <w:rPr>
                <w:rFonts w:hint="eastAsia" w:ascii="Times New Roman" w:hAnsi="Times New Roman"/>
                <w:sz w:val="21"/>
                <w:szCs w:val="21"/>
                <w:highlight w:val="none"/>
              </w:rPr>
              <w:t>），定期委托有资质单位处置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67" w:type="dxa"/>
            <w:shd w:val="clear" w:color="auto" w:fill="auto"/>
            <w:vAlign w:val="center"/>
          </w:tcPr>
          <w:p>
            <w:pPr>
              <w:pStyle w:val="17"/>
              <w:ind w:firstLine="0" w:firstLineChars="0"/>
              <w:jc w:val="center"/>
              <w:rPr>
                <w:rFonts w:hint="eastAsia" w:ascii="Times New Roman" w:hAnsi="Times New Roman"/>
                <w:sz w:val="21"/>
                <w:szCs w:val="21"/>
                <w:highlight w:val="none"/>
                <w:lang w:eastAsia="zh-CN"/>
              </w:rPr>
            </w:pPr>
            <w:r>
              <w:rPr>
                <w:rFonts w:hint="eastAsia" w:ascii="Times New Roman" w:hAnsi="Times New Roman"/>
                <w:sz w:val="21"/>
                <w:szCs w:val="21"/>
                <w:highlight w:val="none"/>
                <w:lang w:eastAsia="zh-CN"/>
              </w:rPr>
              <w:t>员工</w:t>
            </w:r>
          </w:p>
        </w:tc>
        <w:tc>
          <w:tcPr>
            <w:tcW w:w="1271" w:type="dxa"/>
            <w:shd w:val="clear" w:color="auto" w:fill="auto"/>
            <w:vAlign w:val="center"/>
          </w:tcPr>
          <w:p>
            <w:pPr>
              <w:pStyle w:val="17"/>
              <w:ind w:firstLine="0" w:firstLineChars="0"/>
              <w:jc w:val="center"/>
              <w:rPr>
                <w:rFonts w:hint="eastAsia" w:ascii="Times New Roman" w:hAnsi="Times New Roman" w:eastAsia="宋体"/>
                <w:sz w:val="21"/>
                <w:szCs w:val="21"/>
                <w:highlight w:val="none"/>
                <w:lang w:eastAsia="zh-CN"/>
              </w:rPr>
            </w:pPr>
            <w:r>
              <w:rPr>
                <w:rFonts w:hint="eastAsia" w:ascii="Times New Roman" w:hAnsi="Times New Roman"/>
                <w:sz w:val="21"/>
                <w:szCs w:val="21"/>
                <w:highlight w:val="none"/>
                <w:lang w:eastAsia="zh-CN"/>
              </w:rPr>
              <w:t>生活垃圾</w:t>
            </w:r>
          </w:p>
        </w:tc>
        <w:tc>
          <w:tcPr>
            <w:tcW w:w="1498" w:type="dxa"/>
            <w:shd w:val="clear" w:color="auto" w:fill="auto"/>
            <w:vAlign w:val="center"/>
          </w:tcPr>
          <w:p>
            <w:pPr>
              <w:pStyle w:val="17"/>
              <w:ind w:firstLine="0" w:firstLineChars="0"/>
              <w:jc w:val="center"/>
              <w:rPr>
                <w:rFonts w:hint="default" w:ascii="Times New Roman" w:hAnsi="Times New Roman"/>
                <w:sz w:val="21"/>
                <w:szCs w:val="21"/>
                <w:highlight w:val="none"/>
                <w:lang w:val="en-US" w:eastAsia="zh-CN"/>
              </w:rPr>
            </w:pPr>
            <w:r>
              <w:rPr>
                <w:rFonts w:hint="eastAsia" w:ascii="Times New Roman" w:hAnsi="Times New Roman"/>
                <w:sz w:val="21"/>
                <w:szCs w:val="21"/>
                <w:highlight w:val="none"/>
                <w:lang w:val="en-US" w:eastAsia="zh-CN"/>
              </w:rPr>
              <w:t>3t/a</w:t>
            </w:r>
          </w:p>
        </w:tc>
        <w:tc>
          <w:tcPr>
            <w:tcW w:w="1050" w:type="dxa"/>
            <w:shd w:val="clear" w:color="auto" w:fill="auto"/>
            <w:vAlign w:val="center"/>
          </w:tcPr>
          <w:p>
            <w:pPr>
              <w:pStyle w:val="17"/>
              <w:ind w:firstLine="0" w:firstLineChars="0"/>
              <w:jc w:val="center"/>
              <w:rPr>
                <w:rFonts w:hint="eastAsia" w:ascii="Times New Roman" w:hAnsi="Times New Roman" w:eastAsia="宋体"/>
                <w:sz w:val="21"/>
                <w:szCs w:val="21"/>
                <w:highlight w:val="none"/>
                <w:lang w:val="en-US" w:eastAsia="zh-CN"/>
              </w:rPr>
            </w:pPr>
            <w:r>
              <w:rPr>
                <w:rFonts w:hint="eastAsia" w:ascii="Times New Roman" w:hAnsi="Times New Roman"/>
                <w:sz w:val="21"/>
                <w:szCs w:val="21"/>
                <w:highlight w:val="none"/>
                <w:lang w:val="en-US" w:eastAsia="zh-CN"/>
              </w:rPr>
              <w:t>0</w:t>
            </w:r>
          </w:p>
        </w:tc>
        <w:tc>
          <w:tcPr>
            <w:tcW w:w="3600" w:type="dxa"/>
            <w:shd w:val="clear" w:color="auto" w:fill="auto"/>
            <w:vAlign w:val="center"/>
          </w:tcPr>
          <w:p>
            <w:pPr>
              <w:pStyle w:val="17"/>
              <w:ind w:firstLine="0" w:firstLineChars="0"/>
              <w:jc w:val="center"/>
              <w:rPr>
                <w:rFonts w:hint="eastAsia" w:ascii="Times New Roman" w:hAnsi="Times New Roman"/>
                <w:sz w:val="21"/>
                <w:szCs w:val="21"/>
                <w:highlight w:val="none"/>
              </w:rPr>
            </w:pPr>
            <w:r>
              <w:rPr>
                <w:rFonts w:hint="eastAsia" w:ascii="Times New Roman" w:hAnsi="Times New Roman"/>
                <w:sz w:val="21"/>
                <w:szCs w:val="21"/>
                <w:highlight w:val="none"/>
              </w:rPr>
              <w:t>定期外运至卡子村指定垃圾堆放地点，由环卫部门清运处置</w:t>
            </w:r>
          </w:p>
        </w:tc>
      </w:tr>
    </w:tbl>
    <w:p>
      <w:pPr>
        <w:bidi w:val="0"/>
        <w:rPr>
          <w:highlight w:val="none"/>
        </w:rPr>
      </w:pPr>
    </w:p>
    <w:p>
      <w:pPr>
        <w:pStyle w:val="5"/>
        <w:adjustRightInd w:val="0"/>
        <w:snapToGrid w:val="0"/>
        <w:rPr>
          <w:rFonts w:hint="default"/>
          <w:highlight w:val="none"/>
        </w:rPr>
      </w:pPr>
      <w:bookmarkStart w:id="336" w:name="_Toc16694"/>
      <w:r>
        <w:rPr>
          <w:rFonts w:hint="eastAsia"/>
          <w:highlight w:val="none"/>
          <w:lang w:val="en-US" w:eastAsia="zh-CN"/>
        </w:rPr>
        <w:t>3</w:t>
      </w:r>
      <w:r>
        <w:rPr>
          <w:highlight w:val="none"/>
        </w:rPr>
        <w:t>.3.3生态影响</w:t>
      </w:r>
      <w:bookmarkEnd w:id="336"/>
    </w:p>
    <w:p>
      <w:pPr>
        <w:pStyle w:val="149"/>
        <w:adjustRightInd w:val="0"/>
        <w:snapToGrid w:val="0"/>
        <w:rPr>
          <w:rFonts w:hint="eastAsia" w:eastAsia="宋体"/>
          <w:color w:val="auto"/>
          <w:highlight w:val="none"/>
          <w:lang w:val="en-US" w:eastAsia="zh-CN"/>
        </w:rPr>
      </w:pPr>
      <w:r>
        <w:rPr>
          <w:bCs/>
          <w:color w:val="auto"/>
          <w:highlight w:val="none"/>
        </w:rPr>
        <w:t>根据现场踏勘，该矿山现状</w:t>
      </w:r>
      <w:r>
        <w:rPr>
          <w:rFonts w:hint="eastAsia"/>
          <w:bCs/>
          <w:color w:val="auto"/>
          <w:highlight w:val="none"/>
          <w:lang w:eastAsia="zh-CN"/>
        </w:rPr>
        <w:t>地表未被扰动</w:t>
      </w:r>
      <w:r>
        <w:rPr>
          <w:bCs/>
          <w:color w:val="auto"/>
          <w:highlight w:val="none"/>
        </w:rPr>
        <w:t>，</w:t>
      </w:r>
      <w:r>
        <w:rPr>
          <w:rFonts w:hint="eastAsia"/>
          <w:bCs/>
          <w:color w:val="auto"/>
          <w:highlight w:val="none"/>
          <w:lang w:eastAsia="zh-CN"/>
        </w:rPr>
        <w:t>矿山</w:t>
      </w:r>
      <w:r>
        <w:rPr>
          <w:color w:val="auto"/>
          <w:highlight w:val="none"/>
        </w:rPr>
        <w:t>占地主要为</w:t>
      </w:r>
      <w:r>
        <w:rPr>
          <w:rFonts w:hint="eastAsia"/>
          <w:color w:val="auto"/>
          <w:highlight w:val="none"/>
        </w:rPr>
        <w:t>林地、荒草地</w:t>
      </w:r>
      <w:r>
        <w:rPr>
          <w:color w:val="auto"/>
          <w:highlight w:val="none"/>
        </w:rPr>
        <w:t>、</w:t>
      </w:r>
      <w:r>
        <w:rPr>
          <w:rFonts w:hint="eastAsia"/>
          <w:color w:val="auto"/>
          <w:highlight w:val="none"/>
        </w:rPr>
        <w:t>坡耕地、</w:t>
      </w:r>
      <w:r>
        <w:rPr>
          <w:color w:val="auto"/>
          <w:highlight w:val="none"/>
        </w:rPr>
        <w:t>其他土地等，不涉及</w:t>
      </w:r>
      <w:r>
        <w:rPr>
          <w:rFonts w:hint="eastAsia"/>
          <w:color w:val="auto"/>
          <w:highlight w:val="none"/>
        </w:rPr>
        <w:t>占用</w:t>
      </w:r>
      <w:r>
        <w:rPr>
          <w:color w:val="auto"/>
          <w:highlight w:val="none"/>
        </w:rPr>
        <w:t>公益林、自然保护区、退耕还林区</w:t>
      </w:r>
      <w:r>
        <w:rPr>
          <w:rFonts w:hint="eastAsia"/>
          <w:color w:val="auto"/>
          <w:highlight w:val="none"/>
        </w:rPr>
        <w:t>和</w:t>
      </w:r>
      <w:r>
        <w:rPr>
          <w:color w:val="auto"/>
          <w:highlight w:val="none"/>
        </w:rPr>
        <w:t>基本农田</w:t>
      </w:r>
      <w:r>
        <w:rPr>
          <w:rFonts w:hint="eastAsia"/>
          <w:color w:val="auto"/>
          <w:highlight w:val="none"/>
          <w:lang w:eastAsia="zh-CN"/>
        </w:rPr>
        <w:t>。</w:t>
      </w:r>
    </w:p>
    <w:p>
      <w:pPr>
        <w:pStyle w:val="149"/>
        <w:adjustRightInd w:val="0"/>
        <w:snapToGrid w:val="0"/>
        <w:rPr>
          <w:rFonts w:hint="eastAsia"/>
          <w:color w:val="auto"/>
          <w:highlight w:val="none"/>
        </w:rPr>
      </w:pPr>
      <w:r>
        <w:rPr>
          <w:rFonts w:hint="eastAsia"/>
          <w:color w:val="auto"/>
          <w:highlight w:val="none"/>
        </w:rPr>
        <w:t>（1）污染源分析</w:t>
      </w:r>
    </w:p>
    <w:p>
      <w:pPr>
        <w:pStyle w:val="149"/>
        <w:adjustRightInd w:val="0"/>
        <w:snapToGrid w:val="0"/>
        <w:rPr>
          <w:rFonts w:hint="eastAsia"/>
          <w:color w:val="auto"/>
          <w:highlight w:val="none"/>
        </w:rPr>
      </w:pPr>
      <w:r>
        <w:rPr>
          <w:rFonts w:hint="eastAsia"/>
          <w:color w:val="auto"/>
          <w:highlight w:val="none"/>
        </w:rPr>
        <w:t>工程区域内土地利用类型以林地为主，其次为荒草地，植被覆盖率较高，其矿山内地质构造简单，山沟陡峻，矿区堆积物质在雨季受洪水冲刷易发生滑塌，成为水土流失的主要来源。</w:t>
      </w:r>
    </w:p>
    <w:p>
      <w:pPr>
        <w:pStyle w:val="149"/>
        <w:adjustRightInd w:val="0"/>
        <w:snapToGrid w:val="0"/>
        <w:rPr>
          <w:rFonts w:hint="eastAsia"/>
          <w:color w:val="auto"/>
          <w:highlight w:val="none"/>
        </w:rPr>
      </w:pPr>
      <w:r>
        <w:rPr>
          <w:rFonts w:hint="eastAsia"/>
          <w:color w:val="auto"/>
          <w:highlight w:val="none"/>
        </w:rPr>
        <w:t>在采矿初期，矿山公路、采矿场等地表开挖，将形成较大的开挖创面，严重破坏了矿山原有的景观特征。同时，大面积地表扰动及大量废石的产生，使得项目区内野生动物及鸟类原有的生活栖息环境遭到破坏。杂乱无章的机械噪声，扰乱了野生动物及鸟类正常的栖息生活，使它们受到惊吓后恐慌迁徙。</w:t>
      </w:r>
    </w:p>
    <w:p>
      <w:pPr>
        <w:pStyle w:val="149"/>
        <w:adjustRightInd w:val="0"/>
        <w:snapToGrid w:val="0"/>
        <w:rPr>
          <w:rFonts w:hint="eastAsia"/>
          <w:color w:val="auto"/>
          <w:highlight w:val="none"/>
        </w:rPr>
      </w:pPr>
      <w:r>
        <w:rPr>
          <w:rFonts w:hint="eastAsia"/>
          <w:color w:val="auto"/>
          <w:highlight w:val="none"/>
        </w:rPr>
        <w:t>矿山公路、采矿区、破碎加工区占地将改变原地表利用现状，并损坏或埋压地表植被，对原地表水土保持设施构成破坏或占压，降低其水土保持功能，从而加大原地表水土流失量。其新增水土流失的类型和形式以水利侵蚀中的面蚀、沟蚀为主。</w:t>
      </w:r>
    </w:p>
    <w:p>
      <w:pPr>
        <w:pStyle w:val="149"/>
        <w:adjustRightInd w:val="0"/>
        <w:snapToGrid w:val="0"/>
        <w:rPr>
          <w:color w:val="FF0000"/>
          <w:highlight w:val="none"/>
        </w:rPr>
      </w:pPr>
      <w:r>
        <w:rPr>
          <w:rFonts w:hint="eastAsia"/>
          <w:color w:val="auto"/>
          <w:highlight w:val="none"/>
        </w:rPr>
        <w:t>由于原有地表和植被的破坏，使其失去固土防冲的能力从而造成水土流失；表土临时堆场为松散堆积体，如不妥善处理易造成大量流失</w:t>
      </w:r>
      <w:r>
        <w:rPr>
          <w:color w:val="auto"/>
          <w:highlight w:val="none"/>
        </w:rPr>
        <w:t>。</w:t>
      </w:r>
    </w:p>
    <w:p>
      <w:pPr>
        <w:pStyle w:val="17"/>
        <w:ind w:firstLine="480"/>
        <w:rPr>
          <w:rFonts w:hint="eastAsia" w:ascii="Times New Roman" w:hAnsi="Times New Roman" w:eastAsia="宋体"/>
          <w:highlight w:val="none"/>
          <w:lang w:eastAsia="zh-CN"/>
        </w:rPr>
      </w:pPr>
      <w:r>
        <w:rPr>
          <w:rFonts w:hint="eastAsia" w:ascii="Times New Roman" w:hAnsi="Times New Roman"/>
          <w:highlight w:val="none"/>
          <w:lang w:eastAsia="zh-CN"/>
        </w:rPr>
        <w:t>根据《砚山县江那镇真元饲料添加剂沸石粉厂阿猛镇倮基黑卡子凹塘石料场矿山地质环境保护与土地复垦方案》，</w:t>
      </w:r>
      <w:r>
        <w:rPr>
          <w:sz w:val="24"/>
          <w:szCs w:val="24"/>
          <w:highlight w:val="none"/>
        </w:rPr>
        <w:t>本项目损毁土地方式主要有挖损、压占，复垦区范围内损毁土地总面积</w:t>
      </w:r>
      <w:r>
        <w:rPr>
          <w:rFonts w:hint="eastAsia"/>
          <w:sz w:val="24"/>
          <w:szCs w:val="24"/>
          <w:highlight w:val="none"/>
        </w:rPr>
        <w:t>4.7619</w:t>
      </w:r>
      <w:r>
        <w:rPr>
          <w:sz w:val="24"/>
          <w:szCs w:val="24"/>
          <w:highlight w:val="none"/>
        </w:rPr>
        <w:t>公顷，其中已损毁土地面积</w:t>
      </w:r>
      <w:r>
        <w:rPr>
          <w:rFonts w:hint="eastAsia"/>
          <w:sz w:val="24"/>
          <w:szCs w:val="24"/>
          <w:highlight w:val="none"/>
        </w:rPr>
        <w:t>0</w:t>
      </w:r>
      <w:r>
        <w:rPr>
          <w:sz w:val="24"/>
          <w:szCs w:val="24"/>
          <w:highlight w:val="none"/>
        </w:rPr>
        <w:t>公顷，拟损毁土地面积</w:t>
      </w:r>
      <w:r>
        <w:rPr>
          <w:rFonts w:hint="eastAsia"/>
          <w:sz w:val="24"/>
          <w:szCs w:val="24"/>
          <w:highlight w:val="none"/>
        </w:rPr>
        <w:t>4.7619</w:t>
      </w:r>
      <w:r>
        <w:rPr>
          <w:sz w:val="24"/>
          <w:szCs w:val="24"/>
          <w:highlight w:val="none"/>
        </w:rPr>
        <w:t>公顷；复垦责任范围面积</w:t>
      </w:r>
      <w:r>
        <w:rPr>
          <w:rFonts w:hint="eastAsia"/>
          <w:sz w:val="24"/>
          <w:szCs w:val="24"/>
          <w:highlight w:val="none"/>
        </w:rPr>
        <w:t>4.7619</w:t>
      </w:r>
      <w:r>
        <w:rPr>
          <w:sz w:val="24"/>
          <w:szCs w:val="24"/>
          <w:highlight w:val="none"/>
        </w:rPr>
        <w:t>公顷，其中挖损损毁</w:t>
      </w:r>
      <w:r>
        <w:rPr>
          <w:rFonts w:hint="eastAsia"/>
          <w:sz w:val="24"/>
          <w:szCs w:val="24"/>
          <w:highlight w:val="none"/>
        </w:rPr>
        <w:t>4.2040</w:t>
      </w:r>
      <w:r>
        <w:rPr>
          <w:sz w:val="24"/>
          <w:szCs w:val="24"/>
          <w:highlight w:val="none"/>
        </w:rPr>
        <w:t>公顷，压占损毁</w:t>
      </w:r>
      <w:r>
        <w:rPr>
          <w:rFonts w:hint="eastAsia"/>
          <w:sz w:val="24"/>
          <w:szCs w:val="24"/>
          <w:highlight w:val="none"/>
        </w:rPr>
        <w:t>0.3372</w:t>
      </w:r>
      <w:r>
        <w:rPr>
          <w:sz w:val="24"/>
          <w:szCs w:val="24"/>
          <w:highlight w:val="none"/>
        </w:rPr>
        <w:t>公顷，</w:t>
      </w:r>
      <w:r>
        <w:rPr>
          <w:rFonts w:hint="eastAsia"/>
          <w:sz w:val="24"/>
          <w:szCs w:val="24"/>
          <w:highlight w:val="none"/>
        </w:rPr>
        <w:t>占用0.2207公顷</w:t>
      </w:r>
      <w:r>
        <w:rPr>
          <w:sz w:val="24"/>
          <w:szCs w:val="24"/>
          <w:highlight w:val="none"/>
        </w:rPr>
        <w:t>，地类为：</w:t>
      </w:r>
      <w:r>
        <w:rPr>
          <w:rFonts w:hint="eastAsia"/>
          <w:sz w:val="24"/>
          <w:szCs w:val="24"/>
          <w:highlight w:val="none"/>
        </w:rPr>
        <w:t>旱地0.4786公顷，灌木林地2.2117公顷，其他草地0.1641公顷，农村道路0.0251公顷，裸地3.8824公顷</w:t>
      </w:r>
      <w:r>
        <w:rPr>
          <w:sz w:val="24"/>
          <w:szCs w:val="24"/>
          <w:highlight w:val="none"/>
        </w:rPr>
        <w:t>。</w:t>
      </w:r>
      <w:r>
        <w:rPr>
          <w:rFonts w:ascii="Times New Roman" w:hAnsi="Times New Roman"/>
          <w:highlight w:val="none"/>
        </w:rPr>
        <w:t>生态环境影响：施工和运营过程中，会破坏地表结构、改变原有土地功能；植物被占压或清除死亡降低区域植被覆盖率；工程行为、地表裸露、工具和物料堆存影响区域自然景观和视觉景观；施工和</w:t>
      </w:r>
      <w:r>
        <w:rPr>
          <w:rFonts w:hint="eastAsia" w:ascii="Times New Roman" w:hAnsi="Times New Roman"/>
          <w:highlight w:val="none"/>
        </w:rPr>
        <w:t>开采</w:t>
      </w:r>
      <w:r>
        <w:rPr>
          <w:rFonts w:ascii="Times New Roman" w:hAnsi="Times New Roman"/>
          <w:highlight w:val="none"/>
        </w:rPr>
        <w:t>破坏生境减少区域野生动物数量；地表、植被破坏降低土壤的水土保持能力，增加区域内水土流失量；采石场运营过程可能诱发地质灾害，如滑坡、崩塌、泥石流等，对开采区及其周边生态环境产生影响</w:t>
      </w:r>
      <w:r>
        <w:rPr>
          <w:rFonts w:hint="eastAsia" w:ascii="Times New Roman" w:hAnsi="Times New Roman"/>
          <w:highlight w:val="none"/>
          <w:lang w:eastAsia="zh-CN"/>
        </w:rPr>
        <w:t>。</w:t>
      </w:r>
    </w:p>
    <w:p>
      <w:pPr>
        <w:pStyle w:val="17"/>
        <w:ind w:firstLine="480"/>
        <w:rPr>
          <w:rFonts w:hint="eastAsia" w:ascii="Times New Roman" w:hAnsi="Times New Roman"/>
          <w:highlight w:val="none"/>
          <w:lang w:eastAsia="zh-CN"/>
        </w:rPr>
      </w:pPr>
      <w:r>
        <w:rPr>
          <w:rFonts w:hint="eastAsia" w:ascii="Times New Roman" w:hAnsi="Times New Roman"/>
          <w:highlight w:val="none"/>
          <w:lang w:eastAsia="zh-CN"/>
        </w:rPr>
        <w:t>（2）防治措施分析</w:t>
      </w:r>
    </w:p>
    <w:p>
      <w:pPr>
        <w:pStyle w:val="17"/>
        <w:ind w:firstLine="480"/>
        <w:rPr>
          <w:rFonts w:hint="eastAsia" w:ascii="Times New Roman" w:hAnsi="Times New Roman"/>
          <w:highlight w:val="none"/>
          <w:lang w:eastAsia="zh-CN"/>
        </w:rPr>
      </w:pPr>
      <w:r>
        <w:rPr>
          <w:rFonts w:hint="eastAsia" w:ascii="Times New Roman" w:hAnsi="Times New Roman"/>
          <w:highlight w:val="none"/>
          <w:lang w:eastAsia="zh-CN"/>
        </w:rPr>
        <w:t>矿山运行期间，为降低开采对区域造成的不利影响，应尽量减少影响面积（占地面积），把破坏程度降至最低。同时，在矿山开采完成后，利用本地物种，恢复矿区植被。</w:t>
      </w:r>
    </w:p>
    <w:p>
      <w:pPr>
        <w:pStyle w:val="17"/>
        <w:ind w:firstLine="480"/>
        <w:rPr>
          <w:rFonts w:hint="eastAsia" w:ascii="Times New Roman" w:hAnsi="Times New Roman" w:eastAsia="宋体"/>
          <w:highlight w:val="none"/>
          <w:lang w:eastAsia="zh-CN"/>
        </w:rPr>
      </w:pPr>
      <w:r>
        <w:rPr>
          <w:rFonts w:hint="eastAsia" w:ascii="Times New Roman" w:hAnsi="Times New Roman"/>
          <w:highlight w:val="none"/>
          <w:lang w:eastAsia="zh-CN"/>
        </w:rPr>
        <w:t>永久设施植被恢复：在所有永久建筑完工后，应立即进行裸露区的植被恢复，包括开挖的坡面、房前屋后等区域。恢复时根据各地段的实际情况，因地制宜地对各类施工迹地进行绿化恢复，尽量减少工程区内的施工痕迹。如原为灌丛植被的应恢复为灌丛， 原为森林的应恢复为森林等。施工迹地的绿化恢复过程中将尽量采用当地树种、草种， 最好是利用原自然植被的建群种进行恢复。种群在整个植被中盖度最大，生物量最大，占有空间也最大，并在建造群落、改造环境以及物质与能量交换中作用最突出。具体可采取人工栽植幼苗的方式，遵循夹杂混合种植、密度适宜、杜绝纯林的原则。对房前屋后的恢复，也尽量采用其原生植被。绿化的草种和树种，一定是当地的土著物种，让其自然恢复。</w:t>
      </w:r>
    </w:p>
    <w:p>
      <w:pPr>
        <w:pStyle w:val="17"/>
        <w:ind w:left="0" w:leftChars="0" w:firstLine="0" w:firstLineChars="0"/>
        <w:rPr>
          <w:rFonts w:ascii="Times New Roman" w:hAnsi="Times New Roman"/>
          <w:highlight w:val="none"/>
        </w:rPr>
      </w:pPr>
      <w:r>
        <w:rPr>
          <w:rFonts w:hint="eastAsia" w:ascii="Times New Roman" w:hAnsi="Times New Roman" w:eastAsia="宋体" w:cs="Times New Roman"/>
          <w:b/>
          <w:kern w:val="0"/>
          <w:sz w:val="28"/>
          <w:szCs w:val="27"/>
          <w:highlight w:val="none"/>
          <w:lang w:val="en-US" w:eastAsia="zh-CN" w:bidi="ar-SA"/>
        </w:rPr>
        <w:t>3.3.</w:t>
      </w:r>
      <w:r>
        <w:rPr>
          <w:rFonts w:hint="eastAsia" w:ascii="Times New Roman" w:hAnsi="Times New Roman" w:cs="Times New Roman"/>
          <w:b/>
          <w:kern w:val="0"/>
          <w:sz w:val="28"/>
          <w:szCs w:val="27"/>
          <w:highlight w:val="none"/>
          <w:lang w:val="en-US" w:eastAsia="zh-CN" w:bidi="ar-SA"/>
        </w:rPr>
        <w:t>4闭矿期主要环境问题</w:t>
      </w:r>
    </w:p>
    <w:p>
      <w:pPr>
        <w:pStyle w:val="17"/>
        <w:ind w:firstLine="480"/>
        <w:rPr>
          <w:rFonts w:hint="eastAsia" w:ascii="Times New Roman" w:hAnsi="Times New Roman"/>
          <w:highlight w:val="none"/>
        </w:rPr>
      </w:pPr>
      <w:r>
        <w:rPr>
          <w:rFonts w:hint="eastAsia" w:ascii="Times New Roman" w:hAnsi="Times New Roman"/>
          <w:highlight w:val="none"/>
        </w:rPr>
        <w:t>矿山服务期满后，废气、废水、噪声、固体废物等污染源停止排污，对环境的影响也会逐渐消失。但是，由于露天开采引起的地表裸露延续的时间较长，因此矿山服务期满后，开采造成的地表裸露等对生态环境还存在一些潜在影响，主要表现在以下两个方面：</w:t>
      </w:r>
    </w:p>
    <w:p>
      <w:pPr>
        <w:pStyle w:val="17"/>
        <w:ind w:firstLine="480"/>
        <w:rPr>
          <w:rFonts w:hint="eastAsia" w:ascii="Times New Roman" w:hAnsi="Times New Roman" w:eastAsia="宋体"/>
          <w:highlight w:val="none"/>
          <w:lang w:eastAsia="zh-CN"/>
        </w:rPr>
      </w:pPr>
      <w:r>
        <w:rPr>
          <w:rFonts w:hint="eastAsia" w:ascii="Times New Roman" w:hAnsi="Times New Roman"/>
          <w:highlight w:val="none"/>
        </w:rPr>
        <w:t>1、局部的地表岩移和垮落在一定程度上加剧地表岩土侵蚀速度，增加边坡泻溜发生的危险性</w:t>
      </w:r>
      <w:r>
        <w:rPr>
          <w:rFonts w:hint="eastAsia" w:ascii="Times New Roman" w:hAnsi="Times New Roman"/>
          <w:highlight w:val="none"/>
          <w:lang w:eastAsia="zh-CN"/>
        </w:rPr>
        <w:t>。</w:t>
      </w:r>
    </w:p>
    <w:p>
      <w:pPr>
        <w:pStyle w:val="17"/>
        <w:ind w:firstLine="480"/>
        <w:rPr>
          <w:rFonts w:hint="eastAsia" w:ascii="Times New Roman" w:hAnsi="Times New Roman" w:eastAsia="宋体"/>
          <w:highlight w:val="none"/>
          <w:lang w:eastAsia="zh-CN"/>
        </w:rPr>
      </w:pPr>
      <w:r>
        <w:rPr>
          <w:rFonts w:hint="eastAsia" w:ascii="Times New Roman" w:hAnsi="Times New Roman"/>
          <w:highlight w:val="none"/>
        </w:rPr>
        <w:t>2、闭矿期至复垦完成期间，地表裸露面积较大，残留的碎石碎土在车辆通行及大风天易产生较大扬尘，影响周边植被生长。此外，雨季时雨水冲刷整治复垦的土地，可造成新的水土流失</w:t>
      </w:r>
      <w:r>
        <w:rPr>
          <w:rFonts w:hint="eastAsia" w:ascii="Times New Roman" w:hAnsi="Times New Roman"/>
          <w:highlight w:val="none"/>
          <w:lang w:eastAsia="zh-CN"/>
        </w:rPr>
        <w:t>。</w:t>
      </w:r>
    </w:p>
    <w:p>
      <w:pPr>
        <w:pStyle w:val="17"/>
        <w:ind w:firstLine="480"/>
        <w:rPr>
          <w:rFonts w:hint="eastAsia" w:ascii="Times New Roman" w:hAnsi="Times New Roman"/>
          <w:highlight w:val="none"/>
        </w:rPr>
      </w:pPr>
      <w:r>
        <w:rPr>
          <w:rFonts w:hint="eastAsia" w:ascii="Times New Roman" w:hAnsi="Times New Roman"/>
          <w:highlight w:val="none"/>
        </w:rPr>
        <w:t>矿区开采活动结束后，应采取相应的土地复垦措施，以尽快恢复矿区生态环境，使矿山及其周围的生态环境影响降到最低。可采取以下几点防治措施：</w:t>
      </w:r>
    </w:p>
    <w:p>
      <w:pPr>
        <w:pStyle w:val="17"/>
        <w:ind w:firstLine="480"/>
        <w:rPr>
          <w:rFonts w:hint="eastAsia" w:ascii="Times New Roman" w:hAnsi="Times New Roman"/>
          <w:highlight w:val="none"/>
        </w:rPr>
      </w:pPr>
      <w:r>
        <w:rPr>
          <w:rFonts w:hint="eastAsia" w:ascii="Times New Roman" w:hAnsi="Times New Roman"/>
          <w:highlight w:val="none"/>
        </w:rPr>
        <w:t>（1）开采终了后，对场地进行清理，拆除基础设施。</w:t>
      </w:r>
    </w:p>
    <w:p>
      <w:pPr>
        <w:pStyle w:val="17"/>
        <w:ind w:firstLine="480"/>
        <w:rPr>
          <w:rFonts w:hint="eastAsia" w:ascii="Times New Roman" w:hAnsi="Times New Roman"/>
          <w:highlight w:val="none"/>
        </w:rPr>
      </w:pPr>
      <w:r>
        <w:rPr>
          <w:rFonts w:hint="eastAsia" w:ascii="Times New Roman" w:hAnsi="Times New Roman"/>
          <w:highlight w:val="none"/>
        </w:rPr>
        <w:t>（2）回填覆土，设置相应的水保措施，撒播草种及种植相应的绿化植被等。</w:t>
      </w:r>
    </w:p>
    <w:p>
      <w:pPr>
        <w:pStyle w:val="17"/>
        <w:ind w:firstLine="480"/>
        <w:rPr>
          <w:rFonts w:ascii="Times New Roman" w:hAnsi="Times New Roman"/>
          <w:highlight w:val="none"/>
        </w:rPr>
        <w:sectPr>
          <w:headerReference r:id="rId6" w:type="default"/>
          <w:footerReference r:id="rId7" w:type="default"/>
          <w:pgSz w:w="11911" w:h="16838"/>
          <w:pgMar w:top="1417" w:right="1417" w:bottom="1417" w:left="1417" w:header="879" w:footer="952" w:gutter="0"/>
          <w:pgBorders>
            <w:top w:val="none" w:sz="0" w:space="0"/>
            <w:left w:val="none" w:sz="0" w:space="0"/>
            <w:bottom w:val="none" w:sz="0" w:space="0"/>
            <w:right w:val="none" w:sz="0" w:space="0"/>
          </w:pgBorders>
          <w:pgNumType w:fmt="decimal"/>
          <w:cols w:space="720" w:num="1"/>
          <w:docGrid w:linePitch="312" w:charSpace="0"/>
        </w:sectPr>
      </w:pPr>
      <w:r>
        <w:rPr>
          <w:rFonts w:hint="eastAsia" w:ascii="Times New Roman" w:hAnsi="Times New Roman"/>
          <w:highlight w:val="none"/>
          <w:lang w:eastAsia="zh-CN"/>
        </w:rPr>
        <w:t>（</w:t>
      </w:r>
      <w:r>
        <w:rPr>
          <w:rFonts w:hint="eastAsia" w:ascii="Times New Roman" w:hAnsi="Times New Roman"/>
          <w:highlight w:val="none"/>
          <w:lang w:val="en-US" w:eastAsia="zh-CN"/>
        </w:rPr>
        <w:t>3</w:t>
      </w:r>
      <w:r>
        <w:rPr>
          <w:rFonts w:hint="eastAsia" w:ascii="Times New Roman" w:hAnsi="Times New Roman"/>
          <w:highlight w:val="none"/>
          <w:lang w:eastAsia="zh-CN"/>
        </w:rPr>
        <w:t>）</w:t>
      </w:r>
      <w:r>
        <w:rPr>
          <w:rFonts w:hint="eastAsia" w:ascii="Times New Roman" w:hAnsi="Times New Roman"/>
          <w:highlight w:val="none"/>
        </w:rPr>
        <w:t>临时占地设施按土地复垦方案恢复相应地类</w:t>
      </w:r>
      <w:r>
        <w:rPr>
          <w:rFonts w:ascii="Times New Roman" w:hAnsi="Times New Roman"/>
          <w:highlight w:val="none"/>
        </w:rPr>
        <w:t>。</w:t>
      </w:r>
    </w:p>
    <w:bookmarkEnd w:id="316"/>
    <w:p>
      <w:pPr>
        <w:pStyle w:val="3"/>
        <w:rPr>
          <w:highlight w:val="none"/>
        </w:rPr>
      </w:pPr>
      <w:bookmarkStart w:id="337" w:name="_Toc387225792"/>
      <w:bookmarkStart w:id="338" w:name="_Toc28309"/>
      <w:bookmarkStart w:id="339" w:name="_Toc371168447"/>
      <w:r>
        <w:rPr>
          <w:rFonts w:hint="eastAsia"/>
          <w:highlight w:val="none"/>
          <w:lang w:val="en-US" w:eastAsia="zh-CN"/>
        </w:rPr>
        <w:t>4</w:t>
      </w:r>
      <w:r>
        <w:rPr>
          <w:rFonts w:hint="eastAsia"/>
          <w:highlight w:val="none"/>
        </w:rPr>
        <w:t>建设项目周围环境概况</w:t>
      </w:r>
      <w:bookmarkEnd w:id="337"/>
      <w:bookmarkEnd w:id="338"/>
      <w:bookmarkEnd w:id="339"/>
    </w:p>
    <w:p>
      <w:pPr>
        <w:pStyle w:val="4"/>
        <w:rPr>
          <w:highlight w:val="none"/>
        </w:rPr>
      </w:pPr>
      <w:bookmarkStart w:id="340" w:name="_Toc362529441"/>
      <w:bookmarkStart w:id="341" w:name="_Toc369958495"/>
      <w:bookmarkStart w:id="342" w:name="_Toc362529946"/>
      <w:bookmarkStart w:id="343" w:name="_Toc362529578"/>
      <w:bookmarkStart w:id="344" w:name="_Toc299621826"/>
      <w:bookmarkStart w:id="345" w:name="_Toc339558710"/>
      <w:bookmarkStart w:id="346" w:name="_Toc3860"/>
      <w:bookmarkStart w:id="347" w:name="_Toc371168448"/>
      <w:bookmarkStart w:id="348" w:name="_Toc232569153"/>
      <w:bookmarkStart w:id="349" w:name="_Toc337754311"/>
      <w:bookmarkStart w:id="350" w:name="_Toc387225793"/>
      <w:bookmarkStart w:id="351" w:name="_Toc227644652"/>
      <w:r>
        <w:rPr>
          <w:rFonts w:hint="eastAsia"/>
          <w:highlight w:val="none"/>
          <w:lang w:val="en-US" w:eastAsia="zh-CN"/>
        </w:rPr>
        <w:t>4</w:t>
      </w:r>
      <w:r>
        <w:rPr>
          <w:rFonts w:hint="eastAsia"/>
          <w:highlight w:val="none"/>
        </w:rPr>
        <w:t>.1自然环境</w:t>
      </w:r>
      <w:bookmarkEnd w:id="340"/>
      <w:bookmarkEnd w:id="341"/>
      <w:bookmarkEnd w:id="342"/>
      <w:bookmarkEnd w:id="343"/>
      <w:bookmarkEnd w:id="344"/>
      <w:bookmarkEnd w:id="345"/>
      <w:bookmarkEnd w:id="346"/>
      <w:bookmarkEnd w:id="347"/>
      <w:bookmarkEnd w:id="348"/>
      <w:bookmarkEnd w:id="349"/>
      <w:bookmarkEnd w:id="350"/>
      <w:bookmarkEnd w:id="351"/>
    </w:p>
    <w:p>
      <w:pPr>
        <w:pStyle w:val="5"/>
        <w:adjustRightInd w:val="0"/>
        <w:snapToGrid w:val="0"/>
        <w:rPr>
          <w:rFonts w:hint="default"/>
          <w:highlight w:val="none"/>
        </w:rPr>
      </w:pPr>
      <w:bookmarkStart w:id="352" w:name="_Toc232569154"/>
      <w:bookmarkStart w:id="353" w:name="_Toc5167"/>
      <w:bookmarkStart w:id="354" w:name="_Toc369958496"/>
      <w:bookmarkStart w:id="355" w:name="_Toc362529579"/>
      <w:bookmarkStart w:id="356" w:name="_Toc227644653"/>
      <w:bookmarkStart w:id="357" w:name="_Toc362529947"/>
      <w:bookmarkStart w:id="358" w:name="_Toc362529442"/>
      <w:r>
        <w:rPr>
          <w:rFonts w:hint="eastAsia"/>
          <w:highlight w:val="none"/>
          <w:lang w:val="en-US" w:eastAsia="zh-CN"/>
        </w:rPr>
        <w:t>4</w:t>
      </w:r>
      <w:r>
        <w:rPr>
          <w:highlight w:val="none"/>
        </w:rPr>
        <w:t>.1.1地理位置</w:t>
      </w:r>
      <w:bookmarkEnd w:id="352"/>
      <w:bookmarkEnd w:id="353"/>
      <w:bookmarkEnd w:id="354"/>
      <w:bookmarkEnd w:id="355"/>
      <w:bookmarkEnd w:id="356"/>
      <w:bookmarkEnd w:id="357"/>
      <w:bookmarkEnd w:id="358"/>
    </w:p>
    <w:p>
      <w:pPr>
        <w:ind w:firstLine="480"/>
        <w:rPr>
          <w:highlight w:val="none"/>
        </w:rPr>
      </w:pPr>
      <w:r>
        <w:rPr>
          <w:highlight w:val="none"/>
        </w:rPr>
        <w:t>砚山县地处云南省东南部、文山壮族苗族自治州中西部。位于东经103°35′至104°44′，北纬23°18′至23°59′之间，东与广南县相连、南与西畴县、文山县交界；西与开远市、蒙自县接壤；北与丘北县毗邻。砚山县东西横距107km，南北绵延70km，总面积3888km</w:t>
      </w:r>
      <w:r>
        <w:rPr>
          <w:highlight w:val="none"/>
          <w:vertAlign w:val="superscript"/>
        </w:rPr>
        <w:t>2</w:t>
      </w:r>
      <w:r>
        <w:rPr>
          <w:highlight w:val="none"/>
        </w:rPr>
        <w:t>。县城东行240km抵广西境内；南行35km抵州府文山、140km抵中越边境；西行160km抵开远；北行350km达省会昆明，交通十分方便。</w:t>
      </w:r>
    </w:p>
    <w:p>
      <w:pPr>
        <w:ind w:firstLine="480"/>
        <w:textAlignment w:val="baseline"/>
        <w:rPr>
          <w:rFonts w:hint="eastAsia" w:eastAsia="宋体"/>
          <w:highlight w:val="none"/>
          <w:lang w:eastAsia="zh-CN"/>
        </w:rPr>
      </w:pPr>
      <w:r>
        <w:rPr>
          <w:rFonts w:hint="eastAsia"/>
          <w:szCs w:val="24"/>
          <w:highlight w:val="none"/>
        </w:rPr>
        <w:t>阿猛镇位于云南省文山州砚山县东北部，东邻广南县伍珠乡、珠琳镇、那洒乡，南接砚山县蚌蛾乡</w:t>
      </w:r>
      <w:r>
        <w:rPr>
          <w:rFonts w:hint="eastAsia"/>
          <w:szCs w:val="24"/>
          <w:highlight w:val="none"/>
          <w:lang w:eastAsia="zh-CN"/>
        </w:rPr>
        <w:t>，</w:t>
      </w:r>
      <w:r>
        <w:rPr>
          <w:rFonts w:hint="eastAsia"/>
          <w:szCs w:val="24"/>
          <w:highlight w:val="none"/>
        </w:rPr>
        <w:t>西与砚山县者腊乡、干河乡、维摩乡接壤，北与丘北县天星乡毗邻。全镇国土面积529.4平方公里，平均气温15.7℃-16.6℃。"323"国道线过境23公里，镇政府所在地距砚山县城37公里</w:t>
      </w:r>
      <w:r>
        <w:rPr>
          <w:rFonts w:hint="eastAsia"/>
          <w:szCs w:val="24"/>
          <w:highlight w:val="none"/>
          <w:lang w:eastAsia="zh-CN"/>
        </w:rPr>
        <w:t>。</w:t>
      </w:r>
    </w:p>
    <w:p>
      <w:pPr>
        <w:ind w:firstLine="480"/>
        <w:textAlignment w:val="baseline"/>
        <w:rPr>
          <w:highlight w:val="none"/>
        </w:rPr>
      </w:pPr>
      <w:r>
        <w:rPr>
          <w:szCs w:val="24"/>
          <w:highlight w:val="none"/>
        </w:rPr>
        <w:t>本项目位于</w:t>
      </w:r>
      <w:r>
        <w:rPr>
          <w:rFonts w:hint="eastAsia" w:hAnsi="宋体"/>
          <w:highlight w:val="none"/>
          <w:lang w:eastAsia="zh-CN"/>
        </w:rPr>
        <w:t>砚山县阿猛镇卡子村</w:t>
      </w:r>
      <w:r>
        <w:rPr>
          <w:szCs w:val="24"/>
          <w:highlight w:val="none"/>
        </w:rPr>
        <w:t>，项目中心地理坐标为：东经104°</w:t>
      </w:r>
      <w:r>
        <w:rPr>
          <w:rFonts w:hint="eastAsia"/>
          <w:szCs w:val="24"/>
          <w:highlight w:val="none"/>
          <w:lang w:val="en-US" w:eastAsia="zh-CN"/>
        </w:rPr>
        <w:t>32</w:t>
      </w:r>
      <w:r>
        <w:rPr>
          <w:szCs w:val="24"/>
          <w:highlight w:val="none"/>
        </w:rPr>
        <w:t>′</w:t>
      </w:r>
      <w:r>
        <w:rPr>
          <w:rFonts w:hint="eastAsia"/>
          <w:szCs w:val="24"/>
          <w:highlight w:val="none"/>
          <w:lang w:val="en-US" w:eastAsia="zh-CN"/>
        </w:rPr>
        <w:t>30.34</w:t>
      </w:r>
      <w:r>
        <w:rPr>
          <w:szCs w:val="24"/>
          <w:highlight w:val="none"/>
        </w:rPr>
        <w:t>″、北纬23°</w:t>
      </w:r>
      <w:r>
        <w:rPr>
          <w:rFonts w:hint="eastAsia"/>
          <w:szCs w:val="24"/>
          <w:highlight w:val="none"/>
          <w:lang w:val="en-US" w:eastAsia="zh-CN"/>
        </w:rPr>
        <w:t>51</w:t>
      </w:r>
      <w:r>
        <w:rPr>
          <w:szCs w:val="24"/>
          <w:highlight w:val="none"/>
        </w:rPr>
        <w:t>′</w:t>
      </w:r>
      <w:r>
        <w:rPr>
          <w:rFonts w:hint="eastAsia"/>
          <w:szCs w:val="24"/>
          <w:highlight w:val="none"/>
          <w:lang w:val="en-US" w:eastAsia="zh-CN"/>
        </w:rPr>
        <w:t>37.10</w:t>
      </w:r>
      <w:r>
        <w:rPr>
          <w:szCs w:val="24"/>
          <w:highlight w:val="none"/>
        </w:rPr>
        <w:t>″。具体位置见附图</w:t>
      </w:r>
      <w:r>
        <w:rPr>
          <w:rFonts w:hint="eastAsia"/>
          <w:szCs w:val="24"/>
          <w:highlight w:val="none"/>
          <w:lang w:val="en-US" w:eastAsia="zh-CN"/>
        </w:rPr>
        <w:t>4</w:t>
      </w:r>
      <w:r>
        <w:rPr>
          <w:szCs w:val="24"/>
          <w:highlight w:val="none"/>
        </w:rPr>
        <w:t>：项目地理位置示意图</w:t>
      </w:r>
      <w:r>
        <w:rPr>
          <w:highlight w:val="none"/>
        </w:rPr>
        <w:t>。</w:t>
      </w:r>
    </w:p>
    <w:p>
      <w:pPr>
        <w:pStyle w:val="5"/>
        <w:adjustRightInd w:val="0"/>
        <w:snapToGrid w:val="0"/>
        <w:rPr>
          <w:rFonts w:hint="default"/>
          <w:highlight w:val="none"/>
        </w:rPr>
      </w:pPr>
      <w:bookmarkStart w:id="359" w:name="_Toc28615"/>
      <w:bookmarkStart w:id="360" w:name="_Toc227644654"/>
      <w:bookmarkStart w:id="361" w:name="_Toc362529948"/>
      <w:bookmarkStart w:id="362" w:name="_Toc232569155"/>
      <w:bookmarkStart w:id="363" w:name="_Toc369958497"/>
      <w:bookmarkStart w:id="364" w:name="_Toc362529580"/>
      <w:bookmarkStart w:id="365" w:name="_Toc362529443"/>
      <w:r>
        <w:rPr>
          <w:rFonts w:hint="eastAsia"/>
          <w:highlight w:val="none"/>
          <w:lang w:val="en-US" w:eastAsia="zh-CN"/>
        </w:rPr>
        <w:t>4</w:t>
      </w:r>
      <w:r>
        <w:rPr>
          <w:highlight w:val="none"/>
        </w:rPr>
        <w:t>.1.2地形地貌地质特征</w:t>
      </w:r>
      <w:bookmarkEnd w:id="359"/>
      <w:bookmarkEnd w:id="360"/>
      <w:bookmarkEnd w:id="361"/>
      <w:bookmarkEnd w:id="362"/>
      <w:bookmarkEnd w:id="363"/>
      <w:bookmarkEnd w:id="364"/>
      <w:bookmarkEnd w:id="365"/>
    </w:p>
    <w:p>
      <w:pPr>
        <w:ind w:firstLine="480"/>
        <w:rPr>
          <w:color w:val="auto"/>
          <w:highlight w:val="none"/>
        </w:rPr>
      </w:pPr>
      <w:r>
        <w:rPr>
          <w:color w:val="auto"/>
          <w:highlight w:val="none"/>
        </w:rPr>
        <w:t>砚山县境内为滇东南岩溶丘源地貌。境内六诏山脉横贯其中，山脉走向较规则地由东向西延伸。地形从西北的最高点（鲁都克马吊陡坡海拔2263.30米）逐步向东南方向的最低点（八嘎三岔河海拔1080米）倾斜，形成西北高、东南低的倾斜地势，地形地貌十分复杂。全境以岩溶盆地为主要地貌特征，地形起伏不平，峰林谷地和山地密布，谷坝镶嵌，溶洞和洼地较多。地层的溶蚀强烈。整个地貌复杂多样，西部以中高山地貌为主；南面和北面，西北面和东北面则以典型的喀斯特地貌为主；南面则为突出的中山河谷地貌。</w:t>
      </w:r>
    </w:p>
    <w:p>
      <w:pPr>
        <w:spacing w:line="500" w:lineRule="exact"/>
        <w:ind w:firstLine="561"/>
        <w:rPr>
          <w:rFonts w:hint="eastAsia" w:ascii="宋体" w:hAnsi="宋体" w:eastAsia="宋体" w:cs="宋体"/>
          <w:color w:val="000000"/>
          <w:sz w:val="24"/>
          <w:szCs w:val="24"/>
          <w:highlight w:val="none"/>
        </w:rPr>
      </w:pPr>
      <w:r>
        <w:rPr>
          <w:rFonts w:hint="eastAsia" w:ascii="宋体" w:hAnsi="宋体" w:eastAsia="宋体" w:cs="宋体"/>
          <w:snapToGrid w:val="0"/>
          <w:color w:val="000000"/>
          <w:kern w:val="0"/>
          <w:sz w:val="24"/>
          <w:szCs w:val="24"/>
          <w:highlight w:val="none"/>
          <w:lang w:eastAsia="zh-CN"/>
        </w:rPr>
        <w:t>项目</w:t>
      </w:r>
      <w:r>
        <w:rPr>
          <w:rFonts w:hint="eastAsia" w:ascii="宋体" w:hAnsi="宋体" w:eastAsia="宋体" w:cs="宋体"/>
          <w:snapToGrid w:val="0"/>
          <w:color w:val="000000"/>
          <w:kern w:val="0"/>
          <w:sz w:val="24"/>
          <w:szCs w:val="24"/>
          <w:highlight w:val="none"/>
        </w:rPr>
        <w:t>矿区范围内出露地层简单，</w:t>
      </w:r>
      <w:r>
        <w:rPr>
          <w:rFonts w:hint="eastAsia" w:ascii="宋体" w:hAnsi="宋体" w:eastAsia="宋体" w:cs="宋体"/>
          <w:snapToGrid w:val="0"/>
          <w:kern w:val="0"/>
          <w:sz w:val="24"/>
          <w:szCs w:val="24"/>
          <w:highlight w:val="none"/>
        </w:rPr>
        <w:t>出露地层主要</w:t>
      </w:r>
      <w:r>
        <w:rPr>
          <w:rFonts w:hint="eastAsia" w:ascii="宋体" w:hAnsi="宋体" w:eastAsia="宋体" w:cs="宋体"/>
          <w:sz w:val="24"/>
          <w:szCs w:val="24"/>
          <w:highlight w:val="none"/>
        </w:rPr>
        <w:t>三叠系中统个旧组第二段（T</w:t>
      </w:r>
      <w:r>
        <w:rPr>
          <w:rFonts w:hint="eastAsia" w:ascii="宋体" w:hAnsi="宋体" w:eastAsia="宋体" w:cs="宋体"/>
          <w:sz w:val="24"/>
          <w:szCs w:val="24"/>
          <w:highlight w:val="none"/>
          <w:vertAlign w:val="subscript"/>
        </w:rPr>
        <w:t>2</w:t>
      </w:r>
      <w:r>
        <w:rPr>
          <w:rFonts w:hint="eastAsia" w:ascii="宋体" w:hAnsi="宋体" w:eastAsia="宋体" w:cs="宋体"/>
          <w:sz w:val="24"/>
          <w:szCs w:val="24"/>
          <w:highlight w:val="none"/>
        </w:rPr>
        <w:t>g</w:t>
      </w:r>
      <w:r>
        <w:rPr>
          <w:rFonts w:hint="eastAsia" w:ascii="宋体" w:hAnsi="宋体" w:eastAsia="宋体" w:cs="宋体"/>
          <w:sz w:val="24"/>
          <w:szCs w:val="24"/>
          <w:highlight w:val="none"/>
          <w:vertAlign w:val="superscript"/>
        </w:rPr>
        <w:t>b</w:t>
      </w:r>
      <w:r>
        <w:rPr>
          <w:rFonts w:hint="eastAsia" w:ascii="宋体" w:hAnsi="宋体" w:eastAsia="宋体" w:cs="宋体"/>
          <w:sz w:val="24"/>
          <w:szCs w:val="24"/>
          <w:highlight w:val="none"/>
        </w:rPr>
        <w:t>）</w:t>
      </w:r>
      <w:r>
        <w:rPr>
          <w:rFonts w:hint="eastAsia" w:ascii="宋体" w:hAnsi="宋体" w:eastAsia="宋体" w:cs="宋体"/>
          <w:snapToGrid w:val="0"/>
          <w:color w:val="000000"/>
          <w:kern w:val="0"/>
          <w:sz w:val="24"/>
          <w:szCs w:val="24"/>
          <w:highlight w:val="none"/>
        </w:rPr>
        <w:t>。根据地层岩性，岩层组合条件、岩体结构类型以及露天采场实地调查，</w:t>
      </w:r>
      <w:r>
        <w:rPr>
          <w:rFonts w:hint="eastAsia" w:ascii="宋体" w:hAnsi="宋体" w:eastAsia="宋体" w:cs="宋体"/>
          <w:color w:val="000000"/>
          <w:sz w:val="24"/>
          <w:szCs w:val="24"/>
          <w:highlight w:val="none"/>
        </w:rPr>
        <w:t>将矿区内岩土可划分为2个工程地质岩组：软弱松散岩(土)体组（Ⅰ）</w:t>
      </w:r>
      <w:r>
        <w:rPr>
          <w:rFonts w:hint="eastAsia" w:ascii="宋体" w:hAnsi="宋体" w:eastAsia="宋体" w:cs="宋体"/>
          <w:snapToGrid w:val="0"/>
          <w:kern w:val="0"/>
          <w:sz w:val="24"/>
          <w:szCs w:val="24"/>
          <w:highlight w:val="none"/>
        </w:rPr>
        <w:t>、较坚硬块状结构灰岩类岩组(Ⅱ)。矿体主要</w:t>
      </w:r>
      <w:r>
        <w:rPr>
          <w:rFonts w:hint="eastAsia" w:ascii="宋体" w:hAnsi="宋体" w:eastAsia="宋体" w:cs="宋体"/>
          <w:sz w:val="24"/>
          <w:szCs w:val="24"/>
          <w:highlight w:val="none"/>
        </w:rPr>
        <w:t>赋存于三叠系中统个旧组第二段（T</w:t>
      </w:r>
      <w:r>
        <w:rPr>
          <w:rFonts w:hint="eastAsia" w:ascii="宋体" w:hAnsi="宋体" w:eastAsia="宋体" w:cs="宋体"/>
          <w:sz w:val="24"/>
          <w:szCs w:val="24"/>
          <w:highlight w:val="none"/>
          <w:vertAlign w:val="subscript"/>
        </w:rPr>
        <w:t>2</w:t>
      </w:r>
      <w:r>
        <w:rPr>
          <w:rFonts w:hint="eastAsia" w:ascii="宋体" w:hAnsi="宋体" w:eastAsia="宋体" w:cs="宋体"/>
          <w:sz w:val="24"/>
          <w:szCs w:val="24"/>
          <w:highlight w:val="none"/>
        </w:rPr>
        <w:t>g</w:t>
      </w:r>
      <w:r>
        <w:rPr>
          <w:rFonts w:hint="eastAsia" w:ascii="宋体" w:hAnsi="宋体" w:eastAsia="宋体" w:cs="宋体"/>
          <w:sz w:val="24"/>
          <w:szCs w:val="24"/>
          <w:highlight w:val="none"/>
          <w:vertAlign w:val="superscript"/>
        </w:rPr>
        <w:t>b</w:t>
      </w:r>
      <w:r>
        <w:rPr>
          <w:rFonts w:hint="eastAsia" w:ascii="宋体" w:hAnsi="宋体" w:eastAsia="宋体" w:cs="宋体"/>
          <w:sz w:val="24"/>
          <w:szCs w:val="24"/>
          <w:highlight w:val="none"/>
        </w:rPr>
        <w:t>）</w:t>
      </w:r>
      <w:r>
        <w:rPr>
          <w:rFonts w:hint="eastAsia" w:ascii="宋体" w:hAnsi="宋体" w:eastAsia="宋体" w:cs="宋体"/>
          <w:snapToGrid w:val="0"/>
          <w:kern w:val="0"/>
          <w:sz w:val="24"/>
          <w:szCs w:val="24"/>
          <w:highlight w:val="none"/>
        </w:rPr>
        <w:t xml:space="preserve">的较坚硬—坚硬块状灰岩岩组(Ⅱ)中，现分述如下： </w:t>
      </w:r>
    </w:p>
    <w:p>
      <w:pPr>
        <w:adjustRightInd w:val="0"/>
        <w:snapToGrid w:val="0"/>
        <w:spacing w:line="500" w:lineRule="exact"/>
        <w:ind w:firstLine="561"/>
        <w:rPr>
          <w:rFonts w:hint="eastAsia" w:ascii="宋体" w:hAnsi="宋体" w:eastAsia="宋体" w:cs="宋体"/>
          <w:sz w:val="24"/>
          <w:szCs w:val="24"/>
          <w:highlight w:val="none"/>
        </w:rPr>
      </w:pPr>
      <w:r>
        <w:rPr>
          <w:rFonts w:hint="eastAsia" w:ascii="宋体" w:hAnsi="宋体" w:eastAsia="宋体" w:cs="宋体"/>
          <w:sz w:val="24"/>
          <w:szCs w:val="24"/>
          <w:highlight w:val="none"/>
        </w:rPr>
        <w:t>①软弱松散岩(土)体组（Ⅰ）</w:t>
      </w:r>
    </w:p>
    <w:p>
      <w:pPr>
        <w:spacing w:line="500" w:lineRule="exact"/>
        <w:ind w:firstLine="561"/>
        <w:rPr>
          <w:rFonts w:hint="eastAsia" w:ascii="宋体" w:hAnsi="宋体" w:eastAsia="宋体" w:cs="宋体"/>
          <w:snapToGrid w:val="0"/>
          <w:kern w:val="0"/>
          <w:sz w:val="24"/>
          <w:szCs w:val="24"/>
          <w:highlight w:val="none"/>
        </w:rPr>
      </w:pPr>
      <w:r>
        <w:rPr>
          <w:rFonts w:hint="eastAsia" w:ascii="宋体" w:hAnsi="宋体" w:eastAsia="宋体" w:cs="宋体"/>
          <w:snapToGrid w:val="0"/>
          <w:kern w:val="0"/>
          <w:sz w:val="24"/>
          <w:szCs w:val="24"/>
          <w:highlight w:val="none"/>
        </w:rPr>
        <w:t>该岩组主要为</w:t>
      </w:r>
      <w:r>
        <w:rPr>
          <w:rFonts w:hint="eastAsia" w:ascii="宋体" w:hAnsi="宋体" w:eastAsia="宋体" w:cs="宋体"/>
          <w:spacing w:val="16"/>
          <w:sz w:val="24"/>
          <w:szCs w:val="24"/>
          <w:highlight w:val="none"/>
        </w:rPr>
        <w:t>第四系残破积层（Q</w:t>
      </w:r>
      <w:r>
        <w:rPr>
          <w:rFonts w:hint="eastAsia" w:ascii="宋体" w:hAnsi="宋体" w:eastAsia="宋体" w:cs="宋体"/>
          <w:spacing w:val="16"/>
          <w:sz w:val="24"/>
          <w:szCs w:val="24"/>
          <w:highlight w:val="none"/>
          <w:vertAlign w:val="superscript"/>
        </w:rPr>
        <w:t>el+d1</w:t>
      </w:r>
      <w:r>
        <w:rPr>
          <w:rFonts w:hint="eastAsia" w:ascii="宋体" w:hAnsi="宋体" w:eastAsia="宋体" w:cs="宋体"/>
          <w:spacing w:val="16"/>
          <w:sz w:val="24"/>
          <w:szCs w:val="24"/>
          <w:highlight w:val="none"/>
        </w:rPr>
        <w:t>）</w:t>
      </w:r>
      <w:r>
        <w:rPr>
          <w:rFonts w:hint="eastAsia" w:ascii="宋体" w:hAnsi="宋体" w:eastAsia="宋体" w:cs="宋体"/>
          <w:snapToGrid w:val="0"/>
          <w:kern w:val="0"/>
          <w:sz w:val="24"/>
          <w:szCs w:val="24"/>
          <w:highlight w:val="none"/>
        </w:rPr>
        <w:t>，岩性以为砾石、砂、粘土为主，该岩组主要分布于矿区的大部份山脊，山坡及较低洼地中，厚度约0-1m，岩体密实度低，部份呈可塑状，赋存孔隙水，在地表水流的冲刷作用下易形成冲沟，边坡稳定性差，易发生崩塌及滑坡，但地表分布范围不均，对矿床开采影响较小。</w:t>
      </w:r>
    </w:p>
    <w:p>
      <w:pPr>
        <w:spacing w:line="500" w:lineRule="exact"/>
        <w:ind w:firstLine="561"/>
        <w:rPr>
          <w:rFonts w:hint="eastAsia" w:ascii="宋体" w:hAnsi="宋体" w:eastAsia="宋体" w:cs="宋体"/>
          <w:snapToGrid w:val="0"/>
          <w:kern w:val="0"/>
          <w:sz w:val="24"/>
          <w:szCs w:val="24"/>
          <w:highlight w:val="none"/>
        </w:rPr>
      </w:pPr>
      <w:r>
        <w:rPr>
          <w:rFonts w:hint="eastAsia" w:ascii="宋体" w:hAnsi="宋体" w:eastAsia="宋体" w:cs="宋体"/>
          <w:snapToGrid w:val="0"/>
          <w:kern w:val="0"/>
          <w:sz w:val="24"/>
          <w:szCs w:val="24"/>
          <w:highlight w:val="none"/>
        </w:rPr>
        <w:t>②较坚硬层状变质砂岩类岩组(Ⅱ)</w:t>
      </w:r>
    </w:p>
    <w:p>
      <w:pPr>
        <w:spacing w:line="500" w:lineRule="exact"/>
        <w:ind w:firstLine="561"/>
        <w:rPr>
          <w:rFonts w:hint="eastAsia" w:ascii="宋体" w:hAnsi="宋体" w:eastAsia="宋体" w:cs="宋体"/>
          <w:snapToGrid w:val="0"/>
          <w:sz w:val="24"/>
          <w:szCs w:val="24"/>
          <w:highlight w:val="none"/>
        </w:rPr>
      </w:pPr>
      <w:r>
        <w:rPr>
          <w:rFonts w:hint="eastAsia" w:ascii="宋体" w:hAnsi="宋体" w:eastAsia="宋体" w:cs="宋体"/>
          <w:sz w:val="24"/>
          <w:szCs w:val="24"/>
          <w:highlight w:val="none"/>
        </w:rPr>
        <w:t>三叠系中统个旧组第二段（T</w:t>
      </w:r>
      <w:r>
        <w:rPr>
          <w:rFonts w:hint="eastAsia" w:ascii="宋体" w:hAnsi="宋体" w:eastAsia="宋体" w:cs="宋体"/>
          <w:sz w:val="24"/>
          <w:szCs w:val="24"/>
          <w:highlight w:val="none"/>
          <w:vertAlign w:val="subscript"/>
        </w:rPr>
        <w:t>2</w:t>
      </w:r>
      <w:r>
        <w:rPr>
          <w:rFonts w:hint="eastAsia" w:ascii="宋体" w:hAnsi="宋体" w:eastAsia="宋体" w:cs="宋体"/>
          <w:sz w:val="24"/>
          <w:szCs w:val="24"/>
          <w:highlight w:val="none"/>
        </w:rPr>
        <w:t>g</w:t>
      </w:r>
      <w:r>
        <w:rPr>
          <w:rFonts w:hint="eastAsia" w:ascii="宋体" w:hAnsi="宋体" w:eastAsia="宋体" w:cs="宋体"/>
          <w:sz w:val="24"/>
          <w:szCs w:val="24"/>
          <w:highlight w:val="none"/>
          <w:vertAlign w:val="superscript"/>
        </w:rPr>
        <w:t>b</w:t>
      </w:r>
      <w:r>
        <w:rPr>
          <w:rFonts w:hint="eastAsia" w:ascii="宋体" w:hAnsi="宋体" w:eastAsia="宋体" w:cs="宋体"/>
          <w:sz w:val="24"/>
          <w:szCs w:val="24"/>
          <w:highlight w:val="none"/>
        </w:rPr>
        <w:t>）</w:t>
      </w:r>
      <w:r>
        <w:rPr>
          <w:rFonts w:hint="eastAsia" w:ascii="宋体" w:hAnsi="宋体" w:eastAsia="宋体" w:cs="宋体"/>
          <w:snapToGrid w:val="0"/>
          <w:kern w:val="0"/>
          <w:sz w:val="24"/>
          <w:szCs w:val="24"/>
          <w:highlight w:val="none"/>
        </w:rPr>
        <w:t>岩性为</w:t>
      </w:r>
      <w:r>
        <w:rPr>
          <w:rFonts w:hint="eastAsia" w:ascii="宋体" w:hAnsi="宋体" w:eastAsia="宋体" w:cs="宋体"/>
          <w:sz w:val="24"/>
          <w:szCs w:val="24"/>
          <w:highlight w:val="none"/>
        </w:rPr>
        <w:t>灰白色块状灰岩，局部夹白云岩、白云质灰岩、生物碎屑灰岩及硅质岩</w:t>
      </w:r>
      <w:r>
        <w:rPr>
          <w:rFonts w:hint="eastAsia" w:ascii="宋体" w:hAnsi="宋体" w:eastAsia="宋体" w:cs="宋体"/>
          <w:snapToGrid w:val="0"/>
          <w:kern w:val="0"/>
          <w:sz w:val="24"/>
          <w:szCs w:val="24"/>
          <w:highlight w:val="none"/>
        </w:rPr>
        <w:t>。矿区内出露</w:t>
      </w:r>
      <w:r>
        <w:rPr>
          <w:rFonts w:hint="eastAsia" w:ascii="宋体" w:hAnsi="宋体" w:eastAsia="宋体" w:cs="宋体"/>
          <w:sz w:val="24"/>
          <w:szCs w:val="24"/>
          <w:highlight w:val="none"/>
        </w:rPr>
        <w:t>厚度大于240m。灰岩以粉晶结构为主，少量细晶及鲕粒状结构，呈厚层状产出，总体产状304°∠21°。岩层无明显节理。矿</w:t>
      </w:r>
      <w:r>
        <w:rPr>
          <w:rFonts w:hint="eastAsia" w:ascii="宋体" w:hAnsi="宋体" w:eastAsia="宋体" w:cs="宋体"/>
          <w:snapToGrid w:val="0"/>
          <w:kern w:val="0"/>
          <w:sz w:val="24"/>
          <w:szCs w:val="24"/>
          <w:highlight w:val="none"/>
        </w:rPr>
        <w:t>体本身完整性好，但其岩石抗风化能力低，力学强度高</w:t>
      </w:r>
      <w:r>
        <w:rPr>
          <w:rFonts w:hint="eastAsia" w:ascii="宋体" w:hAnsi="宋体" w:eastAsia="宋体" w:cs="宋体"/>
          <w:snapToGrid w:val="0"/>
          <w:sz w:val="24"/>
          <w:szCs w:val="24"/>
          <w:highlight w:val="none"/>
        </w:rPr>
        <w:t>，工程性能较好，整体属于较坚硬—坚硬岩组，为矿山开采对象，对矿山开采影响较大。</w:t>
      </w:r>
    </w:p>
    <w:p>
      <w:pPr>
        <w:pStyle w:val="17"/>
        <w:rPr>
          <w:rFonts w:hint="default" w:ascii="Times New Roman" w:hAnsi="Times New Roman" w:cs="Times New Roman"/>
          <w:color w:val="auto"/>
          <w:sz w:val="24"/>
          <w:szCs w:val="24"/>
          <w:highlight w:val="none"/>
        </w:rPr>
      </w:pPr>
      <w:r>
        <w:rPr>
          <w:rFonts w:hint="eastAsia" w:ascii="宋体" w:hAnsi="宋体" w:cs="宋体"/>
          <w:snapToGrid w:val="0"/>
          <w:kern w:val="0"/>
          <w:sz w:val="24"/>
          <w:szCs w:val="24"/>
          <w:highlight w:val="none"/>
          <w:lang w:val="en-US" w:eastAsia="zh-CN"/>
        </w:rPr>
        <w:t>矿山未开采，没有形成不稳定边坡</w:t>
      </w:r>
      <w:r>
        <w:rPr>
          <w:rFonts w:hint="default" w:ascii="Times New Roman" w:hAnsi="Times New Roman" w:cs="Times New Roman"/>
          <w:color w:val="auto"/>
          <w:sz w:val="24"/>
          <w:szCs w:val="24"/>
          <w:highlight w:val="none"/>
          <w:lang w:eastAsia="zh-CN"/>
        </w:rPr>
        <w:t>。</w:t>
      </w:r>
    </w:p>
    <w:p>
      <w:pPr>
        <w:pStyle w:val="5"/>
        <w:adjustRightInd w:val="0"/>
        <w:snapToGrid w:val="0"/>
        <w:rPr>
          <w:rFonts w:hint="default"/>
          <w:highlight w:val="none"/>
        </w:rPr>
      </w:pPr>
      <w:bookmarkStart w:id="366" w:name="_Toc369958498"/>
      <w:bookmarkStart w:id="367" w:name="_Toc54"/>
      <w:bookmarkStart w:id="368" w:name="_Toc362529581"/>
      <w:bookmarkStart w:id="369" w:name="_Toc232569156"/>
      <w:bookmarkStart w:id="370" w:name="_Toc362529949"/>
      <w:bookmarkStart w:id="371" w:name="_Toc362529444"/>
      <w:bookmarkStart w:id="372" w:name="_Toc227644655"/>
      <w:r>
        <w:rPr>
          <w:rFonts w:hint="eastAsia"/>
          <w:highlight w:val="none"/>
          <w:lang w:val="en-US" w:eastAsia="zh-CN"/>
        </w:rPr>
        <w:t>4</w:t>
      </w:r>
      <w:r>
        <w:rPr>
          <w:highlight w:val="none"/>
        </w:rPr>
        <w:t>.1.3地表水系水文特征</w:t>
      </w:r>
      <w:bookmarkEnd w:id="366"/>
      <w:bookmarkEnd w:id="367"/>
      <w:bookmarkEnd w:id="368"/>
      <w:bookmarkEnd w:id="369"/>
      <w:bookmarkEnd w:id="370"/>
      <w:bookmarkEnd w:id="371"/>
      <w:bookmarkEnd w:id="372"/>
    </w:p>
    <w:p>
      <w:pPr>
        <w:ind w:firstLine="480"/>
        <w:rPr>
          <w:rFonts w:hint="eastAsia" w:eastAsia="宋体"/>
          <w:highlight w:val="none"/>
          <w:lang w:eastAsia="zh-CN"/>
        </w:rPr>
      </w:pPr>
      <w:r>
        <w:rPr>
          <w:rFonts w:hint="eastAsia"/>
          <w:color w:val="000000" w:themeColor="text1"/>
          <w:sz w:val="24"/>
          <w:highlight w:val="none"/>
          <w14:textFill>
            <w14:solidFill>
              <w14:schemeClr w14:val="tx1"/>
            </w14:solidFill>
          </w14:textFill>
        </w:rPr>
        <w:t>砚山县地处红河、珠江两流域分水岭，河网密度小。砚山县属珠江流域西江水系面积1548.85km</w:t>
      </w:r>
      <w:r>
        <w:rPr>
          <w:rFonts w:hint="eastAsia"/>
          <w:color w:val="000000" w:themeColor="text1"/>
          <w:sz w:val="24"/>
          <w:highlight w:val="none"/>
          <w:vertAlign w:val="superscript"/>
          <w14:textFill>
            <w14:solidFill>
              <w14:schemeClr w14:val="tx1"/>
            </w14:solidFill>
          </w14:textFill>
        </w:rPr>
        <w:t>2</w:t>
      </w:r>
      <w:r>
        <w:rPr>
          <w:rFonts w:hint="eastAsia"/>
          <w:color w:val="000000" w:themeColor="text1"/>
          <w:sz w:val="24"/>
          <w:highlight w:val="none"/>
          <w14:textFill>
            <w14:solidFill>
              <w14:schemeClr w14:val="tx1"/>
            </w14:solidFill>
          </w14:textFill>
        </w:rPr>
        <w:t>，占41.4%；属红河流域泸江水系面积2189.15km</w:t>
      </w:r>
      <w:r>
        <w:rPr>
          <w:rFonts w:hint="eastAsia"/>
          <w:color w:val="000000" w:themeColor="text1"/>
          <w:sz w:val="24"/>
          <w:highlight w:val="none"/>
          <w:vertAlign w:val="superscript"/>
          <w14:textFill>
            <w14:solidFill>
              <w14:schemeClr w14:val="tx1"/>
            </w14:solidFill>
          </w14:textFill>
        </w:rPr>
        <w:t>2</w:t>
      </w:r>
      <w:r>
        <w:rPr>
          <w:rFonts w:hint="eastAsia"/>
          <w:color w:val="000000" w:themeColor="text1"/>
          <w:sz w:val="24"/>
          <w:highlight w:val="none"/>
          <w14:textFill>
            <w14:solidFill>
              <w14:schemeClr w14:val="tx1"/>
            </w14:solidFill>
          </w14:textFill>
        </w:rPr>
        <w:t>，占58.6%。主要河流有公革河、阿山龙河、八嘎河、稼依河、翁达河、贵马河6条小河，总长：213.9km，流域面积2769.67km</w:t>
      </w:r>
      <w:r>
        <w:rPr>
          <w:rFonts w:hint="eastAsia"/>
          <w:color w:val="000000" w:themeColor="text1"/>
          <w:sz w:val="24"/>
          <w:highlight w:val="none"/>
          <w:vertAlign w:val="superscript"/>
          <w14:textFill>
            <w14:solidFill>
              <w14:schemeClr w14:val="tx1"/>
            </w14:solidFill>
          </w14:textFill>
        </w:rPr>
        <w:t>2</w:t>
      </w:r>
      <w:r>
        <w:rPr>
          <w:rFonts w:hint="eastAsia"/>
          <w:color w:val="000000" w:themeColor="text1"/>
          <w:sz w:val="24"/>
          <w:highlight w:val="none"/>
          <w14:textFill>
            <w14:solidFill>
              <w14:schemeClr w14:val="tx1"/>
            </w14:solidFill>
          </w14:textFill>
        </w:rPr>
        <w:t>，可灌溉农田耕地551270亩。人工湖、天然湖星罗棋布。其中西江水系有2条（公革河和阿三龙河），泸江水系有4条（稼依河、翁达河、八嘎河及贵马河）</w:t>
      </w:r>
      <w:r>
        <w:rPr>
          <w:rFonts w:hint="eastAsia"/>
          <w:color w:val="000000" w:themeColor="text1"/>
          <w:sz w:val="24"/>
          <w:highlight w:val="none"/>
          <w:lang w:eastAsia="zh-CN"/>
          <w14:textFill>
            <w14:solidFill>
              <w14:schemeClr w14:val="tx1"/>
            </w14:solidFill>
          </w14:textFill>
        </w:rPr>
        <w:t>。</w:t>
      </w:r>
    </w:p>
    <w:p>
      <w:pPr>
        <w:ind w:firstLine="480"/>
        <w:rPr>
          <w:highlight w:val="none"/>
        </w:rPr>
      </w:pPr>
      <w:r>
        <w:rPr>
          <w:highlight w:val="none"/>
        </w:rPr>
        <w:t>矿区及周围地表水体不发育，仅雨季形成间歇式水流汇集于</w:t>
      </w:r>
      <w:r>
        <w:rPr>
          <w:rFonts w:hint="eastAsia"/>
          <w:highlight w:val="none"/>
          <w:lang w:eastAsia="zh-CN"/>
        </w:rPr>
        <w:t>卡子</w:t>
      </w:r>
      <w:r>
        <w:rPr>
          <w:highlight w:val="none"/>
        </w:rPr>
        <w:t>水</w:t>
      </w:r>
      <w:r>
        <w:rPr>
          <w:rFonts w:hint="eastAsia"/>
          <w:highlight w:val="none"/>
          <w:lang w:eastAsia="zh-CN"/>
        </w:rPr>
        <w:t>库</w:t>
      </w:r>
      <w:r>
        <w:rPr>
          <w:highlight w:val="none"/>
        </w:rPr>
        <w:t>中</w:t>
      </w:r>
      <w:r>
        <w:rPr>
          <w:rFonts w:hint="eastAsia"/>
          <w:highlight w:val="none"/>
          <w:lang w:eastAsia="zh-CN"/>
        </w:rPr>
        <w:t>，</w:t>
      </w:r>
      <w:r>
        <w:rPr>
          <w:highlight w:val="none"/>
        </w:rPr>
        <w:t>项目涉及地表水为</w:t>
      </w:r>
      <w:r>
        <w:rPr>
          <w:rFonts w:hint="eastAsia"/>
          <w:highlight w:val="none"/>
          <w:lang w:eastAsia="zh-CN"/>
        </w:rPr>
        <w:t>卡子水库</w:t>
      </w:r>
      <w:r>
        <w:rPr>
          <w:highlight w:val="none"/>
        </w:rPr>
        <w:t>。</w:t>
      </w:r>
    </w:p>
    <w:p>
      <w:pPr>
        <w:pStyle w:val="5"/>
        <w:adjustRightInd w:val="0"/>
        <w:snapToGrid w:val="0"/>
        <w:rPr>
          <w:rFonts w:hint="default"/>
          <w:highlight w:val="none"/>
        </w:rPr>
      </w:pPr>
      <w:bookmarkStart w:id="373" w:name="_Toc369958499"/>
      <w:bookmarkStart w:id="374" w:name="_Toc362529582"/>
      <w:bookmarkStart w:id="375" w:name="_Toc362529445"/>
      <w:bookmarkStart w:id="376" w:name="_Toc362529950"/>
      <w:bookmarkStart w:id="377" w:name="_Toc227644656"/>
      <w:bookmarkStart w:id="378" w:name="_Toc232569157"/>
      <w:bookmarkStart w:id="379" w:name="_Toc31090"/>
      <w:r>
        <w:rPr>
          <w:rFonts w:hint="eastAsia"/>
          <w:highlight w:val="none"/>
          <w:lang w:val="en-US" w:eastAsia="zh-CN"/>
        </w:rPr>
        <w:t>4</w:t>
      </w:r>
      <w:r>
        <w:rPr>
          <w:highlight w:val="none"/>
        </w:rPr>
        <w:t>.1.4气候及气象特征</w:t>
      </w:r>
      <w:bookmarkEnd w:id="373"/>
      <w:bookmarkEnd w:id="374"/>
      <w:bookmarkEnd w:id="375"/>
      <w:bookmarkEnd w:id="376"/>
      <w:bookmarkEnd w:id="377"/>
      <w:bookmarkEnd w:id="378"/>
      <w:bookmarkEnd w:id="379"/>
    </w:p>
    <w:p>
      <w:pPr>
        <w:tabs>
          <w:tab w:val="left" w:pos="180"/>
        </w:tabs>
        <w:ind w:firstLine="480"/>
        <w:rPr>
          <w:highlight w:val="none"/>
        </w:rPr>
      </w:pPr>
      <w:bookmarkStart w:id="380" w:name="_Toc232569158"/>
      <w:bookmarkStart w:id="381" w:name="_Toc227644657"/>
      <w:r>
        <w:rPr>
          <w:highlight w:val="none"/>
        </w:rPr>
        <w:t>砚山县属于低纬北亚热带高原季风气候，四季不明显，干湿季节分明，立体气候特征比较明显，冬无严寒，夏无酷暑，春暖秋凉，四季暖和。全年平均气温12.5～19℃，最冷月（1月）平均气温6.6℃～10℃，最热月（7月）平均气温16.5℃～25℃。极端最高气温33.20℃，极端最低气温-7.80℃。年无霜期250～320天，年日照时数1400～2100小时，年降雨量840～1400mm。每年5～10月为雨季，雨季雨量834.90mm，占全年总雨量的83%左右。11月至次年4月干季，干季雨量仅161mm，占全年总雨量的17%。</w:t>
      </w:r>
    </w:p>
    <w:p>
      <w:pPr>
        <w:tabs>
          <w:tab w:val="left" w:pos="180"/>
        </w:tabs>
        <w:ind w:firstLine="480"/>
        <w:rPr>
          <w:highlight w:val="none"/>
        </w:rPr>
      </w:pPr>
      <w:r>
        <w:rPr>
          <w:highlight w:val="none"/>
        </w:rPr>
        <w:t>最冷月平均相对湿度：68%，最热月平均相对湿度：83%。全年平均蒸发量1948.50mm，其中干季981.70mm；雨季966.90mm。平均风速3.</w:t>
      </w:r>
      <w:r>
        <w:rPr>
          <w:rFonts w:hint="eastAsia"/>
          <w:highlight w:val="none"/>
          <w:lang w:val="en-US" w:eastAsia="zh-CN"/>
        </w:rPr>
        <w:t>1</w:t>
      </w:r>
      <w:r>
        <w:rPr>
          <w:highlight w:val="none"/>
        </w:rPr>
        <w:t>m/s，历年主导风向为南风。大风为常见的一种自然灾害，年平均24次以上，2～4月，由于西部大陆干暖气流控制，空气干燥，风速较大，大风多有发生，其余月份时有出现。</w:t>
      </w:r>
    </w:p>
    <w:p>
      <w:pPr>
        <w:pStyle w:val="5"/>
        <w:adjustRightInd w:val="0"/>
        <w:snapToGrid w:val="0"/>
        <w:rPr>
          <w:rFonts w:hint="default"/>
          <w:highlight w:val="none"/>
        </w:rPr>
      </w:pPr>
      <w:bookmarkStart w:id="382" w:name="_Toc369958500"/>
      <w:bookmarkStart w:id="383" w:name="_Toc362529951"/>
      <w:bookmarkStart w:id="384" w:name="_Toc362529583"/>
      <w:bookmarkStart w:id="385" w:name="_Toc362529446"/>
      <w:bookmarkStart w:id="386" w:name="_Toc4497"/>
      <w:r>
        <w:rPr>
          <w:rFonts w:hint="eastAsia"/>
          <w:highlight w:val="none"/>
          <w:lang w:val="en-US" w:eastAsia="zh-CN"/>
        </w:rPr>
        <w:t>4</w:t>
      </w:r>
      <w:r>
        <w:rPr>
          <w:highlight w:val="none"/>
        </w:rPr>
        <w:t>.1.5土壤、植被</w:t>
      </w:r>
      <w:bookmarkEnd w:id="380"/>
      <w:bookmarkEnd w:id="381"/>
      <w:bookmarkEnd w:id="382"/>
      <w:bookmarkEnd w:id="383"/>
      <w:bookmarkEnd w:id="384"/>
      <w:bookmarkEnd w:id="385"/>
      <w:bookmarkEnd w:id="386"/>
    </w:p>
    <w:p>
      <w:pPr>
        <w:ind w:firstLine="480"/>
        <w:rPr>
          <w:rFonts w:hint="default" w:ascii="Times New Roman" w:hAnsi="Times New Roman" w:cs="Times New Roman" w:eastAsiaTheme="minorEastAsia"/>
          <w:kern w:val="0"/>
          <w:highlight w:val="none"/>
        </w:rPr>
      </w:pPr>
      <w:r>
        <w:rPr>
          <w:rFonts w:hint="default" w:ascii="Times New Roman" w:hAnsi="Times New Roman" w:cs="Times New Roman" w:eastAsiaTheme="minorEastAsia"/>
          <w:highlight w:val="none"/>
        </w:rPr>
        <w:t>砚山县境内的土壤主要有：红壤、黄壤、紫色土、石灰岩土和水稻土5个土壤类型，分布面积较大的有红壤、黄壤和水稻土三类。按照土壤普查报告所附的土壤分布图，在盘龙乡境内；平坝区多为潴育型水稻土，其余的山区林地、以及旱地多属于红壤和黄壤土。</w:t>
      </w:r>
      <w:r>
        <w:rPr>
          <w:rFonts w:hint="default" w:ascii="Times New Roman" w:hAnsi="Times New Roman" w:cs="Times New Roman" w:eastAsiaTheme="minorEastAsia"/>
          <w:kern w:val="0"/>
          <w:highlight w:val="none"/>
        </w:rPr>
        <w:t>项目区内的土壤为第四系残坡积层及原生岩层风化堆积物，主要为红色粉质粘土及有机质粘土，土壤厚度一般为0-3.70m。</w:t>
      </w:r>
    </w:p>
    <w:p>
      <w:pPr>
        <w:ind w:firstLine="480"/>
        <w:rPr>
          <w:kern w:val="0"/>
          <w:highlight w:val="none"/>
        </w:rPr>
      </w:pPr>
      <w:r>
        <w:rPr>
          <w:kern w:val="0"/>
          <w:highlight w:val="none"/>
        </w:rPr>
        <w:t>项目</w:t>
      </w:r>
      <w:r>
        <w:rPr>
          <w:rFonts w:hint="eastAsia"/>
          <w:kern w:val="0"/>
          <w:highlight w:val="none"/>
        </w:rPr>
        <w:t>区域主要为坡耕地，种植的农作物有玉米、南瓜等，附近区域的</w:t>
      </w:r>
      <w:r>
        <w:rPr>
          <w:kern w:val="0"/>
          <w:highlight w:val="none"/>
        </w:rPr>
        <w:t>植被</w:t>
      </w:r>
      <w:r>
        <w:rPr>
          <w:rFonts w:hint="eastAsia"/>
          <w:kern w:val="0"/>
          <w:highlight w:val="none"/>
        </w:rPr>
        <w:t>长势一般</w:t>
      </w:r>
      <w:r>
        <w:rPr>
          <w:kern w:val="0"/>
          <w:highlight w:val="none"/>
        </w:rPr>
        <w:t>，主要为</w:t>
      </w:r>
      <w:r>
        <w:rPr>
          <w:rFonts w:hint="eastAsia"/>
          <w:kern w:val="0"/>
          <w:highlight w:val="none"/>
        </w:rPr>
        <w:t>低矮灌木、荒草等</w:t>
      </w:r>
      <w:r>
        <w:rPr>
          <w:kern w:val="0"/>
          <w:highlight w:val="none"/>
        </w:rPr>
        <w:t>。</w:t>
      </w:r>
    </w:p>
    <w:p>
      <w:pPr>
        <w:pStyle w:val="5"/>
        <w:adjustRightInd w:val="0"/>
        <w:snapToGrid w:val="0"/>
        <w:rPr>
          <w:rFonts w:hint="default"/>
          <w:highlight w:val="none"/>
        </w:rPr>
      </w:pPr>
      <w:bookmarkStart w:id="387" w:name="_Toc29551"/>
      <w:bookmarkStart w:id="388" w:name="_Toc420156389"/>
      <w:bookmarkStart w:id="389" w:name="_Toc335039263"/>
      <w:r>
        <w:rPr>
          <w:rFonts w:hint="eastAsia"/>
          <w:highlight w:val="none"/>
          <w:lang w:val="en-US" w:eastAsia="zh-CN"/>
        </w:rPr>
        <w:t>4</w:t>
      </w:r>
      <w:r>
        <w:rPr>
          <w:highlight w:val="none"/>
        </w:rPr>
        <w:t>.1.6 矿产资源储量</w:t>
      </w:r>
      <w:bookmarkEnd w:id="387"/>
      <w:bookmarkEnd w:id="388"/>
      <w:bookmarkEnd w:id="389"/>
    </w:p>
    <w:p>
      <w:pPr>
        <w:pStyle w:val="17"/>
        <w:ind w:firstLine="480"/>
        <w:rPr>
          <w:kern w:val="0"/>
          <w:highlight w:val="none"/>
        </w:rPr>
      </w:pPr>
      <w:r>
        <w:rPr>
          <w:rFonts w:hint="eastAsia" w:ascii="Times New Roman" w:hAnsi="Times New Roman"/>
          <w:highlight w:val="none"/>
        </w:rPr>
        <w:t>2019年9月，砚山县那江镇真元饲料添加剂沸石粉厂对该矿区内进行了地质勘查工作，并于同年10月编制了《云南省砚山县倮基黑卡子凹塘普通建筑材料用石灰岩矿储量核实报告》(2019)。该报告于2019年11月5日经文山伟成商务服务有限公司评审(文伟资储评字[2019]60号)评审通过：云南省倮基黑卡子凹塘普通建筑材料用石灰岩矿储量核实报告采矿权范围内探获122b类石灰岩矿矿石保有资源储量548.44万m3(1371.10万t)。2019年11月13日，砚山县自然资源局以“砚自然资储备字[2019]10号”文对该资源储量予以备案</w:t>
      </w:r>
      <w:r>
        <w:rPr>
          <w:rFonts w:hint="eastAsia" w:ascii="Times New Roman" w:hAnsi="Times New Roman"/>
          <w:highlight w:val="none"/>
          <w:lang w:eastAsia="zh-CN"/>
        </w:rPr>
        <w:t>，</w:t>
      </w:r>
      <w:r>
        <w:rPr>
          <w:rFonts w:hint="eastAsia" w:ascii="Times New Roman" w:hAnsi="Times New Roman"/>
          <w:color w:val="auto"/>
          <w:highlight w:val="none"/>
          <w:lang w:eastAsia="zh-CN"/>
        </w:rPr>
        <w:t>本次矿山设计利用资源储量为保有资源储量的部分（开采标高</w:t>
      </w:r>
      <w:r>
        <w:rPr>
          <w:rFonts w:hint="eastAsia" w:ascii="Times New Roman" w:hAnsi="Times New Roman"/>
          <w:color w:val="auto"/>
          <w:highlight w:val="none"/>
          <w:lang w:val="en-US" w:eastAsia="zh-CN"/>
        </w:rPr>
        <w:t>1746m-1680m</w:t>
      </w:r>
      <w:r>
        <w:rPr>
          <w:rFonts w:hint="eastAsia" w:ascii="Times New Roman" w:hAnsi="Times New Roman"/>
          <w:color w:val="auto"/>
          <w:highlight w:val="none"/>
          <w:lang w:eastAsia="zh-CN"/>
        </w:rPr>
        <w:t>）资源量199.62万m</w:t>
      </w:r>
      <w:r>
        <w:rPr>
          <w:rFonts w:hint="eastAsia" w:ascii="Times New Roman" w:hAnsi="Times New Roman"/>
          <w:color w:val="auto"/>
          <w:highlight w:val="none"/>
          <w:vertAlign w:val="superscript"/>
          <w:lang w:eastAsia="zh-CN"/>
        </w:rPr>
        <w:t>3</w:t>
      </w:r>
      <w:r>
        <w:rPr>
          <w:rFonts w:hint="eastAsia" w:ascii="Times New Roman" w:hAnsi="Times New Roman"/>
          <w:color w:val="auto"/>
          <w:highlight w:val="none"/>
          <w:lang w:eastAsia="zh-CN"/>
        </w:rPr>
        <w:t>(299.05万t)</w:t>
      </w:r>
      <w:r>
        <w:rPr>
          <w:rFonts w:hint="eastAsia" w:ascii="Times New Roman" w:hAnsi="Times New Roman"/>
          <w:color w:val="auto"/>
          <w:highlight w:val="none"/>
        </w:rPr>
        <w:t>，设计损失资源储量(122b类)为33.79万m</w:t>
      </w:r>
      <w:r>
        <w:rPr>
          <w:rFonts w:hint="eastAsia" w:ascii="Times New Roman" w:hAnsi="Times New Roman"/>
          <w:color w:val="auto"/>
          <w:highlight w:val="none"/>
          <w:vertAlign w:val="superscript"/>
        </w:rPr>
        <w:t>3</w:t>
      </w:r>
      <w:r>
        <w:rPr>
          <w:rFonts w:hint="eastAsia" w:ascii="Times New Roman" w:hAnsi="Times New Roman"/>
          <w:color w:val="auto"/>
          <w:highlight w:val="none"/>
        </w:rPr>
        <w:t>(84.47万t)，矿山预可采资源储量(122类资源储量)为81.54万m</w:t>
      </w:r>
      <w:r>
        <w:rPr>
          <w:rFonts w:hint="eastAsia" w:ascii="Times New Roman" w:hAnsi="Times New Roman"/>
          <w:color w:val="auto"/>
          <w:highlight w:val="none"/>
          <w:vertAlign w:val="superscript"/>
        </w:rPr>
        <w:t>3</w:t>
      </w:r>
      <w:r>
        <w:rPr>
          <w:rFonts w:hint="eastAsia" w:ascii="Times New Roman" w:hAnsi="Times New Roman"/>
          <w:color w:val="auto"/>
          <w:highlight w:val="none"/>
        </w:rPr>
        <w:t>(203.85万t)</w:t>
      </w:r>
      <w:r>
        <w:rPr>
          <w:rFonts w:hint="eastAsia" w:ascii="Times New Roman" w:hAnsi="Times New Roman"/>
          <w:highlight w:val="none"/>
        </w:rPr>
        <w:t>。</w:t>
      </w:r>
    </w:p>
    <w:p>
      <w:pPr>
        <w:pStyle w:val="5"/>
        <w:adjustRightInd w:val="0"/>
        <w:snapToGrid w:val="0"/>
        <w:rPr>
          <w:rFonts w:hint="default"/>
          <w:highlight w:val="none"/>
        </w:rPr>
      </w:pPr>
      <w:bookmarkStart w:id="390" w:name="_Toc420156390"/>
      <w:bookmarkStart w:id="391" w:name="_Toc28180"/>
      <w:r>
        <w:rPr>
          <w:rFonts w:hint="eastAsia"/>
          <w:highlight w:val="none"/>
          <w:lang w:val="en-US" w:eastAsia="zh-CN"/>
        </w:rPr>
        <w:t>4</w:t>
      </w:r>
      <w:r>
        <w:rPr>
          <w:highlight w:val="none"/>
        </w:rPr>
        <w:t>.1.7 矿区周边环境现状</w:t>
      </w:r>
      <w:bookmarkEnd w:id="390"/>
      <w:bookmarkEnd w:id="391"/>
    </w:p>
    <w:p>
      <w:pPr>
        <w:ind w:firstLine="480"/>
        <w:rPr>
          <w:kern w:val="0"/>
          <w:highlight w:val="none"/>
        </w:rPr>
      </w:pPr>
      <w:r>
        <w:rPr>
          <w:rFonts w:hint="eastAsia"/>
          <w:kern w:val="0"/>
          <w:highlight w:val="none"/>
        </w:rPr>
        <w:t>根据现场了解及业主介绍，矿区周边300m范围内无矿权设置，也无重要工业设施等，区内无珍稀动植物分布，区内不属于文物保护区和旅游区。矿区范围内无村寨，周边村寨最近的有</w:t>
      </w:r>
      <w:r>
        <w:rPr>
          <w:rFonts w:hint="eastAsia"/>
          <w:kern w:val="0"/>
          <w:highlight w:val="none"/>
          <w:lang w:eastAsia="zh-CN"/>
        </w:rPr>
        <w:t>卡子村</w:t>
      </w:r>
      <w:r>
        <w:rPr>
          <w:rFonts w:hint="eastAsia"/>
          <w:kern w:val="0"/>
          <w:highlight w:val="none"/>
        </w:rPr>
        <w:t>、</w:t>
      </w:r>
      <w:r>
        <w:rPr>
          <w:rFonts w:hint="eastAsia"/>
          <w:kern w:val="0"/>
          <w:highlight w:val="none"/>
          <w:lang w:eastAsia="zh-CN"/>
        </w:rPr>
        <w:t>租那村</w:t>
      </w:r>
      <w:r>
        <w:rPr>
          <w:rFonts w:hint="eastAsia"/>
          <w:kern w:val="0"/>
          <w:highlight w:val="none"/>
        </w:rPr>
        <w:t>、</w:t>
      </w:r>
      <w:r>
        <w:rPr>
          <w:rFonts w:hint="eastAsia"/>
          <w:kern w:val="0"/>
          <w:highlight w:val="none"/>
          <w:lang w:eastAsia="zh-CN"/>
        </w:rPr>
        <w:t>吗发口村</w:t>
      </w:r>
      <w:r>
        <w:rPr>
          <w:rFonts w:hint="eastAsia"/>
          <w:kern w:val="0"/>
          <w:highlight w:val="none"/>
        </w:rPr>
        <w:t>、</w:t>
      </w:r>
      <w:r>
        <w:rPr>
          <w:rFonts w:hint="eastAsia"/>
          <w:kern w:val="0"/>
          <w:highlight w:val="none"/>
          <w:lang w:eastAsia="zh-CN"/>
        </w:rPr>
        <w:t>倮基黑村</w:t>
      </w:r>
      <w:r>
        <w:rPr>
          <w:rFonts w:hint="eastAsia"/>
          <w:kern w:val="0"/>
          <w:highlight w:val="none"/>
        </w:rPr>
        <w:t>等村寨</w:t>
      </w:r>
      <w:r>
        <w:rPr>
          <w:rFonts w:hint="eastAsia"/>
          <w:kern w:val="0"/>
          <w:highlight w:val="none"/>
          <w:lang w:eastAsia="zh-CN"/>
        </w:rPr>
        <w:t>，距离</w:t>
      </w:r>
      <w:r>
        <w:rPr>
          <w:rFonts w:hint="eastAsia"/>
          <w:kern w:val="0"/>
          <w:highlight w:val="none"/>
        </w:rPr>
        <w:t>均大于500m。</w:t>
      </w:r>
    </w:p>
    <w:p>
      <w:pPr>
        <w:ind w:firstLine="480"/>
        <w:rPr>
          <w:rFonts w:hint="eastAsia" w:eastAsia="宋体"/>
          <w:kern w:val="0"/>
          <w:highlight w:val="none"/>
          <w:lang w:eastAsia="zh-CN"/>
        </w:rPr>
      </w:pPr>
      <w:r>
        <w:rPr>
          <w:rFonts w:hint="eastAsia"/>
          <w:kern w:val="0"/>
          <w:highlight w:val="none"/>
        </w:rPr>
        <w:t>矿区</w:t>
      </w:r>
      <w:r>
        <w:rPr>
          <w:rFonts w:hint="eastAsia"/>
          <w:kern w:val="0"/>
          <w:highlight w:val="none"/>
          <w:lang w:val="en-US" w:eastAsia="zh-CN"/>
        </w:rPr>
        <w:t>9</w:t>
      </w:r>
      <w:r>
        <w:rPr>
          <w:rFonts w:hint="eastAsia"/>
          <w:kern w:val="0"/>
          <w:highlight w:val="none"/>
        </w:rPr>
        <w:t>个拐点连接组成，面积0.</w:t>
      </w:r>
      <w:r>
        <w:rPr>
          <w:rFonts w:hint="eastAsia"/>
          <w:kern w:val="0"/>
          <w:highlight w:val="none"/>
          <w:lang w:val="en-US" w:eastAsia="zh-CN"/>
        </w:rPr>
        <w:t>095</w:t>
      </w:r>
      <w:r>
        <w:rPr>
          <w:rFonts w:hint="eastAsia"/>
          <w:kern w:val="0"/>
          <w:highlight w:val="none"/>
        </w:rPr>
        <w:t>km</w:t>
      </w:r>
      <w:r>
        <w:rPr>
          <w:rFonts w:hint="eastAsia"/>
          <w:kern w:val="0"/>
          <w:highlight w:val="none"/>
          <w:vertAlign w:val="superscript"/>
        </w:rPr>
        <w:t>2</w:t>
      </w:r>
      <w:r>
        <w:rPr>
          <w:rFonts w:hint="eastAsia"/>
          <w:kern w:val="0"/>
          <w:highlight w:val="none"/>
        </w:rPr>
        <w:t>，开采标高</w:t>
      </w:r>
      <w:r>
        <w:rPr>
          <w:rFonts w:hint="eastAsia"/>
          <w:kern w:val="0"/>
          <w:highlight w:val="none"/>
          <w:lang w:val="en-US" w:eastAsia="zh-CN"/>
        </w:rPr>
        <w:t>1746</w:t>
      </w:r>
      <w:r>
        <w:rPr>
          <w:rFonts w:hint="eastAsia"/>
          <w:kern w:val="0"/>
          <w:highlight w:val="none"/>
        </w:rPr>
        <w:t>—</w:t>
      </w:r>
      <w:r>
        <w:rPr>
          <w:rFonts w:hint="eastAsia"/>
          <w:kern w:val="0"/>
          <w:highlight w:val="none"/>
          <w:lang w:val="en-US" w:eastAsia="zh-CN"/>
        </w:rPr>
        <w:t>1680</w:t>
      </w:r>
      <w:r>
        <w:rPr>
          <w:rFonts w:hint="eastAsia"/>
          <w:kern w:val="0"/>
          <w:highlight w:val="none"/>
        </w:rPr>
        <w:t>m。拟设置采矿权与其它矿业权无交叉、重叠等越权现象</w:t>
      </w:r>
      <w:r>
        <w:rPr>
          <w:rFonts w:hint="eastAsia"/>
          <w:kern w:val="0"/>
          <w:highlight w:val="none"/>
          <w:lang w:eastAsia="zh-CN"/>
        </w:rPr>
        <w:t>。</w:t>
      </w:r>
    </w:p>
    <w:p>
      <w:pPr>
        <w:ind w:firstLine="480"/>
        <w:rPr>
          <w:rFonts w:hint="eastAsia"/>
          <w:kern w:val="0"/>
          <w:highlight w:val="none"/>
        </w:rPr>
      </w:pPr>
    </w:p>
    <w:p>
      <w:pPr>
        <w:ind w:firstLine="480"/>
        <w:rPr>
          <w:rFonts w:hint="eastAsia"/>
          <w:kern w:val="0"/>
          <w:highlight w:val="none"/>
        </w:rPr>
      </w:pPr>
    </w:p>
    <w:p>
      <w:pPr>
        <w:pStyle w:val="3"/>
        <w:rPr>
          <w:highlight w:val="none"/>
        </w:rPr>
      </w:pPr>
      <w:bookmarkStart w:id="392" w:name="_Toc371168450"/>
      <w:bookmarkStart w:id="393" w:name="_Toc387225795"/>
      <w:bookmarkStart w:id="394" w:name="_Toc152"/>
      <w:r>
        <w:rPr>
          <w:rFonts w:hint="eastAsia"/>
          <w:highlight w:val="none"/>
          <w:lang w:val="en-US" w:eastAsia="zh-CN"/>
        </w:rPr>
        <w:t>5</w:t>
      </w:r>
      <w:r>
        <w:rPr>
          <w:rFonts w:hint="eastAsia"/>
          <w:highlight w:val="none"/>
        </w:rPr>
        <w:t>环境质量现状</w:t>
      </w:r>
      <w:bookmarkEnd w:id="392"/>
      <w:bookmarkEnd w:id="393"/>
      <w:bookmarkEnd w:id="394"/>
    </w:p>
    <w:p>
      <w:pPr>
        <w:pStyle w:val="4"/>
        <w:rPr>
          <w:highlight w:val="none"/>
        </w:rPr>
      </w:pPr>
      <w:bookmarkStart w:id="395" w:name="_Toc22563"/>
      <w:r>
        <w:rPr>
          <w:rFonts w:hint="eastAsia"/>
          <w:highlight w:val="none"/>
          <w:lang w:val="en-US" w:eastAsia="zh-CN"/>
        </w:rPr>
        <w:t>5</w:t>
      </w:r>
      <w:r>
        <w:rPr>
          <w:rFonts w:hint="eastAsia"/>
          <w:highlight w:val="none"/>
        </w:rPr>
        <w:t>.1环境空气质量现状</w:t>
      </w:r>
      <w:bookmarkEnd w:id="395"/>
    </w:p>
    <w:p>
      <w:pPr>
        <w:ind w:firstLine="480"/>
        <w:rPr>
          <w:highlight w:val="none"/>
        </w:rPr>
      </w:pPr>
      <w:r>
        <w:rPr>
          <w:highlight w:val="none"/>
        </w:rPr>
        <w:t>本项目位于</w:t>
      </w:r>
      <w:r>
        <w:rPr>
          <w:rFonts w:hint="eastAsia"/>
          <w:highlight w:val="none"/>
        </w:rPr>
        <w:t>砚山县</w:t>
      </w:r>
      <w:r>
        <w:rPr>
          <w:rFonts w:hint="eastAsia"/>
          <w:highlight w:val="none"/>
          <w:lang w:eastAsia="zh-CN"/>
        </w:rPr>
        <w:t>阿猛镇卡子村</w:t>
      </w:r>
      <w:r>
        <w:rPr>
          <w:rFonts w:hint="eastAsia"/>
          <w:highlight w:val="none"/>
        </w:rPr>
        <w:t>，所在区域</w:t>
      </w:r>
      <w:r>
        <w:rPr>
          <w:highlight w:val="none"/>
        </w:rPr>
        <w:t>属环境空气功能2类区，执行《环境空气质量标准》（GB3095-2012）中二级标准。</w:t>
      </w:r>
    </w:p>
    <w:p>
      <w:pPr>
        <w:ind w:firstLine="480"/>
        <w:rPr>
          <w:b/>
          <w:bCs/>
          <w:highlight w:val="none"/>
        </w:rPr>
      </w:pPr>
      <w:r>
        <w:rPr>
          <w:rFonts w:hint="eastAsia"/>
          <w:b/>
          <w:bCs/>
          <w:highlight w:val="none"/>
        </w:rPr>
        <w:t>（1）基本污染物环境质量现状数据</w:t>
      </w:r>
    </w:p>
    <w:p>
      <w:pPr>
        <w:ind w:firstLine="480"/>
        <w:rPr>
          <w:color w:val="auto"/>
          <w:highlight w:val="none"/>
        </w:rPr>
      </w:pPr>
      <w:r>
        <w:rPr>
          <w:rFonts w:hint="eastAsia"/>
          <w:color w:val="auto"/>
          <w:highlight w:val="none"/>
        </w:rPr>
        <w:t>为了解项目所在区域环境空气质量现状，本次评价收集了</w:t>
      </w:r>
      <w:r>
        <w:rPr>
          <w:rFonts w:hint="eastAsia"/>
          <w:color w:val="auto"/>
          <w:highlight w:val="none"/>
          <w:lang w:eastAsia="zh-CN"/>
        </w:rPr>
        <w:t>文山州市便民服务中心环境空气自动监测</w:t>
      </w:r>
      <w:r>
        <w:rPr>
          <w:rFonts w:hint="eastAsia"/>
          <w:color w:val="auto"/>
          <w:highlight w:val="none"/>
          <w:lang w:val="en-US" w:eastAsia="zh-CN"/>
        </w:rPr>
        <w:t>2018年日历年连续监测</w:t>
      </w:r>
      <w:r>
        <w:rPr>
          <w:rFonts w:hint="eastAsia"/>
          <w:color w:val="auto"/>
          <w:highlight w:val="none"/>
          <w:lang w:eastAsia="zh-CN"/>
        </w:rPr>
        <w:t>数据</w:t>
      </w:r>
      <w:r>
        <w:rPr>
          <w:rFonts w:hint="eastAsia"/>
          <w:color w:val="auto"/>
          <w:highlight w:val="none"/>
          <w:lang w:val="en-US" w:eastAsia="zh-CN"/>
        </w:rPr>
        <w:t>，</w:t>
      </w:r>
      <w:r>
        <w:rPr>
          <w:rFonts w:hint="eastAsia"/>
          <w:color w:val="auto"/>
          <w:highlight w:val="none"/>
          <w:lang w:eastAsia="zh-CN"/>
        </w:rPr>
        <w:t>统计结果如下：</w:t>
      </w:r>
    </w:p>
    <w:p>
      <w:pPr>
        <w:pStyle w:val="17"/>
        <w:ind w:firstLine="0" w:firstLineChars="0"/>
        <w:jc w:val="center"/>
        <w:rPr>
          <w:rFonts w:hint="default" w:ascii="Times New Roman" w:hAnsi="Times New Roman"/>
          <w:b/>
          <w:bCs/>
          <w:color w:val="auto"/>
          <w:sz w:val="21"/>
          <w:szCs w:val="21"/>
          <w:highlight w:val="none"/>
          <w:lang w:val="en-US" w:eastAsia="zh-CN"/>
        </w:rPr>
      </w:pPr>
      <w:r>
        <w:rPr>
          <w:rFonts w:hint="eastAsia" w:ascii="Times New Roman" w:hAnsi="Times New Roman"/>
          <w:b/>
          <w:bCs/>
          <w:color w:val="auto"/>
          <w:sz w:val="21"/>
          <w:szCs w:val="21"/>
          <w:highlight w:val="none"/>
          <w:lang w:eastAsia="zh-CN"/>
        </w:rPr>
        <w:t>表</w:t>
      </w:r>
      <w:r>
        <w:rPr>
          <w:rFonts w:hint="eastAsia" w:ascii="Times New Roman" w:hAnsi="Times New Roman"/>
          <w:b/>
          <w:bCs/>
          <w:color w:val="auto"/>
          <w:sz w:val="21"/>
          <w:szCs w:val="21"/>
          <w:highlight w:val="none"/>
          <w:lang w:val="en-US" w:eastAsia="zh-CN"/>
        </w:rPr>
        <w:t xml:space="preserve">5.1-1  </w:t>
      </w:r>
      <w:r>
        <w:rPr>
          <w:rFonts w:ascii="Times New Roman" w:hAnsi="Times New Roman"/>
          <w:b/>
          <w:bCs/>
          <w:color w:val="auto"/>
          <w:sz w:val="21"/>
          <w:szCs w:val="21"/>
          <w:highlight w:val="none"/>
        </w:rPr>
        <w:t>环境空气质量</w:t>
      </w:r>
      <w:r>
        <w:rPr>
          <w:rFonts w:hint="eastAsia" w:ascii="Times New Roman" w:hAnsi="Times New Roman"/>
          <w:b/>
          <w:bCs/>
          <w:color w:val="auto"/>
          <w:sz w:val="21"/>
          <w:szCs w:val="21"/>
          <w:highlight w:val="none"/>
          <w:lang w:eastAsia="zh-CN"/>
        </w:rPr>
        <w:t>现状评价表</w:t>
      </w:r>
      <w:r>
        <w:rPr>
          <w:rFonts w:hint="eastAsia" w:ascii="Times New Roman" w:hAnsi="Times New Roman"/>
          <w:b/>
          <w:bCs/>
          <w:color w:val="auto"/>
          <w:sz w:val="21"/>
          <w:szCs w:val="21"/>
          <w:highlight w:val="none"/>
          <w:lang w:val="en-US" w:eastAsia="zh-CN"/>
        </w:rPr>
        <w:t xml:space="preserve">   </w:t>
      </w:r>
      <w:r>
        <w:rPr>
          <w:rFonts w:hint="eastAsia" w:ascii="Times New Roman" w:hAnsi="Times New Roman"/>
          <w:b/>
          <w:bCs/>
          <w:color w:val="auto"/>
          <w:sz w:val="21"/>
          <w:szCs w:val="21"/>
          <w:highlight w:val="none"/>
        </w:rPr>
        <w:t>单位：</w:t>
      </w:r>
      <w:r>
        <w:rPr>
          <w:rFonts w:ascii="Times New Roman" w:hAnsi="Times New Roman"/>
          <w:b/>
          <w:bCs/>
          <w:color w:val="auto"/>
          <w:sz w:val="21"/>
          <w:szCs w:val="21"/>
          <w:highlight w:val="none"/>
        </w:rPr>
        <w:t>μg/m</w:t>
      </w:r>
      <w:r>
        <w:rPr>
          <w:rFonts w:ascii="Times New Roman" w:hAnsi="Times New Roman"/>
          <w:b/>
          <w:bCs/>
          <w:color w:val="auto"/>
          <w:sz w:val="21"/>
          <w:szCs w:val="21"/>
          <w:highlight w:val="none"/>
          <w:vertAlign w:val="superscript"/>
        </w:rPr>
        <w:t>3</w:t>
      </w:r>
    </w:p>
    <w:tbl>
      <w:tblPr>
        <w:tblStyle w:val="30"/>
        <w:tblW w:w="9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7"/>
        <w:gridCol w:w="1336"/>
        <w:gridCol w:w="1337"/>
        <w:gridCol w:w="1337"/>
        <w:gridCol w:w="1338"/>
        <w:gridCol w:w="1337"/>
        <w:gridCol w:w="1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337" w:type="dxa"/>
            <w:shd w:val="clear" w:color="auto" w:fill="auto"/>
            <w:vAlign w:val="center"/>
          </w:tcPr>
          <w:p>
            <w:pPr>
              <w:pStyle w:val="17"/>
              <w:ind w:left="0" w:leftChars="0" w:firstLine="0" w:firstLineChars="0"/>
              <w:jc w:val="center"/>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cs="Times New Roman"/>
                <w:b/>
                <w:bCs/>
                <w:color w:val="auto"/>
                <w:sz w:val="21"/>
                <w:szCs w:val="21"/>
                <w:highlight w:val="none"/>
                <w:vertAlign w:val="baseline"/>
                <w:lang w:eastAsia="zh-CN"/>
              </w:rPr>
              <w:t>污染物名称</w:t>
            </w:r>
          </w:p>
        </w:tc>
        <w:tc>
          <w:tcPr>
            <w:tcW w:w="1336"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cs="Times New Roman"/>
                <w:b/>
                <w:bCs/>
                <w:color w:val="auto"/>
                <w:sz w:val="21"/>
                <w:szCs w:val="21"/>
                <w:highlight w:val="none"/>
                <w:vertAlign w:val="baseline"/>
              </w:rPr>
            </w:pPr>
            <w:r>
              <w:rPr>
                <w:rFonts w:hint="default" w:ascii="Times New Roman" w:hAnsi="Times New Roman" w:eastAsia="宋体" w:cs="Times New Roman"/>
                <w:b/>
                <w:bCs/>
                <w:i w:val="0"/>
                <w:color w:val="auto"/>
                <w:kern w:val="0"/>
                <w:sz w:val="21"/>
                <w:szCs w:val="21"/>
                <w:highlight w:val="none"/>
                <w:u w:val="none"/>
                <w:lang w:val="en-US" w:eastAsia="zh-CN" w:bidi="ar"/>
              </w:rPr>
              <w:t>SO</w:t>
            </w:r>
            <w:r>
              <w:rPr>
                <w:rFonts w:hint="default" w:ascii="Times New Roman" w:hAnsi="Times New Roman" w:eastAsia="宋体" w:cs="Times New Roman"/>
                <w:b/>
                <w:bCs/>
                <w:i w:val="0"/>
                <w:color w:val="auto"/>
                <w:kern w:val="0"/>
                <w:sz w:val="21"/>
                <w:szCs w:val="21"/>
                <w:highlight w:val="none"/>
                <w:u w:val="none"/>
                <w:vertAlign w:val="subscript"/>
                <w:lang w:val="en-US" w:eastAsia="zh-CN" w:bidi="ar"/>
              </w:rPr>
              <w:t>2</w:t>
            </w:r>
          </w:p>
        </w:tc>
        <w:tc>
          <w:tcPr>
            <w:tcW w:w="1337"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cs="Times New Roman"/>
                <w:b/>
                <w:bCs/>
                <w:color w:val="auto"/>
                <w:sz w:val="21"/>
                <w:szCs w:val="21"/>
                <w:highlight w:val="none"/>
                <w:vertAlign w:val="baseline"/>
              </w:rPr>
            </w:pPr>
            <w:r>
              <w:rPr>
                <w:rFonts w:hint="default" w:ascii="Times New Roman" w:hAnsi="Times New Roman" w:eastAsia="宋体" w:cs="Times New Roman"/>
                <w:b/>
                <w:bCs/>
                <w:i w:val="0"/>
                <w:color w:val="auto"/>
                <w:kern w:val="0"/>
                <w:sz w:val="21"/>
                <w:szCs w:val="21"/>
                <w:highlight w:val="none"/>
                <w:u w:val="none"/>
                <w:lang w:val="en-US" w:eastAsia="zh-CN" w:bidi="ar"/>
              </w:rPr>
              <w:t>NO</w:t>
            </w:r>
            <w:r>
              <w:rPr>
                <w:rFonts w:hint="default" w:ascii="Times New Roman" w:hAnsi="Times New Roman" w:eastAsia="宋体" w:cs="Times New Roman"/>
                <w:b/>
                <w:bCs/>
                <w:i w:val="0"/>
                <w:color w:val="auto"/>
                <w:kern w:val="0"/>
                <w:sz w:val="21"/>
                <w:szCs w:val="21"/>
                <w:highlight w:val="none"/>
                <w:u w:val="none"/>
                <w:vertAlign w:val="subscript"/>
                <w:lang w:val="en-US" w:eastAsia="zh-CN" w:bidi="ar"/>
              </w:rPr>
              <w:t>2</w:t>
            </w:r>
          </w:p>
        </w:tc>
        <w:tc>
          <w:tcPr>
            <w:tcW w:w="1337"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cs="Times New Roman"/>
                <w:b/>
                <w:bCs/>
                <w:color w:val="auto"/>
                <w:sz w:val="21"/>
                <w:szCs w:val="21"/>
                <w:highlight w:val="none"/>
                <w:vertAlign w:val="baseline"/>
              </w:rPr>
            </w:pPr>
            <w:r>
              <w:rPr>
                <w:rFonts w:hint="default" w:ascii="Times New Roman" w:hAnsi="Times New Roman" w:eastAsia="宋体" w:cs="Times New Roman"/>
                <w:b/>
                <w:bCs/>
                <w:i w:val="0"/>
                <w:color w:val="auto"/>
                <w:kern w:val="0"/>
                <w:sz w:val="21"/>
                <w:szCs w:val="21"/>
                <w:highlight w:val="none"/>
                <w:u w:val="none"/>
                <w:lang w:val="en-US" w:eastAsia="zh-CN" w:bidi="ar"/>
              </w:rPr>
              <w:t>CO</w:t>
            </w:r>
          </w:p>
        </w:tc>
        <w:tc>
          <w:tcPr>
            <w:tcW w:w="1338"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cs="Times New Roman"/>
                <w:b/>
                <w:bCs/>
                <w:color w:val="auto"/>
                <w:sz w:val="21"/>
                <w:szCs w:val="21"/>
                <w:highlight w:val="none"/>
                <w:vertAlign w:val="baseline"/>
              </w:rPr>
            </w:pPr>
            <w:r>
              <w:rPr>
                <w:rFonts w:hint="default" w:ascii="Times New Roman" w:hAnsi="Times New Roman" w:eastAsia="宋体" w:cs="Times New Roman"/>
                <w:b/>
                <w:bCs/>
                <w:i w:val="0"/>
                <w:color w:val="auto"/>
                <w:kern w:val="0"/>
                <w:sz w:val="21"/>
                <w:szCs w:val="21"/>
                <w:highlight w:val="none"/>
                <w:u w:val="none"/>
                <w:lang w:val="en-US" w:eastAsia="zh-CN" w:bidi="ar"/>
              </w:rPr>
              <w:t>O</w:t>
            </w:r>
            <w:r>
              <w:rPr>
                <w:rFonts w:hint="default" w:ascii="Times New Roman" w:hAnsi="Times New Roman" w:eastAsia="宋体" w:cs="Times New Roman"/>
                <w:b/>
                <w:bCs/>
                <w:i w:val="0"/>
                <w:color w:val="auto"/>
                <w:kern w:val="0"/>
                <w:sz w:val="21"/>
                <w:szCs w:val="21"/>
                <w:highlight w:val="none"/>
                <w:u w:val="none"/>
                <w:vertAlign w:val="subscript"/>
                <w:lang w:val="en-US" w:eastAsia="zh-CN" w:bidi="ar"/>
              </w:rPr>
              <w:t>3</w:t>
            </w:r>
            <w:r>
              <w:rPr>
                <w:rFonts w:hint="default" w:ascii="Times New Roman" w:hAnsi="Times New Roman" w:eastAsia="宋体" w:cs="Times New Roman"/>
                <w:b/>
                <w:bCs/>
                <w:i w:val="0"/>
                <w:color w:val="auto"/>
                <w:kern w:val="0"/>
                <w:sz w:val="21"/>
                <w:szCs w:val="21"/>
                <w:highlight w:val="none"/>
                <w:u w:val="none"/>
                <w:lang w:val="en-US" w:eastAsia="zh-CN" w:bidi="ar"/>
              </w:rPr>
              <w:t>-8h</w:t>
            </w:r>
          </w:p>
        </w:tc>
        <w:tc>
          <w:tcPr>
            <w:tcW w:w="1337"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cs="Times New Roman"/>
                <w:b/>
                <w:bCs/>
                <w:color w:val="auto"/>
                <w:sz w:val="21"/>
                <w:szCs w:val="21"/>
                <w:highlight w:val="none"/>
                <w:vertAlign w:val="baseline"/>
              </w:rPr>
            </w:pPr>
            <w:r>
              <w:rPr>
                <w:rFonts w:hint="default" w:ascii="Times New Roman" w:hAnsi="Times New Roman" w:eastAsia="宋体" w:cs="Times New Roman"/>
                <w:b/>
                <w:bCs/>
                <w:i w:val="0"/>
                <w:color w:val="auto"/>
                <w:kern w:val="0"/>
                <w:sz w:val="21"/>
                <w:szCs w:val="21"/>
                <w:highlight w:val="none"/>
                <w:u w:val="none"/>
                <w:lang w:val="en-US" w:eastAsia="zh-CN" w:bidi="ar"/>
              </w:rPr>
              <w:t>PM</w:t>
            </w:r>
            <w:r>
              <w:rPr>
                <w:rFonts w:hint="default" w:ascii="Times New Roman" w:hAnsi="Times New Roman" w:eastAsia="宋体" w:cs="Times New Roman"/>
                <w:b/>
                <w:bCs/>
                <w:i w:val="0"/>
                <w:color w:val="auto"/>
                <w:kern w:val="0"/>
                <w:sz w:val="21"/>
                <w:szCs w:val="21"/>
                <w:highlight w:val="none"/>
                <w:u w:val="none"/>
                <w:vertAlign w:val="subscript"/>
                <w:lang w:val="en-US" w:eastAsia="zh-CN" w:bidi="ar"/>
              </w:rPr>
              <w:t>10</w:t>
            </w:r>
          </w:p>
        </w:tc>
        <w:tc>
          <w:tcPr>
            <w:tcW w:w="1338"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cs="Times New Roman"/>
                <w:b/>
                <w:bCs/>
                <w:color w:val="auto"/>
                <w:sz w:val="21"/>
                <w:szCs w:val="21"/>
                <w:highlight w:val="none"/>
                <w:vertAlign w:val="baseline"/>
              </w:rPr>
            </w:pPr>
            <w:r>
              <w:rPr>
                <w:rFonts w:hint="default" w:ascii="Times New Roman" w:hAnsi="Times New Roman" w:eastAsia="宋体" w:cs="Times New Roman"/>
                <w:b/>
                <w:bCs/>
                <w:i w:val="0"/>
                <w:color w:val="auto"/>
                <w:kern w:val="0"/>
                <w:sz w:val="21"/>
                <w:szCs w:val="21"/>
                <w:highlight w:val="none"/>
                <w:u w:val="none"/>
                <w:lang w:val="en-US" w:eastAsia="zh-CN" w:bidi="ar"/>
              </w:rPr>
              <w:t>PM</w:t>
            </w:r>
            <w:r>
              <w:rPr>
                <w:rFonts w:hint="default" w:ascii="Times New Roman" w:hAnsi="Times New Roman" w:eastAsia="宋体" w:cs="Times New Roman"/>
                <w:b/>
                <w:bCs/>
                <w:i w:val="0"/>
                <w:color w:val="auto"/>
                <w:kern w:val="0"/>
                <w:sz w:val="21"/>
                <w:szCs w:val="21"/>
                <w:highlight w:val="none"/>
                <w:u w:val="none"/>
                <w:vertAlign w:val="subscript"/>
                <w:lang w:val="en-US" w:eastAsia="zh-CN"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337" w:type="dxa"/>
            <w:vAlign w:val="center"/>
          </w:tcPr>
          <w:p>
            <w:pPr>
              <w:pStyle w:val="17"/>
              <w:ind w:left="0" w:leftChars="0" w:firstLine="0" w:firstLine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年均浓度</w:t>
            </w:r>
          </w:p>
        </w:tc>
        <w:tc>
          <w:tcPr>
            <w:tcW w:w="1336" w:type="dxa"/>
            <w:vAlign w:val="center"/>
          </w:tcPr>
          <w:p>
            <w:pPr>
              <w:pStyle w:val="17"/>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w:t>
            </w:r>
          </w:p>
        </w:tc>
        <w:tc>
          <w:tcPr>
            <w:tcW w:w="1337" w:type="dxa"/>
            <w:vAlign w:val="center"/>
          </w:tcPr>
          <w:p>
            <w:pPr>
              <w:pStyle w:val="17"/>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15</w:t>
            </w:r>
          </w:p>
        </w:tc>
        <w:tc>
          <w:tcPr>
            <w:tcW w:w="1337" w:type="dxa"/>
            <w:vAlign w:val="center"/>
          </w:tcPr>
          <w:p>
            <w:pPr>
              <w:pStyle w:val="17"/>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w:t>
            </w:r>
          </w:p>
        </w:tc>
        <w:tc>
          <w:tcPr>
            <w:tcW w:w="1338" w:type="dxa"/>
            <w:vAlign w:val="center"/>
          </w:tcPr>
          <w:p>
            <w:pPr>
              <w:pStyle w:val="17"/>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76</w:t>
            </w:r>
          </w:p>
        </w:tc>
        <w:tc>
          <w:tcPr>
            <w:tcW w:w="1337" w:type="dxa"/>
            <w:vAlign w:val="center"/>
          </w:tcPr>
          <w:p>
            <w:pPr>
              <w:pStyle w:val="17"/>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45</w:t>
            </w:r>
          </w:p>
        </w:tc>
        <w:tc>
          <w:tcPr>
            <w:tcW w:w="1338" w:type="dxa"/>
            <w:vAlign w:val="center"/>
          </w:tcPr>
          <w:p>
            <w:pPr>
              <w:pStyle w:val="17"/>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0" w:hRule="atLeast"/>
        </w:trPr>
        <w:tc>
          <w:tcPr>
            <w:tcW w:w="1337" w:type="dxa"/>
            <w:vAlign w:val="center"/>
          </w:tcPr>
          <w:p>
            <w:pPr>
              <w:pStyle w:val="17"/>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百分位数日平均或8h平均质量浓度</w:t>
            </w:r>
          </w:p>
        </w:tc>
        <w:tc>
          <w:tcPr>
            <w:tcW w:w="1336" w:type="dxa"/>
            <w:vAlign w:val="center"/>
          </w:tcPr>
          <w:p>
            <w:pPr>
              <w:pStyle w:val="17"/>
              <w:ind w:left="0" w:leftChars="0" w:firstLine="0" w:firstLineChars="0"/>
              <w:jc w:val="center"/>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w:t>
            </w:r>
          </w:p>
          <w:p>
            <w:pPr>
              <w:pStyle w:val="17"/>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（98百分位数）</w:t>
            </w:r>
          </w:p>
        </w:tc>
        <w:tc>
          <w:tcPr>
            <w:tcW w:w="1337" w:type="dxa"/>
            <w:vAlign w:val="center"/>
          </w:tcPr>
          <w:p>
            <w:pPr>
              <w:pStyle w:val="17"/>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10（98百分位数）</w:t>
            </w:r>
          </w:p>
        </w:tc>
        <w:tc>
          <w:tcPr>
            <w:tcW w:w="1337" w:type="dxa"/>
            <w:vAlign w:val="center"/>
          </w:tcPr>
          <w:p>
            <w:pPr>
              <w:pStyle w:val="17"/>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0.4（95百分位数）</w:t>
            </w:r>
          </w:p>
        </w:tc>
        <w:tc>
          <w:tcPr>
            <w:tcW w:w="1338" w:type="dxa"/>
            <w:vAlign w:val="center"/>
          </w:tcPr>
          <w:p>
            <w:pPr>
              <w:pStyle w:val="17"/>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44（90百分位数）</w:t>
            </w:r>
          </w:p>
        </w:tc>
        <w:tc>
          <w:tcPr>
            <w:tcW w:w="1337" w:type="dxa"/>
            <w:vAlign w:val="center"/>
          </w:tcPr>
          <w:p>
            <w:pPr>
              <w:pStyle w:val="17"/>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17（95百分位数）</w:t>
            </w:r>
          </w:p>
        </w:tc>
        <w:tc>
          <w:tcPr>
            <w:tcW w:w="1338" w:type="dxa"/>
            <w:vAlign w:val="center"/>
          </w:tcPr>
          <w:p>
            <w:pPr>
              <w:pStyle w:val="17"/>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7（95百分位数）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337" w:type="dxa"/>
            <w:vAlign w:val="center"/>
          </w:tcPr>
          <w:p>
            <w:pPr>
              <w:pStyle w:val="17"/>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标准值</w:t>
            </w:r>
          </w:p>
        </w:tc>
        <w:tc>
          <w:tcPr>
            <w:tcW w:w="1336" w:type="dxa"/>
            <w:vAlign w:val="center"/>
          </w:tcPr>
          <w:p>
            <w:pPr>
              <w:pStyle w:val="17"/>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60</w:t>
            </w:r>
          </w:p>
        </w:tc>
        <w:tc>
          <w:tcPr>
            <w:tcW w:w="1337" w:type="dxa"/>
            <w:vAlign w:val="center"/>
          </w:tcPr>
          <w:p>
            <w:pPr>
              <w:pStyle w:val="17"/>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40</w:t>
            </w:r>
          </w:p>
        </w:tc>
        <w:tc>
          <w:tcPr>
            <w:tcW w:w="1337" w:type="dxa"/>
            <w:vAlign w:val="center"/>
          </w:tcPr>
          <w:p>
            <w:pPr>
              <w:pStyle w:val="17"/>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4</w:t>
            </w:r>
          </w:p>
        </w:tc>
        <w:tc>
          <w:tcPr>
            <w:tcW w:w="1338" w:type="dxa"/>
            <w:vAlign w:val="center"/>
          </w:tcPr>
          <w:p>
            <w:pPr>
              <w:pStyle w:val="17"/>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160</w:t>
            </w:r>
          </w:p>
        </w:tc>
        <w:tc>
          <w:tcPr>
            <w:tcW w:w="1337" w:type="dxa"/>
            <w:vAlign w:val="center"/>
          </w:tcPr>
          <w:p>
            <w:pPr>
              <w:pStyle w:val="17"/>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70</w:t>
            </w:r>
          </w:p>
        </w:tc>
        <w:tc>
          <w:tcPr>
            <w:tcW w:w="1338" w:type="dxa"/>
            <w:vAlign w:val="center"/>
          </w:tcPr>
          <w:p>
            <w:pPr>
              <w:pStyle w:val="17"/>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337" w:type="dxa"/>
            <w:vAlign w:val="center"/>
          </w:tcPr>
          <w:p>
            <w:pPr>
              <w:pStyle w:val="17"/>
              <w:ind w:left="0" w:leftChars="0" w:firstLine="0" w:firstLine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达标情况</w:t>
            </w:r>
          </w:p>
        </w:tc>
        <w:tc>
          <w:tcPr>
            <w:tcW w:w="1336" w:type="dxa"/>
            <w:vAlign w:val="center"/>
          </w:tcPr>
          <w:p>
            <w:pPr>
              <w:pStyle w:val="17"/>
              <w:ind w:left="0" w:leftChars="0" w:firstLine="0" w:firstLineChars="0"/>
              <w:jc w:val="center"/>
              <w:rPr>
                <w:rFonts w:hint="eastAsia" w:ascii="Times New Roman" w:hAnsi="Times New Roman" w:eastAsia="宋体" w:cs="Times New Roman"/>
                <w:color w:val="auto"/>
                <w:sz w:val="21"/>
                <w:szCs w:val="21"/>
                <w:highlight w:val="none"/>
                <w:vertAlign w:val="baseline"/>
                <w:lang w:eastAsia="zh-CN"/>
              </w:rPr>
            </w:pPr>
            <w:r>
              <w:rPr>
                <w:rFonts w:hint="eastAsia" w:ascii="Times New Roman" w:hAnsi="Times New Roman" w:cs="Times New Roman"/>
                <w:color w:val="auto"/>
                <w:sz w:val="21"/>
                <w:szCs w:val="21"/>
                <w:highlight w:val="none"/>
                <w:vertAlign w:val="baseline"/>
                <w:lang w:eastAsia="zh-CN"/>
              </w:rPr>
              <w:t>达标</w:t>
            </w:r>
          </w:p>
        </w:tc>
        <w:tc>
          <w:tcPr>
            <w:tcW w:w="1337" w:type="dxa"/>
            <w:vAlign w:val="center"/>
          </w:tcPr>
          <w:p>
            <w:pPr>
              <w:pStyle w:val="17"/>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达标</w:t>
            </w:r>
          </w:p>
        </w:tc>
        <w:tc>
          <w:tcPr>
            <w:tcW w:w="1337" w:type="dxa"/>
            <w:vAlign w:val="center"/>
          </w:tcPr>
          <w:p>
            <w:pPr>
              <w:pStyle w:val="17"/>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达标</w:t>
            </w:r>
          </w:p>
        </w:tc>
        <w:tc>
          <w:tcPr>
            <w:tcW w:w="1338" w:type="dxa"/>
            <w:vAlign w:val="center"/>
          </w:tcPr>
          <w:p>
            <w:pPr>
              <w:pStyle w:val="17"/>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达标</w:t>
            </w:r>
          </w:p>
        </w:tc>
        <w:tc>
          <w:tcPr>
            <w:tcW w:w="1337" w:type="dxa"/>
            <w:vAlign w:val="center"/>
          </w:tcPr>
          <w:p>
            <w:pPr>
              <w:pStyle w:val="17"/>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达标</w:t>
            </w:r>
          </w:p>
        </w:tc>
        <w:tc>
          <w:tcPr>
            <w:tcW w:w="1338" w:type="dxa"/>
            <w:vAlign w:val="center"/>
          </w:tcPr>
          <w:p>
            <w:pPr>
              <w:pStyle w:val="17"/>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达标</w:t>
            </w:r>
          </w:p>
        </w:tc>
      </w:tr>
    </w:tbl>
    <w:p>
      <w:pPr>
        <w:pStyle w:val="17"/>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ascii="Times New Roman" w:hAnsi="Times New Roman"/>
          <w:highlight w:val="none"/>
        </w:rPr>
      </w:pPr>
      <w:r>
        <w:rPr>
          <w:rFonts w:hint="eastAsia"/>
          <w:highlight w:val="none"/>
        </w:rPr>
        <w:t>根据上表可知，项目所在区域环境空气质量较好，能达到</w:t>
      </w:r>
      <w:r>
        <w:rPr>
          <w:rFonts w:ascii="Times New Roman" w:hAnsi="Times New Roman"/>
          <w:highlight w:val="none"/>
        </w:rPr>
        <w:t>《环境空气质量标准》（GB3095-2012）中二级标准</w:t>
      </w:r>
      <w:r>
        <w:rPr>
          <w:rFonts w:hint="eastAsia" w:ascii="Times New Roman" w:hAnsi="Times New Roman"/>
          <w:highlight w:val="none"/>
        </w:rPr>
        <w:t>要求。</w:t>
      </w:r>
    </w:p>
    <w:p>
      <w:pPr>
        <w:pStyle w:val="17"/>
        <w:ind w:firstLine="480"/>
        <w:rPr>
          <w:rFonts w:ascii="Times New Roman" w:hAnsi="Times New Roman"/>
          <w:b/>
          <w:bCs/>
          <w:highlight w:val="none"/>
        </w:rPr>
      </w:pPr>
      <w:r>
        <w:rPr>
          <w:rFonts w:hint="eastAsia" w:ascii="Times New Roman" w:hAnsi="Times New Roman"/>
          <w:b/>
          <w:bCs/>
          <w:highlight w:val="none"/>
        </w:rPr>
        <w:t>（2）补充监测</w:t>
      </w:r>
    </w:p>
    <w:p>
      <w:pPr>
        <w:pStyle w:val="17"/>
        <w:ind w:firstLine="480"/>
        <w:rPr>
          <w:rFonts w:ascii="Times New Roman" w:hAnsi="Times New Roman"/>
          <w:highlight w:val="none"/>
        </w:rPr>
      </w:pPr>
      <w:r>
        <w:rPr>
          <w:rFonts w:hint="eastAsia" w:ascii="Times New Roman" w:hAnsi="Times New Roman"/>
          <w:highlight w:val="none"/>
        </w:rPr>
        <w:t>本次评价过程中建设单位委托云南环绿环境检测技术有限公司对项目所在区域TSP、PM</w:t>
      </w:r>
      <w:r>
        <w:rPr>
          <w:rFonts w:hint="eastAsia" w:ascii="Times New Roman" w:hAnsi="Times New Roman"/>
          <w:highlight w:val="none"/>
          <w:vertAlign w:val="subscript"/>
        </w:rPr>
        <w:t>10</w:t>
      </w:r>
      <w:r>
        <w:rPr>
          <w:rFonts w:hint="eastAsia" w:ascii="Times New Roman" w:hAnsi="Times New Roman"/>
          <w:highlight w:val="none"/>
        </w:rPr>
        <w:t>进行了现状补充监测，监测方案及监测结果如下：</w:t>
      </w:r>
    </w:p>
    <w:p>
      <w:pPr>
        <w:pStyle w:val="17"/>
        <w:ind w:firstLine="480"/>
        <w:rPr>
          <w:rFonts w:ascii="Times New Roman" w:hAnsi="Times New Roman"/>
          <w:highlight w:val="none"/>
        </w:rPr>
      </w:pPr>
      <w:r>
        <w:rPr>
          <w:rFonts w:hint="eastAsia" w:ascii="Times New Roman" w:hAnsi="Times New Roman"/>
          <w:highlight w:val="none"/>
        </w:rPr>
        <w:t>1）监测方案</w:t>
      </w:r>
    </w:p>
    <w:p>
      <w:pPr>
        <w:autoSpaceDE w:val="0"/>
        <w:autoSpaceDN w:val="0"/>
        <w:adjustRightInd w:val="0"/>
        <w:ind w:firstLine="470" w:firstLineChars="196"/>
        <w:rPr>
          <w:bCs/>
          <w:color w:val="FF0000"/>
          <w:kern w:val="0"/>
          <w:highlight w:val="none"/>
        </w:rPr>
      </w:pPr>
      <w:r>
        <w:rPr>
          <w:bCs/>
          <w:highlight w:val="none"/>
        </w:rPr>
        <w:t>监测项目：</w:t>
      </w:r>
      <w:r>
        <w:rPr>
          <w:bCs/>
          <w:kern w:val="0"/>
          <w:highlight w:val="none"/>
        </w:rPr>
        <w:t>总悬浮颗粒物（TSP）</w:t>
      </w:r>
      <w:r>
        <w:rPr>
          <w:rFonts w:hint="eastAsia"/>
          <w:bCs/>
          <w:kern w:val="0"/>
          <w:highlight w:val="none"/>
        </w:rPr>
        <w:t>、PM</w:t>
      </w:r>
      <w:r>
        <w:rPr>
          <w:rFonts w:hint="eastAsia"/>
          <w:bCs/>
          <w:kern w:val="0"/>
          <w:highlight w:val="none"/>
          <w:vertAlign w:val="subscript"/>
        </w:rPr>
        <w:t>10</w:t>
      </w:r>
      <w:r>
        <w:rPr>
          <w:bCs/>
          <w:highlight w:val="none"/>
        </w:rPr>
        <w:t>。</w:t>
      </w:r>
    </w:p>
    <w:p>
      <w:pPr>
        <w:ind w:firstLine="480"/>
        <w:rPr>
          <w:bCs/>
          <w:highlight w:val="none"/>
        </w:rPr>
      </w:pPr>
      <w:r>
        <w:rPr>
          <w:bCs/>
          <w:highlight w:val="none"/>
        </w:rPr>
        <w:t>采样和分析方法：按颁布的标准方法进行采样分析。</w:t>
      </w:r>
    </w:p>
    <w:p>
      <w:pPr>
        <w:ind w:firstLine="480"/>
        <w:rPr>
          <w:bCs/>
          <w:highlight w:val="none"/>
        </w:rPr>
      </w:pPr>
      <w:r>
        <w:rPr>
          <w:bCs/>
          <w:highlight w:val="none"/>
        </w:rPr>
        <w:t>监测</w:t>
      </w:r>
      <w:r>
        <w:rPr>
          <w:rFonts w:hint="eastAsia"/>
          <w:bCs/>
          <w:highlight w:val="none"/>
        </w:rPr>
        <w:t>点位</w:t>
      </w:r>
      <w:r>
        <w:rPr>
          <w:bCs/>
          <w:highlight w:val="none"/>
        </w:rPr>
        <w:t>：</w:t>
      </w:r>
      <w:r>
        <w:rPr>
          <w:rFonts w:hint="eastAsia"/>
          <w:bCs/>
          <w:highlight w:val="none"/>
          <w:lang w:eastAsia="zh-CN"/>
        </w:rPr>
        <w:t>卡子村</w:t>
      </w:r>
      <w:r>
        <w:rPr>
          <w:rFonts w:hint="eastAsia"/>
          <w:bCs/>
          <w:highlight w:val="none"/>
        </w:rPr>
        <w:t>（位于本项目下风向轴线）</w:t>
      </w:r>
      <w:r>
        <w:rPr>
          <w:bCs/>
          <w:highlight w:val="none"/>
        </w:rPr>
        <w:t>。</w:t>
      </w:r>
    </w:p>
    <w:p>
      <w:pPr>
        <w:autoSpaceDE w:val="0"/>
        <w:autoSpaceDN w:val="0"/>
        <w:adjustRightInd w:val="0"/>
        <w:ind w:firstLine="470" w:firstLineChars="196"/>
        <w:rPr>
          <w:rFonts w:hint="eastAsia"/>
          <w:bCs/>
          <w:kern w:val="0"/>
          <w:highlight w:val="none"/>
        </w:rPr>
      </w:pPr>
      <w:r>
        <w:rPr>
          <w:bCs/>
          <w:highlight w:val="none"/>
        </w:rPr>
        <w:t>监测频率：连续7天，</w:t>
      </w:r>
      <w:r>
        <w:rPr>
          <w:rFonts w:hint="eastAsia"/>
          <w:bCs/>
          <w:highlight w:val="none"/>
        </w:rPr>
        <w:t>TSP</w:t>
      </w:r>
      <w:r>
        <w:rPr>
          <w:rFonts w:hint="eastAsia"/>
          <w:bCs/>
          <w:kern w:val="0"/>
          <w:highlight w:val="none"/>
        </w:rPr>
        <w:t>监测24h平均浓度；24h平均浓度值每日至少有20小时采样时间；</w:t>
      </w:r>
    </w:p>
    <w:p>
      <w:pPr>
        <w:pStyle w:val="2"/>
        <w:rPr>
          <w:rFonts w:hint="eastAsia"/>
          <w:bCs/>
          <w:kern w:val="0"/>
          <w:highlight w:val="none"/>
        </w:rPr>
      </w:pPr>
    </w:p>
    <w:p>
      <w:pPr>
        <w:rPr>
          <w:rFonts w:hint="eastAsia"/>
          <w:highlight w:val="none"/>
        </w:rPr>
      </w:pPr>
    </w:p>
    <w:p>
      <w:pPr>
        <w:pStyle w:val="17"/>
        <w:ind w:firstLine="0" w:firstLineChars="0"/>
        <w:jc w:val="center"/>
        <w:rPr>
          <w:rFonts w:hint="eastAsia" w:ascii="Times New Roman" w:hAnsi="Times New Roman" w:eastAsia="宋体"/>
          <w:b/>
          <w:bCs/>
          <w:sz w:val="21"/>
          <w:szCs w:val="21"/>
          <w:highlight w:val="none"/>
          <w:lang w:eastAsia="zh-CN"/>
        </w:rPr>
      </w:pPr>
      <w:r>
        <w:rPr>
          <w:rFonts w:hint="eastAsia" w:ascii="Times New Roman" w:hAnsi="Times New Roman"/>
          <w:b/>
          <w:bCs/>
          <w:sz w:val="21"/>
          <w:szCs w:val="21"/>
          <w:highlight w:val="none"/>
        </w:rPr>
        <w:t>表</w:t>
      </w:r>
      <w:r>
        <w:rPr>
          <w:rFonts w:hint="eastAsia" w:ascii="Times New Roman" w:hAnsi="Times New Roman"/>
          <w:b/>
          <w:bCs/>
          <w:sz w:val="21"/>
          <w:szCs w:val="21"/>
          <w:highlight w:val="none"/>
          <w:lang w:val="en-US" w:eastAsia="zh-CN"/>
        </w:rPr>
        <w:t>5.1</w:t>
      </w:r>
      <w:r>
        <w:rPr>
          <w:rFonts w:hint="eastAsia" w:ascii="Times New Roman" w:hAnsi="Times New Roman"/>
          <w:b/>
          <w:bCs/>
          <w:sz w:val="21"/>
          <w:szCs w:val="21"/>
          <w:highlight w:val="none"/>
        </w:rPr>
        <w:t>-</w:t>
      </w:r>
      <w:r>
        <w:rPr>
          <w:rFonts w:hint="eastAsia" w:ascii="Times New Roman" w:hAnsi="Times New Roman"/>
          <w:b/>
          <w:bCs/>
          <w:sz w:val="21"/>
          <w:szCs w:val="21"/>
          <w:highlight w:val="none"/>
          <w:lang w:val="en-US" w:eastAsia="zh-CN"/>
        </w:rPr>
        <w:t>2</w:t>
      </w:r>
      <w:r>
        <w:rPr>
          <w:rFonts w:hint="eastAsia" w:ascii="Times New Roman" w:hAnsi="Times New Roman"/>
          <w:b/>
          <w:bCs/>
          <w:sz w:val="21"/>
          <w:szCs w:val="21"/>
          <w:highlight w:val="none"/>
        </w:rPr>
        <w:t xml:space="preserve">   补充监测</w:t>
      </w:r>
      <w:r>
        <w:rPr>
          <w:rFonts w:hint="eastAsia" w:ascii="Times New Roman" w:hAnsi="Times New Roman"/>
          <w:b/>
          <w:bCs/>
          <w:sz w:val="21"/>
          <w:szCs w:val="21"/>
          <w:highlight w:val="none"/>
          <w:lang w:eastAsia="zh-CN"/>
        </w:rPr>
        <w:t>点位基本信息</w:t>
      </w:r>
    </w:p>
    <w:tbl>
      <w:tblPr>
        <w:tblStyle w:val="29"/>
        <w:tblW w:w="9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7"/>
        <w:gridCol w:w="682"/>
        <w:gridCol w:w="685"/>
        <w:gridCol w:w="1365"/>
        <w:gridCol w:w="1545"/>
        <w:gridCol w:w="1718"/>
        <w:gridCol w:w="1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727" w:type="dxa"/>
            <w:shd w:val="clear" w:color="auto" w:fill="auto"/>
            <w:vAlign w:val="center"/>
          </w:tcPr>
          <w:p>
            <w:pPr>
              <w:pStyle w:val="17"/>
              <w:ind w:firstLine="0" w:firstLineChars="0"/>
              <w:jc w:val="center"/>
              <w:rPr>
                <w:rFonts w:ascii="Times New Roman" w:hAnsi="Times New Roman"/>
                <w:b/>
                <w:bCs/>
                <w:sz w:val="21"/>
                <w:szCs w:val="21"/>
                <w:highlight w:val="none"/>
              </w:rPr>
            </w:pPr>
            <w:r>
              <w:rPr>
                <w:rFonts w:hint="eastAsia" w:ascii="Times New Roman" w:hAnsi="Times New Roman"/>
                <w:b/>
                <w:bCs/>
                <w:sz w:val="21"/>
                <w:szCs w:val="21"/>
                <w:highlight w:val="none"/>
              </w:rPr>
              <w:t>监测点位名称</w:t>
            </w:r>
          </w:p>
        </w:tc>
        <w:tc>
          <w:tcPr>
            <w:tcW w:w="1367" w:type="dxa"/>
            <w:gridSpan w:val="2"/>
            <w:shd w:val="clear" w:color="auto" w:fill="auto"/>
            <w:vAlign w:val="center"/>
          </w:tcPr>
          <w:p>
            <w:pPr>
              <w:pStyle w:val="17"/>
              <w:ind w:firstLine="0" w:firstLineChars="0"/>
              <w:jc w:val="center"/>
              <w:rPr>
                <w:rFonts w:hint="default" w:ascii="Times New Roman" w:hAnsi="Times New Roman" w:eastAsia="宋体"/>
                <w:b/>
                <w:bCs/>
                <w:sz w:val="21"/>
                <w:szCs w:val="21"/>
                <w:highlight w:val="none"/>
                <w:lang w:val="en-US" w:eastAsia="zh-CN"/>
              </w:rPr>
            </w:pPr>
            <w:r>
              <w:rPr>
                <w:rFonts w:hint="eastAsia" w:ascii="Times New Roman" w:hAnsi="Times New Roman"/>
                <w:b/>
                <w:bCs/>
                <w:sz w:val="21"/>
                <w:szCs w:val="21"/>
                <w:highlight w:val="none"/>
                <w:lang w:eastAsia="zh-CN"/>
              </w:rPr>
              <w:t>监测点位坐标</w:t>
            </w:r>
            <w:r>
              <w:rPr>
                <w:rFonts w:hint="eastAsia" w:ascii="Times New Roman" w:hAnsi="Times New Roman"/>
                <w:b/>
                <w:bCs/>
                <w:sz w:val="21"/>
                <w:szCs w:val="21"/>
                <w:highlight w:val="none"/>
                <w:lang w:val="en-US" w:eastAsia="zh-CN"/>
              </w:rPr>
              <w:t>/m（x,y）</w:t>
            </w:r>
          </w:p>
        </w:tc>
        <w:tc>
          <w:tcPr>
            <w:tcW w:w="1365" w:type="dxa"/>
            <w:shd w:val="clear" w:color="auto" w:fill="auto"/>
            <w:vAlign w:val="center"/>
          </w:tcPr>
          <w:p>
            <w:pPr>
              <w:pStyle w:val="17"/>
              <w:ind w:firstLine="0" w:firstLineChars="0"/>
              <w:jc w:val="center"/>
              <w:rPr>
                <w:rFonts w:ascii="Times New Roman" w:hAnsi="Times New Roman"/>
                <w:b/>
                <w:bCs/>
                <w:sz w:val="21"/>
                <w:szCs w:val="21"/>
                <w:highlight w:val="none"/>
              </w:rPr>
            </w:pPr>
            <w:r>
              <w:rPr>
                <w:rFonts w:hint="eastAsia" w:ascii="Times New Roman" w:hAnsi="Times New Roman"/>
                <w:b/>
                <w:bCs/>
                <w:sz w:val="21"/>
                <w:szCs w:val="21"/>
                <w:highlight w:val="none"/>
              </w:rPr>
              <w:t>监测</w:t>
            </w:r>
          </w:p>
          <w:p>
            <w:pPr>
              <w:pStyle w:val="17"/>
              <w:ind w:firstLine="0" w:firstLineChars="0"/>
              <w:jc w:val="center"/>
              <w:rPr>
                <w:rFonts w:ascii="Times New Roman" w:hAnsi="Times New Roman"/>
                <w:b/>
                <w:bCs/>
                <w:sz w:val="21"/>
                <w:szCs w:val="21"/>
                <w:highlight w:val="none"/>
              </w:rPr>
            </w:pPr>
            <w:r>
              <w:rPr>
                <w:rFonts w:hint="eastAsia" w:ascii="Times New Roman" w:hAnsi="Times New Roman"/>
                <w:b/>
                <w:bCs/>
                <w:sz w:val="21"/>
                <w:szCs w:val="21"/>
                <w:highlight w:val="none"/>
              </w:rPr>
              <w:t>因子</w:t>
            </w:r>
          </w:p>
        </w:tc>
        <w:tc>
          <w:tcPr>
            <w:tcW w:w="1545" w:type="dxa"/>
            <w:shd w:val="clear" w:color="auto" w:fill="auto"/>
            <w:vAlign w:val="center"/>
          </w:tcPr>
          <w:p>
            <w:pPr>
              <w:pStyle w:val="17"/>
              <w:ind w:firstLine="0" w:firstLineChars="0"/>
              <w:jc w:val="center"/>
              <w:rPr>
                <w:rFonts w:hint="eastAsia" w:ascii="Times New Roman" w:hAnsi="Times New Roman"/>
                <w:b/>
                <w:bCs/>
                <w:sz w:val="21"/>
                <w:szCs w:val="21"/>
                <w:highlight w:val="none"/>
                <w:lang w:eastAsia="zh-CN"/>
              </w:rPr>
            </w:pPr>
            <w:r>
              <w:rPr>
                <w:rFonts w:hint="eastAsia" w:ascii="Times New Roman" w:hAnsi="Times New Roman"/>
                <w:b/>
                <w:bCs/>
                <w:sz w:val="21"/>
                <w:szCs w:val="21"/>
                <w:highlight w:val="none"/>
                <w:lang w:eastAsia="zh-CN"/>
              </w:rPr>
              <w:t>监测</w:t>
            </w:r>
          </w:p>
          <w:p>
            <w:pPr>
              <w:pStyle w:val="17"/>
              <w:ind w:firstLine="0" w:firstLineChars="0"/>
              <w:jc w:val="center"/>
              <w:rPr>
                <w:rFonts w:hint="eastAsia" w:ascii="Times New Roman" w:hAnsi="Times New Roman" w:eastAsia="宋体"/>
                <w:b/>
                <w:bCs/>
                <w:sz w:val="21"/>
                <w:szCs w:val="21"/>
                <w:highlight w:val="none"/>
                <w:lang w:eastAsia="zh-CN"/>
              </w:rPr>
            </w:pPr>
            <w:r>
              <w:rPr>
                <w:rFonts w:hint="eastAsia" w:ascii="Times New Roman" w:hAnsi="Times New Roman"/>
                <w:b/>
                <w:bCs/>
                <w:sz w:val="21"/>
                <w:szCs w:val="21"/>
                <w:highlight w:val="none"/>
                <w:lang w:eastAsia="zh-CN"/>
              </w:rPr>
              <w:t>时段</w:t>
            </w:r>
          </w:p>
        </w:tc>
        <w:tc>
          <w:tcPr>
            <w:tcW w:w="1718" w:type="dxa"/>
            <w:shd w:val="clear" w:color="auto" w:fill="auto"/>
            <w:vAlign w:val="center"/>
          </w:tcPr>
          <w:p>
            <w:pPr>
              <w:pStyle w:val="17"/>
              <w:ind w:firstLine="0" w:firstLineChars="0"/>
              <w:jc w:val="center"/>
              <w:rPr>
                <w:rFonts w:hint="eastAsia" w:ascii="Times New Roman" w:hAnsi="Times New Roman"/>
                <w:b/>
                <w:bCs/>
                <w:sz w:val="21"/>
                <w:szCs w:val="21"/>
                <w:highlight w:val="none"/>
                <w:lang w:eastAsia="zh-CN"/>
              </w:rPr>
            </w:pPr>
            <w:r>
              <w:rPr>
                <w:rFonts w:hint="eastAsia" w:ascii="Times New Roman" w:hAnsi="Times New Roman"/>
                <w:b/>
                <w:bCs/>
                <w:sz w:val="21"/>
                <w:szCs w:val="21"/>
                <w:highlight w:val="none"/>
                <w:lang w:eastAsia="zh-CN"/>
              </w:rPr>
              <w:t>相对厂址方位</w:t>
            </w:r>
          </w:p>
        </w:tc>
        <w:tc>
          <w:tcPr>
            <w:tcW w:w="1718" w:type="dxa"/>
            <w:shd w:val="clear" w:color="auto" w:fill="auto"/>
            <w:vAlign w:val="center"/>
          </w:tcPr>
          <w:p>
            <w:pPr>
              <w:pStyle w:val="17"/>
              <w:ind w:firstLine="0" w:firstLineChars="0"/>
              <w:jc w:val="center"/>
              <w:rPr>
                <w:rFonts w:ascii="Times New Roman" w:hAnsi="Times New Roman"/>
                <w:b/>
                <w:bCs/>
                <w:sz w:val="21"/>
                <w:szCs w:val="21"/>
                <w:highlight w:val="none"/>
              </w:rPr>
            </w:pPr>
            <w:r>
              <w:rPr>
                <w:rFonts w:hint="eastAsia" w:ascii="Times New Roman" w:hAnsi="Times New Roman"/>
                <w:b/>
                <w:bCs/>
                <w:sz w:val="21"/>
                <w:szCs w:val="21"/>
                <w:highlight w:val="none"/>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727" w:type="dxa"/>
            <w:vMerge w:val="restart"/>
            <w:shd w:val="clear" w:color="auto" w:fill="auto"/>
            <w:vAlign w:val="center"/>
          </w:tcPr>
          <w:p>
            <w:pPr>
              <w:pStyle w:val="17"/>
              <w:ind w:firstLine="0" w:firstLineChars="0"/>
              <w:jc w:val="center"/>
              <w:rPr>
                <w:rFonts w:hint="eastAsia" w:ascii="Times New Roman" w:hAnsi="Times New Roman" w:eastAsia="宋体"/>
                <w:sz w:val="21"/>
                <w:szCs w:val="21"/>
                <w:highlight w:val="none"/>
                <w:lang w:eastAsia="zh-CN"/>
              </w:rPr>
            </w:pPr>
            <w:r>
              <w:rPr>
                <w:rFonts w:hint="eastAsia" w:ascii="Times New Roman" w:hAnsi="Times New Roman"/>
                <w:sz w:val="21"/>
                <w:szCs w:val="21"/>
                <w:highlight w:val="none"/>
                <w:lang w:eastAsia="zh-CN"/>
              </w:rPr>
              <w:t>卡子村</w:t>
            </w:r>
          </w:p>
        </w:tc>
        <w:tc>
          <w:tcPr>
            <w:tcW w:w="682" w:type="dxa"/>
            <w:vMerge w:val="restart"/>
            <w:shd w:val="clear" w:color="auto" w:fill="auto"/>
            <w:vAlign w:val="center"/>
          </w:tcPr>
          <w:p>
            <w:pPr>
              <w:pStyle w:val="17"/>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-860</w:t>
            </w:r>
          </w:p>
        </w:tc>
        <w:tc>
          <w:tcPr>
            <w:tcW w:w="685" w:type="dxa"/>
            <w:vMerge w:val="restart"/>
            <w:shd w:val="clear" w:color="auto" w:fill="auto"/>
            <w:vAlign w:val="center"/>
          </w:tcPr>
          <w:p>
            <w:pPr>
              <w:pStyle w:val="17"/>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0</w:t>
            </w:r>
          </w:p>
        </w:tc>
        <w:tc>
          <w:tcPr>
            <w:tcW w:w="1365" w:type="dxa"/>
            <w:shd w:val="clear" w:color="auto" w:fill="auto"/>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TSP</w:t>
            </w:r>
          </w:p>
        </w:tc>
        <w:tc>
          <w:tcPr>
            <w:tcW w:w="1545" w:type="dxa"/>
            <w:vMerge w:val="restart"/>
            <w:shd w:val="clear" w:color="auto" w:fill="auto"/>
            <w:vAlign w:val="center"/>
          </w:tcPr>
          <w:p>
            <w:pPr>
              <w:pStyle w:val="17"/>
              <w:ind w:firstLine="0" w:firstLineChars="0"/>
              <w:jc w:val="center"/>
              <w:rPr>
                <w:rFonts w:hint="default" w:ascii="Times New Roman" w:hAnsi="Times New Roman" w:eastAsia="宋体"/>
                <w:sz w:val="21"/>
                <w:szCs w:val="21"/>
                <w:highlight w:val="none"/>
                <w:lang w:val="en-US" w:eastAsia="zh-CN"/>
              </w:rPr>
            </w:pPr>
            <w:r>
              <w:rPr>
                <w:rFonts w:hint="eastAsia" w:ascii="Times New Roman" w:hAnsi="Times New Roman"/>
                <w:sz w:val="21"/>
                <w:szCs w:val="21"/>
                <w:highlight w:val="none"/>
                <w:lang w:val="en-US" w:eastAsia="zh-CN"/>
              </w:rPr>
              <w:t>24h</w:t>
            </w:r>
          </w:p>
        </w:tc>
        <w:tc>
          <w:tcPr>
            <w:tcW w:w="1718" w:type="dxa"/>
            <w:vMerge w:val="restart"/>
            <w:shd w:val="clear" w:color="auto" w:fill="auto"/>
            <w:vAlign w:val="center"/>
          </w:tcPr>
          <w:p>
            <w:pPr>
              <w:pStyle w:val="17"/>
              <w:ind w:firstLine="0" w:firstLineChars="0"/>
              <w:jc w:val="center"/>
              <w:rPr>
                <w:rFonts w:hint="eastAsia" w:ascii="Times New Roman" w:hAnsi="Times New Roman"/>
                <w:sz w:val="21"/>
                <w:szCs w:val="21"/>
                <w:highlight w:val="none"/>
              </w:rPr>
            </w:pPr>
            <w:r>
              <w:rPr>
                <w:rFonts w:hint="eastAsia" w:ascii="Times New Roman" w:hAnsi="Times New Roman"/>
                <w:sz w:val="21"/>
                <w:szCs w:val="21"/>
                <w:highlight w:val="none"/>
                <w:lang w:eastAsia="zh-CN"/>
              </w:rPr>
              <w:t>侧</w:t>
            </w:r>
            <w:r>
              <w:rPr>
                <w:rFonts w:hint="eastAsia" w:ascii="Times New Roman" w:hAnsi="Times New Roman"/>
                <w:sz w:val="21"/>
                <w:szCs w:val="21"/>
                <w:highlight w:val="none"/>
              </w:rPr>
              <w:t>风向</w:t>
            </w:r>
          </w:p>
        </w:tc>
        <w:tc>
          <w:tcPr>
            <w:tcW w:w="1718" w:type="dxa"/>
            <w:vMerge w:val="restart"/>
            <w:shd w:val="clear" w:color="auto" w:fill="auto"/>
            <w:vAlign w:val="center"/>
          </w:tcPr>
          <w:p>
            <w:pPr>
              <w:pStyle w:val="17"/>
              <w:ind w:firstLine="0" w:firstLineChars="0"/>
              <w:jc w:val="center"/>
              <w:rPr>
                <w:rFonts w:hint="default" w:ascii="Times New Roman" w:hAnsi="Times New Roman" w:eastAsia="宋体"/>
                <w:sz w:val="21"/>
                <w:szCs w:val="21"/>
                <w:highlight w:val="none"/>
                <w:lang w:val="en-US" w:eastAsia="zh-CN"/>
              </w:rPr>
            </w:pPr>
            <w:r>
              <w:rPr>
                <w:rFonts w:hint="eastAsia" w:ascii="Times New Roman" w:hAnsi="Times New Roman"/>
                <w:sz w:val="21"/>
                <w:szCs w:val="21"/>
                <w:highlight w:val="none"/>
                <w:lang w:val="en-US" w:eastAsia="zh-CN"/>
              </w:rPr>
              <w:t>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1727" w:type="dxa"/>
            <w:vMerge w:val="continue"/>
            <w:shd w:val="clear" w:color="auto" w:fill="auto"/>
            <w:vAlign w:val="center"/>
          </w:tcPr>
          <w:p>
            <w:pPr>
              <w:pStyle w:val="17"/>
              <w:ind w:firstLine="0" w:firstLineChars="0"/>
              <w:jc w:val="center"/>
              <w:rPr>
                <w:rFonts w:ascii="Times New Roman" w:hAnsi="Times New Roman"/>
                <w:sz w:val="21"/>
                <w:szCs w:val="21"/>
                <w:highlight w:val="none"/>
              </w:rPr>
            </w:pPr>
          </w:p>
        </w:tc>
        <w:tc>
          <w:tcPr>
            <w:tcW w:w="682" w:type="dxa"/>
            <w:vMerge w:val="continue"/>
            <w:shd w:val="clear" w:color="auto" w:fill="auto"/>
            <w:vAlign w:val="center"/>
          </w:tcPr>
          <w:p>
            <w:pPr>
              <w:pStyle w:val="17"/>
              <w:ind w:firstLine="0" w:firstLineChars="0"/>
              <w:jc w:val="center"/>
              <w:rPr>
                <w:rFonts w:hint="default" w:ascii="Times New Roman" w:hAnsi="Times New Roman" w:eastAsia="宋体"/>
                <w:color w:val="FF0000"/>
                <w:sz w:val="21"/>
                <w:szCs w:val="21"/>
                <w:highlight w:val="none"/>
                <w:lang w:val="en-US" w:eastAsia="zh-CN"/>
              </w:rPr>
            </w:pPr>
          </w:p>
        </w:tc>
        <w:tc>
          <w:tcPr>
            <w:tcW w:w="685" w:type="dxa"/>
            <w:vMerge w:val="continue"/>
            <w:shd w:val="clear" w:color="auto" w:fill="auto"/>
            <w:vAlign w:val="center"/>
          </w:tcPr>
          <w:p>
            <w:pPr>
              <w:pStyle w:val="17"/>
              <w:ind w:firstLine="0" w:firstLineChars="0"/>
              <w:jc w:val="center"/>
              <w:rPr>
                <w:rFonts w:hint="default" w:ascii="Times New Roman" w:hAnsi="Times New Roman" w:eastAsia="宋体"/>
                <w:color w:val="FF0000"/>
                <w:sz w:val="21"/>
                <w:szCs w:val="21"/>
                <w:highlight w:val="none"/>
                <w:lang w:val="en-US" w:eastAsia="zh-CN"/>
              </w:rPr>
            </w:pPr>
          </w:p>
        </w:tc>
        <w:tc>
          <w:tcPr>
            <w:tcW w:w="1365" w:type="dxa"/>
            <w:shd w:val="clear" w:color="auto" w:fill="auto"/>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PM</w:t>
            </w:r>
            <w:r>
              <w:rPr>
                <w:rFonts w:hint="eastAsia" w:ascii="Times New Roman" w:hAnsi="Times New Roman"/>
                <w:sz w:val="21"/>
                <w:szCs w:val="21"/>
                <w:highlight w:val="none"/>
                <w:vertAlign w:val="subscript"/>
              </w:rPr>
              <w:t>10</w:t>
            </w:r>
          </w:p>
        </w:tc>
        <w:tc>
          <w:tcPr>
            <w:tcW w:w="1545" w:type="dxa"/>
            <w:vMerge w:val="continue"/>
            <w:shd w:val="clear" w:color="auto" w:fill="auto"/>
            <w:vAlign w:val="center"/>
          </w:tcPr>
          <w:p>
            <w:pPr>
              <w:pStyle w:val="17"/>
              <w:ind w:firstLine="0" w:firstLineChars="0"/>
              <w:jc w:val="center"/>
              <w:rPr>
                <w:rFonts w:ascii="Times New Roman" w:hAnsi="Times New Roman"/>
                <w:sz w:val="21"/>
                <w:szCs w:val="21"/>
                <w:highlight w:val="none"/>
              </w:rPr>
            </w:pPr>
          </w:p>
        </w:tc>
        <w:tc>
          <w:tcPr>
            <w:tcW w:w="1718" w:type="dxa"/>
            <w:vMerge w:val="continue"/>
            <w:shd w:val="clear" w:color="auto" w:fill="auto"/>
            <w:vAlign w:val="center"/>
          </w:tcPr>
          <w:p>
            <w:pPr>
              <w:pStyle w:val="17"/>
              <w:ind w:firstLine="0" w:firstLineChars="0"/>
              <w:jc w:val="center"/>
              <w:rPr>
                <w:rFonts w:ascii="Times New Roman" w:hAnsi="Times New Roman"/>
                <w:sz w:val="21"/>
                <w:szCs w:val="21"/>
                <w:highlight w:val="none"/>
              </w:rPr>
            </w:pPr>
          </w:p>
        </w:tc>
        <w:tc>
          <w:tcPr>
            <w:tcW w:w="1718" w:type="dxa"/>
            <w:vMerge w:val="continue"/>
            <w:shd w:val="clear" w:color="auto" w:fill="auto"/>
            <w:vAlign w:val="center"/>
          </w:tcPr>
          <w:p>
            <w:pPr>
              <w:pStyle w:val="17"/>
              <w:ind w:firstLine="0" w:firstLineChars="0"/>
              <w:jc w:val="center"/>
              <w:rPr>
                <w:rFonts w:ascii="Times New Roman" w:hAnsi="Times New Roman"/>
                <w:sz w:val="21"/>
                <w:szCs w:val="21"/>
                <w:highlight w:val="none"/>
              </w:rPr>
            </w:pPr>
          </w:p>
        </w:tc>
      </w:tr>
    </w:tbl>
    <w:p>
      <w:pPr>
        <w:pStyle w:val="17"/>
        <w:ind w:left="480" w:leftChars="200" w:firstLine="0" w:firstLineChars="0"/>
        <w:rPr>
          <w:rFonts w:hint="eastAsia" w:ascii="Times New Roman" w:hAnsi="Times New Roman"/>
          <w:highlight w:val="none"/>
        </w:rPr>
      </w:pPr>
    </w:p>
    <w:p>
      <w:pPr>
        <w:pStyle w:val="17"/>
        <w:ind w:left="480" w:leftChars="200" w:firstLine="0" w:firstLineChars="0"/>
        <w:rPr>
          <w:rFonts w:ascii="Times New Roman" w:hAnsi="Times New Roman"/>
          <w:highlight w:val="none"/>
        </w:rPr>
      </w:pPr>
      <w:r>
        <w:rPr>
          <w:rFonts w:hint="eastAsia" w:ascii="Times New Roman" w:hAnsi="Times New Roman"/>
          <w:highlight w:val="none"/>
        </w:rPr>
        <w:t>3）TSP、PM</w:t>
      </w:r>
      <w:r>
        <w:rPr>
          <w:rFonts w:hint="eastAsia" w:ascii="Times New Roman" w:hAnsi="Times New Roman"/>
          <w:highlight w:val="none"/>
          <w:vertAlign w:val="subscript"/>
        </w:rPr>
        <w:t>10</w:t>
      </w:r>
      <w:r>
        <w:rPr>
          <w:rFonts w:hint="eastAsia" w:ascii="Times New Roman" w:hAnsi="Times New Roman"/>
          <w:highlight w:val="none"/>
        </w:rPr>
        <w:t>补充监测结果评价</w:t>
      </w:r>
    </w:p>
    <w:p>
      <w:pPr>
        <w:pStyle w:val="17"/>
        <w:ind w:firstLine="0" w:firstLineChars="0"/>
        <w:jc w:val="center"/>
        <w:rPr>
          <w:rFonts w:ascii="Times New Roman" w:hAnsi="Times New Roman"/>
          <w:b/>
          <w:bCs/>
          <w:sz w:val="21"/>
          <w:szCs w:val="21"/>
          <w:highlight w:val="none"/>
        </w:rPr>
      </w:pPr>
      <w:r>
        <w:rPr>
          <w:rFonts w:hint="eastAsia" w:ascii="Times New Roman" w:hAnsi="Times New Roman"/>
          <w:b/>
          <w:bCs/>
          <w:sz w:val="21"/>
          <w:szCs w:val="21"/>
          <w:highlight w:val="none"/>
        </w:rPr>
        <w:t>表</w:t>
      </w:r>
      <w:r>
        <w:rPr>
          <w:rFonts w:hint="eastAsia" w:ascii="Times New Roman" w:hAnsi="Times New Roman"/>
          <w:b/>
          <w:bCs/>
          <w:sz w:val="21"/>
          <w:szCs w:val="21"/>
          <w:highlight w:val="none"/>
          <w:lang w:val="en-US" w:eastAsia="zh-CN"/>
        </w:rPr>
        <w:t>5.1</w:t>
      </w:r>
      <w:r>
        <w:rPr>
          <w:rFonts w:hint="eastAsia" w:ascii="Times New Roman" w:hAnsi="Times New Roman"/>
          <w:b/>
          <w:bCs/>
          <w:sz w:val="21"/>
          <w:szCs w:val="21"/>
          <w:highlight w:val="none"/>
        </w:rPr>
        <w:t>-3    TSP、PM</w:t>
      </w:r>
      <w:r>
        <w:rPr>
          <w:rFonts w:hint="eastAsia" w:ascii="Times New Roman" w:hAnsi="Times New Roman"/>
          <w:b/>
          <w:bCs/>
          <w:sz w:val="21"/>
          <w:szCs w:val="21"/>
          <w:highlight w:val="none"/>
          <w:vertAlign w:val="subscript"/>
        </w:rPr>
        <w:t>10</w:t>
      </w:r>
      <w:r>
        <w:rPr>
          <w:rFonts w:hint="eastAsia" w:ascii="Times New Roman" w:hAnsi="Times New Roman"/>
          <w:b/>
          <w:bCs/>
          <w:sz w:val="21"/>
          <w:szCs w:val="21"/>
          <w:highlight w:val="none"/>
        </w:rPr>
        <w:t>补充监测结果评价一览表</w:t>
      </w:r>
    </w:p>
    <w:tbl>
      <w:tblPr>
        <w:tblStyle w:val="29"/>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4"/>
        <w:gridCol w:w="673"/>
        <w:gridCol w:w="794"/>
        <w:gridCol w:w="1020"/>
        <w:gridCol w:w="1005"/>
        <w:gridCol w:w="1155"/>
        <w:gridCol w:w="1158"/>
        <w:gridCol w:w="920"/>
        <w:gridCol w:w="920"/>
        <w:gridCol w:w="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1054" w:type="dxa"/>
            <w:shd w:val="clear" w:color="auto" w:fill="auto"/>
            <w:vAlign w:val="center"/>
          </w:tcPr>
          <w:p>
            <w:pPr>
              <w:pStyle w:val="17"/>
              <w:ind w:firstLine="0" w:firstLineChars="0"/>
              <w:jc w:val="center"/>
              <w:rPr>
                <w:rFonts w:ascii="Times New Roman" w:hAnsi="Times New Roman"/>
                <w:b/>
                <w:bCs/>
                <w:sz w:val="21"/>
                <w:szCs w:val="21"/>
                <w:highlight w:val="none"/>
              </w:rPr>
            </w:pPr>
            <w:r>
              <w:rPr>
                <w:rFonts w:hint="eastAsia" w:ascii="Times New Roman" w:hAnsi="Times New Roman"/>
                <w:b/>
                <w:bCs/>
                <w:sz w:val="21"/>
                <w:szCs w:val="21"/>
                <w:highlight w:val="none"/>
              </w:rPr>
              <w:t>监测点位</w:t>
            </w:r>
          </w:p>
        </w:tc>
        <w:tc>
          <w:tcPr>
            <w:tcW w:w="1467" w:type="dxa"/>
            <w:gridSpan w:val="2"/>
            <w:shd w:val="clear" w:color="auto" w:fill="auto"/>
            <w:vAlign w:val="center"/>
          </w:tcPr>
          <w:p>
            <w:pPr>
              <w:pStyle w:val="17"/>
              <w:ind w:firstLine="0" w:firstLineChars="0"/>
              <w:jc w:val="center"/>
              <w:rPr>
                <w:rFonts w:hint="default" w:ascii="Times New Roman" w:hAnsi="Times New Roman" w:eastAsia="宋体"/>
                <w:b/>
                <w:bCs/>
                <w:sz w:val="21"/>
                <w:szCs w:val="21"/>
                <w:highlight w:val="none"/>
                <w:lang w:val="en-US" w:eastAsia="zh-CN"/>
              </w:rPr>
            </w:pPr>
            <w:r>
              <w:rPr>
                <w:rFonts w:hint="eastAsia" w:ascii="Times New Roman" w:hAnsi="Times New Roman"/>
                <w:b/>
                <w:bCs/>
                <w:sz w:val="21"/>
                <w:szCs w:val="21"/>
                <w:highlight w:val="none"/>
                <w:lang w:eastAsia="zh-CN"/>
              </w:rPr>
              <w:t>监测点坐标（</w:t>
            </w:r>
            <w:r>
              <w:rPr>
                <w:rFonts w:hint="eastAsia" w:ascii="Times New Roman" w:hAnsi="Times New Roman"/>
                <w:b/>
                <w:bCs/>
                <w:sz w:val="21"/>
                <w:szCs w:val="21"/>
                <w:highlight w:val="none"/>
                <w:lang w:val="en-US" w:eastAsia="zh-CN"/>
              </w:rPr>
              <w:t>x，y</w:t>
            </w:r>
            <w:r>
              <w:rPr>
                <w:rFonts w:hint="eastAsia" w:ascii="Times New Roman" w:hAnsi="Times New Roman"/>
                <w:b/>
                <w:bCs/>
                <w:sz w:val="21"/>
                <w:szCs w:val="21"/>
                <w:highlight w:val="none"/>
                <w:lang w:eastAsia="zh-CN"/>
              </w:rPr>
              <w:t>）</w:t>
            </w:r>
            <w:r>
              <w:rPr>
                <w:rFonts w:hint="eastAsia" w:ascii="Times New Roman" w:hAnsi="Times New Roman"/>
                <w:b/>
                <w:bCs/>
                <w:sz w:val="21"/>
                <w:szCs w:val="21"/>
                <w:highlight w:val="none"/>
                <w:lang w:val="en-US" w:eastAsia="zh-CN"/>
              </w:rPr>
              <w:t>/m</w:t>
            </w:r>
          </w:p>
        </w:tc>
        <w:tc>
          <w:tcPr>
            <w:tcW w:w="1020" w:type="dxa"/>
            <w:shd w:val="clear" w:color="auto" w:fill="auto"/>
            <w:vAlign w:val="center"/>
          </w:tcPr>
          <w:p>
            <w:pPr>
              <w:pStyle w:val="17"/>
              <w:ind w:firstLine="0" w:firstLineChars="0"/>
              <w:jc w:val="center"/>
              <w:rPr>
                <w:rFonts w:hint="eastAsia" w:ascii="Times New Roman" w:hAnsi="Times New Roman" w:eastAsia="宋体"/>
                <w:b/>
                <w:bCs/>
                <w:sz w:val="21"/>
                <w:szCs w:val="21"/>
                <w:highlight w:val="none"/>
                <w:lang w:eastAsia="zh-CN"/>
              </w:rPr>
            </w:pPr>
            <w:r>
              <w:rPr>
                <w:rFonts w:hint="eastAsia" w:ascii="Times New Roman" w:hAnsi="Times New Roman"/>
                <w:b/>
                <w:bCs/>
                <w:sz w:val="21"/>
                <w:szCs w:val="21"/>
                <w:highlight w:val="none"/>
                <w:lang w:eastAsia="zh-CN"/>
              </w:rPr>
              <w:t>污染物</w:t>
            </w:r>
          </w:p>
        </w:tc>
        <w:tc>
          <w:tcPr>
            <w:tcW w:w="1005" w:type="dxa"/>
            <w:shd w:val="clear" w:color="auto" w:fill="auto"/>
            <w:vAlign w:val="center"/>
          </w:tcPr>
          <w:p>
            <w:pPr>
              <w:pStyle w:val="17"/>
              <w:ind w:firstLine="0" w:firstLineChars="0"/>
              <w:jc w:val="center"/>
              <w:rPr>
                <w:rFonts w:hint="eastAsia" w:ascii="Times New Roman" w:hAnsi="Times New Roman"/>
                <w:b/>
                <w:bCs/>
                <w:sz w:val="21"/>
                <w:szCs w:val="21"/>
                <w:highlight w:val="none"/>
                <w:lang w:eastAsia="zh-CN"/>
              </w:rPr>
            </w:pPr>
            <w:r>
              <w:rPr>
                <w:rFonts w:hint="eastAsia" w:ascii="Times New Roman" w:hAnsi="Times New Roman"/>
                <w:b/>
                <w:bCs/>
                <w:sz w:val="21"/>
                <w:szCs w:val="21"/>
                <w:highlight w:val="none"/>
                <w:lang w:eastAsia="zh-CN"/>
              </w:rPr>
              <w:t>平均</w:t>
            </w:r>
          </w:p>
          <w:p>
            <w:pPr>
              <w:pStyle w:val="17"/>
              <w:ind w:firstLine="0" w:firstLineChars="0"/>
              <w:jc w:val="center"/>
              <w:rPr>
                <w:rFonts w:hint="eastAsia" w:ascii="Times New Roman" w:hAnsi="Times New Roman" w:eastAsia="宋体"/>
                <w:b/>
                <w:bCs/>
                <w:sz w:val="21"/>
                <w:szCs w:val="21"/>
                <w:highlight w:val="none"/>
                <w:lang w:eastAsia="zh-CN"/>
              </w:rPr>
            </w:pPr>
            <w:r>
              <w:rPr>
                <w:rFonts w:hint="eastAsia" w:ascii="Times New Roman" w:hAnsi="Times New Roman"/>
                <w:b/>
                <w:bCs/>
                <w:sz w:val="21"/>
                <w:szCs w:val="21"/>
                <w:highlight w:val="none"/>
                <w:lang w:eastAsia="zh-CN"/>
              </w:rPr>
              <w:t>时间</w:t>
            </w:r>
          </w:p>
        </w:tc>
        <w:tc>
          <w:tcPr>
            <w:tcW w:w="1155" w:type="dxa"/>
            <w:shd w:val="clear" w:color="auto" w:fill="auto"/>
            <w:vAlign w:val="center"/>
          </w:tcPr>
          <w:p>
            <w:pPr>
              <w:pStyle w:val="17"/>
              <w:ind w:firstLine="0" w:firstLineChars="0"/>
              <w:jc w:val="center"/>
              <w:rPr>
                <w:rFonts w:ascii="Times New Roman" w:hAnsi="Times New Roman"/>
                <w:b/>
                <w:bCs/>
                <w:sz w:val="21"/>
                <w:szCs w:val="21"/>
                <w:highlight w:val="none"/>
              </w:rPr>
            </w:pPr>
            <w:r>
              <w:rPr>
                <w:rFonts w:hint="eastAsia" w:ascii="Times New Roman" w:hAnsi="Times New Roman"/>
                <w:b/>
                <w:bCs/>
                <w:sz w:val="21"/>
                <w:szCs w:val="21"/>
                <w:highlight w:val="none"/>
              </w:rPr>
              <w:t>评价标准</w:t>
            </w:r>
          </w:p>
          <w:p>
            <w:pPr>
              <w:pStyle w:val="17"/>
              <w:ind w:firstLine="0" w:firstLineChars="0"/>
              <w:jc w:val="center"/>
              <w:rPr>
                <w:rFonts w:ascii="Times New Roman" w:hAnsi="Times New Roman"/>
                <w:b/>
                <w:bCs/>
                <w:sz w:val="21"/>
                <w:szCs w:val="21"/>
                <w:highlight w:val="none"/>
              </w:rPr>
            </w:pPr>
            <w:r>
              <w:rPr>
                <w:rFonts w:hint="eastAsia" w:ascii="Times New Roman" w:hAnsi="Times New Roman"/>
                <w:b/>
                <w:bCs/>
                <w:sz w:val="21"/>
                <w:szCs w:val="21"/>
                <w:highlight w:val="none"/>
              </w:rPr>
              <w:t>（μg/m</w:t>
            </w:r>
            <w:r>
              <w:rPr>
                <w:rFonts w:hint="eastAsia" w:ascii="Times New Roman" w:hAnsi="Times New Roman"/>
                <w:b/>
                <w:bCs/>
                <w:sz w:val="21"/>
                <w:szCs w:val="21"/>
                <w:highlight w:val="none"/>
                <w:vertAlign w:val="superscript"/>
              </w:rPr>
              <w:t>3</w:t>
            </w:r>
            <w:r>
              <w:rPr>
                <w:rFonts w:hint="eastAsia" w:ascii="Times New Roman" w:hAnsi="Times New Roman"/>
                <w:b/>
                <w:bCs/>
                <w:sz w:val="21"/>
                <w:szCs w:val="21"/>
                <w:highlight w:val="none"/>
              </w:rPr>
              <w:t>）</w:t>
            </w:r>
          </w:p>
        </w:tc>
        <w:tc>
          <w:tcPr>
            <w:tcW w:w="1158" w:type="dxa"/>
            <w:shd w:val="clear" w:color="auto" w:fill="auto"/>
            <w:vAlign w:val="center"/>
          </w:tcPr>
          <w:p>
            <w:pPr>
              <w:pStyle w:val="17"/>
              <w:ind w:firstLine="0" w:firstLineChars="0"/>
              <w:jc w:val="center"/>
              <w:rPr>
                <w:rFonts w:ascii="Times New Roman" w:hAnsi="Times New Roman"/>
                <w:b/>
                <w:bCs/>
                <w:sz w:val="21"/>
                <w:szCs w:val="21"/>
                <w:highlight w:val="none"/>
              </w:rPr>
            </w:pPr>
            <w:r>
              <w:rPr>
                <w:rFonts w:hint="eastAsia" w:ascii="Times New Roman" w:hAnsi="Times New Roman"/>
                <w:b/>
                <w:bCs/>
                <w:sz w:val="21"/>
                <w:szCs w:val="21"/>
                <w:highlight w:val="none"/>
              </w:rPr>
              <w:t>监测浓度</w:t>
            </w:r>
          </w:p>
          <w:p>
            <w:pPr>
              <w:pStyle w:val="17"/>
              <w:ind w:firstLine="0" w:firstLineChars="0"/>
              <w:jc w:val="center"/>
              <w:rPr>
                <w:rFonts w:ascii="Times New Roman" w:hAnsi="Times New Roman"/>
                <w:b/>
                <w:bCs/>
                <w:sz w:val="21"/>
                <w:szCs w:val="21"/>
                <w:highlight w:val="none"/>
              </w:rPr>
            </w:pPr>
            <w:r>
              <w:rPr>
                <w:rFonts w:hint="eastAsia" w:ascii="Times New Roman" w:hAnsi="Times New Roman"/>
                <w:b/>
                <w:bCs/>
                <w:sz w:val="21"/>
                <w:szCs w:val="21"/>
                <w:highlight w:val="none"/>
              </w:rPr>
              <w:t>范围</w:t>
            </w:r>
          </w:p>
          <w:p>
            <w:pPr>
              <w:pStyle w:val="17"/>
              <w:ind w:firstLine="0" w:firstLineChars="0"/>
              <w:jc w:val="center"/>
              <w:rPr>
                <w:rFonts w:ascii="Times New Roman" w:hAnsi="Times New Roman"/>
                <w:b/>
                <w:bCs/>
                <w:sz w:val="21"/>
                <w:szCs w:val="21"/>
                <w:highlight w:val="none"/>
              </w:rPr>
            </w:pPr>
            <w:r>
              <w:rPr>
                <w:rFonts w:hint="eastAsia" w:ascii="Times New Roman" w:hAnsi="Times New Roman"/>
                <w:b/>
                <w:bCs/>
                <w:sz w:val="21"/>
                <w:szCs w:val="21"/>
                <w:highlight w:val="none"/>
              </w:rPr>
              <w:t>（μg/m</w:t>
            </w:r>
            <w:r>
              <w:rPr>
                <w:rFonts w:hint="eastAsia" w:ascii="Times New Roman" w:hAnsi="Times New Roman"/>
                <w:b/>
                <w:bCs/>
                <w:sz w:val="21"/>
                <w:szCs w:val="21"/>
                <w:highlight w:val="none"/>
                <w:vertAlign w:val="superscript"/>
              </w:rPr>
              <w:t>3</w:t>
            </w:r>
            <w:r>
              <w:rPr>
                <w:rFonts w:hint="eastAsia" w:ascii="Times New Roman" w:hAnsi="Times New Roman"/>
                <w:b/>
                <w:bCs/>
                <w:sz w:val="21"/>
                <w:szCs w:val="21"/>
                <w:highlight w:val="none"/>
              </w:rPr>
              <w:t>）</w:t>
            </w:r>
          </w:p>
        </w:tc>
        <w:tc>
          <w:tcPr>
            <w:tcW w:w="920" w:type="dxa"/>
            <w:shd w:val="clear" w:color="auto" w:fill="auto"/>
            <w:vAlign w:val="center"/>
          </w:tcPr>
          <w:p>
            <w:pPr>
              <w:pStyle w:val="17"/>
              <w:ind w:firstLine="0" w:firstLineChars="0"/>
              <w:jc w:val="center"/>
              <w:rPr>
                <w:rFonts w:hint="eastAsia" w:ascii="Times New Roman" w:hAnsi="Times New Roman" w:eastAsia="宋体"/>
                <w:b/>
                <w:bCs/>
                <w:sz w:val="21"/>
                <w:szCs w:val="21"/>
                <w:highlight w:val="none"/>
                <w:lang w:eastAsia="zh-CN"/>
              </w:rPr>
            </w:pPr>
            <w:r>
              <w:rPr>
                <w:rFonts w:hint="eastAsia" w:ascii="Times New Roman" w:hAnsi="Times New Roman"/>
                <w:b/>
                <w:bCs/>
                <w:sz w:val="21"/>
                <w:szCs w:val="21"/>
                <w:highlight w:val="none"/>
                <w:lang w:eastAsia="zh-CN"/>
              </w:rPr>
              <w:t>最大浓度占标率</w:t>
            </w:r>
            <w:r>
              <w:rPr>
                <w:rFonts w:hint="eastAsia" w:hAnsi="宋体" w:cs="宋体"/>
                <w:b/>
                <w:bCs/>
                <w:sz w:val="21"/>
                <w:szCs w:val="21"/>
                <w:highlight w:val="none"/>
              </w:rPr>
              <w:t>％</w:t>
            </w:r>
          </w:p>
        </w:tc>
        <w:tc>
          <w:tcPr>
            <w:tcW w:w="920" w:type="dxa"/>
            <w:shd w:val="clear" w:color="auto" w:fill="auto"/>
            <w:vAlign w:val="center"/>
          </w:tcPr>
          <w:p>
            <w:pPr>
              <w:pStyle w:val="17"/>
              <w:ind w:firstLine="0" w:firstLineChars="0"/>
              <w:jc w:val="center"/>
              <w:rPr>
                <w:rFonts w:ascii="Times New Roman" w:hAnsi="Times New Roman"/>
                <w:b/>
                <w:bCs/>
                <w:sz w:val="21"/>
                <w:szCs w:val="21"/>
                <w:highlight w:val="none"/>
              </w:rPr>
            </w:pPr>
            <w:r>
              <w:rPr>
                <w:rFonts w:hint="eastAsia" w:ascii="Times New Roman" w:hAnsi="Times New Roman"/>
                <w:b/>
                <w:bCs/>
                <w:sz w:val="21"/>
                <w:szCs w:val="21"/>
                <w:highlight w:val="none"/>
              </w:rPr>
              <w:t>超标率</w:t>
            </w:r>
          </w:p>
          <w:p>
            <w:pPr>
              <w:pStyle w:val="17"/>
              <w:ind w:firstLine="0" w:firstLineChars="0"/>
              <w:jc w:val="center"/>
              <w:rPr>
                <w:rFonts w:ascii="Times New Roman" w:hAnsi="Times New Roman"/>
                <w:b/>
                <w:bCs/>
                <w:sz w:val="21"/>
                <w:szCs w:val="21"/>
                <w:highlight w:val="none"/>
              </w:rPr>
            </w:pPr>
            <w:r>
              <w:rPr>
                <w:rFonts w:hint="eastAsia" w:hAnsi="宋体" w:cs="宋体"/>
                <w:b/>
                <w:bCs/>
                <w:sz w:val="21"/>
                <w:szCs w:val="21"/>
                <w:highlight w:val="none"/>
              </w:rPr>
              <w:t>％</w:t>
            </w:r>
          </w:p>
        </w:tc>
        <w:tc>
          <w:tcPr>
            <w:tcW w:w="841" w:type="dxa"/>
            <w:shd w:val="clear" w:color="auto" w:fill="auto"/>
            <w:vAlign w:val="center"/>
          </w:tcPr>
          <w:p>
            <w:pPr>
              <w:pStyle w:val="17"/>
              <w:ind w:firstLine="0" w:firstLineChars="0"/>
              <w:jc w:val="center"/>
              <w:rPr>
                <w:rFonts w:ascii="Times New Roman" w:hAnsi="Times New Roman"/>
                <w:b/>
                <w:bCs/>
                <w:sz w:val="21"/>
                <w:szCs w:val="21"/>
                <w:highlight w:val="none"/>
              </w:rPr>
            </w:pPr>
            <w:r>
              <w:rPr>
                <w:rFonts w:hint="eastAsia" w:ascii="Times New Roman" w:hAnsi="Times New Roman"/>
                <w:b/>
                <w:bCs/>
                <w:sz w:val="21"/>
                <w:szCs w:val="21"/>
                <w:highlight w:val="none"/>
              </w:rPr>
              <w:t>达标</w:t>
            </w:r>
          </w:p>
          <w:p>
            <w:pPr>
              <w:pStyle w:val="17"/>
              <w:ind w:firstLine="0" w:firstLineChars="0"/>
              <w:jc w:val="center"/>
              <w:rPr>
                <w:rFonts w:ascii="Times New Roman" w:hAnsi="Times New Roman"/>
                <w:b/>
                <w:bCs/>
                <w:sz w:val="21"/>
                <w:szCs w:val="21"/>
                <w:highlight w:val="none"/>
              </w:rPr>
            </w:pPr>
            <w:r>
              <w:rPr>
                <w:rFonts w:hint="eastAsia" w:ascii="Times New Roman" w:hAnsi="Times New Roman"/>
                <w:b/>
                <w:bCs/>
                <w:sz w:val="21"/>
                <w:szCs w:val="21"/>
                <w:highlight w:val="none"/>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1054" w:type="dxa"/>
            <w:vMerge w:val="restart"/>
            <w:shd w:val="clear" w:color="auto" w:fill="auto"/>
            <w:vAlign w:val="center"/>
          </w:tcPr>
          <w:p>
            <w:pPr>
              <w:pStyle w:val="17"/>
              <w:ind w:firstLine="0" w:firstLineChars="0"/>
              <w:jc w:val="center"/>
              <w:rPr>
                <w:rFonts w:hint="eastAsia" w:ascii="Times New Roman" w:hAnsi="Times New Roman" w:eastAsia="宋体"/>
                <w:sz w:val="21"/>
                <w:szCs w:val="21"/>
                <w:highlight w:val="none"/>
                <w:lang w:eastAsia="zh-CN"/>
              </w:rPr>
            </w:pPr>
            <w:r>
              <w:rPr>
                <w:rFonts w:hint="eastAsia" w:ascii="Times New Roman" w:hAnsi="Times New Roman"/>
                <w:sz w:val="21"/>
                <w:szCs w:val="21"/>
                <w:highlight w:val="none"/>
                <w:lang w:eastAsia="zh-CN"/>
              </w:rPr>
              <w:t>卡子村</w:t>
            </w:r>
          </w:p>
        </w:tc>
        <w:tc>
          <w:tcPr>
            <w:tcW w:w="673" w:type="dxa"/>
            <w:vMerge w:val="restart"/>
            <w:shd w:val="clear" w:color="auto" w:fill="auto"/>
            <w:vAlign w:val="center"/>
          </w:tcPr>
          <w:p>
            <w:pPr>
              <w:pStyle w:val="17"/>
              <w:ind w:firstLine="0" w:firstLineChars="0"/>
              <w:jc w:val="center"/>
              <w:rPr>
                <w:rFonts w:hint="default" w:ascii="Times New Roman" w:hAnsi="Times New Roman"/>
                <w:sz w:val="21"/>
                <w:szCs w:val="21"/>
                <w:highlight w:val="none"/>
                <w:lang w:val="en-US"/>
              </w:rPr>
            </w:pPr>
            <w:r>
              <w:rPr>
                <w:rFonts w:hint="eastAsia" w:ascii="Times New Roman" w:hAnsi="Times New Roman"/>
                <w:sz w:val="21"/>
                <w:szCs w:val="21"/>
                <w:highlight w:val="none"/>
                <w:lang w:val="en-US" w:eastAsia="zh-CN"/>
              </w:rPr>
              <w:t>-860</w:t>
            </w:r>
          </w:p>
        </w:tc>
        <w:tc>
          <w:tcPr>
            <w:tcW w:w="794" w:type="dxa"/>
            <w:vMerge w:val="restart"/>
            <w:shd w:val="clear" w:color="auto" w:fill="auto"/>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lang w:val="en-US" w:eastAsia="zh-CN"/>
              </w:rPr>
              <w:t>0</w:t>
            </w:r>
          </w:p>
        </w:tc>
        <w:tc>
          <w:tcPr>
            <w:tcW w:w="1020" w:type="dxa"/>
            <w:shd w:val="clear" w:color="auto" w:fill="auto"/>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TSP</w:t>
            </w:r>
          </w:p>
        </w:tc>
        <w:tc>
          <w:tcPr>
            <w:tcW w:w="1005" w:type="dxa"/>
            <w:vMerge w:val="restart"/>
            <w:shd w:val="clear" w:color="auto" w:fill="auto"/>
            <w:vAlign w:val="center"/>
          </w:tcPr>
          <w:p>
            <w:pPr>
              <w:pStyle w:val="17"/>
              <w:ind w:firstLine="0" w:firstLineChars="0"/>
              <w:jc w:val="center"/>
              <w:rPr>
                <w:rFonts w:hint="default" w:ascii="Times New Roman" w:hAnsi="Times New Roman" w:eastAsia="宋体"/>
                <w:sz w:val="21"/>
                <w:szCs w:val="21"/>
                <w:highlight w:val="none"/>
                <w:lang w:val="en-US" w:eastAsia="zh-CN"/>
              </w:rPr>
            </w:pPr>
            <w:r>
              <w:rPr>
                <w:rFonts w:hint="eastAsia" w:ascii="Times New Roman" w:hAnsi="Times New Roman"/>
                <w:sz w:val="21"/>
                <w:szCs w:val="21"/>
                <w:highlight w:val="none"/>
                <w:lang w:val="en-US" w:eastAsia="zh-CN"/>
              </w:rPr>
              <w:t>24h</w:t>
            </w:r>
          </w:p>
        </w:tc>
        <w:tc>
          <w:tcPr>
            <w:tcW w:w="1155" w:type="dxa"/>
            <w:shd w:val="clear" w:color="auto" w:fill="auto"/>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300</w:t>
            </w:r>
          </w:p>
        </w:tc>
        <w:tc>
          <w:tcPr>
            <w:tcW w:w="1158" w:type="dxa"/>
            <w:shd w:val="clear" w:color="auto" w:fill="auto"/>
            <w:vAlign w:val="center"/>
          </w:tcPr>
          <w:p>
            <w:pPr>
              <w:pStyle w:val="17"/>
              <w:ind w:firstLine="0" w:firstLineChars="0"/>
              <w:jc w:val="center"/>
              <w:rPr>
                <w:rFonts w:hint="default" w:ascii="Times New Roman" w:hAnsi="Times New Roman" w:eastAsia="仿宋"/>
                <w:sz w:val="21"/>
                <w:szCs w:val="21"/>
                <w:highlight w:val="none"/>
                <w:lang w:val="en-US" w:eastAsia="zh-CN"/>
              </w:rPr>
            </w:pPr>
            <w:r>
              <w:rPr>
                <w:rFonts w:hint="eastAsia" w:ascii="Times New Roman" w:hAnsi="Times New Roman" w:eastAsia="仿宋"/>
                <w:sz w:val="21"/>
                <w:szCs w:val="21"/>
                <w:highlight w:val="none"/>
                <w:lang w:val="en-US" w:eastAsia="zh-CN"/>
              </w:rPr>
              <w:t>67</w:t>
            </w:r>
            <w:r>
              <w:rPr>
                <w:rFonts w:ascii="Times New Roman" w:hAnsi="Times New Roman" w:eastAsia="仿宋"/>
                <w:sz w:val="21"/>
                <w:szCs w:val="21"/>
                <w:highlight w:val="none"/>
              </w:rPr>
              <w:t>~</w:t>
            </w:r>
            <w:r>
              <w:rPr>
                <w:rFonts w:hint="eastAsia" w:ascii="Times New Roman" w:hAnsi="Times New Roman" w:eastAsia="仿宋"/>
                <w:sz w:val="21"/>
                <w:szCs w:val="21"/>
                <w:highlight w:val="none"/>
                <w:lang w:val="en-US" w:eastAsia="zh-CN"/>
              </w:rPr>
              <w:t>84</w:t>
            </w:r>
          </w:p>
        </w:tc>
        <w:tc>
          <w:tcPr>
            <w:tcW w:w="920" w:type="dxa"/>
            <w:shd w:val="clear" w:color="auto" w:fill="auto"/>
            <w:vAlign w:val="center"/>
          </w:tcPr>
          <w:p>
            <w:pPr>
              <w:pStyle w:val="17"/>
              <w:ind w:firstLine="0" w:firstLineChars="0"/>
              <w:jc w:val="center"/>
              <w:rPr>
                <w:rFonts w:hint="default" w:ascii="Times New Roman" w:hAnsi="Times New Roman" w:eastAsia="宋体"/>
                <w:sz w:val="21"/>
                <w:szCs w:val="21"/>
                <w:highlight w:val="none"/>
                <w:lang w:val="en-US" w:eastAsia="zh-CN"/>
              </w:rPr>
            </w:pPr>
            <w:r>
              <w:rPr>
                <w:rFonts w:hint="eastAsia" w:ascii="Times New Roman" w:hAnsi="Times New Roman"/>
                <w:sz w:val="21"/>
                <w:szCs w:val="21"/>
                <w:highlight w:val="none"/>
                <w:lang w:val="en-US" w:eastAsia="zh-CN"/>
              </w:rPr>
              <w:t>28</w:t>
            </w:r>
          </w:p>
        </w:tc>
        <w:tc>
          <w:tcPr>
            <w:tcW w:w="920" w:type="dxa"/>
            <w:shd w:val="clear" w:color="auto" w:fill="auto"/>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0</w:t>
            </w:r>
          </w:p>
        </w:tc>
        <w:tc>
          <w:tcPr>
            <w:tcW w:w="841" w:type="dxa"/>
            <w:shd w:val="clear" w:color="auto" w:fill="auto"/>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1054" w:type="dxa"/>
            <w:vMerge w:val="continue"/>
            <w:shd w:val="clear" w:color="auto" w:fill="auto"/>
            <w:vAlign w:val="center"/>
          </w:tcPr>
          <w:p>
            <w:pPr>
              <w:pStyle w:val="17"/>
              <w:ind w:firstLine="0" w:firstLineChars="0"/>
              <w:jc w:val="center"/>
              <w:rPr>
                <w:rFonts w:ascii="Times New Roman" w:hAnsi="Times New Roman"/>
                <w:sz w:val="21"/>
                <w:szCs w:val="21"/>
                <w:highlight w:val="none"/>
              </w:rPr>
            </w:pPr>
          </w:p>
        </w:tc>
        <w:tc>
          <w:tcPr>
            <w:tcW w:w="673" w:type="dxa"/>
            <w:vMerge w:val="continue"/>
            <w:shd w:val="clear" w:color="auto" w:fill="auto"/>
            <w:vAlign w:val="center"/>
          </w:tcPr>
          <w:p>
            <w:pPr>
              <w:pStyle w:val="17"/>
              <w:ind w:firstLine="0" w:firstLineChars="0"/>
              <w:jc w:val="center"/>
              <w:rPr>
                <w:rFonts w:ascii="Times New Roman" w:hAnsi="Times New Roman"/>
                <w:sz w:val="21"/>
                <w:szCs w:val="21"/>
                <w:highlight w:val="none"/>
              </w:rPr>
            </w:pPr>
          </w:p>
        </w:tc>
        <w:tc>
          <w:tcPr>
            <w:tcW w:w="794" w:type="dxa"/>
            <w:vMerge w:val="continue"/>
            <w:shd w:val="clear" w:color="auto" w:fill="auto"/>
            <w:vAlign w:val="center"/>
          </w:tcPr>
          <w:p>
            <w:pPr>
              <w:pStyle w:val="17"/>
              <w:ind w:firstLine="0" w:firstLineChars="0"/>
              <w:jc w:val="center"/>
              <w:rPr>
                <w:rFonts w:ascii="Times New Roman" w:hAnsi="Times New Roman"/>
                <w:sz w:val="21"/>
                <w:szCs w:val="21"/>
                <w:highlight w:val="none"/>
              </w:rPr>
            </w:pPr>
          </w:p>
        </w:tc>
        <w:tc>
          <w:tcPr>
            <w:tcW w:w="1020" w:type="dxa"/>
            <w:shd w:val="clear" w:color="auto" w:fill="auto"/>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PM</w:t>
            </w:r>
            <w:r>
              <w:rPr>
                <w:rFonts w:hint="eastAsia" w:ascii="Times New Roman" w:hAnsi="Times New Roman"/>
                <w:sz w:val="21"/>
                <w:szCs w:val="21"/>
                <w:highlight w:val="none"/>
                <w:vertAlign w:val="subscript"/>
              </w:rPr>
              <w:t>10</w:t>
            </w:r>
          </w:p>
        </w:tc>
        <w:tc>
          <w:tcPr>
            <w:tcW w:w="1005" w:type="dxa"/>
            <w:vMerge w:val="continue"/>
            <w:shd w:val="clear" w:color="auto" w:fill="auto"/>
            <w:vAlign w:val="center"/>
          </w:tcPr>
          <w:p>
            <w:pPr>
              <w:pStyle w:val="17"/>
              <w:ind w:firstLine="0" w:firstLineChars="0"/>
              <w:jc w:val="center"/>
              <w:rPr>
                <w:rFonts w:ascii="Times New Roman" w:hAnsi="Times New Roman"/>
                <w:sz w:val="21"/>
                <w:szCs w:val="21"/>
                <w:highlight w:val="none"/>
              </w:rPr>
            </w:pPr>
          </w:p>
        </w:tc>
        <w:tc>
          <w:tcPr>
            <w:tcW w:w="1155" w:type="dxa"/>
            <w:shd w:val="clear" w:color="auto" w:fill="auto"/>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150</w:t>
            </w:r>
          </w:p>
        </w:tc>
        <w:tc>
          <w:tcPr>
            <w:tcW w:w="1158" w:type="dxa"/>
            <w:shd w:val="clear" w:color="auto" w:fill="auto"/>
            <w:vAlign w:val="center"/>
          </w:tcPr>
          <w:p>
            <w:pPr>
              <w:pStyle w:val="17"/>
              <w:ind w:firstLine="0" w:firstLineChars="0"/>
              <w:jc w:val="center"/>
              <w:rPr>
                <w:rFonts w:hint="default" w:ascii="Times New Roman" w:hAnsi="Times New Roman" w:eastAsia="仿宋"/>
                <w:sz w:val="21"/>
                <w:szCs w:val="21"/>
                <w:highlight w:val="none"/>
                <w:lang w:val="en-US" w:eastAsia="zh-CN"/>
              </w:rPr>
            </w:pPr>
            <w:r>
              <w:rPr>
                <w:rFonts w:hint="eastAsia" w:ascii="Times New Roman" w:hAnsi="Times New Roman" w:eastAsia="仿宋"/>
                <w:sz w:val="21"/>
                <w:szCs w:val="21"/>
                <w:highlight w:val="none"/>
                <w:lang w:val="en-US" w:eastAsia="zh-CN"/>
              </w:rPr>
              <w:t>38</w:t>
            </w:r>
            <w:r>
              <w:rPr>
                <w:rFonts w:ascii="Times New Roman" w:hAnsi="Times New Roman" w:eastAsia="仿宋"/>
                <w:sz w:val="21"/>
                <w:szCs w:val="21"/>
                <w:highlight w:val="none"/>
              </w:rPr>
              <w:t>~</w:t>
            </w:r>
            <w:r>
              <w:rPr>
                <w:rFonts w:hint="eastAsia" w:ascii="Times New Roman" w:hAnsi="Times New Roman" w:eastAsia="仿宋"/>
                <w:sz w:val="21"/>
                <w:szCs w:val="21"/>
                <w:highlight w:val="none"/>
                <w:lang w:val="en-US" w:eastAsia="zh-CN"/>
              </w:rPr>
              <w:t>47</w:t>
            </w:r>
          </w:p>
        </w:tc>
        <w:tc>
          <w:tcPr>
            <w:tcW w:w="920" w:type="dxa"/>
            <w:shd w:val="clear" w:color="auto" w:fill="auto"/>
            <w:vAlign w:val="center"/>
          </w:tcPr>
          <w:p>
            <w:pPr>
              <w:pStyle w:val="17"/>
              <w:ind w:firstLine="0" w:firstLineChars="0"/>
              <w:jc w:val="center"/>
              <w:rPr>
                <w:rFonts w:hint="default" w:ascii="Times New Roman" w:hAnsi="Times New Roman" w:eastAsia="宋体"/>
                <w:sz w:val="21"/>
                <w:szCs w:val="21"/>
                <w:highlight w:val="none"/>
                <w:lang w:val="en-US" w:eastAsia="zh-CN"/>
              </w:rPr>
            </w:pPr>
            <w:r>
              <w:rPr>
                <w:rFonts w:hint="eastAsia" w:ascii="Times New Roman" w:hAnsi="Times New Roman"/>
                <w:sz w:val="21"/>
                <w:szCs w:val="21"/>
                <w:highlight w:val="none"/>
                <w:lang w:val="en-US" w:eastAsia="zh-CN"/>
              </w:rPr>
              <w:t>31.3</w:t>
            </w:r>
          </w:p>
        </w:tc>
        <w:tc>
          <w:tcPr>
            <w:tcW w:w="920" w:type="dxa"/>
            <w:shd w:val="clear" w:color="auto" w:fill="auto"/>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0</w:t>
            </w:r>
          </w:p>
        </w:tc>
        <w:tc>
          <w:tcPr>
            <w:tcW w:w="841" w:type="dxa"/>
            <w:shd w:val="clear" w:color="auto" w:fill="auto"/>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达标</w:t>
            </w:r>
          </w:p>
        </w:tc>
      </w:tr>
    </w:tbl>
    <w:p>
      <w:pPr>
        <w:pStyle w:val="17"/>
        <w:ind w:firstLine="0" w:firstLineChars="0"/>
        <w:rPr>
          <w:rFonts w:ascii="Times New Roman" w:hAnsi="Times New Roman"/>
          <w:highlight w:val="none"/>
        </w:rPr>
      </w:pPr>
    </w:p>
    <w:p>
      <w:pPr>
        <w:pStyle w:val="17"/>
        <w:keepNext w:val="0"/>
        <w:keepLines w:val="0"/>
        <w:pageBreakBefore w:val="0"/>
        <w:widowControl w:val="0"/>
        <w:kinsoku/>
        <w:wordWrap/>
        <w:overflowPunct/>
        <w:topLinePunct w:val="0"/>
        <w:autoSpaceDE/>
        <w:autoSpaceDN/>
        <w:bidi w:val="0"/>
        <w:adjustRightInd/>
        <w:snapToGrid/>
        <w:ind w:firstLine="482" w:firstLineChars="200"/>
        <w:textAlignment w:val="auto"/>
        <w:rPr>
          <w:rFonts w:ascii="Times New Roman" w:hAnsi="Times New Roman"/>
          <w:b/>
          <w:bCs/>
          <w:color w:val="auto"/>
          <w:highlight w:val="none"/>
        </w:rPr>
      </w:pPr>
      <w:r>
        <w:rPr>
          <w:rFonts w:hint="eastAsia" w:ascii="Times New Roman" w:hAnsi="Times New Roman"/>
          <w:b/>
          <w:bCs/>
          <w:color w:val="auto"/>
          <w:highlight w:val="none"/>
        </w:rPr>
        <w:t>（3）环境空气质量现状小结</w:t>
      </w:r>
    </w:p>
    <w:p>
      <w:pPr>
        <w:pStyle w:val="17"/>
        <w:ind w:firstLine="480"/>
        <w:rPr>
          <w:rFonts w:hint="eastAsia" w:ascii="Times New Roman" w:hAnsi="Times New Roman" w:eastAsia="宋体"/>
          <w:color w:val="FF0000"/>
          <w:highlight w:val="none"/>
          <w:lang w:eastAsia="zh-CN"/>
        </w:rPr>
      </w:pPr>
      <w:r>
        <w:rPr>
          <w:rFonts w:hint="eastAsia"/>
          <w:color w:val="auto"/>
          <w:highlight w:val="none"/>
          <w:lang w:eastAsia="zh-CN"/>
        </w:rPr>
        <w:t>根据文山州市便民服务中心环境空气自动监测</w:t>
      </w:r>
      <w:r>
        <w:rPr>
          <w:rFonts w:hint="default" w:ascii="Times New Roman" w:hAnsi="Times New Roman" w:cs="Times New Roman"/>
          <w:color w:val="auto"/>
          <w:highlight w:val="none"/>
          <w:lang w:val="en-US" w:eastAsia="zh-CN"/>
        </w:rPr>
        <w:t>2018年日历年</w:t>
      </w:r>
      <w:r>
        <w:rPr>
          <w:rFonts w:hint="eastAsia"/>
          <w:color w:val="auto"/>
          <w:highlight w:val="none"/>
          <w:lang w:val="en-US" w:eastAsia="zh-CN"/>
        </w:rPr>
        <w:t>监测</w:t>
      </w:r>
      <w:r>
        <w:rPr>
          <w:rFonts w:hint="eastAsia"/>
          <w:color w:val="auto"/>
          <w:highlight w:val="none"/>
          <w:lang w:eastAsia="zh-CN"/>
        </w:rPr>
        <w:t>数据和补充监测数据结果可以看出，</w:t>
      </w:r>
      <w:r>
        <w:rPr>
          <w:rFonts w:hint="eastAsia"/>
          <w:color w:val="auto"/>
          <w:highlight w:val="none"/>
        </w:rPr>
        <w:t>项目所在区域环境空气质量较好，能达到</w:t>
      </w:r>
      <w:r>
        <w:rPr>
          <w:rFonts w:ascii="Times New Roman" w:hAnsi="Times New Roman"/>
          <w:color w:val="auto"/>
          <w:highlight w:val="none"/>
        </w:rPr>
        <w:t>《环境空气质量标准》（GB3095-2012）中二级标准</w:t>
      </w:r>
      <w:r>
        <w:rPr>
          <w:rFonts w:hint="eastAsia" w:ascii="Times New Roman" w:hAnsi="Times New Roman"/>
          <w:color w:val="auto"/>
          <w:highlight w:val="none"/>
        </w:rPr>
        <w:t>要求</w:t>
      </w:r>
      <w:r>
        <w:rPr>
          <w:rFonts w:hint="eastAsia" w:ascii="Times New Roman" w:hAnsi="Times New Roman"/>
          <w:color w:val="auto"/>
          <w:highlight w:val="none"/>
          <w:lang w:eastAsia="zh-CN"/>
        </w:rPr>
        <w:t>，属达标区。</w:t>
      </w:r>
    </w:p>
    <w:p>
      <w:pPr>
        <w:pStyle w:val="4"/>
        <w:rPr>
          <w:highlight w:val="none"/>
        </w:rPr>
      </w:pPr>
      <w:bookmarkStart w:id="396" w:name="_Toc8428"/>
      <w:r>
        <w:rPr>
          <w:rFonts w:hint="eastAsia"/>
          <w:highlight w:val="none"/>
          <w:lang w:val="en-US" w:eastAsia="zh-CN"/>
        </w:rPr>
        <w:t>5</w:t>
      </w:r>
      <w:r>
        <w:rPr>
          <w:rFonts w:hint="eastAsia"/>
          <w:highlight w:val="none"/>
        </w:rPr>
        <w:t>.2地表水环境质量现状</w:t>
      </w:r>
      <w:bookmarkEnd w:id="396"/>
    </w:p>
    <w:p>
      <w:pPr>
        <w:ind w:firstLine="480"/>
        <w:rPr>
          <w:highlight w:val="none"/>
          <w:lang w:val="zh-CN"/>
        </w:rPr>
      </w:pPr>
      <w:r>
        <w:rPr>
          <w:highlight w:val="none"/>
          <w:lang w:val="zh-CN"/>
        </w:rPr>
        <w:t>项目涉及地表水为</w:t>
      </w:r>
      <w:r>
        <w:rPr>
          <w:rFonts w:hint="eastAsia"/>
          <w:highlight w:val="none"/>
          <w:lang w:val="zh-CN"/>
        </w:rPr>
        <w:t>卡子水库</w:t>
      </w:r>
      <w:r>
        <w:rPr>
          <w:highlight w:val="none"/>
          <w:lang w:val="zh-CN"/>
        </w:rPr>
        <w:t>，地表水执行GB3838-2002《地表水环境质量标准》Ⅲ类标准</w:t>
      </w:r>
      <w:r>
        <w:rPr>
          <w:rFonts w:hint="eastAsia"/>
          <w:highlight w:val="none"/>
          <w:lang w:val="zh-CN"/>
        </w:rPr>
        <w:t>。</w:t>
      </w:r>
    </w:p>
    <w:p>
      <w:pPr>
        <w:ind w:firstLine="480"/>
        <w:rPr>
          <w:rFonts w:hint="eastAsia" w:eastAsia="宋体"/>
          <w:kern w:val="52"/>
          <w:highlight w:val="none"/>
          <w:lang w:eastAsia="zh-CN"/>
        </w:rPr>
      </w:pPr>
      <w:r>
        <w:rPr>
          <w:kern w:val="52"/>
          <w:highlight w:val="none"/>
        </w:rPr>
        <w:t>评价期间，建设单位委托云南环绿环境检测技术有限公司于</w:t>
      </w:r>
      <w:r>
        <w:rPr>
          <w:rFonts w:hint="eastAsia"/>
          <w:color w:val="auto"/>
          <w:kern w:val="52"/>
          <w:highlight w:val="none"/>
          <w:lang w:val="en-US" w:eastAsia="zh-CN"/>
        </w:rPr>
        <w:t>2020</w:t>
      </w:r>
      <w:r>
        <w:rPr>
          <w:color w:val="auto"/>
          <w:kern w:val="52"/>
          <w:highlight w:val="none"/>
        </w:rPr>
        <w:t>年</w:t>
      </w:r>
      <w:r>
        <w:rPr>
          <w:rFonts w:hint="eastAsia"/>
          <w:color w:val="auto"/>
          <w:kern w:val="52"/>
          <w:highlight w:val="none"/>
          <w:lang w:val="en-US" w:eastAsia="zh-CN"/>
        </w:rPr>
        <w:t>2</w:t>
      </w:r>
      <w:r>
        <w:rPr>
          <w:color w:val="auto"/>
          <w:kern w:val="52"/>
          <w:highlight w:val="none"/>
        </w:rPr>
        <w:t>月</w:t>
      </w:r>
      <w:r>
        <w:rPr>
          <w:rFonts w:hint="eastAsia"/>
          <w:color w:val="auto"/>
          <w:kern w:val="52"/>
          <w:highlight w:val="none"/>
          <w:lang w:val="en-US" w:eastAsia="zh-CN"/>
        </w:rPr>
        <w:t>13</w:t>
      </w:r>
      <w:r>
        <w:rPr>
          <w:color w:val="auto"/>
          <w:kern w:val="52"/>
          <w:highlight w:val="none"/>
        </w:rPr>
        <w:t>日至</w:t>
      </w:r>
      <w:r>
        <w:rPr>
          <w:rFonts w:hint="eastAsia"/>
          <w:color w:val="auto"/>
          <w:kern w:val="52"/>
          <w:highlight w:val="none"/>
          <w:lang w:val="en-US" w:eastAsia="zh-CN"/>
        </w:rPr>
        <w:t>14</w:t>
      </w:r>
      <w:r>
        <w:rPr>
          <w:kern w:val="52"/>
          <w:highlight w:val="none"/>
        </w:rPr>
        <w:t>日对</w:t>
      </w:r>
      <w:r>
        <w:rPr>
          <w:rFonts w:hint="eastAsia"/>
          <w:kern w:val="52"/>
          <w:highlight w:val="none"/>
          <w:lang w:eastAsia="zh-CN"/>
        </w:rPr>
        <w:t>卡子水库</w:t>
      </w:r>
      <w:r>
        <w:rPr>
          <w:kern w:val="52"/>
          <w:highlight w:val="none"/>
        </w:rPr>
        <w:t>进行了水环境质量现状监测（详见附件</w:t>
      </w:r>
      <w:r>
        <w:rPr>
          <w:rFonts w:hint="eastAsia"/>
          <w:kern w:val="52"/>
          <w:highlight w:val="none"/>
          <w:lang w:val="en-US" w:eastAsia="zh-CN"/>
        </w:rPr>
        <w:t>7</w:t>
      </w:r>
      <w:r>
        <w:rPr>
          <w:kern w:val="52"/>
          <w:highlight w:val="none"/>
        </w:rPr>
        <w:t>）</w:t>
      </w:r>
      <w:r>
        <w:rPr>
          <w:rFonts w:hint="eastAsia"/>
          <w:kern w:val="52"/>
          <w:highlight w:val="none"/>
          <w:lang w:eastAsia="zh-CN"/>
        </w:rPr>
        <w:t>。</w:t>
      </w:r>
    </w:p>
    <w:p>
      <w:pPr>
        <w:ind w:firstLine="480"/>
        <w:rPr>
          <w:kern w:val="52"/>
          <w:highlight w:val="none"/>
        </w:rPr>
      </w:pPr>
      <w:r>
        <w:rPr>
          <w:kern w:val="52"/>
          <w:highlight w:val="none"/>
        </w:rPr>
        <w:t>本次评价采用《环境影响评价技术导则-地</w:t>
      </w:r>
      <w:r>
        <w:rPr>
          <w:rFonts w:hint="eastAsia"/>
          <w:kern w:val="52"/>
          <w:highlight w:val="none"/>
        </w:rPr>
        <w:t>表</w:t>
      </w:r>
      <w:r>
        <w:rPr>
          <w:kern w:val="52"/>
          <w:highlight w:val="none"/>
        </w:rPr>
        <w:t>水环境》</w:t>
      </w:r>
      <w:r>
        <w:rPr>
          <w:rFonts w:hint="eastAsia"/>
          <w:kern w:val="52"/>
          <w:highlight w:val="none"/>
          <w:lang w:eastAsia="zh-CN"/>
        </w:rPr>
        <w:t>（</w:t>
      </w:r>
      <w:r>
        <w:rPr>
          <w:kern w:val="52"/>
          <w:highlight w:val="none"/>
        </w:rPr>
        <w:t>HJ2.3-</w:t>
      </w:r>
      <w:r>
        <w:rPr>
          <w:rFonts w:hint="eastAsia"/>
          <w:kern w:val="52"/>
          <w:highlight w:val="none"/>
        </w:rPr>
        <w:t>2018</w:t>
      </w:r>
      <w:r>
        <w:rPr>
          <w:rFonts w:hint="eastAsia"/>
          <w:kern w:val="52"/>
          <w:highlight w:val="none"/>
          <w:lang w:eastAsia="zh-CN"/>
        </w:rPr>
        <w:t>）</w:t>
      </w:r>
      <w:r>
        <w:rPr>
          <w:rFonts w:hint="eastAsia"/>
          <w:kern w:val="52"/>
          <w:highlight w:val="none"/>
        </w:rPr>
        <w:t>中</w:t>
      </w:r>
      <w:r>
        <w:rPr>
          <w:kern w:val="52"/>
          <w:highlight w:val="none"/>
        </w:rPr>
        <w:t>单项水质参数评价法进行评价。计算公式如下：</w:t>
      </w:r>
    </w:p>
    <w:p>
      <w:pPr>
        <w:ind w:firstLine="480"/>
        <w:rPr>
          <w:highlight w:val="none"/>
        </w:rPr>
      </w:pPr>
      <w:r>
        <w:rPr>
          <w:rFonts w:hint="eastAsia"/>
          <w:kern w:val="52"/>
          <w:highlight w:val="none"/>
        </w:rPr>
        <w:t>a、</w:t>
      </w:r>
      <w:r>
        <w:rPr>
          <w:kern w:val="52"/>
          <w:highlight w:val="none"/>
        </w:rPr>
        <w:t xml:space="preserve"> 污染物的单项指数</w:t>
      </w:r>
    </w:p>
    <w:p>
      <w:pPr>
        <w:snapToGrid w:val="0"/>
        <w:ind w:firstLine="2880" w:firstLineChars="1200"/>
        <w:rPr>
          <w:highlight w:val="none"/>
          <w:vertAlign w:val="subscript"/>
        </w:rPr>
      </w:pPr>
      <w:r>
        <w:rPr>
          <w:highlight w:val="none"/>
        </w:rPr>
        <w:t>S</w:t>
      </w:r>
      <w:r>
        <w:rPr>
          <w:highlight w:val="none"/>
          <w:vertAlign w:val="subscript"/>
        </w:rPr>
        <w:t>ij</w:t>
      </w:r>
      <w:r>
        <w:rPr>
          <w:highlight w:val="none"/>
        </w:rPr>
        <w:t>=C</w:t>
      </w:r>
      <w:r>
        <w:rPr>
          <w:highlight w:val="none"/>
          <w:vertAlign w:val="subscript"/>
        </w:rPr>
        <w:t>ij</w:t>
      </w:r>
      <w:r>
        <w:rPr>
          <w:highlight w:val="none"/>
        </w:rPr>
        <w:t>/C</w:t>
      </w:r>
      <w:r>
        <w:rPr>
          <w:highlight w:val="none"/>
          <w:vertAlign w:val="subscript"/>
        </w:rPr>
        <w:t>sj</w:t>
      </w:r>
    </w:p>
    <w:p>
      <w:pPr>
        <w:snapToGrid w:val="0"/>
        <w:ind w:firstLine="480"/>
        <w:rPr>
          <w:highlight w:val="none"/>
        </w:rPr>
      </w:pPr>
      <w:r>
        <w:rPr>
          <w:highlight w:val="none"/>
        </w:rPr>
        <w:t>式中，S</w:t>
      </w:r>
      <w:r>
        <w:rPr>
          <w:highlight w:val="none"/>
          <w:vertAlign w:val="subscript"/>
        </w:rPr>
        <w:t>ij</w:t>
      </w:r>
      <w:r>
        <w:rPr>
          <w:highlight w:val="none"/>
        </w:rPr>
        <w:t>：</w:t>
      </w:r>
      <w:r>
        <w:rPr>
          <w:rFonts w:hint="eastAsia"/>
          <w:highlight w:val="none"/>
        </w:rPr>
        <w:t>评价因子i的水质指数，大于1表面该水质因子超标</w:t>
      </w:r>
      <w:r>
        <w:rPr>
          <w:highlight w:val="none"/>
        </w:rPr>
        <w:t>；</w:t>
      </w:r>
    </w:p>
    <w:p>
      <w:pPr>
        <w:snapToGrid w:val="0"/>
        <w:ind w:firstLine="480"/>
        <w:rPr>
          <w:highlight w:val="none"/>
        </w:rPr>
      </w:pPr>
      <w:r>
        <w:rPr>
          <w:highlight w:val="none"/>
        </w:rPr>
        <w:t xml:space="preserve">      C</w:t>
      </w:r>
      <w:r>
        <w:rPr>
          <w:highlight w:val="none"/>
          <w:vertAlign w:val="subscript"/>
        </w:rPr>
        <w:t>ij</w:t>
      </w:r>
      <w:r>
        <w:rPr>
          <w:highlight w:val="none"/>
        </w:rPr>
        <w:t>：</w:t>
      </w:r>
      <w:r>
        <w:rPr>
          <w:rFonts w:hint="eastAsia"/>
          <w:highlight w:val="none"/>
        </w:rPr>
        <w:t>评价因子i在j点的实测统计代表值</w:t>
      </w:r>
      <w:r>
        <w:rPr>
          <w:highlight w:val="none"/>
        </w:rPr>
        <w:t>，mg/L；</w:t>
      </w:r>
      <w:r>
        <w:rPr>
          <w:rFonts w:hint="eastAsia"/>
          <w:highlight w:val="none"/>
        </w:rPr>
        <w:t>（本次取最大值）</w:t>
      </w:r>
    </w:p>
    <w:p>
      <w:pPr>
        <w:snapToGrid w:val="0"/>
        <w:ind w:firstLine="480"/>
        <w:rPr>
          <w:highlight w:val="none"/>
        </w:rPr>
      </w:pPr>
      <w:r>
        <w:rPr>
          <w:highlight w:val="none"/>
        </w:rPr>
        <w:t xml:space="preserve">      C</w:t>
      </w:r>
      <w:r>
        <w:rPr>
          <w:highlight w:val="none"/>
          <w:vertAlign w:val="subscript"/>
        </w:rPr>
        <w:t>Sj</w:t>
      </w:r>
      <w:r>
        <w:rPr>
          <w:highlight w:val="none"/>
        </w:rPr>
        <w:t>：</w:t>
      </w:r>
      <w:r>
        <w:rPr>
          <w:rFonts w:hint="eastAsia"/>
          <w:highlight w:val="none"/>
        </w:rPr>
        <w:t>评价因子i的水质评价标准限值</w:t>
      </w:r>
      <w:r>
        <w:rPr>
          <w:highlight w:val="none"/>
        </w:rPr>
        <w:t>，mg/L；</w:t>
      </w:r>
    </w:p>
    <w:p>
      <w:pPr>
        <w:ind w:firstLine="480"/>
        <w:rPr>
          <w:highlight w:val="none"/>
        </w:rPr>
      </w:pPr>
      <w:r>
        <w:rPr>
          <w:rFonts w:hint="eastAsia"/>
          <w:highlight w:val="none"/>
        </w:rPr>
        <w:t xml:space="preserve">b、 </w:t>
      </w:r>
      <w:r>
        <w:rPr>
          <w:highlight w:val="none"/>
        </w:rPr>
        <w:t>pH值：</w:t>
      </w:r>
    </w:p>
    <w:p>
      <w:pPr>
        <w:pStyle w:val="12"/>
        <w:snapToGrid w:val="0"/>
        <w:ind w:firstLine="480"/>
        <w:jc w:val="center"/>
        <w:rPr>
          <w:highlight w:val="none"/>
        </w:rPr>
      </w:pPr>
      <w:r>
        <w:rPr>
          <w:position w:val="-30"/>
          <w:highlight w:val="none"/>
        </w:rPr>
        <w:object>
          <v:shape id="_x0000_i1025" o:spt="75" type="#_x0000_t75" style="height:33.85pt;width:96.85pt;" o:ole="t" fillcolor="#6D6D6D"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highlight w:val="none"/>
        </w:rPr>
        <w:t xml:space="preserve">        pH</w:t>
      </w:r>
      <w:r>
        <w:rPr>
          <w:highlight w:val="none"/>
          <w:vertAlign w:val="subscript"/>
        </w:rPr>
        <w:t>j</w:t>
      </w:r>
      <w:r>
        <w:rPr>
          <w:highlight w:val="none"/>
        </w:rPr>
        <w:t>≤7.0</w:t>
      </w:r>
    </w:p>
    <w:p>
      <w:pPr>
        <w:pStyle w:val="12"/>
        <w:snapToGrid w:val="0"/>
        <w:ind w:firstLine="480"/>
        <w:jc w:val="center"/>
        <w:rPr>
          <w:highlight w:val="none"/>
        </w:rPr>
      </w:pPr>
      <w:r>
        <w:rPr>
          <w:position w:val="-30"/>
          <w:highlight w:val="none"/>
        </w:rPr>
        <w:object>
          <v:shape id="_x0000_i1026" o:spt="75" type="#_x0000_t75" style="height:34.7pt;width:96pt;" o:ole="t" fillcolor="#6D6D6D"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highlight w:val="none"/>
        </w:rPr>
        <w:t xml:space="preserve">        pH</w:t>
      </w:r>
      <w:r>
        <w:rPr>
          <w:highlight w:val="none"/>
          <w:vertAlign w:val="subscript"/>
        </w:rPr>
        <w:t>j</w:t>
      </w:r>
      <w:r>
        <w:rPr>
          <w:highlight w:val="none"/>
        </w:rPr>
        <w:t>&gt;7.0</w:t>
      </w:r>
    </w:p>
    <w:p>
      <w:pPr>
        <w:pStyle w:val="12"/>
        <w:snapToGrid w:val="0"/>
        <w:ind w:firstLine="480"/>
        <w:rPr>
          <w:highlight w:val="none"/>
        </w:rPr>
      </w:pPr>
      <w:r>
        <w:rPr>
          <w:highlight w:val="none"/>
        </w:rPr>
        <w:t>式中，S</w:t>
      </w:r>
      <w:r>
        <w:rPr>
          <w:highlight w:val="none"/>
          <w:vertAlign w:val="subscript"/>
        </w:rPr>
        <w:t>pHj</w:t>
      </w:r>
      <w:r>
        <w:rPr>
          <w:highlight w:val="none"/>
        </w:rPr>
        <w:t>：</w:t>
      </w:r>
      <w:r>
        <w:rPr>
          <w:rFonts w:hint="eastAsia"/>
          <w:highlight w:val="none"/>
        </w:rPr>
        <w:t>pH值的指数，大于1表明该水质因子超标</w:t>
      </w:r>
      <w:r>
        <w:rPr>
          <w:highlight w:val="none"/>
        </w:rPr>
        <w:t>；</w:t>
      </w:r>
    </w:p>
    <w:p>
      <w:pPr>
        <w:pStyle w:val="12"/>
        <w:snapToGrid w:val="0"/>
        <w:ind w:firstLine="480"/>
        <w:rPr>
          <w:highlight w:val="none"/>
        </w:rPr>
      </w:pPr>
      <w:r>
        <w:rPr>
          <w:highlight w:val="none"/>
        </w:rPr>
        <w:t xml:space="preserve">      pH</w:t>
      </w:r>
      <w:r>
        <w:rPr>
          <w:highlight w:val="none"/>
          <w:vertAlign w:val="subscript"/>
        </w:rPr>
        <w:t>j</w:t>
      </w:r>
      <w:r>
        <w:rPr>
          <w:highlight w:val="none"/>
        </w:rPr>
        <w:t>：</w:t>
      </w:r>
      <w:r>
        <w:rPr>
          <w:rFonts w:hint="eastAsia"/>
          <w:highlight w:val="none"/>
        </w:rPr>
        <w:t>pH值实测统计值</w:t>
      </w:r>
      <w:r>
        <w:rPr>
          <w:highlight w:val="none"/>
        </w:rPr>
        <w:t>；</w:t>
      </w:r>
      <w:r>
        <w:rPr>
          <w:rFonts w:hint="eastAsia"/>
          <w:highlight w:val="none"/>
        </w:rPr>
        <w:t>（本次取最大值）</w:t>
      </w:r>
    </w:p>
    <w:p>
      <w:pPr>
        <w:pStyle w:val="12"/>
        <w:snapToGrid w:val="0"/>
        <w:ind w:firstLine="480"/>
        <w:rPr>
          <w:highlight w:val="none"/>
        </w:rPr>
      </w:pPr>
      <w:r>
        <w:rPr>
          <w:highlight w:val="none"/>
        </w:rPr>
        <w:t xml:space="preserve">      pH</w:t>
      </w:r>
      <w:r>
        <w:rPr>
          <w:highlight w:val="none"/>
          <w:vertAlign w:val="subscript"/>
        </w:rPr>
        <w:t>su</w:t>
      </w:r>
      <w:r>
        <w:rPr>
          <w:highlight w:val="none"/>
        </w:rPr>
        <w:t>：</w:t>
      </w:r>
      <w:r>
        <w:rPr>
          <w:rFonts w:hint="eastAsia"/>
          <w:highlight w:val="none"/>
        </w:rPr>
        <w:t>评价标准中pH值的上限值</w:t>
      </w:r>
      <w:r>
        <w:rPr>
          <w:highlight w:val="none"/>
        </w:rPr>
        <w:t>；</w:t>
      </w:r>
    </w:p>
    <w:p>
      <w:pPr>
        <w:pStyle w:val="12"/>
        <w:snapToGrid w:val="0"/>
        <w:ind w:firstLine="480"/>
        <w:rPr>
          <w:highlight w:val="none"/>
        </w:rPr>
      </w:pPr>
      <w:r>
        <w:rPr>
          <w:highlight w:val="none"/>
        </w:rPr>
        <w:t xml:space="preserve">      pH</w:t>
      </w:r>
      <w:r>
        <w:rPr>
          <w:highlight w:val="none"/>
          <w:vertAlign w:val="subscript"/>
        </w:rPr>
        <w:t>sd</w:t>
      </w:r>
      <w:r>
        <w:rPr>
          <w:highlight w:val="none"/>
        </w:rPr>
        <w:t>：</w:t>
      </w:r>
      <w:r>
        <w:rPr>
          <w:rFonts w:hint="eastAsia"/>
          <w:highlight w:val="none"/>
        </w:rPr>
        <w:t>评价标准中pH值的下限值</w:t>
      </w:r>
      <w:r>
        <w:rPr>
          <w:highlight w:val="none"/>
        </w:rPr>
        <w:t>；</w:t>
      </w:r>
    </w:p>
    <w:p>
      <w:pPr>
        <w:pStyle w:val="12"/>
        <w:snapToGrid w:val="0"/>
        <w:ind w:firstLine="480"/>
        <w:rPr>
          <w:highlight w:val="none"/>
        </w:rPr>
      </w:pPr>
      <w:r>
        <w:rPr>
          <w:rFonts w:hint="eastAsia"/>
          <w:highlight w:val="none"/>
        </w:rPr>
        <w:t>c、DO</w:t>
      </w:r>
    </w:p>
    <w:p>
      <w:pPr>
        <w:pStyle w:val="12"/>
        <w:snapToGrid w:val="0"/>
        <w:ind w:firstLine="0" w:firstLineChars="0"/>
        <w:jc w:val="center"/>
        <w:rPr>
          <w:i/>
          <w:iCs/>
          <w:sz w:val="21"/>
          <w:szCs w:val="21"/>
          <w:highlight w:val="none"/>
        </w:rPr>
      </w:pPr>
      <w:r>
        <w:rPr>
          <w:rFonts w:hint="eastAsia"/>
          <w:i/>
          <w:iCs/>
          <w:sz w:val="21"/>
          <w:szCs w:val="21"/>
          <w:highlight w:val="none"/>
        </w:rPr>
        <w:t>S</w:t>
      </w:r>
      <w:r>
        <w:rPr>
          <w:rFonts w:hint="eastAsia"/>
          <w:i/>
          <w:iCs/>
          <w:sz w:val="21"/>
          <w:szCs w:val="21"/>
          <w:highlight w:val="none"/>
          <w:vertAlign w:val="subscript"/>
        </w:rPr>
        <w:t>DO</w:t>
      </w:r>
      <w:r>
        <w:rPr>
          <w:rFonts w:hint="eastAsia"/>
          <w:i/>
          <w:iCs/>
          <w:sz w:val="21"/>
          <w:szCs w:val="21"/>
          <w:highlight w:val="none"/>
        </w:rPr>
        <w:t xml:space="preserve">.j=DOs/DOj   </w:t>
      </w:r>
      <w:r>
        <w:rPr>
          <w:i/>
          <w:iCs/>
          <w:sz w:val="21"/>
          <w:szCs w:val="21"/>
          <w:highlight w:val="none"/>
        </w:rPr>
        <w:t xml:space="preserve"> </w:t>
      </w:r>
      <w:r>
        <w:rPr>
          <w:rFonts w:hint="eastAsia"/>
          <w:i/>
          <w:iCs/>
          <w:sz w:val="21"/>
          <w:szCs w:val="21"/>
          <w:highlight w:val="none"/>
        </w:rPr>
        <w:t xml:space="preserve">               </w:t>
      </w:r>
      <w:r>
        <w:rPr>
          <w:i/>
          <w:iCs/>
          <w:sz w:val="21"/>
          <w:szCs w:val="21"/>
          <w:highlight w:val="none"/>
        </w:rPr>
        <w:t>DOj≤DOf</w:t>
      </w:r>
    </w:p>
    <w:p>
      <w:pPr>
        <w:pStyle w:val="12"/>
        <w:snapToGrid w:val="0"/>
        <w:ind w:firstLine="0" w:firstLineChars="0"/>
        <w:jc w:val="center"/>
        <w:rPr>
          <w:i/>
          <w:iCs/>
          <w:sz w:val="21"/>
          <w:szCs w:val="21"/>
          <w:highlight w:val="none"/>
        </w:rPr>
      </w:pPr>
    </w:p>
    <w:p>
      <w:pPr>
        <w:pStyle w:val="12"/>
        <w:snapToGrid w:val="0"/>
        <w:ind w:firstLine="0" w:firstLineChars="0"/>
        <w:jc w:val="center"/>
        <w:rPr>
          <w:i/>
          <w:iCs/>
          <w:sz w:val="21"/>
          <w:szCs w:val="21"/>
          <w:highlight w:val="none"/>
        </w:rPr>
      </w:pPr>
      <w:r>
        <w:rPr>
          <w:rFonts w:hint="eastAsia"/>
          <w:i/>
          <w:iCs/>
          <w:sz w:val="21"/>
          <w:szCs w:val="21"/>
          <w:highlight w:val="none"/>
        </w:rPr>
        <w:t>S</w:t>
      </w:r>
      <w:r>
        <w:rPr>
          <w:rFonts w:hint="eastAsia"/>
          <w:i/>
          <w:iCs/>
          <w:sz w:val="21"/>
          <w:szCs w:val="21"/>
          <w:highlight w:val="none"/>
          <w:vertAlign w:val="subscript"/>
        </w:rPr>
        <w:t>DO</w:t>
      </w:r>
      <w:r>
        <w:rPr>
          <w:rFonts w:hint="eastAsia"/>
          <w:i/>
          <w:iCs/>
          <w:sz w:val="21"/>
          <w:szCs w:val="21"/>
          <w:highlight w:val="none"/>
        </w:rPr>
        <w:t xml:space="preserve">.j=|DOf-DOj|/（DOf-DOs）    </w:t>
      </w:r>
      <w:r>
        <w:rPr>
          <w:i/>
          <w:iCs/>
          <w:sz w:val="21"/>
          <w:szCs w:val="21"/>
          <w:highlight w:val="none"/>
        </w:rPr>
        <w:t xml:space="preserve"> DOj</w:t>
      </w:r>
      <w:r>
        <w:rPr>
          <w:rFonts w:hint="eastAsia"/>
          <w:i/>
          <w:iCs/>
          <w:sz w:val="21"/>
          <w:szCs w:val="21"/>
          <w:highlight w:val="none"/>
        </w:rPr>
        <w:t>＞</w:t>
      </w:r>
      <w:r>
        <w:rPr>
          <w:i/>
          <w:iCs/>
          <w:sz w:val="21"/>
          <w:szCs w:val="21"/>
          <w:highlight w:val="none"/>
        </w:rPr>
        <w:t>DOf</w:t>
      </w:r>
    </w:p>
    <w:p>
      <w:pPr>
        <w:pStyle w:val="12"/>
        <w:snapToGrid w:val="0"/>
        <w:ind w:firstLine="0" w:firstLineChars="0"/>
        <w:jc w:val="center"/>
        <w:rPr>
          <w:i/>
          <w:iCs/>
          <w:sz w:val="21"/>
          <w:szCs w:val="21"/>
          <w:highlight w:val="none"/>
        </w:rPr>
      </w:pPr>
    </w:p>
    <w:p>
      <w:pPr>
        <w:pStyle w:val="12"/>
        <w:snapToGrid w:val="0"/>
        <w:ind w:firstLine="480"/>
        <w:rPr>
          <w:highlight w:val="none"/>
        </w:rPr>
      </w:pPr>
      <w:r>
        <w:rPr>
          <w:rFonts w:hint="eastAsia"/>
          <w:highlight w:val="none"/>
        </w:rPr>
        <w:t>式中：S</w:t>
      </w:r>
      <w:r>
        <w:rPr>
          <w:rFonts w:hint="eastAsia"/>
          <w:highlight w:val="none"/>
          <w:vertAlign w:val="subscript"/>
        </w:rPr>
        <w:t>DO</w:t>
      </w:r>
      <w:r>
        <w:rPr>
          <w:rFonts w:hint="eastAsia"/>
          <w:highlight w:val="none"/>
        </w:rPr>
        <w:t>.j—溶解氧的指标指数，大于1时表面该水质因子超标；</w:t>
      </w:r>
    </w:p>
    <w:p>
      <w:pPr>
        <w:pStyle w:val="12"/>
        <w:snapToGrid w:val="0"/>
        <w:ind w:firstLine="1200" w:firstLineChars="500"/>
        <w:rPr>
          <w:highlight w:val="none"/>
        </w:rPr>
      </w:pPr>
      <w:r>
        <w:rPr>
          <w:rFonts w:hint="eastAsia"/>
          <w:highlight w:val="none"/>
        </w:rPr>
        <w:t>DOj—溶解氧在f点的实测统计代表值，mg/L（本次取最大值）；</w:t>
      </w:r>
    </w:p>
    <w:p>
      <w:pPr>
        <w:pStyle w:val="12"/>
        <w:snapToGrid w:val="0"/>
        <w:ind w:firstLine="1200" w:firstLineChars="500"/>
        <w:rPr>
          <w:highlight w:val="none"/>
        </w:rPr>
      </w:pPr>
      <w:r>
        <w:rPr>
          <w:rFonts w:hint="eastAsia"/>
          <w:highlight w:val="none"/>
        </w:rPr>
        <w:t>DOs—溶解氧的水质评价标准限值，mg/L；</w:t>
      </w:r>
    </w:p>
    <w:p>
      <w:pPr>
        <w:pStyle w:val="12"/>
        <w:snapToGrid w:val="0"/>
        <w:ind w:firstLine="1200" w:firstLineChars="500"/>
        <w:rPr>
          <w:highlight w:val="none"/>
        </w:rPr>
      </w:pPr>
      <w:r>
        <w:rPr>
          <w:rFonts w:hint="eastAsia"/>
          <w:highlight w:val="none"/>
        </w:rPr>
        <w:t>DO</w:t>
      </w:r>
      <w:r>
        <w:rPr>
          <w:rFonts w:hint="eastAsia"/>
          <w:highlight w:val="none"/>
          <w:vertAlign w:val="subscript"/>
        </w:rPr>
        <w:t>f</w:t>
      </w:r>
      <w:r>
        <w:rPr>
          <w:rFonts w:hint="eastAsia"/>
          <w:highlight w:val="none"/>
        </w:rPr>
        <w:t>—饱和溶解氧浓度，mg/L；</w:t>
      </w:r>
    </w:p>
    <w:p>
      <w:pPr>
        <w:pStyle w:val="12"/>
        <w:snapToGrid w:val="0"/>
        <w:ind w:firstLine="1200" w:firstLineChars="500"/>
        <w:rPr>
          <w:highlight w:val="none"/>
        </w:rPr>
      </w:pPr>
      <w:r>
        <w:rPr>
          <w:rFonts w:hint="eastAsia"/>
          <w:highlight w:val="none"/>
        </w:rPr>
        <w:t>S—实用盐度符号，量纲为1；</w:t>
      </w:r>
    </w:p>
    <w:p>
      <w:pPr>
        <w:pStyle w:val="12"/>
        <w:snapToGrid w:val="0"/>
        <w:ind w:firstLine="1200" w:firstLineChars="500"/>
        <w:rPr>
          <w:highlight w:val="none"/>
        </w:rPr>
      </w:pPr>
      <w:r>
        <w:rPr>
          <w:rFonts w:hint="eastAsia"/>
          <w:highlight w:val="none"/>
        </w:rPr>
        <w:t>T—水温，</w:t>
      </w:r>
      <w:r>
        <w:rPr>
          <w:highlight w:val="none"/>
        </w:rPr>
        <w:t>℃</w:t>
      </w:r>
    </w:p>
    <w:p>
      <w:pPr>
        <w:ind w:firstLine="480"/>
        <w:rPr>
          <w:kern w:val="52"/>
          <w:highlight w:val="none"/>
        </w:rPr>
      </w:pPr>
      <w:r>
        <w:rPr>
          <w:kern w:val="52"/>
          <w:highlight w:val="none"/>
        </w:rPr>
        <w:t>根据以上计算公式，地表水环境质量现状监测结果及结果评价如下表</w:t>
      </w:r>
      <w:r>
        <w:rPr>
          <w:rFonts w:hint="eastAsia"/>
          <w:kern w:val="52"/>
          <w:highlight w:val="none"/>
          <w:lang w:val="en-US" w:eastAsia="zh-CN"/>
        </w:rPr>
        <w:t>5.2-1</w:t>
      </w:r>
      <w:r>
        <w:rPr>
          <w:kern w:val="52"/>
          <w:highlight w:val="none"/>
        </w:rPr>
        <w:t>、</w:t>
      </w:r>
      <w:r>
        <w:rPr>
          <w:rFonts w:hint="eastAsia"/>
          <w:kern w:val="52"/>
          <w:highlight w:val="none"/>
          <w:lang w:val="en-US" w:eastAsia="zh-CN"/>
        </w:rPr>
        <w:t>5.2-2</w:t>
      </w:r>
      <w:r>
        <w:rPr>
          <w:kern w:val="52"/>
          <w:highlight w:val="none"/>
        </w:rPr>
        <w:t>所示：</w:t>
      </w:r>
    </w:p>
    <w:p>
      <w:pPr>
        <w:ind w:firstLine="422"/>
        <w:jc w:val="center"/>
        <w:rPr>
          <w:b/>
          <w:bCs/>
          <w:kern w:val="52"/>
          <w:sz w:val="21"/>
          <w:szCs w:val="21"/>
          <w:highlight w:val="none"/>
        </w:rPr>
      </w:pPr>
      <w:r>
        <w:rPr>
          <w:b/>
          <w:bCs/>
          <w:kern w:val="52"/>
          <w:sz w:val="21"/>
          <w:szCs w:val="21"/>
          <w:highlight w:val="none"/>
        </w:rPr>
        <w:t>表</w:t>
      </w:r>
      <w:r>
        <w:rPr>
          <w:rFonts w:hint="eastAsia"/>
          <w:b/>
          <w:bCs/>
          <w:kern w:val="52"/>
          <w:sz w:val="21"/>
          <w:szCs w:val="21"/>
          <w:highlight w:val="none"/>
          <w:lang w:val="en-US" w:eastAsia="zh-CN"/>
        </w:rPr>
        <w:t>5.2-1</w:t>
      </w:r>
      <w:r>
        <w:rPr>
          <w:b/>
          <w:bCs/>
          <w:kern w:val="52"/>
          <w:sz w:val="21"/>
          <w:szCs w:val="21"/>
          <w:highlight w:val="none"/>
        </w:rPr>
        <w:t xml:space="preserve">  地表水环境质量现状监测结果    单位：mg/L</w:t>
      </w:r>
    </w:p>
    <w:tbl>
      <w:tblPr>
        <w:tblStyle w:val="29"/>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1"/>
        <w:gridCol w:w="2040"/>
        <w:gridCol w:w="2250"/>
        <w:gridCol w:w="2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81" w:type="dxa"/>
            <w:vMerge w:val="restart"/>
            <w:shd w:val="clear" w:color="auto" w:fill="auto"/>
            <w:vAlign w:val="center"/>
          </w:tcPr>
          <w:p>
            <w:pPr>
              <w:ind w:firstLine="0" w:firstLineChars="0"/>
              <w:jc w:val="center"/>
              <w:rPr>
                <w:b/>
                <w:bCs/>
                <w:kern w:val="52"/>
                <w:sz w:val="21"/>
                <w:szCs w:val="21"/>
                <w:highlight w:val="none"/>
              </w:rPr>
            </w:pPr>
            <w:r>
              <w:rPr>
                <w:b/>
                <w:bCs/>
                <w:kern w:val="52"/>
                <w:sz w:val="21"/>
                <w:szCs w:val="21"/>
                <w:highlight w:val="none"/>
              </w:rPr>
              <w:t>类型</w:t>
            </w:r>
          </w:p>
        </w:tc>
        <w:tc>
          <w:tcPr>
            <w:tcW w:w="2040" w:type="dxa"/>
            <w:vMerge w:val="restart"/>
            <w:shd w:val="clear" w:color="auto" w:fill="auto"/>
            <w:vAlign w:val="center"/>
          </w:tcPr>
          <w:p>
            <w:pPr>
              <w:ind w:firstLine="0" w:firstLineChars="0"/>
              <w:jc w:val="center"/>
              <w:rPr>
                <w:b/>
                <w:bCs/>
                <w:kern w:val="52"/>
                <w:sz w:val="21"/>
                <w:szCs w:val="21"/>
                <w:highlight w:val="none"/>
              </w:rPr>
            </w:pPr>
            <w:r>
              <w:rPr>
                <w:b/>
                <w:bCs/>
                <w:kern w:val="52"/>
                <w:sz w:val="21"/>
                <w:szCs w:val="21"/>
                <w:highlight w:val="none"/>
              </w:rPr>
              <w:t>项目</w:t>
            </w:r>
          </w:p>
        </w:tc>
        <w:tc>
          <w:tcPr>
            <w:tcW w:w="2250" w:type="dxa"/>
            <w:vMerge w:val="restart"/>
            <w:shd w:val="clear" w:color="auto" w:fill="auto"/>
            <w:vAlign w:val="center"/>
          </w:tcPr>
          <w:p>
            <w:pPr>
              <w:ind w:firstLine="0" w:firstLineChars="0"/>
              <w:jc w:val="center"/>
              <w:rPr>
                <w:b/>
                <w:bCs/>
                <w:kern w:val="52"/>
                <w:sz w:val="21"/>
                <w:szCs w:val="21"/>
                <w:highlight w:val="none"/>
              </w:rPr>
            </w:pPr>
            <w:r>
              <w:rPr>
                <w:b/>
                <w:bCs/>
                <w:kern w:val="52"/>
                <w:sz w:val="21"/>
                <w:szCs w:val="21"/>
                <w:highlight w:val="none"/>
              </w:rPr>
              <w:t>日期</w:t>
            </w:r>
          </w:p>
        </w:tc>
        <w:tc>
          <w:tcPr>
            <w:tcW w:w="2949" w:type="dxa"/>
            <w:shd w:val="clear" w:color="auto" w:fill="auto"/>
            <w:vAlign w:val="center"/>
          </w:tcPr>
          <w:p>
            <w:pPr>
              <w:ind w:firstLine="0" w:firstLineChars="0"/>
              <w:jc w:val="center"/>
              <w:rPr>
                <w:b/>
                <w:bCs/>
                <w:kern w:val="52"/>
                <w:sz w:val="21"/>
                <w:szCs w:val="21"/>
                <w:highlight w:val="none"/>
              </w:rPr>
            </w:pPr>
            <w:r>
              <w:rPr>
                <w:b/>
                <w:bCs/>
                <w:kern w:val="52"/>
                <w:sz w:val="21"/>
                <w:szCs w:val="21"/>
                <w:highlight w:val="none"/>
              </w:rPr>
              <w:t>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81" w:type="dxa"/>
            <w:vMerge w:val="continue"/>
            <w:shd w:val="clear" w:color="auto" w:fill="auto"/>
            <w:vAlign w:val="center"/>
          </w:tcPr>
          <w:p>
            <w:pPr>
              <w:ind w:firstLine="0" w:firstLineChars="0"/>
              <w:jc w:val="center"/>
              <w:rPr>
                <w:b/>
                <w:bCs/>
                <w:kern w:val="52"/>
                <w:sz w:val="21"/>
                <w:szCs w:val="21"/>
                <w:highlight w:val="none"/>
              </w:rPr>
            </w:pPr>
          </w:p>
        </w:tc>
        <w:tc>
          <w:tcPr>
            <w:tcW w:w="2040" w:type="dxa"/>
            <w:vMerge w:val="continue"/>
            <w:shd w:val="clear" w:color="auto" w:fill="auto"/>
            <w:vAlign w:val="center"/>
          </w:tcPr>
          <w:p>
            <w:pPr>
              <w:ind w:firstLine="0" w:firstLineChars="0"/>
              <w:jc w:val="center"/>
              <w:rPr>
                <w:b/>
                <w:bCs/>
                <w:kern w:val="52"/>
                <w:sz w:val="21"/>
                <w:szCs w:val="21"/>
                <w:highlight w:val="none"/>
              </w:rPr>
            </w:pPr>
          </w:p>
        </w:tc>
        <w:tc>
          <w:tcPr>
            <w:tcW w:w="2250" w:type="dxa"/>
            <w:vMerge w:val="continue"/>
            <w:shd w:val="clear" w:color="auto" w:fill="auto"/>
            <w:vAlign w:val="center"/>
          </w:tcPr>
          <w:p>
            <w:pPr>
              <w:ind w:firstLine="0" w:firstLineChars="0"/>
              <w:jc w:val="center"/>
              <w:rPr>
                <w:b/>
                <w:bCs/>
                <w:kern w:val="52"/>
                <w:sz w:val="21"/>
                <w:szCs w:val="21"/>
                <w:highlight w:val="none"/>
              </w:rPr>
            </w:pPr>
          </w:p>
        </w:tc>
        <w:tc>
          <w:tcPr>
            <w:tcW w:w="2949" w:type="dxa"/>
            <w:shd w:val="clear" w:color="auto" w:fill="auto"/>
            <w:vAlign w:val="center"/>
          </w:tcPr>
          <w:p>
            <w:pPr>
              <w:ind w:firstLine="0" w:firstLineChars="0"/>
              <w:jc w:val="center"/>
              <w:rPr>
                <w:rFonts w:hint="eastAsia" w:eastAsia="宋体"/>
                <w:b/>
                <w:bCs/>
                <w:kern w:val="52"/>
                <w:sz w:val="21"/>
                <w:szCs w:val="21"/>
                <w:highlight w:val="none"/>
                <w:lang w:eastAsia="zh-CN"/>
              </w:rPr>
            </w:pPr>
            <w:r>
              <w:rPr>
                <w:rFonts w:hint="eastAsia"/>
                <w:b/>
                <w:bCs/>
                <w:kern w:val="52"/>
                <w:sz w:val="21"/>
                <w:szCs w:val="21"/>
                <w:highlight w:val="none"/>
                <w:lang w:eastAsia="zh-CN"/>
              </w:rPr>
              <w:t>卡子水库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81" w:type="dxa"/>
            <w:vMerge w:val="restart"/>
            <w:vAlign w:val="center"/>
          </w:tcPr>
          <w:p>
            <w:pPr>
              <w:ind w:firstLine="0" w:firstLineChars="0"/>
              <w:jc w:val="center"/>
              <w:rPr>
                <w:b/>
                <w:bCs/>
                <w:kern w:val="52"/>
                <w:sz w:val="21"/>
                <w:szCs w:val="21"/>
                <w:highlight w:val="none"/>
              </w:rPr>
            </w:pPr>
            <w:r>
              <w:rPr>
                <w:kern w:val="52"/>
                <w:sz w:val="21"/>
                <w:szCs w:val="21"/>
                <w:highlight w:val="none"/>
              </w:rPr>
              <w:t>地表水</w:t>
            </w:r>
          </w:p>
        </w:tc>
        <w:tc>
          <w:tcPr>
            <w:tcW w:w="2040" w:type="dxa"/>
            <w:vMerge w:val="restart"/>
            <w:vAlign w:val="center"/>
          </w:tcPr>
          <w:p>
            <w:pPr>
              <w:ind w:firstLine="0" w:firstLineChars="0"/>
              <w:jc w:val="center"/>
              <w:rPr>
                <w:kern w:val="52"/>
                <w:sz w:val="21"/>
                <w:szCs w:val="21"/>
                <w:highlight w:val="none"/>
              </w:rPr>
            </w:pPr>
            <w:r>
              <w:rPr>
                <w:kern w:val="52"/>
                <w:sz w:val="21"/>
                <w:szCs w:val="21"/>
                <w:highlight w:val="none"/>
              </w:rPr>
              <w:t>pH（无量纲）</w:t>
            </w:r>
          </w:p>
        </w:tc>
        <w:tc>
          <w:tcPr>
            <w:tcW w:w="2250" w:type="dxa"/>
            <w:vAlign w:val="center"/>
          </w:tcPr>
          <w:p>
            <w:pPr>
              <w:ind w:firstLine="0" w:firstLineChars="0"/>
              <w:jc w:val="center"/>
              <w:rPr>
                <w:rFonts w:hint="default" w:eastAsia="宋体"/>
                <w:kern w:val="52"/>
                <w:sz w:val="21"/>
                <w:szCs w:val="21"/>
                <w:highlight w:val="none"/>
                <w:lang w:val="en-US" w:eastAsia="zh-CN"/>
              </w:rPr>
            </w:pPr>
            <w:r>
              <w:rPr>
                <w:rFonts w:hint="eastAsia"/>
                <w:kern w:val="52"/>
                <w:sz w:val="21"/>
                <w:szCs w:val="21"/>
                <w:highlight w:val="none"/>
                <w:lang w:val="en-US" w:eastAsia="zh-CN"/>
              </w:rPr>
              <w:t>2020/2/13</w:t>
            </w:r>
          </w:p>
        </w:tc>
        <w:tc>
          <w:tcPr>
            <w:tcW w:w="2949" w:type="dxa"/>
            <w:vAlign w:val="center"/>
          </w:tcPr>
          <w:p>
            <w:pPr>
              <w:ind w:firstLine="0" w:firstLineChars="0"/>
              <w:jc w:val="center"/>
              <w:rPr>
                <w:rFonts w:hint="default" w:eastAsia="宋体"/>
                <w:kern w:val="52"/>
                <w:sz w:val="21"/>
                <w:szCs w:val="21"/>
                <w:highlight w:val="none"/>
                <w:lang w:val="en-US" w:eastAsia="zh-CN"/>
              </w:rPr>
            </w:pPr>
            <w:r>
              <w:rPr>
                <w:rFonts w:hint="eastAsia"/>
                <w:kern w:val="52"/>
                <w:sz w:val="21"/>
                <w:szCs w:val="21"/>
                <w:highlight w:val="none"/>
                <w:lang w:val="en-US" w:eastAsia="zh-CN"/>
              </w:rPr>
              <w:t>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81" w:type="dxa"/>
            <w:vMerge w:val="continue"/>
            <w:vAlign w:val="center"/>
          </w:tcPr>
          <w:p>
            <w:pPr>
              <w:ind w:firstLine="0" w:firstLineChars="0"/>
              <w:jc w:val="center"/>
              <w:rPr>
                <w:b/>
                <w:bCs/>
                <w:kern w:val="52"/>
                <w:sz w:val="21"/>
                <w:szCs w:val="21"/>
                <w:highlight w:val="none"/>
              </w:rPr>
            </w:pPr>
          </w:p>
        </w:tc>
        <w:tc>
          <w:tcPr>
            <w:tcW w:w="2040" w:type="dxa"/>
            <w:vMerge w:val="continue"/>
            <w:vAlign w:val="center"/>
          </w:tcPr>
          <w:p>
            <w:pPr>
              <w:ind w:firstLine="0" w:firstLineChars="0"/>
              <w:jc w:val="center"/>
              <w:rPr>
                <w:kern w:val="52"/>
                <w:sz w:val="21"/>
                <w:szCs w:val="21"/>
                <w:highlight w:val="none"/>
              </w:rPr>
            </w:pPr>
          </w:p>
        </w:tc>
        <w:tc>
          <w:tcPr>
            <w:tcW w:w="2250" w:type="dxa"/>
            <w:vAlign w:val="center"/>
          </w:tcPr>
          <w:p>
            <w:pPr>
              <w:ind w:firstLine="0" w:firstLineChars="0"/>
              <w:jc w:val="center"/>
              <w:rPr>
                <w:rFonts w:hint="default" w:eastAsia="宋体"/>
                <w:kern w:val="52"/>
                <w:sz w:val="21"/>
                <w:szCs w:val="21"/>
                <w:highlight w:val="none"/>
                <w:lang w:val="en-US" w:eastAsia="zh-CN"/>
              </w:rPr>
            </w:pPr>
            <w:r>
              <w:rPr>
                <w:rFonts w:hint="eastAsia"/>
                <w:kern w:val="52"/>
                <w:sz w:val="21"/>
                <w:szCs w:val="21"/>
                <w:highlight w:val="none"/>
                <w:lang w:val="en-US" w:eastAsia="zh-CN"/>
              </w:rPr>
              <w:t>2020/2/14</w:t>
            </w:r>
          </w:p>
        </w:tc>
        <w:tc>
          <w:tcPr>
            <w:tcW w:w="2949" w:type="dxa"/>
            <w:vAlign w:val="center"/>
          </w:tcPr>
          <w:p>
            <w:pPr>
              <w:ind w:firstLine="0" w:firstLineChars="0"/>
              <w:jc w:val="center"/>
              <w:rPr>
                <w:rFonts w:hint="default" w:eastAsia="宋体"/>
                <w:kern w:val="52"/>
                <w:sz w:val="21"/>
                <w:szCs w:val="21"/>
                <w:highlight w:val="none"/>
                <w:lang w:val="en-US" w:eastAsia="zh-CN"/>
              </w:rPr>
            </w:pPr>
            <w:r>
              <w:rPr>
                <w:rFonts w:hint="eastAsia"/>
                <w:kern w:val="52"/>
                <w:sz w:val="21"/>
                <w:szCs w:val="21"/>
                <w:highlight w:val="none"/>
                <w:lang w:val="en-US" w:eastAsia="zh-CN"/>
              </w:rPr>
              <w:t>7.62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81" w:type="dxa"/>
            <w:vMerge w:val="continue"/>
            <w:vAlign w:val="center"/>
          </w:tcPr>
          <w:p>
            <w:pPr>
              <w:ind w:firstLine="0" w:firstLineChars="0"/>
              <w:jc w:val="center"/>
              <w:rPr>
                <w:b/>
                <w:bCs/>
                <w:kern w:val="52"/>
                <w:sz w:val="21"/>
                <w:szCs w:val="21"/>
                <w:highlight w:val="none"/>
              </w:rPr>
            </w:pPr>
          </w:p>
        </w:tc>
        <w:tc>
          <w:tcPr>
            <w:tcW w:w="2040" w:type="dxa"/>
            <w:vMerge w:val="restart"/>
            <w:vAlign w:val="center"/>
          </w:tcPr>
          <w:p>
            <w:pPr>
              <w:ind w:firstLine="0" w:firstLineChars="0"/>
              <w:jc w:val="center"/>
              <w:rPr>
                <w:kern w:val="52"/>
                <w:sz w:val="21"/>
                <w:szCs w:val="21"/>
                <w:highlight w:val="none"/>
              </w:rPr>
            </w:pPr>
            <w:r>
              <w:rPr>
                <w:kern w:val="52"/>
                <w:sz w:val="21"/>
                <w:szCs w:val="21"/>
                <w:highlight w:val="none"/>
              </w:rPr>
              <w:t>CODcr</w:t>
            </w:r>
          </w:p>
        </w:tc>
        <w:tc>
          <w:tcPr>
            <w:tcW w:w="2250" w:type="dxa"/>
            <w:vAlign w:val="center"/>
          </w:tcPr>
          <w:p>
            <w:pPr>
              <w:ind w:firstLine="0" w:firstLineChars="0"/>
              <w:jc w:val="center"/>
              <w:rPr>
                <w:kern w:val="52"/>
                <w:sz w:val="21"/>
                <w:szCs w:val="21"/>
                <w:highlight w:val="none"/>
              </w:rPr>
            </w:pPr>
            <w:r>
              <w:rPr>
                <w:rFonts w:hint="eastAsia"/>
                <w:kern w:val="52"/>
                <w:sz w:val="21"/>
                <w:szCs w:val="21"/>
                <w:highlight w:val="none"/>
                <w:lang w:val="en-US" w:eastAsia="zh-CN"/>
              </w:rPr>
              <w:t>2020/2/13</w:t>
            </w:r>
          </w:p>
        </w:tc>
        <w:tc>
          <w:tcPr>
            <w:tcW w:w="2949" w:type="dxa"/>
            <w:vAlign w:val="center"/>
          </w:tcPr>
          <w:p>
            <w:pPr>
              <w:ind w:firstLine="0" w:firstLineChars="0"/>
              <w:jc w:val="center"/>
              <w:rPr>
                <w:rFonts w:hint="default" w:eastAsia="宋体"/>
                <w:kern w:val="52"/>
                <w:sz w:val="21"/>
                <w:szCs w:val="21"/>
                <w:highlight w:val="none"/>
                <w:lang w:val="en-US" w:eastAsia="zh-CN"/>
              </w:rPr>
            </w:pPr>
            <w:r>
              <w:rPr>
                <w:rFonts w:hint="eastAsia"/>
                <w:kern w:val="52"/>
                <w:sz w:val="21"/>
                <w:szCs w:val="21"/>
                <w:highlight w:val="none"/>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81" w:type="dxa"/>
            <w:vMerge w:val="continue"/>
            <w:vAlign w:val="center"/>
          </w:tcPr>
          <w:p>
            <w:pPr>
              <w:ind w:firstLine="0" w:firstLineChars="0"/>
              <w:jc w:val="center"/>
              <w:rPr>
                <w:b/>
                <w:bCs/>
                <w:kern w:val="52"/>
                <w:sz w:val="21"/>
                <w:szCs w:val="21"/>
                <w:highlight w:val="none"/>
              </w:rPr>
            </w:pPr>
          </w:p>
        </w:tc>
        <w:tc>
          <w:tcPr>
            <w:tcW w:w="2040" w:type="dxa"/>
            <w:vMerge w:val="continue"/>
            <w:vAlign w:val="center"/>
          </w:tcPr>
          <w:p>
            <w:pPr>
              <w:ind w:firstLine="0" w:firstLineChars="0"/>
              <w:jc w:val="center"/>
              <w:rPr>
                <w:kern w:val="52"/>
                <w:sz w:val="21"/>
                <w:szCs w:val="21"/>
                <w:highlight w:val="none"/>
              </w:rPr>
            </w:pPr>
          </w:p>
        </w:tc>
        <w:tc>
          <w:tcPr>
            <w:tcW w:w="2250" w:type="dxa"/>
            <w:vAlign w:val="center"/>
          </w:tcPr>
          <w:p>
            <w:pPr>
              <w:ind w:firstLine="0" w:firstLineChars="0"/>
              <w:jc w:val="center"/>
              <w:rPr>
                <w:kern w:val="52"/>
                <w:sz w:val="21"/>
                <w:szCs w:val="21"/>
                <w:highlight w:val="none"/>
              </w:rPr>
            </w:pPr>
            <w:r>
              <w:rPr>
                <w:rFonts w:hint="eastAsia"/>
                <w:kern w:val="52"/>
                <w:sz w:val="21"/>
                <w:szCs w:val="21"/>
                <w:highlight w:val="none"/>
                <w:lang w:val="en-US" w:eastAsia="zh-CN"/>
              </w:rPr>
              <w:t>2020/2/14</w:t>
            </w:r>
          </w:p>
        </w:tc>
        <w:tc>
          <w:tcPr>
            <w:tcW w:w="2949" w:type="dxa"/>
            <w:vAlign w:val="center"/>
          </w:tcPr>
          <w:p>
            <w:pPr>
              <w:ind w:firstLine="0" w:firstLineChars="0"/>
              <w:jc w:val="center"/>
              <w:rPr>
                <w:rFonts w:hint="default" w:eastAsia="宋体"/>
                <w:kern w:val="52"/>
                <w:sz w:val="21"/>
                <w:szCs w:val="21"/>
                <w:highlight w:val="none"/>
                <w:lang w:val="en-US" w:eastAsia="zh-CN"/>
              </w:rPr>
            </w:pPr>
            <w:r>
              <w:rPr>
                <w:rFonts w:hint="eastAsia"/>
                <w:kern w:val="52"/>
                <w:sz w:val="21"/>
                <w:szCs w:val="21"/>
                <w:highlight w:val="no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81" w:type="dxa"/>
            <w:vMerge w:val="continue"/>
            <w:vAlign w:val="center"/>
          </w:tcPr>
          <w:p>
            <w:pPr>
              <w:ind w:firstLine="0" w:firstLineChars="0"/>
              <w:jc w:val="center"/>
              <w:rPr>
                <w:b/>
                <w:bCs/>
                <w:kern w:val="52"/>
                <w:sz w:val="21"/>
                <w:szCs w:val="21"/>
                <w:highlight w:val="none"/>
              </w:rPr>
            </w:pPr>
          </w:p>
        </w:tc>
        <w:tc>
          <w:tcPr>
            <w:tcW w:w="2040" w:type="dxa"/>
            <w:vMerge w:val="restart"/>
            <w:vAlign w:val="center"/>
          </w:tcPr>
          <w:p>
            <w:pPr>
              <w:ind w:firstLine="0" w:firstLineChars="0"/>
              <w:jc w:val="center"/>
              <w:rPr>
                <w:kern w:val="52"/>
                <w:sz w:val="21"/>
                <w:szCs w:val="21"/>
                <w:highlight w:val="none"/>
              </w:rPr>
            </w:pPr>
            <w:r>
              <w:rPr>
                <w:kern w:val="52"/>
                <w:sz w:val="21"/>
                <w:szCs w:val="21"/>
                <w:highlight w:val="none"/>
              </w:rPr>
              <w:t>溶解氧</w:t>
            </w:r>
          </w:p>
        </w:tc>
        <w:tc>
          <w:tcPr>
            <w:tcW w:w="2250" w:type="dxa"/>
            <w:vAlign w:val="center"/>
          </w:tcPr>
          <w:p>
            <w:pPr>
              <w:ind w:firstLine="0" w:firstLineChars="0"/>
              <w:jc w:val="center"/>
              <w:rPr>
                <w:kern w:val="52"/>
                <w:sz w:val="21"/>
                <w:szCs w:val="21"/>
                <w:highlight w:val="none"/>
              </w:rPr>
            </w:pPr>
            <w:r>
              <w:rPr>
                <w:rFonts w:hint="eastAsia"/>
                <w:kern w:val="52"/>
                <w:sz w:val="21"/>
                <w:szCs w:val="21"/>
                <w:highlight w:val="none"/>
                <w:lang w:val="en-US" w:eastAsia="zh-CN"/>
              </w:rPr>
              <w:t>2020/2/13</w:t>
            </w:r>
          </w:p>
        </w:tc>
        <w:tc>
          <w:tcPr>
            <w:tcW w:w="2949" w:type="dxa"/>
            <w:vAlign w:val="center"/>
          </w:tcPr>
          <w:p>
            <w:pPr>
              <w:ind w:firstLine="0" w:firstLineChars="0"/>
              <w:jc w:val="center"/>
              <w:rPr>
                <w:rFonts w:hint="default" w:eastAsia="宋体"/>
                <w:kern w:val="52"/>
                <w:sz w:val="21"/>
                <w:szCs w:val="21"/>
                <w:highlight w:val="none"/>
                <w:lang w:val="en-US" w:eastAsia="zh-CN"/>
              </w:rPr>
            </w:pPr>
            <w:r>
              <w:rPr>
                <w:rFonts w:hint="eastAsia"/>
                <w:kern w:val="52"/>
                <w:sz w:val="21"/>
                <w:szCs w:val="21"/>
                <w:highlight w:val="none"/>
                <w:lang w:val="en-US" w:eastAsia="zh-CN"/>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81" w:type="dxa"/>
            <w:vMerge w:val="continue"/>
            <w:vAlign w:val="center"/>
          </w:tcPr>
          <w:p>
            <w:pPr>
              <w:ind w:firstLine="0" w:firstLineChars="0"/>
              <w:jc w:val="center"/>
              <w:rPr>
                <w:b/>
                <w:bCs/>
                <w:kern w:val="52"/>
                <w:sz w:val="21"/>
                <w:szCs w:val="21"/>
                <w:highlight w:val="none"/>
              </w:rPr>
            </w:pPr>
          </w:p>
        </w:tc>
        <w:tc>
          <w:tcPr>
            <w:tcW w:w="2040" w:type="dxa"/>
            <w:vMerge w:val="continue"/>
            <w:vAlign w:val="center"/>
          </w:tcPr>
          <w:p>
            <w:pPr>
              <w:ind w:firstLine="0" w:firstLineChars="0"/>
              <w:jc w:val="center"/>
              <w:rPr>
                <w:kern w:val="52"/>
                <w:sz w:val="21"/>
                <w:szCs w:val="21"/>
                <w:highlight w:val="none"/>
              </w:rPr>
            </w:pPr>
          </w:p>
        </w:tc>
        <w:tc>
          <w:tcPr>
            <w:tcW w:w="2250" w:type="dxa"/>
            <w:vAlign w:val="center"/>
          </w:tcPr>
          <w:p>
            <w:pPr>
              <w:ind w:firstLine="0" w:firstLineChars="0"/>
              <w:jc w:val="center"/>
              <w:rPr>
                <w:kern w:val="52"/>
                <w:sz w:val="21"/>
                <w:szCs w:val="21"/>
                <w:highlight w:val="none"/>
              </w:rPr>
            </w:pPr>
            <w:r>
              <w:rPr>
                <w:rFonts w:hint="eastAsia"/>
                <w:kern w:val="52"/>
                <w:sz w:val="21"/>
                <w:szCs w:val="21"/>
                <w:highlight w:val="none"/>
                <w:lang w:val="en-US" w:eastAsia="zh-CN"/>
              </w:rPr>
              <w:t>2020/2/14</w:t>
            </w:r>
          </w:p>
        </w:tc>
        <w:tc>
          <w:tcPr>
            <w:tcW w:w="2949" w:type="dxa"/>
            <w:vAlign w:val="center"/>
          </w:tcPr>
          <w:p>
            <w:pPr>
              <w:ind w:firstLine="0" w:firstLineChars="0"/>
              <w:jc w:val="center"/>
              <w:rPr>
                <w:rFonts w:hint="default" w:eastAsia="宋体"/>
                <w:kern w:val="52"/>
                <w:sz w:val="21"/>
                <w:szCs w:val="21"/>
                <w:highlight w:val="none"/>
                <w:lang w:val="en-US" w:eastAsia="zh-CN"/>
              </w:rPr>
            </w:pPr>
            <w:r>
              <w:rPr>
                <w:rFonts w:hint="eastAsia"/>
                <w:kern w:val="52"/>
                <w:sz w:val="21"/>
                <w:szCs w:val="21"/>
                <w:highlight w:val="none"/>
                <w:lang w:val="en-US" w:eastAsia="zh-CN"/>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81" w:type="dxa"/>
            <w:vMerge w:val="continue"/>
            <w:vAlign w:val="center"/>
          </w:tcPr>
          <w:p>
            <w:pPr>
              <w:ind w:firstLine="0" w:firstLineChars="0"/>
              <w:jc w:val="center"/>
              <w:rPr>
                <w:b/>
                <w:bCs/>
                <w:kern w:val="52"/>
                <w:sz w:val="21"/>
                <w:szCs w:val="21"/>
                <w:highlight w:val="none"/>
              </w:rPr>
            </w:pPr>
          </w:p>
        </w:tc>
        <w:tc>
          <w:tcPr>
            <w:tcW w:w="2040" w:type="dxa"/>
            <w:vMerge w:val="restart"/>
            <w:vAlign w:val="center"/>
          </w:tcPr>
          <w:p>
            <w:pPr>
              <w:ind w:firstLine="0" w:firstLineChars="0"/>
              <w:jc w:val="center"/>
              <w:rPr>
                <w:kern w:val="52"/>
                <w:sz w:val="21"/>
                <w:szCs w:val="21"/>
                <w:highlight w:val="none"/>
              </w:rPr>
            </w:pPr>
            <w:r>
              <w:rPr>
                <w:kern w:val="52"/>
                <w:sz w:val="21"/>
                <w:szCs w:val="21"/>
                <w:highlight w:val="none"/>
              </w:rPr>
              <w:t>高猛酸盐指数</w:t>
            </w:r>
          </w:p>
        </w:tc>
        <w:tc>
          <w:tcPr>
            <w:tcW w:w="2250" w:type="dxa"/>
            <w:vAlign w:val="center"/>
          </w:tcPr>
          <w:p>
            <w:pPr>
              <w:ind w:firstLine="0" w:firstLineChars="0"/>
              <w:jc w:val="center"/>
              <w:rPr>
                <w:kern w:val="52"/>
                <w:sz w:val="21"/>
                <w:szCs w:val="21"/>
                <w:highlight w:val="none"/>
              </w:rPr>
            </w:pPr>
            <w:r>
              <w:rPr>
                <w:rFonts w:hint="eastAsia"/>
                <w:kern w:val="52"/>
                <w:sz w:val="21"/>
                <w:szCs w:val="21"/>
                <w:highlight w:val="none"/>
                <w:lang w:val="en-US" w:eastAsia="zh-CN"/>
              </w:rPr>
              <w:t>2020/2/13</w:t>
            </w:r>
          </w:p>
        </w:tc>
        <w:tc>
          <w:tcPr>
            <w:tcW w:w="2949" w:type="dxa"/>
            <w:vAlign w:val="center"/>
          </w:tcPr>
          <w:p>
            <w:pPr>
              <w:ind w:firstLine="0" w:firstLineChars="0"/>
              <w:jc w:val="center"/>
              <w:rPr>
                <w:rFonts w:hint="default" w:eastAsia="宋体"/>
                <w:kern w:val="52"/>
                <w:sz w:val="21"/>
                <w:szCs w:val="21"/>
                <w:highlight w:val="none"/>
                <w:lang w:val="en-US" w:eastAsia="zh-CN"/>
              </w:rPr>
            </w:pPr>
            <w:r>
              <w:rPr>
                <w:rFonts w:hint="eastAsia"/>
                <w:kern w:val="52"/>
                <w:sz w:val="21"/>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81" w:type="dxa"/>
            <w:vMerge w:val="continue"/>
            <w:vAlign w:val="center"/>
          </w:tcPr>
          <w:p>
            <w:pPr>
              <w:ind w:firstLine="0" w:firstLineChars="0"/>
              <w:jc w:val="center"/>
              <w:rPr>
                <w:b/>
                <w:bCs/>
                <w:kern w:val="52"/>
                <w:sz w:val="21"/>
                <w:szCs w:val="21"/>
                <w:highlight w:val="none"/>
              </w:rPr>
            </w:pPr>
          </w:p>
        </w:tc>
        <w:tc>
          <w:tcPr>
            <w:tcW w:w="2040" w:type="dxa"/>
            <w:vMerge w:val="continue"/>
            <w:vAlign w:val="center"/>
          </w:tcPr>
          <w:p>
            <w:pPr>
              <w:ind w:firstLine="0" w:firstLineChars="0"/>
              <w:jc w:val="center"/>
              <w:rPr>
                <w:kern w:val="52"/>
                <w:sz w:val="21"/>
                <w:szCs w:val="21"/>
                <w:highlight w:val="none"/>
              </w:rPr>
            </w:pPr>
          </w:p>
        </w:tc>
        <w:tc>
          <w:tcPr>
            <w:tcW w:w="2250" w:type="dxa"/>
            <w:vAlign w:val="center"/>
          </w:tcPr>
          <w:p>
            <w:pPr>
              <w:ind w:firstLine="0" w:firstLineChars="0"/>
              <w:jc w:val="center"/>
              <w:rPr>
                <w:kern w:val="52"/>
                <w:sz w:val="21"/>
                <w:szCs w:val="21"/>
                <w:highlight w:val="none"/>
              </w:rPr>
            </w:pPr>
            <w:r>
              <w:rPr>
                <w:rFonts w:hint="eastAsia"/>
                <w:kern w:val="52"/>
                <w:sz w:val="21"/>
                <w:szCs w:val="21"/>
                <w:highlight w:val="none"/>
                <w:lang w:val="en-US" w:eastAsia="zh-CN"/>
              </w:rPr>
              <w:t>2020/2/14</w:t>
            </w:r>
          </w:p>
        </w:tc>
        <w:tc>
          <w:tcPr>
            <w:tcW w:w="2949" w:type="dxa"/>
            <w:vAlign w:val="center"/>
          </w:tcPr>
          <w:p>
            <w:pPr>
              <w:ind w:firstLine="0" w:firstLineChars="0"/>
              <w:jc w:val="center"/>
              <w:rPr>
                <w:rFonts w:hint="default" w:eastAsia="宋体"/>
                <w:kern w:val="52"/>
                <w:sz w:val="21"/>
                <w:szCs w:val="21"/>
                <w:highlight w:val="none"/>
                <w:lang w:val="en-US" w:eastAsia="zh-CN"/>
              </w:rPr>
            </w:pPr>
            <w:r>
              <w:rPr>
                <w:rFonts w:hint="eastAsia"/>
                <w:kern w:val="52"/>
                <w:sz w:val="21"/>
                <w:szCs w:val="21"/>
                <w:highlight w:val="none"/>
                <w:lang w:val="en-US" w:eastAsia="zh-CN"/>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81" w:type="dxa"/>
            <w:vMerge w:val="continue"/>
            <w:vAlign w:val="center"/>
          </w:tcPr>
          <w:p>
            <w:pPr>
              <w:ind w:firstLine="0" w:firstLineChars="0"/>
              <w:jc w:val="center"/>
              <w:rPr>
                <w:b/>
                <w:bCs/>
                <w:kern w:val="52"/>
                <w:sz w:val="21"/>
                <w:szCs w:val="21"/>
                <w:highlight w:val="none"/>
              </w:rPr>
            </w:pPr>
          </w:p>
        </w:tc>
        <w:tc>
          <w:tcPr>
            <w:tcW w:w="2040" w:type="dxa"/>
            <w:vMerge w:val="restart"/>
            <w:vAlign w:val="center"/>
          </w:tcPr>
          <w:p>
            <w:pPr>
              <w:ind w:firstLine="0" w:firstLineChars="0"/>
              <w:jc w:val="center"/>
              <w:rPr>
                <w:kern w:val="52"/>
                <w:sz w:val="21"/>
                <w:szCs w:val="21"/>
                <w:highlight w:val="none"/>
              </w:rPr>
            </w:pPr>
            <w:r>
              <w:rPr>
                <w:kern w:val="52"/>
                <w:sz w:val="21"/>
                <w:szCs w:val="21"/>
                <w:highlight w:val="none"/>
              </w:rPr>
              <w:t>BOD</w:t>
            </w:r>
            <w:r>
              <w:rPr>
                <w:kern w:val="52"/>
                <w:sz w:val="21"/>
                <w:szCs w:val="21"/>
                <w:highlight w:val="none"/>
                <w:vertAlign w:val="subscript"/>
              </w:rPr>
              <w:t>5</w:t>
            </w:r>
          </w:p>
        </w:tc>
        <w:tc>
          <w:tcPr>
            <w:tcW w:w="2250" w:type="dxa"/>
            <w:vAlign w:val="center"/>
          </w:tcPr>
          <w:p>
            <w:pPr>
              <w:ind w:firstLine="0" w:firstLineChars="0"/>
              <w:jc w:val="center"/>
              <w:rPr>
                <w:kern w:val="52"/>
                <w:sz w:val="21"/>
                <w:szCs w:val="21"/>
                <w:highlight w:val="none"/>
              </w:rPr>
            </w:pPr>
            <w:r>
              <w:rPr>
                <w:rFonts w:hint="eastAsia"/>
                <w:kern w:val="52"/>
                <w:sz w:val="21"/>
                <w:szCs w:val="21"/>
                <w:highlight w:val="none"/>
                <w:lang w:val="en-US" w:eastAsia="zh-CN"/>
              </w:rPr>
              <w:t>2020/2/13</w:t>
            </w:r>
          </w:p>
        </w:tc>
        <w:tc>
          <w:tcPr>
            <w:tcW w:w="2949" w:type="dxa"/>
            <w:vAlign w:val="center"/>
          </w:tcPr>
          <w:p>
            <w:pPr>
              <w:ind w:firstLine="0" w:firstLineChars="0"/>
              <w:jc w:val="center"/>
              <w:rPr>
                <w:rFonts w:hint="default" w:eastAsia="宋体"/>
                <w:kern w:val="52"/>
                <w:sz w:val="21"/>
                <w:szCs w:val="21"/>
                <w:highlight w:val="none"/>
                <w:lang w:val="en-US" w:eastAsia="zh-CN"/>
              </w:rPr>
            </w:pPr>
            <w:r>
              <w:rPr>
                <w:rFonts w:hint="eastAsia"/>
                <w:kern w:val="52"/>
                <w:sz w:val="21"/>
                <w:szCs w:val="21"/>
                <w:highlight w:val="none"/>
                <w:lang w:val="en-US" w:eastAsia="zh-C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81" w:type="dxa"/>
            <w:vMerge w:val="continue"/>
            <w:vAlign w:val="center"/>
          </w:tcPr>
          <w:p>
            <w:pPr>
              <w:ind w:firstLine="0" w:firstLineChars="0"/>
              <w:jc w:val="center"/>
              <w:rPr>
                <w:b/>
                <w:bCs/>
                <w:kern w:val="52"/>
                <w:sz w:val="21"/>
                <w:szCs w:val="21"/>
                <w:highlight w:val="none"/>
              </w:rPr>
            </w:pPr>
          </w:p>
        </w:tc>
        <w:tc>
          <w:tcPr>
            <w:tcW w:w="2040" w:type="dxa"/>
            <w:vMerge w:val="continue"/>
            <w:vAlign w:val="center"/>
          </w:tcPr>
          <w:p>
            <w:pPr>
              <w:ind w:firstLine="0" w:firstLineChars="0"/>
              <w:jc w:val="center"/>
              <w:rPr>
                <w:kern w:val="52"/>
                <w:sz w:val="21"/>
                <w:szCs w:val="21"/>
                <w:highlight w:val="none"/>
              </w:rPr>
            </w:pPr>
          </w:p>
        </w:tc>
        <w:tc>
          <w:tcPr>
            <w:tcW w:w="2250" w:type="dxa"/>
            <w:vAlign w:val="center"/>
          </w:tcPr>
          <w:p>
            <w:pPr>
              <w:ind w:firstLine="0" w:firstLineChars="0"/>
              <w:jc w:val="center"/>
              <w:rPr>
                <w:kern w:val="52"/>
                <w:sz w:val="21"/>
                <w:szCs w:val="21"/>
                <w:highlight w:val="none"/>
              </w:rPr>
            </w:pPr>
            <w:r>
              <w:rPr>
                <w:rFonts w:hint="eastAsia"/>
                <w:kern w:val="52"/>
                <w:sz w:val="21"/>
                <w:szCs w:val="21"/>
                <w:highlight w:val="none"/>
                <w:lang w:val="en-US" w:eastAsia="zh-CN"/>
              </w:rPr>
              <w:t>2020/2/14</w:t>
            </w:r>
          </w:p>
        </w:tc>
        <w:tc>
          <w:tcPr>
            <w:tcW w:w="2949" w:type="dxa"/>
            <w:vAlign w:val="center"/>
          </w:tcPr>
          <w:p>
            <w:pPr>
              <w:ind w:firstLine="0" w:firstLineChars="0"/>
              <w:jc w:val="center"/>
              <w:rPr>
                <w:rFonts w:hint="default" w:eastAsia="宋体"/>
                <w:kern w:val="52"/>
                <w:sz w:val="21"/>
                <w:szCs w:val="21"/>
                <w:highlight w:val="none"/>
                <w:lang w:val="en-US" w:eastAsia="zh-CN"/>
              </w:rPr>
            </w:pPr>
            <w:r>
              <w:rPr>
                <w:rFonts w:hint="eastAsia"/>
                <w:kern w:val="52"/>
                <w:sz w:val="21"/>
                <w:szCs w:val="21"/>
                <w:highlight w:val="none"/>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81" w:type="dxa"/>
            <w:vMerge w:val="continue"/>
            <w:vAlign w:val="center"/>
          </w:tcPr>
          <w:p>
            <w:pPr>
              <w:ind w:firstLine="0" w:firstLineChars="0"/>
              <w:jc w:val="center"/>
              <w:rPr>
                <w:b/>
                <w:bCs/>
                <w:kern w:val="52"/>
                <w:sz w:val="21"/>
                <w:szCs w:val="21"/>
                <w:highlight w:val="none"/>
              </w:rPr>
            </w:pPr>
          </w:p>
        </w:tc>
        <w:tc>
          <w:tcPr>
            <w:tcW w:w="2040" w:type="dxa"/>
            <w:vMerge w:val="restart"/>
            <w:vAlign w:val="center"/>
          </w:tcPr>
          <w:p>
            <w:pPr>
              <w:ind w:firstLine="0" w:firstLineChars="0"/>
              <w:jc w:val="center"/>
              <w:rPr>
                <w:kern w:val="52"/>
                <w:sz w:val="21"/>
                <w:szCs w:val="21"/>
                <w:highlight w:val="none"/>
              </w:rPr>
            </w:pPr>
            <w:r>
              <w:rPr>
                <w:kern w:val="52"/>
                <w:sz w:val="21"/>
                <w:szCs w:val="21"/>
                <w:highlight w:val="none"/>
              </w:rPr>
              <w:t>氨氮</w:t>
            </w:r>
          </w:p>
        </w:tc>
        <w:tc>
          <w:tcPr>
            <w:tcW w:w="2250" w:type="dxa"/>
            <w:vAlign w:val="center"/>
          </w:tcPr>
          <w:p>
            <w:pPr>
              <w:ind w:firstLine="0" w:firstLineChars="0"/>
              <w:jc w:val="center"/>
              <w:rPr>
                <w:kern w:val="52"/>
                <w:sz w:val="21"/>
                <w:szCs w:val="21"/>
                <w:highlight w:val="none"/>
              </w:rPr>
            </w:pPr>
            <w:r>
              <w:rPr>
                <w:rFonts w:hint="eastAsia"/>
                <w:kern w:val="52"/>
                <w:sz w:val="21"/>
                <w:szCs w:val="21"/>
                <w:highlight w:val="none"/>
                <w:lang w:val="en-US" w:eastAsia="zh-CN"/>
              </w:rPr>
              <w:t>2020/2/13</w:t>
            </w:r>
          </w:p>
        </w:tc>
        <w:tc>
          <w:tcPr>
            <w:tcW w:w="2949" w:type="dxa"/>
            <w:vAlign w:val="center"/>
          </w:tcPr>
          <w:p>
            <w:pPr>
              <w:ind w:firstLine="0" w:firstLineChars="0"/>
              <w:jc w:val="center"/>
              <w:rPr>
                <w:rFonts w:hint="default" w:eastAsia="宋体"/>
                <w:kern w:val="52"/>
                <w:sz w:val="21"/>
                <w:szCs w:val="21"/>
                <w:highlight w:val="none"/>
                <w:lang w:val="en-US" w:eastAsia="zh-CN"/>
              </w:rPr>
            </w:pPr>
            <w:r>
              <w:rPr>
                <w:rFonts w:hint="eastAsia"/>
                <w:kern w:val="52"/>
                <w:sz w:val="21"/>
                <w:szCs w:val="21"/>
                <w:highlight w:val="none"/>
                <w:lang w:val="en-US" w:eastAsia="zh-CN"/>
              </w:rPr>
              <w:t>0.454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81" w:type="dxa"/>
            <w:vMerge w:val="continue"/>
            <w:vAlign w:val="center"/>
          </w:tcPr>
          <w:p>
            <w:pPr>
              <w:ind w:firstLine="0" w:firstLineChars="0"/>
              <w:jc w:val="center"/>
              <w:rPr>
                <w:b/>
                <w:bCs/>
                <w:kern w:val="52"/>
                <w:sz w:val="21"/>
                <w:szCs w:val="21"/>
                <w:highlight w:val="none"/>
              </w:rPr>
            </w:pPr>
          </w:p>
        </w:tc>
        <w:tc>
          <w:tcPr>
            <w:tcW w:w="2040" w:type="dxa"/>
            <w:vMerge w:val="continue"/>
            <w:vAlign w:val="center"/>
          </w:tcPr>
          <w:p>
            <w:pPr>
              <w:ind w:firstLine="0" w:firstLineChars="0"/>
              <w:jc w:val="center"/>
              <w:rPr>
                <w:kern w:val="52"/>
                <w:sz w:val="21"/>
                <w:szCs w:val="21"/>
                <w:highlight w:val="none"/>
              </w:rPr>
            </w:pPr>
          </w:p>
        </w:tc>
        <w:tc>
          <w:tcPr>
            <w:tcW w:w="2250" w:type="dxa"/>
            <w:vAlign w:val="center"/>
          </w:tcPr>
          <w:p>
            <w:pPr>
              <w:ind w:firstLine="0" w:firstLineChars="0"/>
              <w:jc w:val="center"/>
              <w:rPr>
                <w:kern w:val="52"/>
                <w:sz w:val="21"/>
                <w:szCs w:val="21"/>
                <w:highlight w:val="none"/>
              </w:rPr>
            </w:pPr>
            <w:r>
              <w:rPr>
                <w:rFonts w:hint="eastAsia"/>
                <w:kern w:val="52"/>
                <w:sz w:val="21"/>
                <w:szCs w:val="21"/>
                <w:highlight w:val="none"/>
                <w:lang w:val="en-US" w:eastAsia="zh-CN"/>
              </w:rPr>
              <w:t>2020/2/14</w:t>
            </w:r>
          </w:p>
        </w:tc>
        <w:tc>
          <w:tcPr>
            <w:tcW w:w="2949" w:type="dxa"/>
            <w:vAlign w:val="center"/>
          </w:tcPr>
          <w:p>
            <w:pPr>
              <w:ind w:firstLine="0" w:firstLineChars="0"/>
              <w:jc w:val="center"/>
              <w:rPr>
                <w:rFonts w:hint="default" w:eastAsia="宋体"/>
                <w:kern w:val="52"/>
                <w:sz w:val="21"/>
                <w:szCs w:val="21"/>
                <w:highlight w:val="none"/>
                <w:lang w:val="en-US" w:eastAsia="zh-CN"/>
              </w:rPr>
            </w:pPr>
            <w:r>
              <w:rPr>
                <w:rFonts w:hint="eastAsia"/>
                <w:kern w:val="52"/>
                <w:sz w:val="21"/>
                <w:szCs w:val="21"/>
                <w:highlight w:val="none"/>
                <w:lang w:val="en-US" w:eastAsia="zh-CN"/>
              </w:rPr>
              <w:t>0.443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81" w:type="dxa"/>
            <w:vMerge w:val="continue"/>
            <w:vAlign w:val="center"/>
          </w:tcPr>
          <w:p>
            <w:pPr>
              <w:ind w:firstLine="0" w:firstLineChars="0"/>
              <w:jc w:val="center"/>
              <w:rPr>
                <w:b/>
                <w:bCs/>
                <w:kern w:val="52"/>
                <w:sz w:val="21"/>
                <w:szCs w:val="21"/>
                <w:highlight w:val="none"/>
              </w:rPr>
            </w:pPr>
          </w:p>
        </w:tc>
        <w:tc>
          <w:tcPr>
            <w:tcW w:w="2040" w:type="dxa"/>
            <w:vMerge w:val="restart"/>
            <w:vAlign w:val="center"/>
          </w:tcPr>
          <w:p>
            <w:pPr>
              <w:ind w:firstLine="0" w:firstLineChars="0"/>
              <w:jc w:val="center"/>
              <w:rPr>
                <w:kern w:val="52"/>
                <w:sz w:val="21"/>
                <w:szCs w:val="21"/>
                <w:highlight w:val="none"/>
              </w:rPr>
            </w:pPr>
            <w:r>
              <w:rPr>
                <w:kern w:val="52"/>
                <w:sz w:val="21"/>
                <w:szCs w:val="21"/>
                <w:highlight w:val="none"/>
              </w:rPr>
              <w:t>总磷</w:t>
            </w:r>
          </w:p>
        </w:tc>
        <w:tc>
          <w:tcPr>
            <w:tcW w:w="2250" w:type="dxa"/>
            <w:vAlign w:val="center"/>
          </w:tcPr>
          <w:p>
            <w:pPr>
              <w:ind w:firstLine="0" w:firstLineChars="0"/>
              <w:jc w:val="center"/>
              <w:rPr>
                <w:kern w:val="52"/>
                <w:sz w:val="21"/>
                <w:szCs w:val="21"/>
                <w:highlight w:val="none"/>
              </w:rPr>
            </w:pPr>
            <w:r>
              <w:rPr>
                <w:rFonts w:hint="eastAsia"/>
                <w:kern w:val="52"/>
                <w:sz w:val="21"/>
                <w:szCs w:val="21"/>
                <w:highlight w:val="none"/>
                <w:lang w:val="en-US" w:eastAsia="zh-CN"/>
              </w:rPr>
              <w:t>2020/2/13</w:t>
            </w:r>
          </w:p>
        </w:tc>
        <w:tc>
          <w:tcPr>
            <w:tcW w:w="2949" w:type="dxa"/>
            <w:vAlign w:val="center"/>
          </w:tcPr>
          <w:p>
            <w:pPr>
              <w:ind w:firstLine="0" w:firstLineChars="0"/>
              <w:jc w:val="center"/>
              <w:rPr>
                <w:rFonts w:hint="default" w:eastAsia="宋体"/>
                <w:kern w:val="52"/>
                <w:sz w:val="21"/>
                <w:szCs w:val="21"/>
                <w:highlight w:val="none"/>
                <w:lang w:val="en-US" w:eastAsia="zh-CN"/>
              </w:rPr>
            </w:pPr>
            <w:r>
              <w:rPr>
                <w:rFonts w:hint="eastAsia"/>
                <w:kern w:val="52"/>
                <w:sz w:val="21"/>
                <w:szCs w:val="21"/>
                <w:highlight w:val="none"/>
                <w:lang w:val="en-US" w:eastAsia="zh-CN"/>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81" w:type="dxa"/>
            <w:vMerge w:val="continue"/>
            <w:vAlign w:val="center"/>
          </w:tcPr>
          <w:p>
            <w:pPr>
              <w:ind w:firstLine="0" w:firstLineChars="0"/>
              <w:jc w:val="center"/>
              <w:rPr>
                <w:b/>
                <w:bCs/>
                <w:kern w:val="52"/>
                <w:sz w:val="21"/>
                <w:szCs w:val="21"/>
                <w:highlight w:val="none"/>
              </w:rPr>
            </w:pPr>
          </w:p>
        </w:tc>
        <w:tc>
          <w:tcPr>
            <w:tcW w:w="2040" w:type="dxa"/>
            <w:vMerge w:val="continue"/>
            <w:vAlign w:val="center"/>
          </w:tcPr>
          <w:p>
            <w:pPr>
              <w:ind w:firstLine="0" w:firstLineChars="0"/>
              <w:jc w:val="center"/>
              <w:rPr>
                <w:kern w:val="52"/>
                <w:sz w:val="21"/>
                <w:szCs w:val="21"/>
                <w:highlight w:val="none"/>
              </w:rPr>
            </w:pPr>
          </w:p>
        </w:tc>
        <w:tc>
          <w:tcPr>
            <w:tcW w:w="2250" w:type="dxa"/>
            <w:vAlign w:val="center"/>
          </w:tcPr>
          <w:p>
            <w:pPr>
              <w:ind w:firstLine="0" w:firstLineChars="0"/>
              <w:jc w:val="center"/>
              <w:rPr>
                <w:kern w:val="52"/>
                <w:sz w:val="21"/>
                <w:szCs w:val="21"/>
                <w:highlight w:val="none"/>
              </w:rPr>
            </w:pPr>
            <w:r>
              <w:rPr>
                <w:rFonts w:hint="eastAsia"/>
                <w:kern w:val="52"/>
                <w:sz w:val="21"/>
                <w:szCs w:val="21"/>
                <w:highlight w:val="none"/>
                <w:lang w:val="en-US" w:eastAsia="zh-CN"/>
              </w:rPr>
              <w:t>2020/2/14</w:t>
            </w:r>
          </w:p>
        </w:tc>
        <w:tc>
          <w:tcPr>
            <w:tcW w:w="2949" w:type="dxa"/>
            <w:vAlign w:val="center"/>
          </w:tcPr>
          <w:p>
            <w:pPr>
              <w:ind w:firstLine="0" w:firstLineChars="0"/>
              <w:jc w:val="center"/>
              <w:rPr>
                <w:rFonts w:hint="default" w:eastAsia="宋体"/>
                <w:kern w:val="52"/>
                <w:sz w:val="21"/>
                <w:szCs w:val="21"/>
                <w:highlight w:val="none"/>
                <w:lang w:val="en-US" w:eastAsia="zh-CN"/>
              </w:rPr>
            </w:pPr>
            <w:r>
              <w:rPr>
                <w:rFonts w:hint="eastAsia"/>
                <w:kern w:val="52"/>
                <w:sz w:val="21"/>
                <w:szCs w:val="21"/>
                <w:highlight w:val="none"/>
                <w:lang w:val="en-US" w:eastAsia="zh-CN"/>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81" w:type="dxa"/>
            <w:vMerge w:val="continue"/>
            <w:vAlign w:val="center"/>
          </w:tcPr>
          <w:p>
            <w:pPr>
              <w:ind w:firstLine="0" w:firstLineChars="0"/>
              <w:jc w:val="center"/>
              <w:rPr>
                <w:b/>
                <w:bCs/>
                <w:kern w:val="52"/>
                <w:sz w:val="21"/>
                <w:szCs w:val="21"/>
                <w:highlight w:val="none"/>
              </w:rPr>
            </w:pPr>
          </w:p>
        </w:tc>
        <w:tc>
          <w:tcPr>
            <w:tcW w:w="2040" w:type="dxa"/>
            <w:vMerge w:val="restart"/>
            <w:vAlign w:val="center"/>
          </w:tcPr>
          <w:p>
            <w:pPr>
              <w:ind w:firstLine="0" w:firstLineChars="0"/>
              <w:jc w:val="center"/>
              <w:rPr>
                <w:kern w:val="52"/>
                <w:sz w:val="21"/>
                <w:szCs w:val="21"/>
                <w:highlight w:val="none"/>
              </w:rPr>
            </w:pPr>
            <w:r>
              <w:rPr>
                <w:kern w:val="52"/>
                <w:sz w:val="21"/>
                <w:szCs w:val="21"/>
                <w:highlight w:val="none"/>
              </w:rPr>
              <w:t>砷</w:t>
            </w:r>
          </w:p>
        </w:tc>
        <w:tc>
          <w:tcPr>
            <w:tcW w:w="2250" w:type="dxa"/>
            <w:vAlign w:val="center"/>
          </w:tcPr>
          <w:p>
            <w:pPr>
              <w:ind w:firstLine="0" w:firstLineChars="0"/>
              <w:jc w:val="center"/>
              <w:rPr>
                <w:kern w:val="52"/>
                <w:sz w:val="21"/>
                <w:szCs w:val="21"/>
                <w:highlight w:val="none"/>
              </w:rPr>
            </w:pPr>
            <w:r>
              <w:rPr>
                <w:rFonts w:hint="eastAsia"/>
                <w:kern w:val="52"/>
                <w:sz w:val="21"/>
                <w:szCs w:val="21"/>
                <w:highlight w:val="none"/>
                <w:lang w:val="en-US" w:eastAsia="zh-CN"/>
              </w:rPr>
              <w:t>2020/2/13</w:t>
            </w:r>
          </w:p>
        </w:tc>
        <w:tc>
          <w:tcPr>
            <w:tcW w:w="2949" w:type="dxa"/>
            <w:vAlign w:val="center"/>
          </w:tcPr>
          <w:p>
            <w:pPr>
              <w:ind w:firstLine="0" w:firstLineChars="0"/>
              <w:jc w:val="center"/>
              <w:rPr>
                <w:rFonts w:hint="default" w:eastAsia="宋体"/>
                <w:kern w:val="52"/>
                <w:sz w:val="21"/>
                <w:szCs w:val="21"/>
                <w:highlight w:val="none"/>
                <w:lang w:val="en-US" w:eastAsia="zh-CN"/>
              </w:rPr>
            </w:pPr>
            <w:r>
              <w:rPr>
                <w:rFonts w:hint="eastAsia"/>
                <w:kern w:val="52"/>
                <w:sz w:val="21"/>
                <w:szCs w:val="21"/>
                <w:highlight w:val="none"/>
                <w:lang w:val="en-US" w:eastAsia="zh-CN"/>
              </w:rPr>
              <w:t>0.0003L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81" w:type="dxa"/>
            <w:vMerge w:val="continue"/>
            <w:vAlign w:val="center"/>
          </w:tcPr>
          <w:p>
            <w:pPr>
              <w:ind w:firstLine="0" w:firstLineChars="0"/>
              <w:jc w:val="center"/>
              <w:rPr>
                <w:b/>
                <w:bCs/>
                <w:kern w:val="52"/>
                <w:sz w:val="21"/>
                <w:szCs w:val="21"/>
                <w:highlight w:val="none"/>
              </w:rPr>
            </w:pPr>
          </w:p>
        </w:tc>
        <w:tc>
          <w:tcPr>
            <w:tcW w:w="2040" w:type="dxa"/>
            <w:vMerge w:val="continue"/>
            <w:vAlign w:val="center"/>
          </w:tcPr>
          <w:p>
            <w:pPr>
              <w:ind w:firstLine="0" w:firstLineChars="0"/>
              <w:jc w:val="center"/>
              <w:rPr>
                <w:kern w:val="52"/>
                <w:sz w:val="21"/>
                <w:szCs w:val="21"/>
                <w:highlight w:val="none"/>
              </w:rPr>
            </w:pPr>
          </w:p>
        </w:tc>
        <w:tc>
          <w:tcPr>
            <w:tcW w:w="2250" w:type="dxa"/>
            <w:vAlign w:val="center"/>
          </w:tcPr>
          <w:p>
            <w:pPr>
              <w:ind w:firstLine="0" w:firstLineChars="0"/>
              <w:jc w:val="center"/>
              <w:rPr>
                <w:kern w:val="52"/>
                <w:sz w:val="21"/>
                <w:szCs w:val="21"/>
                <w:highlight w:val="none"/>
              </w:rPr>
            </w:pPr>
            <w:r>
              <w:rPr>
                <w:rFonts w:hint="eastAsia"/>
                <w:kern w:val="52"/>
                <w:sz w:val="21"/>
                <w:szCs w:val="21"/>
                <w:highlight w:val="none"/>
                <w:lang w:val="en-US" w:eastAsia="zh-CN"/>
              </w:rPr>
              <w:t>2020/2/14</w:t>
            </w:r>
          </w:p>
        </w:tc>
        <w:tc>
          <w:tcPr>
            <w:tcW w:w="2949" w:type="dxa"/>
            <w:vAlign w:val="center"/>
          </w:tcPr>
          <w:p>
            <w:pPr>
              <w:ind w:firstLine="0" w:firstLineChars="0"/>
              <w:jc w:val="center"/>
              <w:rPr>
                <w:rFonts w:hint="default" w:eastAsia="宋体"/>
                <w:kern w:val="52"/>
                <w:sz w:val="21"/>
                <w:szCs w:val="21"/>
                <w:highlight w:val="none"/>
                <w:lang w:val="en-US" w:eastAsia="zh-CN"/>
              </w:rPr>
            </w:pPr>
            <w:r>
              <w:rPr>
                <w:rFonts w:hint="eastAsia"/>
                <w:kern w:val="52"/>
                <w:sz w:val="21"/>
                <w:szCs w:val="21"/>
                <w:highlight w:val="none"/>
                <w:lang w:val="en-US" w:eastAsia="zh-CN"/>
              </w:rPr>
              <w:t>0.0003L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81" w:type="dxa"/>
            <w:vMerge w:val="continue"/>
            <w:vAlign w:val="center"/>
          </w:tcPr>
          <w:p>
            <w:pPr>
              <w:ind w:firstLine="0" w:firstLineChars="0"/>
              <w:jc w:val="center"/>
              <w:rPr>
                <w:b/>
                <w:bCs/>
                <w:kern w:val="52"/>
                <w:sz w:val="21"/>
                <w:szCs w:val="21"/>
                <w:highlight w:val="none"/>
              </w:rPr>
            </w:pPr>
          </w:p>
        </w:tc>
        <w:tc>
          <w:tcPr>
            <w:tcW w:w="2040" w:type="dxa"/>
            <w:vMerge w:val="restart"/>
            <w:vAlign w:val="center"/>
          </w:tcPr>
          <w:p>
            <w:pPr>
              <w:ind w:firstLine="0" w:firstLineChars="0"/>
              <w:jc w:val="center"/>
              <w:rPr>
                <w:kern w:val="52"/>
                <w:sz w:val="21"/>
                <w:szCs w:val="21"/>
                <w:highlight w:val="none"/>
              </w:rPr>
            </w:pPr>
            <w:r>
              <w:rPr>
                <w:kern w:val="52"/>
                <w:sz w:val="21"/>
                <w:szCs w:val="21"/>
                <w:highlight w:val="none"/>
              </w:rPr>
              <w:t>汞</w:t>
            </w:r>
          </w:p>
        </w:tc>
        <w:tc>
          <w:tcPr>
            <w:tcW w:w="2250" w:type="dxa"/>
            <w:vAlign w:val="center"/>
          </w:tcPr>
          <w:p>
            <w:pPr>
              <w:ind w:firstLine="0" w:firstLineChars="0"/>
              <w:jc w:val="center"/>
              <w:rPr>
                <w:kern w:val="52"/>
                <w:sz w:val="21"/>
                <w:szCs w:val="21"/>
                <w:highlight w:val="none"/>
              </w:rPr>
            </w:pPr>
            <w:r>
              <w:rPr>
                <w:rFonts w:hint="eastAsia"/>
                <w:kern w:val="52"/>
                <w:sz w:val="21"/>
                <w:szCs w:val="21"/>
                <w:highlight w:val="none"/>
                <w:lang w:val="en-US" w:eastAsia="zh-CN"/>
              </w:rPr>
              <w:t>2020/2/13</w:t>
            </w:r>
          </w:p>
        </w:tc>
        <w:tc>
          <w:tcPr>
            <w:tcW w:w="2949" w:type="dxa"/>
            <w:vAlign w:val="center"/>
          </w:tcPr>
          <w:p>
            <w:pPr>
              <w:ind w:firstLine="0" w:firstLineChars="0"/>
              <w:jc w:val="center"/>
              <w:rPr>
                <w:kern w:val="52"/>
                <w:sz w:val="21"/>
                <w:szCs w:val="21"/>
                <w:highlight w:val="none"/>
              </w:rPr>
            </w:pPr>
            <w:r>
              <w:rPr>
                <w:rFonts w:hint="eastAsia"/>
                <w:kern w:val="52"/>
                <w:sz w:val="21"/>
                <w:szCs w:val="21"/>
                <w:highlight w:val="none"/>
              </w:rPr>
              <w:t>0.0000</w:t>
            </w:r>
            <w:r>
              <w:rPr>
                <w:rFonts w:hint="eastAsia"/>
                <w:kern w:val="52"/>
                <w:sz w:val="21"/>
                <w:szCs w:val="21"/>
                <w:highlight w:val="none"/>
                <w:lang w:val="en-US" w:eastAsia="zh-CN"/>
              </w:rPr>
              <w:t>4</w:t>
            </w:r>
            <w:r>
              <w:rPr>
                <w:rFonts w:hint="eastAsia"/>
                <w:kern w:val="52"/>
                <w:sz w:val="21"/>
                <w:szCs w:val="21"/>
                <w:highlight w:val="none"/>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81" w:type="dxa"/>
            <w:vMerge w:val="continue"/>
            <w:vAlign w:val="center"/>
          </w:tcPr>
          <w:p>
            <w:pPr>
              <w:ind w:firstLine="0" w:firstLineChars="0"/>
              <w:jc w:val="center"/>
              <w:rPr>
                <w:b/>
                <w:bCs/>
                <w:kern w:val="52"/>
                <w:sz w:val="21"/>
                <w:szCs w:val="21"/>
                <w:highlight w:val="none"/>
              </w:rPr>
            </w:pPr>
          </w:p>
        </w:tc>
        <w:tc>
          <w:tcPr>
            <w:tcW w:w="2040" w:type="dxa"/>
            <w:vMerge w:val="continue"/>
            <w:vAlign w:val="center"/>
          </w:tcPr>
          <w:p>
            <w:pPr>
              <w:ind w:firstLine="0" w:firstLineChars="0"/>
              <w:jc w:val="center"/>
              <w:rPr>
                <w:kern w:val="52"/>
                <w:sz w:val="21"/>
                <w:szCs w:val="21"/>
                <w:highlight w:val="none"/>
              </w:rPr>
            </w:pPr>
          </w:p>
        </w:tc>
        <w:tc>
          <w:tcPr>
            <w:tcW w:w="2250" w:type="dxa"/>
            <w:vAlign w:val="center"/>
          </w:tcPr>
          <w:p>
            <w:pPr>
              <w:ind w:firstLine="0" w:firstLineChars="0"/>
              <w:jc w:val="center"/>
              <w:rPr>
                <w:kern w:val="52"/>
                <w:sz w:val="21"/>
                <w:szCs w:val="21"/>
                <w:highlight w:val="none"/>
              </w:rPr>
            </w:pPr>
            <w:r>
              <w:rPr>
                <w:rFonts w:hint="eastAsia"/>
                <w:kern w:val="52"/>
                <w:sz w:val="21"/>
                <w:szCs w:val="21"/>
                <w:highlight w:val="none"/>
                <w:lang w:val="en-US" w:eastAsia="zh-CN"/>
              </w:rPr>
              <w:t>2020/2/14</w:t>
            </w:r>
          </w:p>
        </w:tc>
        <w:tc>
          <w:tcPr>
            <w:tcW w:w="2949" w:type="dxa"/>
            <w:vAlign w:val="center"/>
          </w:tcPr>
          <w:p>
            <w:pPr>
              <w:ind w:firstLine="0" w:firstLineChars="0"/>
              <w:jc w:val="center"/>
              <w:rPr>
                <w:kern w:val="52"/>
                <w:sz w:val="21"/>
                <w:szCs w:val="21"/>
                <w:highlight w:val="none"/>
              </w:rPr>
            </w:pPr>
            <w:r>
              <w:rPr>
                <w:rFonts w:hint="eastAsia"/>
                <w:kern w:val="52"/>
                <w:sz w:val="21"/>
                <w:szCs w:val="21"/>
                <w:highlight w:val="none"/>
              </w:rPr>
              <w:t>0.0000</w:t>
            </w:r>
            <w:r>
              <w:rPr>
                <w:rFonts w:hint="eastAsia"/>
                <w:kern w:val="52"/>
                <w:sz w:val="21"/>
                <w:szCs w:val="21"/>
                <w:highlight w:val="none"/>
                <w:lang w:val="en-US" w:eastAsia="zh-CN"/>
              </w:rPr>
              <w:t>4</w:t>
            </w:r>
            <w:r>
              <w:rPr>
                <w:rFonts w:hint="eastAsia"/>
                <w:kern w:val="52"/>
                <w:sz w:val="21"/>
                <w:szCs w:val="21"/>
                <w:highlight w:val="none"/>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81" w:type="dxa"/>
            <w:vMerge w:val="continue"/>
            <w:vAlign w:val="center"/>
          </w:tcPr>
          <w:p>
            <w:pPr>
              <w:ind w:firstLine="0" w:firstLineChars="0"/>
              <w:jc w:val="center"/>
              <w:rPr>
                <w:b/>
                <w:bCs/>
                <w:kern w:val="52"/>
                <w:sz w:val="21"/>
                <w:szCs w:val="21"/>
                <w:highlight w:val="none"/>
              </w:rPr>
            </w:pPr>
          </w:p>
        </w:tc>
        <w:tc>
          <w:tcPr>
            <w:tcW w:w="2040" w:type="dxa"/>
            <w:vMerge w:val="restart"/>
            <w:vAlign w:val="center"/>
          </w:tcPr>
          <w:p>
            <w:pPr>
              <w:ind w:firstLine="0" w:firstLineChars="0"/>
              <w:jc w:val="center"/>
              <w:rPr>
                <w:kern w:val="52"/>
                <w:sz w:val="21"/>
                <w:szCs w:val="21"/>
                <w:highlight w:val="none"/>
              </w:rPr>
            </w:pPr>
            <w:r>
              <w:rPr>
                <w:kern w:val="52"/>
                <w:sz w:val="21"/>
                <w:szCs w:val="21"/>
                <w:highlight w:val="none"/>
              </w:rPr>
              <w:t>六价铬</w:t>
            </w:r>
          </w:p>
        </w:tc>
        <w:tc>
          <w:tcPr>
            <w:tcW w:w="2250" w:type="dxa"/>
            <w:vAlign w:val="center"/>
          </w:tcPr>
          <w:p>
            <w:pPr>
              <w:ind w:firstLine="0" w:firstLineChars="0"/>
              <w:jc w:val="center"/>
              <w:rPr>
                <w:kern w:val="52"/>
                <w:sz w:val="21"/>
                <w:szCs w:val="21"/>
                <w:highlight w:val="none"/>
              </w:rPr>
            </w:pPr>
            <w:r>
              <w:rPr>
                <w:rFonts w:hint="eastAsia"/>
                <w:kern w:val="52"/>
                <w:sz w:val="21"/>
                <w:szCs w:val="21"/>
                <w:highlight w:val="none"/>
                <w:lang w:val="en-US" w:eastAsia="zh-CN"/>
              </w:rPr>
              <w:t>2020/2/13</w:t>
            </w:r>
          </w:p>
        </w:tc>
        <w:tc>
          <w:tcPr>
            <w:tcW w:w="2949" w:type="dxa"/>
            <w:vAlign w:val="center"/>
          </w:tcPr>
          <w:p>
            <w:pPr>
              <w:ind w:firstLine="0" w:firstLineChars="0"/>
              <w:jc w:val="center"/>
              <w:rPr>
                <w:rFonts w:hint="default" w:eastAsia="宋体"/>
                <w:kern w:val="52"/>
                <w:sz w:val="21"/>
                <w:szCs w:val="21"/>
                <w:highlight w:val="none"/>
                <w:lang w:val="en-US" w:eastAsia="zh-CN"/>
              </w:rPr>
            </w:pPr>
            <w:r>
              <w:rPr>
                <w:rFonts w:hint="eastAsia"/>
                <w:kern w:val="52"/>
                <w:sz w:val="21"/>
                <w:szCs w:val="21"/>
                <w:highlight w:val="none"/>
                <w:lang w:val="en-US" w:eastAsia="zh-CN"/>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81" w:type="dxa"/>
            <w:vMerge w:val="continue"/>
            <w:vAlign w:val="center"/>
          </w:tcPr>
          <w:p>
            <w:pPr>
              <w:ind w:firstLine="0" w:firstLineChars="0"/>
              <w:jc w:val="center"/>
              <w:rPr>
                <w:b/>
                <w:bCs/>
                <w:kern w:val="52"/>
                <w:sz w:val="21"/>
                <w:szCs w:val="21"/>
                <w:highlight w:val="none"/>
              </w:rPr>
            </w:pPr>
          </w:p>
        </w:tc>
        <w:tc>
          <w:tcPr>
            <w:tcW w:w="2040" w:type="dxa"/>
            <w:vMerge w:val="continue"/>
            <w:vAlign w:val="center"/>
          </w:tcPr>
          <w:p>
            <w:pPr>
              <w:ind w:firstLine="0" w:firstLineChars="0"/>
              <w:jc w:val="center"/>
              <w:rPr>
                <w:kern w:val="52"/>
                <w:sz w:val="21"/>
                <w:szCs w:val="21"/>
                <w:highlight w:val="none"/>
              </w:rPr>
            </w:pPr>
          </w:p>
        </w:tc>
        <w:tc>
          <w:tcPr>
            <w:tcW w:w="2250" w:type="dxa"/>
            <w:vAlign w:val="center"/>
          </w:tcPr>
          <w:p>
            <w:pPr>
              <w:ind w:firstLine="0" w:firstLineChars="0"/>
              <w:jc w:val="center"/>
              <w:rPr>
                <w:kern w:val="52"/>
                <w:sz w:val="21"/>
                <w:szCs w:val="21"/>
                <w:highlight w:val="none"/>
              </w:rPr>
            </w:pPr>
            <w:r>
              <w:rPr>
                <w:rFonts w:hint="eastAsia"/>
                <w:kern w:val="52"/>
                <w:sz w:val="21"/>
                <w:szCs w:val="21"/>
                <w:highlight w:val="none"/>
                <w:lang w:val="en-US" w:eastAsia="zh-CN"/>
              </w:rPr>
              <w:t>2020/2/14</w:t>
            </w:r>
          </w:p>
        </w:tc>
        <w:tc>
          <w:tcPr>
            <w:tcW w:w="2949" w:type="dxa"/>
            <w:vAlign w:val="center"/>
          </w:tcPr>
          <w:p>
            <w:pPr>
              <w:ind w:firstLine="0" w:firstLineChars="0"/>
              <w:jc w:val="center"/>
              <w:rPr>
                <w:rFonts w:hint="default" w:eastAsia="宋体"/>
                <w:kern w:val="52"/>
                <w:sz w:val="21"/>
                <w:szCs w:val="21"/>
                <w:highlight w:val="none"/>
                <w:lang w:val="en-US" w:eastAsia="zh-CN"/>
              </w:rPr>
            </w:pPr>
            <w:r>
              <w:rPr>
                <w:rFonts w:hint="eastAsia"/>
                <w:kern w:val="52"/>
                <w:sz w:val="21"/>
                <w:szCs w:val="21"/>
                <w:highlight w:val="none"/>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81" w:type="dxa"/>
            <w:vMerge w:val="continue"/>
            <w:vAlign w:val="center"/>
          </w:tcPr>
          <w:p>
            <w:pPr>
              <w:ind w:firstLine="0" w:firstLineChars="0"/>
              <w:jc w:val="center"/>
              <w:rPr>
                <w:b/>
                <w:bCs/>
                <w:kern w:val="52"/>
                <w:sz w:val="21"/>
                <w:szCs w:val="21"/>
                <w:highlight w:val="none"/>
              </w:rPr>
            </w:pPr>
          </w:p>
        </w:tc>
        <w:tc>
          <w:tcPr>
            <w:tcW w:w="2040" w:type="dxa"/>
            <w:vMerge w:val="restart"/>
            <w:vAlign w:val="center"/>
          </w:tcPr>
          <w:p>
            <w:pPr>
              <w:ind w:firstLine="0" w:firstLineChars="0"/>
              <w:jc w:val="center"/>
              <w:rPr>
                <w:kern w:val="52"/>
                <w:sz w:val="21"/>
                <w:szCs w:val="21"/>
                <w:highlight w:val="none"/>
              </w:rPr>
            </w:pPr>
            <w:r>
              <w:rPr>
                <w:kern w:val="52"/>
                <w:sz w:val="21"/>
                <w:szCs w:val="21"/>
                <w:highlight w:val="none"/>
              </w:rPr>
              <w:t>石油类</w:t>
            </w:r>
          </w:p>
        </w:tc>
        <w:tc>
          <w:tcPr>
            <w:tcW w:w="2250" w:type="dxa"/>
            <w:vAlign w:val="center"/>
          </w:tcPr>
          <w:p>
            <w:pPr>
              <w:ind w:firstLine="0" w:firstLineChars="0"/>
              <w:jc w:val="center"/>
              <w:rPr>
                <w:kern w:val="52"/>
                <w:sz w:val="21"/>
                <w:szCs w:val="21"/>
                <w:highlight w:val="none"/>
              </w:rPr>
            </w:pPr>
            <w:r>
              <w:rPr>
                <w:rFonts w:hint="eastAsia"/>
                <w:kern w:val="52"/>
                <w:sz w:val="21"/>
                <w:szCs w:val="21"/>
                <w:highlight w:val="none"/>
                <w:lang w:val="en-US" w:eastAsia="zh-CN"/>
              </w:rPr>
              <w:t>2020/2/13</w:t>
            </w:r>
          </w:p>
        </w:tc>
        <w:tc>
          <w:tcPr>
            <w:tcW w:w="2949" w:type="dxa"/>
            <w:vAlign w:val="center"/>
          </w:tcPr>
          <w:p>
            <w:pPr>
              <w:ind w:firstLine="0" w:firstLineChars="0"/>
              <w:jc w:val="center"/>
              <w:rPr>
                <w:rFonts w:hint="default" w:eastAsia="宋体"/>
                <w:kern w:val="52"/>
                <w:sz w:val="21"/>
                <w:szCs w:val="21"/>
                <w:highlight w:val="none"/>
                <w:lang w:val="en-US" w:eastAsia="zh-CN"/>
              </w:rPr>
            </w:pPr>
            <w:r>
              <w:rPr>
                <w:rFonts w:hint="eastAsia"/>
                <w:kern w:val="52"/>
                <w:sz w:val="21"/>
                <w:szCs w:val="21"/>
                <w:highlight w:val="none"/>
                <w:lang w:val="en-US"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81" w:type="dxa"/>
            <w:vMerge w:val="continue"/>
            <w:vAlign w:val="center"/>
          </w:tcPr>
          <w:p>
            <w:pPr>
              <w:ind w:firstLine="0" w:firstLineChars="0"/>
              <w:jc w:val="center"/>
              <w:rPr>
                <w:b/>
                <w:bCs/>
                <w:kern w:val="52"/>
                <w:sz w:val="21"/>
                <w:szCs w:val="21"/>
                <w:highlight w:val="none"/>
              </w:rPr>
            </w:pPr>
          </w:p>
        </w:tc>
        <w:tc>
          <w:tcPr>
            <w:tcW w:w="2040" w:type="dxa"/>
            <w:vMerge w:val="continue"/>
            <w:vAlign w:val="center"/>
          </w:tcPr>
          <w:p>
            <w:pPr>
              <w:ind w:firstLine="0" w:firstLineChars="0"/>
              <w:jc w:val="center"/>
              <w:rPr>
                <w:kern w:val="52"/>
                <w:sz w:val="21"/>
                <w:szCs w:val="21"/>
                <w:highlight w:val="none"/>
              </w:rPr>
            </w:pPr>
          </w:p>
        </w:tc>
        <w:tc>
          <w:tcPr>
            <w:tcW w:w="2250" w:type="dxa"/>
            <w:vAlign w:val="center"/>
          </w:tcPr>
          <w:p>
            <w:pPr>
              <w:ind w:firstLine="0" w:firstLineChars="0"/>
              <w:jc w:val="center"/>
              <w:rPr>
                <w:kern w:val="52"/>
                <w:sz w:val="21"/>
                <w:szCs w:val="21"/>
                <w:highlight w:val="none"/>
              </w:rPr>
            </w:pPr>
            <w:r>
              <w:rPr>
                <w:rFonts w:hint="eastAsia"/>
                <w:kern w:val="52"/>
                <w:sz w:val="21"/>
                <w:szCs w:val="21"/>
                <w:highlight w:val="none"/>
                <w:lang w:val="en-US" w:eastAsia="zh-CN"/>
              </w:rPr>
              <w:t>2020/2/14</w:t>
            </w:r>
          </w:p>
        </w:tc>
        <w:tc>
          <w:tcPr>
            <w:tcW w:w="2949" w:type="dxa"/>
            <w:vAlign w:val="center"/>
          </w:tcPr>
          <w:p>
            <w:pPr>
              <w:ind w:firstLine="0" w:firstLineChars="0"/>
              <w:jc w:val="center"/>
              <w:rPr>
                <w:kern w:val="52"/>
                <w:sz w:val="21"/>
                <w:szCs w:val="21"/>
                <w:highlight w:val="none"/>
              </w:rPr>
            </w:pPr>
            <w:r>
              <w:rPr>
                <w:rFonts w:hint="eastAsia"/>
                <w:kern w:val="52"/>
                <w:sz w:val="21"/>
                <w:szCs w:val="21"/>
                <w:highlight w:val="none"/>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81" w:type="dxa"/>
            <w:vMerge w:val="continue"/>
            <w:vAlign w:val="center"/>
          </w:tcPr>
          <w:p>
            <w:pPr>
              <w:ind w:firstLine="0" w:firstLineChars="0"/>
              <w:jc w:val="center"/>
              <w:rPr>
                <w:b/>
                <w:bCs/>
                <w:kern w:val="52"/>
                <w:sz w:val="21"/>
                <w:szCs w:val="21"/>
                <w:highlight w:val="none"/>
              </w:rPr>
            </w:pPr>
          </w:p>
        </w:tc>
        <w:tc>
          <w:tcPr>
            <w:tcW w:w="2040" w:type="dxa"/>
            <w:vMerge w:val="restart"/>
            <w:vAlign w:val="center"/>
          </w:tcPr>
          <w:p>
            <w:pPr>
              <w:ind w:firstLine="0" w:firstLineChars="0"/>
              <w:jc w:val="center"/>
              <w:rPr>
                <w:kern w:val="52"/>
                <w:sz w:val="21"/>
                <w:szCs w:val="21"/>
                <w:highlight w:val="none"/>
              </w:rPr>
            </w:pPr>
            <w:r>
              <w:rPr>
                <w:kern w:val="52"/>
                <w:sz w:val="21"/>
                <w:szCs w:val="21"/>
                <w:highlight w:val="none"/>
              </w:rPr>
              <w:t>粪大肠菌群（MPN/L）</w:t>
            </w:r>
          </w:p>
        </w:tc>
        <w:tc>
          <w:tcPr>
            <w:tcW w:w="2250" w:type="dxa"/>
            <w:vAlign w:val="center"/>
          </w:tcPr>
          <w:p>
            <w:pPr>
              <w:ind w:firstLine="0" w:firstLineChars="0"/>
              <w:jc w:val="center"/>
              <w:rPr>
                <w:kern w:val="52"/>
                <w:sz w:val="21"/>
                <w:szCs w:val="21"/>
                <w:highlight w:val="none"/>
              </w:rPr>
            </w:pPr>
            <w:r>
              <w:rPr>
                <w:rFonts w:hint="eastAsia"/>
                <w:kern w:val="52"/>
                <w:sz w:val="21"/>
                <w:szCs w:val="21"/>
                <w:highlight w:val="none"/>
                <w:lang w:val="en-US" w:eastAsia="zh-CN"/>
              </w:rPr>
              <w:t>2020/2/13</w:t>
            </w:r>
          </w:p>
        </w:tc>
        <w:tc>
          <w:tcPr>
            <w:tcW w:w="2949" w:type="dxa"/>
            <w:vAlign w:val="center"/>
          </w:tcPr>
          <w:p>
            <w:pPr>
              <w:ind w:firstLine="0" w:firstLineChars="0"/>
              <w:jc w:val="center"/>
              <w:rPr>
                <w:rFonts w:hint="default" w:eastAsia="宋体"/>
                <w:kern w:val="52"/>
                <w:sz w:val="21"/>
                <w:szCs w:val="21"/>
                <w:highlight w:val="none"/>
                <w:lang w:val="en-US" w:eastAsia="zh-CN"/>
              </w:rPr>
            </w:pPr>
            <w:r>
              <w:rPr>
                <w:rFonts w:hint="eastAsia"/>
                <w:kern w:val="52"/>
                <w:sz w:val="21"/>
                <w:szCs w:val="21"/>
                <w:highlight w:val="none"/>
                <w:lang w:val="en-US" w:eastAsia="zh-CN"/>
              </w:rPr>
              <w:t>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81" w:type="dxa"/>
            <w:vMerge w:val="continue"/>
            <w:vAlign w:val="center"/>
          </w:tcPr>
          <w:p>
            <w:pPr>
              <w:ind w:firstLine="0" w:firstLineChars="0"/>
              <w:jc w:val="center"/>
              <w:rPr>
                <w:b/>
                <w:bCs/>
                <w:kern w:val="52"/>
                <w:sz w:val="21"/>
                <w:szCs w:val="21"/>
                <w:highlight w:val="none"/>
              </w:rPr>
            </w:pPr>
          </w:p>
        </w:tc>
        <w:tc>
          <w:tcPr>
            <w:tcW w:w="2040" w:type="dxa"/>
            <w:vMerge w:val="continue"/>
            <w:vAlign w:val="center"/>
          </w:tcPr>
          <w:p>
            <w:pPr>
              <w:ind w:firstLine="0" w:firstLineChars="0"/>
              <w:jc w:val="center"/>
              <w:rPr>
                <w:kern w:val="52"/>
                <w:sz w:val="21"/>
                <w:szCs w:val="21"/>
                <w:highlight w:val="none"/>
              </w:rPr>
            </w:pPr>
          </w:p>
        </w:tc>
        <w:tc>
          <w:tcPr>
            <w:tcW w:w="2250" w:type="dxa"/>
            <w:vAlign w:val="center"/>
          </w:tcPr>
          <w:p>
            <w:pPr>
              <w:ind w:firstLine="0" w:firstLineChars="0"/>
              <w:jc w:val="center"/>
              <w:rPr>
                <w:kern w:val="52"/>
                <w:sz w:val="21"/>
                <w:szCs w:val="21"/>
                <w:highlight w:val="none"/>
              </w:rPr>
            </w:pPr>
            <w:r>
              <w:rPr>
                <w:rFonts w:hint="eastAsia"/>
                <w:kern w:val="52"/>
                <w:sz w:val="21"/>
                <w:szCs w:val="21"/>
                <w:highlight w:val="none"/>
                <w:lang w:val="en-US" w:eastAsia="zh-CN"/>
              </w:rPr>
              <w:t>2020/2/14</w:t>
            </w:r>
          </w:p>
        </w:tc>
        <w:tc>
          <w:tcPr>
            <w:tcW w:w="2949" w:type="dxa"/>
            <w:vAlign w:val="center"/>
          </w:tcPr>
          <w:p>
            <w:pPr>
              <w:ind w:firstLine="0" w:firstLineChars="0"/>
              <w:jc w:val="center"/>
              <w:rPr>
                <w:rFonts w:hint="default" w:eastAsia="宋体"/>
                <w:kern w:val="52"/>
                <w:sz w:val="21"/>
                <w:szCs w:val="21"/>
                <w:highlight w:val="none"/>
                <w:lang w:val="en-US" w:eastAsia="zh-CN"/>
              </w:rPr>
            </w:pPr>
            <w:r>
              <w:rPr>
                <w:rFonts w:hint="eastAsia"/>
                <w:kern w:val="52"/>
                <w:sz w:val="21"/>
                <w:szCs w:val="21"/>
                <w:highlight w:val="none"/>
                <w:lang w:val="en-US" w:eastAsia="zh-CN"/>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20" w:type="dxa"/>
            <w:gridSpan w:val="4"/>
            <w:vAlign w:val="center"/>
          </w:tcPr>
          <w:p>
            <w:pPr>
              <w:ind w:firstLine="0" w:firstLineChars="0"/>
              <w:jc w:val="center"/>
              <w:rPr>
                <w:kern w:val="52"/>
                <w:sz w:val="21"/>
                <w:szCs w:val="21"/>
                <w:highlight w:val="none"/>
              </w:rPr>
            </w:pPr>
            <w:r>
              <w:rPr>
                <w:kern w:val="52"/>
                <w:sz w:val="21"/>
                <w:szCs w:val="21"/>
                <w:highlight w:val="none"/>
              </w:rPr>
              <w:t>“最低检出限+L”表示低于分析方法检出限</w:t>
            </w:r>
          </w:p>
        </w:tc>
      </w:tr>
    </w:tbl>
    <w:p>
      <w:pPr>
        <w:pStyle w:val="8"/>
        <w:ind w:firstLine="482"/>
        <w:rPr>
          <w:b/>
          <w:bCs/>
          <w:highlight w:val="none"/>
        </w:rPr>
        <w:sectPr>
          <w:pgSz w:w="11911" w:h="16838"/>
          <w:pgMar w:top="1417" w:right="1417" w:bottom="1417" w:left="1417" w:header="879" w:footer="952" w:gutter="0"/>
          <w:pgBorders>
            <w:top w:val="none" w:sz="0" w:space="0"/>
            <w:left w:val="none" w:sz="0" w:space="0"/>
            <w:bottom w:val="none" w:sz="0" w:space="0"/>
            <w:right w:val="none" w:sz="0" w:space="0"/>
          </w:pgBorders>
          <w:pgNumType w:fmt="decimal"/>
          <w:cols w:space="720" w:num="1"/>
          <w:docGrid w:linePitch="312" w:charSpace="0"/>
        </w:sectPr>
      </w:pPr>
    </w:p>
    <w:p>
      <w:pPr>
        <w:ind w:firstLine="422"/>
        <w:jc w:val="center"/>
        <w:rPr>
          <w:b/>
          <w:bCs/>
          <w:kern w:val="52"/>
          <w:sz w:val="21"/>
          <w:szCs w:val="21"/>
          <w:highlight w:val="none"/>
        </w:rPr>
      </w:pPr>
      <w:r>
        <w:rPr>
          <w:b/>
          <w:bCs/>
          <w:kern w:val="52"/>
          <w:sz w:val="21"/>
          <w:szCs w:val="21"/>
          <w:highlight w:val="none"/>
        </w:rPr>
        <w:t>表</w:t>
      </w:r>
      <w:r>
        <w:rPr>
          <w:rFonts w:hint="eastAsia"/>
          <w:b/>
          <w:bCs/>
          <w:kern w:val="52"/>
          <w:sz w:val="21"/>
          <w:szCs w:val="21"/>
          <w:highlight w:val="none"/>
          <w:lang w:val="en-US" w:eastAsia="zh-CN"/>
        </w:rPr>
        <w:t>5.2-2</w:t>
      </w:r>
      <w:r>
        <w:rPr>
          <w:rFonts w:hint="eastAsia"/>
          <w:b/>
          <w:bCs/>
          <w:kern w:val="52"/>
          <w:sz w:val="21"/>
          <w:szCs w:val="21"/>
          <w:highlight w:val="none"/>
        </w:rPr>
        <w:t xml:space="preserve"> </w:t>
      </w:r>
      <w:r>
        <w:rPr>
          <w:b/>
          <w:bCs/>
          <w:kern w:val="52"/>
          <w:sz w:val="21"/>
          <w:szCs w:val="21"/>
          <w:highlight w:val="none"/>
        </w:rPr>
        <w:t xml:space="preserve"> 地表水监测结果评价   单位：mg/L</w:t>
      </w:r>
    </w:p>
    <w:tbl>
      <w:tblPr>
        <w:tblStyle w:val="29"/>
        <w:tblW w:w="128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582"/>
        <w:gridCol w:w="756"/>
        <w:gridCol w:w="793"/>
        <w:gridCol w:w="974"/>
        <w:gridCol w:w="974"/>
        <w:gridCol w:w="974"/>
        <w:gridCol w:w="974"/>
        <w:gridCol w:w="974"/>
        <w:gridCol w:w="974"/>
        <w:gridCol w:w="974"/>
        <w:gridCol w:w="974"/>
        <w:gridCol w:w="974"/>
        <w:gridCol w:w="974"/>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6" w:hRule="atLeast"/>
          <w:jc w:val="center"/>
        </w:trPr>
        <w:tc>
          <w:tcPr>
            <w:tcW w:w="582" w:type="dxa"/>
            <w:vMerge w:val="restart"/>
            <w:shd w:val="clear" w:color="auto" w:fill="auto"/>
            <w:vAlign w:val="center"/>
          </w:tcPr>
          <w:p>
            <w:pPr>
              <w:pStyle w:val="62"/>
              <w:rPr>
                <w:b/>
                <w:bCs/>
                <w:highlight w:val="none"/>
              </w:rPr>
            </w:pPr>
            <w:r>
              <w:rPr>
                <w:b/>
                <w:bCs/>
                <w:highlight w:val="none"/>
              </w:rPr>
              <w:t>监测点位</w:t>
            </w:r>
          </w:p>
        </w:tc>
        <w:tc>
          <w:tcPr>
            <w:tcW w:w="756" w:type="dxa"/>
            <w:vMerge w:val="restart"/>
            <w:shd w:val="clear" w:color="auto" w:fill="auto"/>
            <w:vAlign w:val="center"/>
          </w:tcPr>
          <w:p>
            <w:pPr>
              <w:pStyle w:val="62"/>
              <w:rPr>
                <w:b/>
                <w:bCs/>
                <w:highlight w:val="none"/>
              </w:rPr>
            </w:pPr>
            <w:r>
              <w:rPr>
                <w:b/>
                <w:bCs/>
                <w:highlight w:val="none"/>
              </w:rPr>
              <w:t>项目</w:t>
            </w:r>
          </w:p>
        </w:tc>
        <w:tc>
          <w:tcPr>
            <w:tcW w:w="793" w:type="dxa"/>
            <w:vMerge w:val="restart"/>
            <w:shd w:val="clear" w:color="auto" w:fill="auto"/>
            <w:vAlign w:val="center"/>
          </w:tcPr>
          <w:p>
            <w:pPr>
              <w:pStyle w:val="62"/>
              <w:rPr>
                <w:b/>
                <w:bCs/>
                <w:highlight w:val="none"/>
              </w:rPr>
            </w:pPr>
            <w:r>
              <w:rPr>
                <w:b/>
                <w:bCs/>
                <w:highlight w:val="none"/>
              </w:rPr>
              <w:t>PH值</w:t>
            </w:r>
          </w:p>
        </w:tc>
        <w:tc>
          <w:tcPr>
            <w:tcW w:w="974" w:type="dxa"/>
            <w:vMerge w:val="restart"/>
            <w:shd w:val="clear" w:color="auto" w:fill="auto"/>
            <w:vAlign w:val="center"/>
          </w:tcPr>
          <w:p>
            <w:pPr>
              <w:pStyle w:val="62"/>
              <w:rPr>
                <w:b/>
                <w:bCs/>
                <w:highlight w:val="none"/>
              </w:rPr>
            </w:pPr>
            <w:r>
              <w:rPr>
                <w:b/>
                <w:bCs/>
                <w:highlight w:val="none"/>
              </w:rPr>
              <w:t>DO</w:t>
            </w:r>
          </w:p>
        </w:tc>
        <w:tc>
          <w:tcPr>
            <w:tcW w:w="974" w:type="dxa"/>
            <w:vMerge w:val="restart"/>
            <w:shd w:val="clear" w:color="auto" w:fill="auto"/>
            <w:vAlign w:val="center"/>
          </w:tcPr>
          <w:p>
            <w:pPr>
              <w:pStyle w:val="62"/>
              <w:rPr>
                <w:b/>
                <w:bCs/>
                <w:highlight w:val="none"/>
              </w:rPr>
            </w:pPr>
            <w:r>
              <w:rPr>
                <w:b/>
                <w:bCs/>
                <w:highlight w:val="none"/>
              </w:rPr>
              <w:t>高猛酸盐指数</w:t>
            </w:r>
          </w:p>
        </w:tc>
        <w:tc>
          <w:tcPr>
            <w:tcW w:w="974" w:type="dxa"/>
            <w:vMerge w:val="restart"/>
            <w:shd w:val="clear" w:color="auto" w:fill="auto"/>
            <w:vAlign w:val="center"/>
          </w:tcPr>
          <w:p>
            <w:pPr>
              <w:pStyle w:val="62"/>
              <w:rPr>
                <w:b/>
                <w:bCs/>
                <w:highlight w:val="none"/>
              </w:rPr>
            </w:pPr>
            <w:r>
              <w:rPr>
                <w:b/>
                <w:bCs/>
                <w:kern w:val="52"/>
                <w:highlight w:val="none"/>
              </w:rPr>
              <w:t>BOD</w:t>
            </w:r>
            <w:r>
              <w:rPr>
                <w:b/>
                <w:bCs/>
                <w:kern w:val="52"/>
                <w:highlight w:val="none"/>
                <w:vertAlign w:val="subscript"/>
              </w:rPr>
              <w:t>5</w:t>
            </w:r>
          </w:p>
        </w:tc>
        <w:tc>
          <w:tcPr>
            <w:tcW w:w="974" w:type="dxa"/>
            <w:vMerge w:val="restart"/>
            <w:shd w:val="clear" w:color="auto" w:fill="auto"/>
            <w:vAlign w:val="center"/>
          </w:tcPr>
          <w:p>
            <w:pPr>
              <w:pStyle w:val="62"/>
              <w:rPr>
                <w:b/>
                <w:bCs/>
                <w:highlight w:val="none"/>
              </w:rPr>
            </w:pPr>
            <w:r>
              <w:rPr>
                <w:b/>
                <w:bCs/>
                <w:kern w:val="52"/>
                <w:highlight w:val="none"/>
              </w:rPr>
              <w:t>CODcr</w:t>
            </w:r>
          </w:p>
        </w:tc>
        <w:tc>
          <w:tcPr>
            <w:tcW w:w="974" w:type="dxa"/>
            <w:vMerge w:val="restart"/>
            <w:shd w:val="clear" w:color="auto" w:fill="auto"/>
            <w:vAlign w:val="center"/>
          </w:tcPr>
          <w:p>
            <w:pPr>
              <w:pStyle w:val="62"/>
              <w:rPr>
                <w:b/>
                <w:bCs/>
                <w:highlight w:val="none"/>
              </w:rPr>
            </w:pPr>
            <w:r>
              <w:rPr>
                <w:b/>
                <w:bCs/>
                <w:highlight w:val="none"/>
              </w:rPr>
              <w:t>氨氮</w:t>
            </w:r>
          </w:p>
        </w:tc>
        <w:tc>
          <w:tcPr>
            <w:tcW w:w="974" w:type="dxa"/>
            <w:vMerge w:val="restart"/>
            <w:shd w:val="clear" w:color="auto" w:fill="auto"/>
            <w:vAlign w:val="center"/>
          </w:tcPr>
          <w:p>
            <w:pPr>
              <w:pStyle w:val="62"/>
              <w:rPr>
                <w:b/>
                <w:bCs/>
                <w:highlight w:val="none"/>
              </w:rPr>
            </w:pPr>
            <w:r>
              <w:rPr>
                <w:b/>
                <w:bCs/>
                <w:highlight w:val="none"/>
              </w:rPr>
              <w:t>总磷</w:t>
            </w:r>
          </w:p>
        </w:tc>
        <w:tc>
          <w:tcPr>
            <w:tcW w:w="974" w:type="dxa"/>
            <w:vMerge w:val="restart"/>
            <w:shd w:val="clear" w:color="auto" w:fill="auto"/>
            <w:vAlign w:val="center"/>
          </w:tcPr>
          <w:p>
            <w:pPr>
              <w:pStyle w:val="62"/>
              <w:rPr>
                <w:b/>
                <w:bCs/>
                <w:highlight w:val="none"/>
              </w:rPr>
            </w:pPr>
            <w:r>
              <w:rPr>
                <w:b/>
                <w:bCs/>
                <w:highlight w:val="none"/>
              </w:rPr>
              <w:t>砷</w:t>
            </w:r>
          </w:p>
        </w:tc>
        <w:tc>
          <w:tcPr>
            <w:tcW w:w="974" w:type="dxa"/>
            <w:vMerge w:val="restart"/>
            <w:shd w:val="clear" w:color="auto" w:fill="auto"/>
            <w:vAlign w:val="center"/>
          </w:tcPr>
          <w:p>
            <w:pPr>
              <w:pStyle w:val="62"/>
              <w:rPr>
                <w:b/>
                <w:bCs/>
                <w:highlight w:val="none"/>
              </w:rPr>
            </w:pPr>
            <w:r>
              <w:rPr>
                <w:b/>
                <w:bCs/>
                <w:highlight w:val="none"/>
              </w:rPr>
              <w:t>汞</w:t>
            </w:r>
          </w:p>
        </w:tc>
        <w:tc>
          <w:tcPr>
            <w:tcW w:w="974" w:type="dxa"/>
            <w:vMerge w:val="restart"/>
            <w:shd w:val="clear" w:color="auto" w:fill="auto"/>
            <w:vAlign w:val="center"/>
          </w:tcPr>
          <w:p>
            <w:pPr>
              <w:pStyle w:val="62"/>
              <w:rPr>
                <w:b/>
                <w:bCs/>
                <w:highlight w:val="none"/>
              </w:rPr>
            </w:pPr>
            <w:r>
              <w:rPr>
                <w:b/>
                <w:bCs/>
                <w:highlight w:val="none"/>
              </w:rPr>
              <w:t>六价铬</w:t>
            </w:r>
          </w:p>
        </w:tc>
        <w:tc>
          <w:tcPr>
            <w:tcW w:w="974" w:type="dxa"/>
            <w:vMerge w:val="restart"/>
            <w:shd w:val="clear" w:color="auto" w:fill="auto"/>
            <w:vAlign w:val="center"/>
          </w:tcPr>
          <w:p>
            <w:pPr>
              <w:pStyle w:val="62"/>
              <w:rPr>
                <w:b/>
                <w:bCs/>
                <w:highlight w:val="none"/>
              </w:rPr>
            </w:pPr>
            <w:r>
              <w:rPr>
                <w:b/>
                <w:bCs/>
                <w:highlight w:val="none"/>
              </w:rPr>
              <w:t>石油类</w:t>
            </w:r>
          </w:p>
        </w:tc>
        <w:tc>
          <w:tcPr>
            <w:tcW w:w="975" w:type="dxa"/>
            <w:vMerge w:val="restart"/>
            <w:shd w:val="clear" w:color="auto" w:fill="auto"/>
            <w:vAlign w:val="center"/>
          </w:tcPr>
          <w:p>
            <w:pPr>
              <w:pStyle w:val="62"/>
              <w:rPr>
                <w:b/>
                <w:bCs/>
                <w:highlight w:val="none"/>
              </w:rPr>
            </w:pPr>
            <w:r>
              <w:rPr>
                <w:b/>
                <w:bCs/>
                <w:highlight w:val="none"/>
              </w:rPr>
              <w:t>粪大肠</w:t>
            </w:r>
          </w:p>
          <w:p>
            <w:pPr>
              <w:pStyle w:val="62"/>
              <w:rPr>
                <w:b/>
                <w:bCs/>
                <w:highlight w:val="none"/>
              </w:rPr>
            </w:pPr>
            <w:r>
              <w:rPr>
                <w:b/>
                <w:bCs/>
                <w:highlight w:val="none"/>
              </w:rPr>
              <w:t>菌群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2" w:hRule="atLeast"/>
          <w:jc w:val="center"/>
        </w:trPr>
        <w:tc>
          <w:tcPr>
            <w:tcW w:w="582" w:type="dxa"/>
            <w:vMerge w:val="continue"/>
            <w:shd w:val="clear" w:color="auto" w:fill="auto"/>
            <w:vAlign w:val="center"/>
          </w:tcPr>
          <w:p>
            <w:pPr>
              <w:pStyle w:val="62"/>
              <w:rPr>
                <w:highlight w:val="none"/>
              </w:rPr>
            </w:pPr>
          </w:p>
        </w:tc>
        <w:tc>
          <w:tcPr>
            <w:tcW w:w="756" w:type="dxa"/>
            <w:vMerge w:val="continue"/>
            <w:shd w:val="clear" w:color="auto" w:fill="auto"/>
            <w:vAlign w:val="center"/>
          </w:tcPr>
          <w:p>
            <w:pPr>
              <w:pStyle w:val="62"/>
              <w:rPr>
                <w:highlight w:val="none"/>
              </w:rPr>
            </w:pPr>
          </w:p>
        </w:tc>
        <w:tc>
          <w:tcPr>
            <w:tcW w:w="793" w:type="dxa"/>
            <w:vMerge w:val="continue"/>
            <w:shd w:val="clear" w:color="auto" w:fill="auto"/>
            <w:vAlign w:val="center"/>
          </w:tcPr>
          <w:p>
            <w:pPr>
              <w:pStyle w:val="62"/>
              <w:rPr>
                <w:highlight w:val="none"/>
              </w:rPr>
            </w:pPr>
          </w:p>
        </w:tc>
        <w:tc>
          <w:tcPr>
            <w:tcW w:w="974" w:type="dxa"/>
            <w:vMerge w:val="continue"/>
            <w:shd w:val="clear" w:color="auto" w:fill="auto"/>
            <w:vAlign w:val="center"/>
          </w:tcPr>
          <w:p>
            <w:pPr>
              <w:pStyle w:val="62"/>
              <w:rPr>
                <w:highlight w:val="none"/>
              </w:rPr>
            </w:pPr>
          </w:p>
        </w:tc>
        <w:tc>
          <w:tcPr>
            <w:tcW w:w="974" w:type="dxa"/>
            <w:vMerge w:val="continue"/>
            <w:shd w:val="clear" w:color="auto" w:fill="auto"/>
            <w:vAlign w:val="center"/>
          </w:tcPr>
          <w:p>
            <w:pPr>
              <w:pStyle w:val="62"/>
              <w:rPr>
                <w:highlight w:val="none"/>
              </w:rPr>
            </w:pPr>
          </w:p>
        </w:tc>
        <w:tc>
          <w:tcPr>
            <w:tcW w:w="974" w:type="dxa"/>
            <w:vMerge w:val="continue"/>
            <w:shd w:val="clear" w:color="auto" w:fill="auto"/>
            <w:vAlign w:val="center"/>
          </w:tcPr>
          <w:p>
            <w:pPr>
              <w:pStyle w:val="62"/>
              <w:rPr>
                <w:highlight w:val="none"/>
              </w:rPr>
            </w:pPr>
          </w:p>
        </w:tc>
        <w:tc>
          <w:tcPr>
            <w:tcW w:w="974" w:type="dxa"/>
            <w:vMerge w:val="continue"/>
            <w:shd w:val="clear" w:color="auto" w:fill="auto"/>
            <w:vAlign w:val="center"/>
          </w:tcPr>
          <w:p>
            <w:pPr>
              <w:pStyle w:val="62"/>
              <w:rPr>
                <w:highlight w:val="none"/>
              </w:rPr>
            </w:pPr>
          </w:p>
        </w:tc>
        <w:tc>
          <w:tcPr>
            <w:tcW w:w="974" w:type="dxa"/>
            <w:vMerge w:val="continue"/>
            <w:shd w:val="clear" w:color="auto" w:fill="auto"/>
            <w:vAlign w:val="center"/>
          </w:tcPr>
          <w:p>
            <w:pPr>
              <w:pStyle w:val="62"/>
              <w:rPr>
                <w:highlight w:val="none"/>
              </w:rPr>
            </w:pPr>
          </w:p>
        </w:tc>
        <w:tc>
          <w:tcPr>
            <w:tcW w:w="974" w:type="dxa"/>
            <w:vMerge w:val="continue"/>
            <w:shd w:val="clear" w:color="auto" w:fill="auto"/>
            <w:vAlign w:val="center"/>
          </w:tcPr>
          <w:p>
            <w:pPr>
              <w:pStyle w:val="62"/>
              <w:rPr>
                <w:highlight w:val="none"/>
              </w:rPr>
            </w:pPr>
          </w:p>
        </w:tc>
        <w:tc>
          <w:tcPr>
            <w:tcW w:w="974" w:type="dxa"/>
            <w:vMerge w:val="continue"/>
            <w:shd w:val="clear" w:color="auto" w:fill="auto"/>
            <w:vAlign w:val="center"/>
          </w:tcPr>
          <w:p>
            <w:pPr>
              <w:pStyle w:val="62"/>
              <w:rPr>
                <w:highlight w:val="none"/>
              </w:rPr>
            </w:pPr>
          </w:p>
        </w:tc>
        <w:tc>
          <w:tcPr>
            <w:tcW w:w="974" w:type="dxa"/>
            <w:vMerge w:val="continue"/>
            <w:shd w:val="clear" w:color="auto" w:fill="auto"/>
            <w:vAlign w:val="center"/>
          </w:tcPr>
          <w:p>
            <w:pPr>
              <w:pStyle w:val="62"/>
              <w:rPr>
                <w:highlight w:val="none"/>
              </w:rPr>
            </w:pPr>
          </w:p>
        </w:tc>
        <w:tc>
          <w:tcPr>
            <w:tcW w:w="974" w:type="dxa"/>
            <w:vMerge w:val="continue"/>
            <w:shd w:val="clear" w:color="auto" w:fill="auto"/>
            <w:vAlign w:val="center"/>
          </w:tcPr>
          <w:p>
            <w:pPr>
              <w:pStyle w:val="62"/>
              <w:rPr>
                <w:highlight w:val="none"/>
              </w:rPr>
            </w:pPr>
          </w:p>
        </w:tc>
        <w:tc>
          <w:tcPr>
            <w:tcW w:w="974" w:type="dxa"/>
            <w:vMerge w:val="continue"/>
            <w:shd w:val="clear" w:color="auto" w:fill="auto"/>
            <w:vAlign w:val="center"/>
          </w:tcPr>
          <w:p>
            <w:pPr>
              <w:pStyle w:val="62"/>
              <w:rPr>
                <w:highlight w:val="none"/>
              </w:rPr>
            </w:pPr>
          </w:p>
        </w:tc>
        <w:tc>
          <w:tcPr>
            <w:tcW w:w="975" w:type="dxa"/>
            <w:vMerge w:val="continue"/>
            <w:shd w:val="clear" w:color="auto" w:fill="auto"/>
            <w:vAlign w:val="center"/>
          </w:tcPr>
          <w:p>
            <w:pPr>
              <w:pStyle w:val="62"/>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22" w:hRule="atLeast"/>
          <w:jc w:val="center"/>
        </w:trPr>
        <w:tc>
          <w:tcPr>
            <w:tcW w:w="1338" w:type="dxa"/>
            <w:gridSpan w:val="2"/>
            <w:vAlign w:val="center"/>
          </w:tcPr>
          <w:p>
            <w:pPr>
              <w:pStyle w:val="62"/>
              <w:rPr>
                <w:highlight w:val="none"/>
              </w:rPr>
            </w:pPr>
            <w:r>
              <w:rPr>
                <w:highlight w:val="none"/>
              </w:rPr>
              <w:t>标准值</w:t>
            </w:r>
          </w:p>
        </w:tc>
        <w:tc>
          <w:tcPr>
            <w:tcW w:w="793" w:type="dxa"/>
            <w:vAlign w:val="center"/>
          </w:tcPr>
          <w:p>
            <w:pPr>
              <w:pStyle w:val="62"/>
              <w:rPr>
                <w:highlight w:val="none"/>
              </w:rPr>
            </w:pPr>
            <w:r>
              <w:rPr>
                <w:highlight w:val="none"/>
              </w:rPr>
              <w:t>6~9</w:t>
            </w:r>
          </w:p>
        </w:tc>
        <w:tc>
          <w:tcPr>
            <w:tcW w:w="974" w:type="dxa"/>
            <w:vAlign w:val="center"/>
          </w:tcPr>
          <w:p>
            <w:pPr>
              <w:pStyle w:val="62"/>
              <w:rPr>
                <w:highlight w:val="none"/>
              </w:rPr>
            </w:pPr>
            <w:r>
              <w:rPr>
                <w:rFonts w:hint="eastAsia"/>
                <w:highlight w:val="none"/>
              </w:rPr>
              <w:t>5</w:t>
            </w:r>
          </w:p>
        </w:tc>
        <w:tc>
          <w:tcPr>
            <w:tcW w:w="974" w:type="dxa"/>
            <w:vAlign w:val="center"/>
          </w:tcPr>
          <w:p>
            <w:pPr>
              <w:pStyle w:val="62"/>
              <w:rPr>
                <w:highlight w:val="none"/>
              </w:rPr>
            </w:pPr>
            <w:r>
              <w:rPr>
                <w:highlight w:val="none"/>
              </w:rPr>
              <w:t>6</w:t>
            </w:r>
          </w:p>
        </w:tc>
        <w:tc>
          <w:tcPr>
            <w:tcW w:w="974" w:type="dxa"/>
            <w:vAlign w:val="center"/>
          </w:tcPr>
          <w:p>
            <w:pPr>
              <w:pStyle w:val="62"/>
              <w:rPr>
                <w:highlight w:val="none"/>
              </w:rPr>
            </w:pPr>
            <w:r>
              <w:rPr>
                <w:highlight w:val="none"/>
              </w:rPr>
              <w:t>4</w:t>
            </w:r>
          </w:p>
        </w:tc>
        <w:tc>
          <w:tcPr>
            <w:tcW w:w="974" w:type="dxa"/>
            <w:vAlign w:val="center"/>
          </w:tcPr>
          <w:p>
            <w:pPr>
              <w:pStyle w:val="62"/>
              <w:rPr>
                <w:highlight w:val="none"/>
              </w:rPr>
            </w:pPr>
            <w:r>
              <w:rPr>
                <w:highlight w:val="none"/>
              </w:rPr>
              <w:t>20</w:t>
            </w:r>
          </w:p>
        </w:tc>
        <w:tc>
          <w:tcPr>
            <w:tcW w:w="974" w:type="dxa"/>
            <w:vAlign w:val="center"/>
          </w:tcPr>
          <w:p>
            <w:pPr>
              <w:pStyle w:val="62"/>
              <w:rPr>
                <w:highlight w:val="none"/>
              </w:rPr>
            </w:pPr>
            <w:r>
              <w:rPr>
                <w:highlight w:val="none"/>
              </w:rPr>
              <w:t>1.0</w:t>
            </w:r>
          </w:p>
        </w:tc>
        <w:tc>
          <w:tcPr>
            <w:tcW w:w="974" w:type="dxa"/>
            <w:vAlign w:val="center"/>
          </w:tcPr>
          <w:p>
            <w:pPr>
              <w:pStyle w:val="62"/>
              <w:rPr>
                <w:rFonts w:hint="default" w:eastAsia="宋体"/>
                <w:highlight w:val="none"/>
                <w:lang w:val="en-US" w:eastAsia="zh-CN"/>
              </w:rPr>
            </w:pPr>
            <w:r>
              <w:rPr>
                <w:rFonts w:hint="eastAsia"/>
                <w:highlight w:val="none"/>
                <w:lang w:val="en-US" w:eastAsia="zh-CN"/>
              </w:rPr>
              <w:t>0.05</w:t>
            </w:r>
          </w:p>
        </w:tc>
        <w:tc>
          <w:tcPr>
            <w:tcW w:w="974" w:type="dxa"/>
            <w:vAlign w:val="center"/>
          </w:tcPr>
          <w:p>
            <w:pPr>
              <w:pStyle w:val="62"/>
              <w:rPr>
                <w:highlight w:val="none"/>
              </w:rPr>
            </w:pPr>
            <w:r>
              <w:rPr>
                <w:highlight w:val="none"/>
              </w:rPr>
              <w:t>0.05</w:t>
            </w:r>
          </w:p>
        </w:tc>
        <w:tc>
          <w:tcPr>
            <w:tcW w:w="974" w:type="dxa"/>
            <w:vAlign w:val="center"/>
          </w:tcPr>
          <w:p>
            <w:pPr>
              <w:pStyle w:val="62"/>
              <w:rPr>
                <w:highlight w:val="none"/>
              </w:rPr>
            </w:pPr>
            <w:r>
              <w:rPr>
                <w:highlight w:val="none"/>
              </w:rPr>
              <w:t>0.0001</w:t>
            </w:r>
          </w:p>
        </w:tc>
        <w:tc>
          <w:tcPr>
            <w:tcW w:w="974" w:type="dxa"/>
            <w:vAlign w:val="center"/>
          </w:tcPr>
          <w:p>
            <w:pPr>
              <w:pStyle w:val="62"/>
              <w:rPr>
                <w:highlight w:val="none"/>
              </w:rPr>
            </w:pPr>
            <w:r>
              <w:rPr>
                <w:highlight w:val="none"/>
              </w:rPr>
              <w:t>0.05</w:t>
            </w:r>
          </w:p>
        </w:tc>
        <w:tc>
          <w:tcPr>
            <w:tcW w:w="974" w:type="dxa"/>
            <w:vAlign w:val="center"/>
          </w:tcPr>
          <w:p>
            <w:pPr>
              <w:pStyle w:val="62"/>
              <w:rPr>
                <w:highlight w:val="none"/>
              </w:rPr>
            </w:pPr>
            <w:r>
              <w:rPr>
                <w:highlight w:val="none"/>
              </w:rPr>
              <w:t>0.05</w:t>
            </w:r>
          </w:p>
        </w:tc>
        <w:tc>
          <w:tcPr>
            <w:tcW w:w="975" w:type="dxa"/>
            <w:vAlign w:val="center"/>
          </w:tcPr>
          <w:p>
            <w:pPr>
              <w:pStyle w:val="62"/>
              <w:rPr>
                <w:highlight w:val="none"/>
              </w:rPr>
            </w:pPr>
            <w:r>
              <w:rPr>
                <w:highlight w:val="none"/>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73" w:hRule="atLeast"/>
          <w:jc w:val="center"/>
        </w:trPr>
        <w:tc>
          <w:tcPr>
            <w:tcW w:w="582" w:type="dxa"/>
            <w:vMerge w:val="restart"/>
            <w:vAlign w:val="center"/>
          </w:tcPr>
          <w:p>
            <w:pPr>
              <w:pStyle w:val="62"/>
              <w:rPr>
                <w:rFonts w:hint="eastAsia" w:eastAsia="宋体"/>
                <w:highlight w:val="none"/>
                <w:lang w:eastAsia="zh-CN"/>
              </w:rPr>
            </w:pPr>
            <w:r>
              <w:rPr>
                <w:rFonts w:hint="eastAsia"/>
                <w:highlight w:val="none"/>
                <w:lang w:eastAsia="zh-CN"/>
              </w:rPr>
              <w:t>卡子水库</w:t>
            </w:r>
          </w:p>
        </w:tc>
        <w:tc>
          <w:tcPr>
            <w:tcW w:w="756" w:type="dxa"/>
            <w:vAlign w:val="center"/>
          </w:tcPr>
          <w:p>
            <w:pPr>
              <w:pStyle w:val="62"/>
              <w:rPr>
                <w:highlight w:val="none"/>
              </w:rPr>
            </w:pPr>
            <w:r>
              <w:rPr>
                <w:highlight w:val="none"/>
              </w:rPr>
              <w:t>最大值</w:t>
            </w:r>
          </w:p>
        </w:tc>
        <w:tc>
          <w:tcPr>
            <w:tcW w:w="793" w:type="dxa"/>
            <w:vAlign w:val="center"/>
          </w:tcPr>
          <w:p>
            <w:pPr>
              <w:pStyle w:val="62"/>
              <w:rPr>
                <w:rFonts w:hint="default" w:eastAsia="宋体"/>
                <w:highlight w:val="none"/>
                <w:lang w:val="en-US" w:eastAsia="zh-CN"/>
              </w:rPr>
            </w:pPr>
            <w:r>
              <w:rPr>
                <w:rFonts w:hint="eastAsia"/>
                <w:highlight w:val="none"/>
                <w:lang w:val="en-US" w:eastAsia="zh-CN"/>
              </w:rPr>
              <w:t>7.62</w:t>
            </w:r>
          </w:p>
        </w:tc>
        <w:tc>
          <w:tcPr>
            <w:tcW w:w="974" w:type="dxa"/>
            <w:vAlign w:val="center"/>
          </w:tcPr>
          <w:p>
            <w:pPr>
              <w:pStyle w:val="62"/>
              <w:rPr>
                <w:rFonts w:hint="default" w:eastAsia="宋体"/>
                <w:highlight w:val="none"/>
                <w:lang w:val="en-US" w:eastAsia="zh-CN"/>
              </w:rPr>
            </w:pPr>
            <w:r>
              <w:rPr>
                <w:rFonts w:hint="eastAsia"/>
                <w:highlight w:val="none"/>
                <w:lang w:val="en-US" w:eastAsia="zh-CN"/>
              </w:rPr>
              <w:t>8.2</w:t>
            </w:r>
          </w:p>
        </w:tc>
        <w:tc>
          <w:tcPr>
            <w:tcW w:w="974" w:type="dxa"/>
            <w:vAlign w:val="center"/>
          </w:tcPr>
          <w:p>
            <w:pPr>
              <w:pStyle w:val="62"/>
              <w:rPr>
                <w:rFonts w:hint="default" w:eastAsia="宋体"/>
                <w:highlight w:val="none"/>
                <w:lang w:val="en-US" w:eastAsia="zh-CN"/>
              </w:rPr>
            </w:pPr>
            <w:r>
              <w:rPr>
                <w:rFonts w:hint="eastAsia"/>
                <w:highlight w:val="none"/>
                <w:lang w:val="en-US" w:eastAsia="zh-CN"/>
              </w:rPr>
              <w:t>5.2</w:t>
            </w:r>
          </w:p>
        </w:tc>
        <w:tc>
          <w:tcPr>
            <w:tcW w:w="974" w:type="dxa"/>
            <w:vAlign w:val="center"/>
          </w:tcPr>
          <w:p>
            <w:pPr>
              <w:pStyle w:val="62"/>
              <w:rPr>
                <w:rFonts w:hint="default" w:eastAsia="宋体"/>
                <w:highlight w:val="none"/>
                <w:lang w:val="en-US" w:eastAsia="zh-CN"/>
              </w:rPr>
            </w:pPr>
            <w:r>
              <w:rPr>
                <w:rFonts w:hint="eastAsia"/>
                <w:highlight w:val="none"/>
                <w:lang w:val="en-US" w:eastAsia="zh-CN"/>
              </w:rPr>
              <w:t>3.4</w:t>
            </w:r>
          </w:p>
        </w:tc>
        <w:tc>
          <w:tcPr>
            <w:tcW w:w="974" w:type="dxa"/>
            <w:vAlign w:val="center"/>
          </w:tcPr>
          <w:p>
            <w:pPr>
              <w:pStyle w:val="62"/>
              <w:rPr>
                <w:rFonts w:hint="default" w:eastAsia="宋体"/>
                <w:highlight w:val="none"/>
                <w:lang w:val="en-US" w:eastAsia="zh-CN"/>
              </w:rPr>
            </w:pPr>
            <w:r>
              <w:rPr>
                <w:rFonts w:hint="eastAsia"/>
                <w:highlight w:val="none"/>
                <w:lang w:val="en-US" w:eastAsia="zh-CN"/>
              </w:rPr>
              <w:t>19</w:t>
            </w:r>
          </w:p>
        </w:tc>
        <w:tc>
          <w:tcPr>
            <w:tcW w:w="974" w:type="dxa"/>
            <w:vAlign w:val="center"/>
          </w:tcPr>
          <w:p>
            <w:pPr>
              <w:pStyle w:val="62"/>
              <w:rPr>
                <w:rFonts w:hint="default" w:eastAsia="宋体"/>
                <w:highlight w:val="none"/>
                <w:lang w:val="en-US" w:eastAsia="zh-CN"/>
              </w:rPr>
            </w:pPr>
            <w:r>
              <w:rPr>
                <w:rFonts w:hint="eastAsia"/>
                <w:highlight w:val="none"/>
                <w:lang w:val="en-US" w:eastAsia="zh-CN"/>
              </w:rPr>
              <w:t>0.454</w:t>
            </w:r>
          </w:p>
        </w:tc>
        <w:tc>
          <w:tcPr>
            <w:tcW w:w="974" w:type="dxa"/>
            <w:vAlign w:val="center"/>
          </w:tcPr>
          <w:p>
            <w:pPr>
              <w:pStyle w:val="62"/>
              <w:rPr>
                <w:rFonts w:hint="default" w:eastAsia="宋体"/>
                <w:highlight w:val="none"/>
                <w:lang w:val="en-US" w:eastAsia="zh-CN"/>
              </w:rPr>
            </w:pPr>
            <w:r>
              <w:rPr>
                <w:rFonts w:hint="eastAsia"/>
                <w:highlight w:val="none"/>
                <w:lang w:val="en-US" w:eastAsia="zh-CN"/>
              </w:rPr>
              <w:t>0.15</w:t>
            </w:r>
          </w:p>
        </w:tc>
        <w:tc>
          <w:tcPr>
            <w:tcW w:w="974" w:type="dxa"/>
            <w:vAlign w:val="center"/>
          </w:tcPr>
          <w:p>
            <w:pPr>
              <w:pStyle w:val="62"/>
              <w:rPr>
                <w:rFonts w:hint="default" w:eastAsia="宋体"/>
                <w:highlight w:val="none"/>
                <w:lang w:val="en-US" w:eastAsia="zh-CN"/>
              </w:rPr>
            </w:pPr>
            <w:r>
              <w:rPr>
                <w:rFonts w:hint="eastAsia"/>
                <w:highlight w:val="none"/>
                <w:lang w:val="en-US" w:eastAsia="zh-CN"/>
              </w:rPr>
              <w:t>0.0003L</w:t>
            </w:r>
          </w:p>
        </w:tc>
        <w:tc>
          <w:tcPr>
            <w:tcW w:w="974" w:type="dxa"/>
            <w:vAlign w:val="center"/>
          </w:tcPr>
          <w:p>
            <w:pPr>
              <w:pStyle w:val="62"/>
              <w:rPr>
                <w:highlight w:val="none"/>
              </w:rPr>
            </w:pPr>
            <w:r>
              <w:rPr>
                <w:rFonts w:hint="eastAsia"/>
                <w:highlight w:val="none"/>
              </w:rPr>
              <w:t>0.0000</w:t>
            </w:r>
            <w:r>
              <w:rPr>
                <w:rFonts w:hint="eastAsia"/>
                <w:highlight w:val="none"/>
                <w:lang w:val="en-US" w:eastAsia="zh-CN"/>
              </w:rPr>
              <w:t>4</w:t>
            </w:r>
            <w:r>
              <w:rPr>
                <w:rFonts w:hint="eastAsia"/>
                <w:highlight w:val="none"/>
              </w:rPr>
              <w:t>L</w:t>
            </w:r>
          </w:p>
        </w:tc>
        <w:tc>
          <w:tcPr>
            <w:tcW w:w="974" w:type="dxa"/>
            <w:vAlign w:val="center"/>
          </w:tcPr>
          <w:p>
            <w:pPr>
              <w:pStyle w:val="62"/>
              <w:rPr>
                <w:rFonts w:hint="default" w:eastAsia="宋体"/>
                <w:highlight w:val="none"/>
                <w:lang w:val="en-US" w:eastAsia="zh-CN"/>
              </w:rPr>
            </w:pPr>
            <w:r>
              <w:rPr>
                <w:rFonts w:hint="eastAsia"/>
                <w:highlight w:val="none"/>
              </w:rPr>
              <w:t>0.0</w:t>
            </w:r>
            <w:r>
              <w:rPr>
                <w:rFonts w:hint="eastAsia"/>
                <w:highlight w:val="none"/>
                <w:lang w:val="en-US" w:eastAsia="zh-CN"/>
              </w:rPr>
              <w:t>06</w:t>
            </w:r>
          </w:p>
        </w:tc>
        <w:tc>
          <w:tcPr>
            <w:tcW w:w="974" w:type="dxa"/>
            <w:vAlign w:val="center"/>
          </w:tcPr>
          <w:p>
            <w:pPr>
              <w:pStyle w:val="62"/>
              <w:rPr>
                <w:highlight w:val="none"/>
              </w:rPr>
            </w:pPr>
            <w:r>
              <w:rPr>
                <w:rFonts w:hint="eastAsia"/>
                <w:highlight w:val="none"/>
              </w:rPr>
              <w:t>0.04</w:t>
            </w:r>
          </w:p>
        </w:tc>
        <w:tc>
          <w:tcPr>
            <w:tcW w:w="975" w:type="dxa"/>
            <w:vAlign w:val="center"/>
          </w:tcPr>
          <w:p>
            <w:pPr>
              <w:pStyle w:val="62"/>
              <w:rPr>
                <w:rFonts w:hint="default" w:eastAsia="宋体"/>
                <w:highlight w:val="none"/>
                <w:lang w:val="en-US" w:eastAsia="zh-CN"/>
              </w:rPr>
            </w:pPr>
            <w:r>
              <w:rPr>
                <w:rFonts w:hint="eastAsia"/>
                <w:highlight w:val="none"/>
                <w:lang w:val="en-US" w:eastAsia="zh-CN"/>
              </w:rPr>
              <w:t>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73" w:hRule="atLeast"/>
          <w:jc w:val="center"/>
        </w:trPr>
        <w:tc>
          <w:tcPr>
            <w:tcW w:w="582" w:type="dxa"/>
            <w:vMerge w:val="continue"/>
            <w:vAlign w:val="center"/>
          </w:tcPr>
          <w:p>
            <w:pPr>
              <w:pStyle w:val="62"/>
              <w:rPr>
                <w:highlight w:val="none"/>
              </w:rPr>
            </w:pPr>
          </w:p>
        </w:tc>
        <w:tc>
          <w:tcPr>
            <w:tcW w:w="756" w:type="dxa"/>
            <w:vAlign w:val="center"/>
          </w:tcPr>
          <w:p>
            <w:pPr>
              <w:pStyle w:val="62"/>
              <w:rPr>
                <w:highlight w:val="none"/>
              </w:rPr>
            </w:pPr>
            <w:r>
              <w:rPr>
                <w:highlight w:val="none"/>
              </w:rPr>
              <w:t>标准</w:t>
            </w:r>
          </w:p>
          <w:p>
            <w:pPr>
              <w:pStyle w:val="62"/>
              <w:rPr>
                <w:highlight w:val="none"/>
              </w:rPr>
            </w:pPr>
            <w:r>
              <w:rPr>
                <w:highlight w:val="none"/>
              </w:rPr>
              <w:t>指数</w:t>
            </w:r>
          </w:p>
        </w:tc>
        <w:tc>
          <w:tcPr>
            <w:tcW w:w="793" w:type="dxa"/>
            <w:vAlign w:val="center"/>
          </w:tcPr>
          <w:p>
            <w:pPr>
              <w:pStyle w:val="62"/>
              <w:rPr>
                <w:rFonts w:hint="default" w:eastAsia="宋体"/>
                <w:highlight w:val="none"/>
                <w:lang w:val="en-US" w:eastAsia="zh-CN"/>
              </w:rPr>
            </w:pPr>
            <w:r>
              <w:rPr>
                <w:rFonts w:hint="eastAsia"/>
                <w:highlight w:val="none"/>
              </w:rPr>
              <w:t>0.</w:t>
            </w:r>
            <w:r>
              <w:rPr>
                <w:rFonts w:hint="eastAsia"/>
                <w:highlight w:val="none"/>
                <w:lang w:val="en-US" w:eastAsia="zh-CN"/>
              </w:rPr>
              <w:t>31</w:t>
            </w:r>
          </w:p>
        </w:tc>
        <w:tc>
          <w:tcPr>
            <w:tcW w:w="974" w:type="dxa"/>
            <w:vAlign w:val="center"/>
          </w:tcPr>
          <w:p>
            <w:pPr>
              <w:pStyle w:val="62"/>
              <w:rPr>
                <w:rFonts w:hint="default" w:eastAsia="宋体"/>
                <w:highlight w:val="none"/>
                <w:lang w:val="en-US" w:eastAsia="zh-CN"/>
              </w:rPr>
            </w:pPr>
            <w:r>
              <w:rPr>
                <w:rFonts w:hint="eastAsia"/>
                <w:highlight w:val="none"/>
                <w:lang w:val="en-US" w:eastAsia="zh-CN"/>
              </w:rPr>
              <w:t>0.27</w:t>
            </w:r>
          </w:p>
        </w:tc>
        <w:tc>
          <w:tcPr>
            <w:tcW w:w="974" w:type="dxa"/>
            <w:vAlign w:val="center"/>
          </w:tcPr>
          <w:p>
            <w:pPr>
              <w:pStyle w:val="62"/>
              <w:rPr>
                <w:rFonts w:hint="default" w:eastAsia="宋体"/>
                <w:highlight w:val="none"/>
                <w:lang w:val="en-US" w:eastAsia="zh-CN"/>
              </w:rPr>
            </w:pPr>
            <w:r>
              <w:rPr>
                <w:rFonts w:hint="eastAsia"/>
                <w:highlight w:val="none"/>
              </w:rPr>
              <w:t>0.</w:t>
            </w:r>
            <w:r>
              <w:rPr>
                <w:rFonts w:hint="eastAsia"/>
                <w:highlight w:val="none"/>
                <w:lang w:val="en-US" w:eastAsia="zh-CN"/>
              </w:rPr>
              <w:t>86</w:t>
            </w:r>
          </w:p>
        </w:tc>
        <w:tc>
          <w:tcPr>
            <w:tcW w:w="974" w:type="dxa"/>
            <w:vAlign w:val="center"/>
          </w:tcPr>
          <w:p>
            <w:pPr>
              <w:pStyle w:val="62"/>
              <w:rPr>
                <w:rFonts w:hint="default" w:eastAsia="宋体"/>
                <w:highlight w:val="none"/>
                <w:lang w:val="en-US" w:eastAsia="zh-CN"/>
              </w:rPr>
            </w:pPr>
            <w:r>
              <w:rPr>
                <w:rFonts w:hint="eastAsia"/>
                <w:highlight w:val="none"/>
              </w:rPr>
              <w:t>0.</w:t>
            </w:r>
            <w:r>
              <w:rPr>
                <w:rFonts w:hint="eastAsia"/>
                <w:highlight w:val="none"/>
                <w:lang w:val="en-US" w:eastAsia="zh-CN"/>
              </w:rPr>
              <w:t>85</w:t>
            </w:r>
          </w:p>
        </w:tc>
        <w:tc>
          <w:tcPr>
            <w:tcW w:w="974" w:type="dxa"/>
            <w:vAlign w:val="center"/>
          </w:tcPr>
          <w:p>
            <w:pPr>
              <w:pStyle w:val="62"/>
              <w:rPr>
                <w:rFonts w:hint="default" w:eastAsia="宋体"/>
                <w:highlight w:val="none"/>
                <w:lang w:val="en-US" w:eastAsia="zh-CN"/>
              </w:rPr>
            </w:pPr>
            <w:r>
              <w:rPr>
                <w:rFonts w:hint="eastAsia"/>
                <w:highlight w:val="none"/>
                <w:lang w:val="en-US" w:eastAsia="zh-CN"/>
              </w:rPr>
              <w:t>0.95</w:t>
            </w:r>
          </w:p>
        </w:tc>
        <w:tc>
          <w:tcPr>
            <w:tcW w:w="974" w:type="dxa"/>
            <w:vAlign w:val="center"/>
          </w:tcPr>
          <w:p>
            <w:pPr>
              <w:pStyle w:val="62"/>
              <w:rPr>
                <w:rFonts w:hint="default" w:eastAsia="宋体"/>
                <w:highlight w:val="none"/>
                <w:lang w:val="en-US" w:eastAsia="zh-CN"/>
              </w:rPr>
            </w:pPr>
            <w:r>
              <w:rPr>
                <w:rFonts w:hint="eastAsia"/>
                <w:highlight w:val="none"/>
                <w:lang w:val="en-US" w:eastAsia="zh-CN"/>
              </w:rPr>
              <w:t>0.454</w:t>
            </w:r>
          </w:p>
        </w:tc>
        <w:tc>
          <w:tcPr>
            <w:tcW w:w="974" w:type="dxa"/>
            <w:vAlign w:val="center"/>
          </w:tcPr>
          <w:p>
            <w:pPr>
              <w:pStyle w:val="62"/>
              <w:rPr>
                <w:rFonts w:hint="eastAsia" w:eastAsia="宋体"/>
                <w:highlight w:val="none"/>
                <w:lang w:eastAsia="zh-CN"/>
              </w:rPr>
            </w:pPr>
            <w:r>
              <w:rPr>
                <w:rFonts w:hint="eastAsia"/>
                <w:highlight w:val="none"/>
                <w:lang w:val="en-US" w:eastAsia="zh-CN"/>
              </w:rPr>
              <w:t>3</w:t>
            </w:r>
          </w:p>
        </w:tc>
        <w:tc>
          <w:tcPr>
            <w:tcW w:w="974" w:type="dxa"/>
            <w:vAlign w:val="center"/>
          </w:tcPr>
          <w:p>
            <w:pPr>
              <w:pStyle w:val="62"/>
              <w:rPr>
                <w:rFonts w:hint="eastAsia" w:eastAsia="宋体"/>
                <w:highlight w:val="none"/>
                <w:lang w:eastAsia="zh-CN"/>
              </w:rPr>
            </w:pPr>
            <w:r>
              <w:rPr>
                <w:rFonts w:hint="eastAsia"/>
                <w:highlight w:val="none"/>
                <w:lang w:val="en-US" w:eastAsia="zh-CN"/>
              </w:rPr>
              <w:t>/</w:t>
            </w:r>
          </w:p>
        </w:tc>
        <w:tc>
          <w:tcPr>
            <w:tcW w:w="974" w:type="dxa"/>
            <w:vAlign w:val="center"/>
          </w:tcPr>
          <w:p>
            <w:pPr>
              <w:pStyle w:val="62"/>
              <w:rPr>
                <w:highlight w:val="none"/>
              </w:rPr>
            </w:pPr>
            <w:r>
              <w:rPr>
                <w:rFonts w:hint="eastAsia"/>
                <w:highlight w:val="none"/>
              </w:rPr>
              <w:t>/</w:t>
            </w:r>
          </w:p>
        </w:tc>
        <w:tc>
          <w:tcPr>
            <w:tcW w:w="974" w:type="dxa"/>
            <w:vAlign w:val="center"/>
          </w:tcPr>
          <w:p>
            <w:pPr>
              <w:pStyle w:val="62"/>
              <w:rPr>
                <w:rFonts w:hint="default" w:eastAsia="宋体"/>
                <w:highlight w:val="none"/>
                <w:lang w:val="en-US" w:eastAsia="zh-CN"/>
              </w:rPr>
            </w:pPr>
            <w:r>
              <w:rPr>
                <w:rFonts w:hint="eastAsia"/>
                <w:highlight w:val="none"/>
              </w:rPr>
              <w:t>0.</w:t>
            </w:r>
            <w:r>
              <w:rPr>
                <w:rFonts w:hint="eastAsia"/>
                <w:highlight w:val="none"/>
                <w:lang w:val="en-US" w:eastAsia="zh-CN"/>
              </w:rPr>
              <w:t>12</w:t>
            </w:r>
          </w:p>
        </w:tc>
        <w:tc>
          <w:tcPr>
            <w:tcW w:w="974" w:type="dxa"/>
            <w:vAlign w:val="center"/>
          </w:tcPr>
          <w:p>
            <w:pPr>
              <w:pStyle w:val="62"/>
              <w:rPr>
                <w:highlight w:val="none"/>
              </w:rPr>
            </w:pPr>
            <w:r>
              <w:rPr>
                <w:rFonts w:hint="eastAsia"/>
                <w:highlight w:val="none"/>
              </w:rPr>
              <w:t>0.8</w:t>
            </w:r>
          </w:p>
        </w:tc>
        <w:tc>
          <w:tcPr>
            <w:tcW w:w="975" w:type="dxa"/>
            <w:vAlign w:val="center"/>
          </w:tcPr>
          <w:p>
            <w:pPr>
              <w:pStyle w:val="62"/>
              <w:rPr>
                <w:rFonts w:hint="default" w:eastAsia="宋体"/>
                <w:highlight w:val="none"/>
                <w:lang w:val="en-US" w:eastAsia="zh-CN"/>
              </w:rPr>
            </w:pPr>
            <w:r>
              <w:rPr>
                <w:rFonts w:hint="eastAsia"/>
                <w:highlight w:val="none"/>
              </w:rPr>
              <w:t>0</w:t>
            </w:r>
            <w:r>
              <w:rPr>
                <w:rFonts w:hint="eastAsia"/>
                <w:highlight w:val="none"/>
                <w:lang w:val="en-US" w:eastAsia="zh-CN"/>
              </w:rPr>
              <w:t>.052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73" w:hRule="atLeast"/>
          <w:jc w:val="center"/>
        </w:trPr>
        <w:tc>
          <w:tcPr>
            <w:tcW w:w="582" w:type="dxa"/>
            <w:vMerge w:val="continue"/>
            <w:vAlign w:val="center"/>
          </w:tcPr>
          <w:p>
            <w:pPr>
              <w:pStyle w:val="62"/>
              <w:rPr>
                <w:highlight w:val="none"/>
              </w:rPr>
            </w:pPr>
          </w:p>
        </w:tc>
        <w:tc>
          <w:tcPr>
            <w:tcW w:w="756" w:type="dxa"/>
            <w:vAlign w:val="center"/>
          </w:tcPr>
          <w:p>
            <w:pPr>
              <w:pStyle w:val="62"/>
              <w:rPr>
                <w:highlight w:val="none"/>
              </w:rPr>
            </w:pPr>
            <w:r>
              <w:rPr>
                <w:highlight w:val="none"/>
              </w:rPr>
              <w:t>超标</w:t>
            </w:r>
          </w:p>
          <w:p>
            <w:pPr>
              <w:pStyle w:val="62"/>
              <w:rPr>
                <w:highlight w:val="none"/>
              </w:rPr>
            </w:pPr>
            <w:r>
              <w:rPr>
                <w:highlight w:val="none"/>
              </w:rPr>
              <w:t>倍数</w:t>
            </w:r>
          </w:p>
        </w:tc>
        <w:tc>
          <w:tcPr>
            <w:tcW w:w="793" w:type="dxa"/>
            <w:vAlign w:val="center"/>
          </w:tcPr>
          <w:p>
            <w:pPr>
              <w:pStyle w:val="62"/>
              <w:rPr>
                <w:highlight w:val="none"/>
              </w:rPr>
            </w:pPr>
            <w:r>
              <w:rPr>
                <w:highlight w:val="none"/>
              </w:rPr>
              <w:t>/</w:t>
            </w:r>
          </w:p>
        </w:tc>
        <w:tc>
          <w:tcPr>
            <w:tcW w:w="974" w:type="dxa"/>
            <w:vAlign w:val="center"/>
          </w:tcPr>
          <w:p>
            <w:pPr>
              <w:pStyle w:val="62"/>
              <w:rPr>
                <w:highlight w:val="none"/>
              </w:rPr>
            </w:pPr>
            <w:r>
              <w:rPr>
                <w:highlight w:val="none"/>
              </w:rPr>
              <w:t>/</w:t>
            </w:r>
          </w:p>
        </w:tc>
        <w:tc>
          <w:tcPr>
            <w:tcW w:w="974" w:type="dxa"/>
            <w:vAlign w:val="center"/>
          </w:tcPr>
          <w:p>
            <w:pPr>
              <w:pStyle w:val="62"/>
              <w:rPr>
                <w:highlight w:val="none"/>
              </w:rPr>
            </w:pPr>
            <w:r>
              <w:rPr>
                <w:highlight w:val="none"/>
              </w:rPr>
              <w:t>/</w:t>
            </w:r>
          </w:p>
        </w:tc>
        <w:tc>
          <w:tcPr>
            <w:tcW w:w="974" w:type="dxa"/>
            <w:vAlign w:val="center"/>
          </w:tcPr>
          <w:p>
            <w:pPr>
              <w:pStyle w:val="62"/>
              <w:rPr>
                <w:highlight w:val="none"/>
              </w:rPr>
            </w:pPr>
            <w:r>
              <w:rPr>
                <w:highlight w:val="none"/>
              </w:rPr>
              <w:t>/</w:t>
            </w:r>
          </w:p>
        </w:tc>
        <w:tc>
          <w:tcPr>
            <w:tcW w:w="974" w:type="dxa"/>
            <w:vAlign w:val="center"/>
          </w:tcPr>
          <w:p>
            <w:pPr>
              <w:pStyle w:val="62"/>
              <w:rPr>
                <w:highlight w:val="none"/>
              </w:rPr>
            </w:pPr>
            <w:r>
              <w:rPr>
                <w:highlight w:val="none"/>
              </w:rPr>
              <w:t>/</w:t>
            </w:r>
          </w:p>
        </w:tc>
        <w:tc>
          <w:tcPr>
            <w:tcW w:w="974" w:type="dxa"/>
            <w:vAlign w:val="center"/>
          </w:tcPr>
          <w:p>
            <w:pPr>
              <w:pStyle w:val="62"/>
              <w:rPr>
                <w:highlight w:val="none"/>
              </w:rPr>
            </w:pPr>
            <w:r>
              <w:rPr>
                <w:highlight w:val="none"/>
              </w:rPr>
              <w:t>/</w:t>
            </w:r>
          </w:p>
        </w:tc>
        <w:tc>
          <w:tcPr>
            <w:tcW w:w="974" w:type="dxa"/>
            <w:vAlign w:val="center"/>
          </w:tcPr>
          <w:p>
            <w:pPr>
              <w:pStyle w:val="62"/>
              <w:rPr>
                <w:rFonts w:hint="eastAsia" w:eastAsia="宋体"/>
                <w:highlight w:val="none"/>
                <w:lang w:eastAsia="zh-CN"/>
              </w:rPr>
            </w:pPr>
            <w:r>
              <w:rPr>
                <w:rFonts w:hint="eastAsia"/>
                <w:highlight w:val="none"/>
                <w:lang w:val="en-US" w:eastAsia="zh-CN"/>
              </w:rPr>
              <w:t>3</w:t>
            </w:r>
          </w:p>
        </w:tc>
        <w:tc>
          <w:tcPr>
            <w:tcW w:w="974" w:type="dxa"/>
            <w:vAlign w:val="center"/>
          </w:tcPr>
          <w:p>
            <w:pPr>
              <w:pStyle w:val="62"/>
              <w:rPr>
                <w:highlight w:val="none"/>
              </w:rPr>
            </w:pPr>
            <w:r>
              <w:rPr>
                <w:highlight w:val="none"/>
              </w:rPr>
              <w:t>/</w:t>
            </w:r>
          </w:p>
        </w:tc>
        <w:tc>
          <w:tcPr>
            <w:tcW w:w="974" w:type="dxa"/>
            <w:vAlign w:val="center"/>
          </w:tcPr>
          <w:p>
            <w:pPr>
              <w:pStyle w:val="62"/>
              <w:rPr>
                <w:highlight w:val="none"/>
              </w:rPr>
            </w:pPr>
            <w:r>
              <w:rPr>
                <w:highlight w:val="none"/>
              </w:rPr>
              <w:t>/</w:t>
            </w:r>
          </w:p>
        </w:tc>
        <w:tc>
          <w:tcPr>
            <w:tcW w:w="974" w:type="dxa"/>
            <w:vAlign w:val="center"/>
          </w:tcPr>
          <w:p>
            <w:pPr>
              <w:pStyle w:val="62"/>
              <w:rPr>
                <w:highlight w:val="none"/>
              </w:rPr>
            </w:pPr>
            <w:r>
              <w:rPr>
                <w:highlight w:val="none"/>
              </w:rPr>
              <w:t>/</w:t>
            </w:r>
          </w:p>
        </w:tc>
        <w:tc>
          <w:tcPr>
            <w:tcW w:w="974" w:type="dxa"/>
            <w:vAlign w:val="center"/>
          </w:tcPr>
          <w:p>
            <w:pPr>
              <w:pStyle w:val="62"/>
              <w:rPr>
                <w:highlight w:val="none"/>
              </w:rPr>
            </w:pPr>
            <w:r>
              <w:rPr>
                <w:highlight w:val="none"/>
              </w:rPr>
              <w:t>/</w:t>
            </w:r>
          </w:p>
        </w:tc>
        <w:tc>
          <w:tcPr>
            <w:tcW w:w="975" w:type="dxa"/>
            <w:vAlign w:val="center"/>
          </w:tcPr>
          <w:p>
            <w:pPr>
              <w:pStyle w:val="62"/>
              <w:rPr>
                <w:highlight w:val="none"/>
              </w:rPr>
            </w:pPr>
            <w:r>
              <w:rPr>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22" w:hRule="atLeast"/>
          <w:jc w:val="center"/>
        </w:trPr>
        <w:tc>
          <w:tcPr>
            <w:tcW w:w="582" w:type="dxa"/>
            <w:vMerge w:val="continue"/>
            <w:vAlign w:val="center"/>
          </w:tcPr>
          <w:p>
            <w:pPr>
              <w:pStyle w:val="62"/>
              <w:rPr>
                <w:highlight w:val="none"/>
              </w:rPr>
            </w:pPr>
          </w:p>
        </w:tc>
        <w:tc>
          <w:tcPr>
            <w:tcW w:w="756" w:type="dxa"/>
            <w:vAlign w:val="center"/>
          </w:tcPr>
          <w:p>
            <w:pPr>
              <w:pStyle w:val="62"/>
              <w:rPr>
                <w:b/>
                <w:bCs/>
                <w:highlight w:val="none"/>
              </w:rPr>
            </w:pPr>
            <w:r>
              <w:rPr>
                <w:b/>
                <w:bCs/>
                <w:highlight w:val="none"/>
              </w:rPr>
              <w:t>评价</w:t>
            </w:r>
          </w:p>
        </w:tc>
        <w:tc>
          <w:tcPr>
            <w:tcW w:w="793" w:type="dxa"/>
            <w:vAlign w:val="center"/>
          </w:tcPr>
          <w:p>
            <w:pPr>
              <w:pStyle w:val="62"/>
              <w:rPr>
                <w:b/>
                <w:bCs/>
                <w:highlight w:val="none"/>
              </w:rPr>
            </w:pPr>
            <w:r>
              <w:rPr>
                <w:b/>
                <w:bCs/>
                <w:highlight w:val="none"/>
              </w:rPr>
              <w:t>达标</w:t>
            </w:r>
          </w:p>
        </w:tc>
        <w:tc>
          <w:tcPr>
            <w:tcW w:w="974" w:type="dxa"/>
            <w:vAlign w:val="center"/>
          </w:tcPr>
          <w:p>
            <w:pPr>
              <w:pStyle w:val="62"/>
              <w:rPr>
                <w:b/>
                <w:bCs/>
                <w:highlight w:val="none"/>
              </w:rPr>
            </w:pPr>
            <w:r>
              <w:rPr>
                <w:b/>
                <w:bCs/>
                <w:highlight w:val="none"/>
              </w:rPr>
              <w:t>达标</w:t>
            </w:r>
          </w:p>
        </w:tc>
        <w:tc>
          <w:tcPr>
            <w:tcW w:w="974" w:type="dxa"/>
            <w:vAlign w:val="center"/>
          </w:tcPr>
          <w:p>
            <w:pPr>
              <w:pStyle w:val="62"/>
              <w:rPr>
                <w:b/>
                <w:bCs/>
                <w:highlight w:val="none"/>
              </w:rPr>
            </w:pPr>
            <w:r>
              <w:rPr>
                <w:b/>
                <w:bCs/>
                <w:highlight w:val="none"/>
              </w:rPr>
              <w:t>达标</w:t>
            </w:r>
          </w:p>
        </w:tc>
        <w:tc>
          <w:tcPr>
            <w:tcW w:w="974" w:type="dxa"/>
            <w:vAlign w:val="center"/>
          </w:tcPr>
          <w:p>
            <w:pPr>
              <w:pStyle w:val="62"/>
              <w:rPr>
                <w:b/>
                <w:bCs/>
                <w:highlight w:val="none"/>
              </w:rPr>
            </w:pPr>
            <w:r>
              <w:rPr>
                <w:b/>
                <w:bCs/>
                <w:highlight w:val="none"/>
              </w:rPr>
              <w:t>达标</w:t>
            </w:r>
          </w:p>
        </w:tc>
        <w:tc>
          <w:tcPr>
            <w:tcW w:w="974" w:type="dxa"/>
            <w:vAlign w:val="center"/>
          </w:tcPr>
          <w:p>
            <w:pPr>
              <w:pStyle w:val="62"/>
              <w:rPr>
                <w:b/>
                <w:bCs/>
                <w:highlight w:val="none"/>
              </w:rPr>
            </w:pPr>
            <w:r>
              <w:rPr>
                <w:b/>
                <w:bCs/>
                <w:highlight w:val="none"/>
              </w:rPr>
              <w:t>达标</w:t>
            </w:r>
          </w:p>
        </w:tc>
        <w:tc>
          <w:tcPr>
            <w:tcW w:w="974" w:type="dxa"/>
            <w:vAlign w:val="center"/>
          </w:tcPr>
          <w:p>
            <w:pPr>
              <w:pStyle w:val="62"/>
              <w:rPr>
                <w:b/>
                <w:bCs/>
                <w:highlight w:val="none"/>
              </w:rPr>
            </w:pPr>
            <w:r>
              <w:rPr>
                <w:b/>
                <w:bCs/>
                <w:highlight w:val="none"/>
              </w:rPr>
              <w:t>达标</w:t>
            </w:r>
          </w:p>
        </w:tc>
        <w:tc>
          <w:tcPr>
            <w:tcW w:w="974" w:type="dxa"/>
            <w:vAlign w:val="center"/>
          </w:tcPr>
          <w:p>
            <w:pPr>
              <w:pStyle w:val="62"/>
              <w:rPr>
                <w:b/>
                <w:bCs/>
                <w:highlight w:val="none"/>
              </w:rPr>
            </w:pPr>
            <w:r>
              <w:rPr>
                <w:rFonts w:hint="eastAsia"/>
                <w:b/>
                <w:bCs/>
                <w:highlight w:val="none"/>
              </w:rPr>
              <w:t>超标</w:t>
            </w:r>
          </w:p>
        </w:tc>
        <w:tc>
          <w:tcPr>
            <w:tcW w:w="974" w:type="dxa"/>
            <w:vAlign w:val="center"/>
          </w:tcPr>
          <w:p>
            <w:pPr>
              <w:pStyle w:val="62"/>
              <w:rPr>
                <w:b/>
                <w:bCs/>
                <w:highlight w:val="none"/>
              </w:rPr>
            </w:pPr>
            <w:r>
              <w:rPr>
                <w:b/>
                <w:bCs/>
                <w:highlight w:val="none"/>
              </w:rPr>
              <w:t>达标</w:t>
            </w:r>
          </w:p>
        </w:tc>
        <w:tc>
          <w:tcPr>
            <w:tcW w:w="974" w:type="dxa"/>
            <w:vAlign w:val="center"/>
          </w:tcPr>
          <w:p>
            <w:pPr>
              <w:pStyle w:val="62"/>
              <w:rPr>
                <w:b/>
                <w:bCs/>
                <w:highlight w:val="none"/>
              </w:rPr>
            </w:pPr>
            <w:r>
              <w:rPr>
                <w:b/>
                <w:bCs/>
                <w:highlight w:val="none"/>
              </w:rPr>
              <w:t>达标</w:t>
            </w:r>
          </w:p>
        </w:tc>
        <w:tc>
          <w:tcPr>
            <w:tcW w:w="974" w:type="dxa"/>
            <w:vAlign w:val="center"/>
          </w:tcPr>
          <w:p>
            <w:pPr>
              <w:pStyle w:val="62"/>
              <w:rPr>
                <w:b/>
                <w:bCs/>
                <w:highlight w:val="none"/>
              </w:rPr>
            </w:pPr>
            <w:r>
              <w:rPr>
                <w:b/>
                <w:bCs/>
                <w:highlight w:val="none"/>
              </w:rPr>
              <w:t>达标</w:t>
            </w:r>
          </w:p>
        </w:tc>
        <w:tc>
          <w:tcPr>
            <w:tcW w:w="974" w:type="dxa"/>
            <w:vAlign w:val="center"/>
          </w:tcPr>
          <w:p>
            <w:pPr>
              <w:pStyle w:val="62"/>
              <w:rPr>
                <w:b/>
                <w:bCs/>
                <w:highlight w:val="none"/>
              </w:rPr>
            </w:pPr>
            <w:r>
              <w:rPr>
                <w:b/>
                <w:bCs/>
                <w:highlight w:val="none"/>
              </w:rPr>
              <w:t>达标</w:t>
            </w:r>
          </w:p>
        </w:tc>
        <w:tc>
          <w:tcPr>
            <w:tcW w:w="975" w:type="dxa"/>
            <w:vAlign w:val="center"/>
          </w:tcPr>
          <w:p>
            <w:pPr>
              <w:pStyle w:val="62"/>
              <w:rPr>
                <w:b/>
                <w:bCs/>
                <w:highlight w:val="none"/>
              </w:rPr>
            </w:pPr>
            <w:r>
              <w:rPr>
                <w:b/>
                <w:bCs/>
                <w:highlight w:val="none"/>
              </w:rPr>
              <w:t>达标</w:t>
            </w:r>
          </w:p>
        </w:tc>
      </w:tr>
    </w:tbl>
    <w:p>
      <w:pPr>
        <w:pStyle w:val="17"/>
        <w:ind w:firstLine="0" w:firstLineChars="0"/>
        <w:rPr>
          <w:highlight w:val="none"/>
        </w:rPr>
      </w:pPr>
    </w:p>
    <w:p>
      <w:pPr>
        <w:pStyle w:val="17"/>
        <w:ind w:firstLine="480"/>
        <w:rPr>
          <w:highlight w:val="none"/>
        </w:rPr>
      </w:pPr>
      <w:r>
        <w:rPr>
          <w:rFonts w:hint="eastAsia"/>
          <w:highlight w:val="none"/>
        </w:rPr>
        <w:t>根据上表可知，</w:t>
      </w:r>
      <w:r>
        <w:rPr>
          <w:rFonts w:hint="eastAsia" w:ascii="Times New Roman" w:hAnsi="Times New Roman"/>
          <w:highlight w:val="none"/>
          <w:lang w:val="zh-CN"/>
        </w:rPr>
        <w:t>卡子水库不能满足</w:t>
      </w:r>
      <w:r>
        <w:rPr>
          <w:rFonts w:ascii="Times New Roman" w:hAnsi="Times New Roman"/>
          <w:highlight w:val="none"/>
          <w:lang w:val="zh-CN"/>
        </w:rPr>
        <w:t>《地表水环境质量标准》</w:t>
      </w:r>
      <w:r>
        <w:rPr>
          <w:rFonts w:hint="eastAsia" w:ascii="Times New Roman" w:hAnsi="Times New Roman"/>
          <w:highlight w:val="none"/>
          <w:lang w:val="zh-CN"/>
        </w:rPr>
        <w:t>（</w:t>
      </w:r>
      <w:r>
        <w:rPr>
          <w:rFonts w:ascii="Times New Roman" w:hAnsi="Times New Roman"/>
          <w:highlight w:val="none"/>
          <w:lang w:val="zh-CN"/>
        </w:rPr>
        <w:t>GB3838-2002</w:t>
      </w:r>
      <w:r>
        <w:rPr>
          <w:rFonts w:hint="eastAsia" w:ascii="Times New Roman" w:hAnsi="Times New Roman"/>
          <w:highlight w:val="none"/>
          <w:lang w:val="zh-CN"/>
        </w:rPr>
        <w:t>）</w:t>
      </w:r>
      <w:r>
        <w:rPr>
          <w:rFonts w:ascii="Times New Roman" w:hAnsi="Times New Roman"/>
          <w:highlight w:val="none"/>
          <w:lang w:val="zh-CN"/>
        </w:rPr>
        <w:t>Ⅲ类标准</w:t>
      </w:r>
      <w:r>
        <w:rPr>
          <w:rFonts w:hint="eastAsia" w:ascii="Times New Roman" w:hAnsi="Times New Roman"/>
          <w:highlight w:val="none"/>
          <w:lang w:val="zh-CN"/>
        </w:rPr>
        <w:t>，主要超标因子为总磷，超标倍数</w:t>
      </w:r>
      <w:r>
        <w:rPr>
          <w:rFonts w:hint="eastAsia" w:ascii="Times New Roman" w:hAnsi="Times New Roman"/>
          <w:highlight w:val="none"/>
          <w:lang w:val="en-US" w:eastAsia="zh-CN"/>
        </w:rPr>
        <w:t>3</w:t>
      </w:r>
      <w:r>
        <w:rPr>
          <w:rFonts w:hint="eastAsia" w:ascii="Times New Roman" w:hAnsi="Times New Roman"/>
          <w:highlight w:val="none"/>
        </w:rPr>
        <w:t>，主要受周边农业面源污染影响。</w:t>
      </w:r>
    </w:p>
    <w:p>
      <w:pPr>
        <w:pStyle w:val="17"/>
        <w:ind w:firstLine="480"/>
        <w:rPr>
          <w:highlight w:val="none"/>
        </w:rPr>
      </w:pPr>
    </w:p>
    <w:p>
      <w:pPr>
        <w:pStyle w:val="17"/>
        <w:ind w:firstLine="480"/>
        <w:rPr>
          <w:highlight w:val="none"/>
        </w:rPr>
        <w:sectPr>
          <w:pgSz w:w="16838" w:h="11911" w:orient="landscape"/>
          <w:pgMar w:top="1417" w:right="1417" w:bottom="1417" w:left="1417" w:header="879" w:footer="952" w:gutter="0"/>
          <w:pgBorders>
            <w:top w:val="none" w:sz="0" w:space="0"/>
            <w:left w:val="none" w:sz="0" w:space="0"/>
            <w:bottom w:val="none" w:sz="0" w:space="0"/>
            <w:right w:val="none" w:sz="0" w:space="0"/>
          </w:pgBorders>
          <w:pgNumType w:fmt="decimal"/>
          <w:cols w:space="720" w:num="1"/>
          <w:docGrid w:linePitch="312" w:charSpace="0"/>
        </w:sectPr>
      </w:pPr>
    </w:p>
    <w:p>
      <w:pPr>
        <w:pStyle w:val="4"/>
        <w:rPr>
          <w:highlight w:val="none"/>
        </w:rPr>
      </w:pPr>
      <w:bookmarkStart w:id="397" w:name="_Toc8772"/>
      <w:r>
        <w:rPr>
          <w:rFonts w:hint="eastAsia"/>
          <w:highlight w:val="none"/>
          <w:lang w:val="en-US" w:eastAsia="zh-CN"/>
        </w:rPr>
        <w:t>5</w:t>
      </w:r>
      <w:r>
        <w:rPr>
          <w:rFonts w:hint="eastAsia"/>
          <w:highlight w:val="none"/>
        </w:rPr>
        <w:t>.3声环境质量现状</w:t>
      </w:r>
      <w:bookmarkEnd w:id="397"/>
    </w:p>
    <w:p>
      <w:pPr>
        <w:pStyle w:val="17"/>
        <w:ind w:firstLine="480"/>
        <w:rPr>
          <w:rFonts w:ascii="Times New Roman" w:hAnsi="Times New Roman"/>
          <w:highlight w:val="none"/>
          <w:lang w:val="zh-CN"/>
        </w:rPr>
      </w:pPr>
      <w:r>
        <w:rPr>
          <w:rFonts w:ascii="Times New Roman" w:hAnsi="Times New Roman"/>
          <w:highlight w:val="none"/>
          <w:lang w:val="zh-CN"/>
        </w:rPr>
        <w:t>本项目位于</w:t>
      </w:r>
      <w:r>
        <w:rPr>
          <w:rFonts w:hint="eastAsia" w:ascii="Times New Roman" w:hAnsi="Times New Roman"/>
          <w:highlight w:val="none"/>
          <w:lang w:val="zh-CN"/>
        </w:rPr>
        <w:t>砚山县阿猛镇卡子村</w:t>
      </w:r>
      <w:r>
        <w:rPr>
          <w:rFonts w:ascii="Times New Roman" w:hAnsi="Times New Roman"/>
          <w:highlight w:val="none"/>
          <w:lang w:val="zh-CN"/>
        </w:rPr>
        <w:t>，</w:t>
      </w:r>
      <w:r>
        <w:rPr>
          <w:rFonts w:hint="eastAsia" w:ascii="Times New Roman" w:hAnsi="Times New Roman"/>
          <w:highlight w:val="none"/>
          <w:lang w:val="zh-CN"/>
        </w:rPr>
        <w:t>所在区域属</w:t>
      </w:r>
      <w:r>
        <w:rPr>
          <w:rFonts w:hint="eastAsia" w:ascii="Times New Roman" w:hAnsi="Times New Roman"/>
          <w:highlight w:val="none"/>
        </w:rPr>
        <w:t>2类声环境功能区，</w:t>
      </w:r>
      <w:r>
        <w:rPr>
          <w:rFonts w:ascii="Times New Roman" w:hAnsi="Times New Roman"/>
          <w:highlight w:val="none"/>
          <w:lang w:val="zh-CN"/>
        </w:rPr>
        <w:t>执行《声环境质量标准》（GB3096-2008）中的</w:t>
      </w:r>
      <w:r>
        <w:rPr>
          <w:rFonts w:hint="eastAsia" w:ascii="Times New Roman" w:hAnsi="Times New Roman"/>
          <w:highlight w:val="none"/>
        </w:rPr>
        <w:t>2</w:t>
      </w:r>
      <w:r>
        <w:rPr>
          <w:rFonts w:ascii="Times New Roman" w:hAnsi="Times New Roman"/>
          <w:highlight w:val="none"/>
          <w:lang w:val="zh-CN"/>
        </w:rPr>
        <w:t>类标准。</w:t>
      </w:r>
    </w:p>
    <w:p>
      <w:pPr>
        <w:pStyle w:val="17"/>
        <w:ind w:firstLine="480"/>
        <w:rPr>
          <w:rFonts w:ascii="Times New Roman" w:hAnsi="Times New Roman"/>
          <w:highlight w:val="none"/>
        </w:rPr>
      </w:pPr>
      <w:r>
        <w:rPr>
          <w:rFonts w:hint="eastAsia" w:ascii="Times New Roman" w:hAnsi="Times New Roman"/>
          <w:highlight w:val="none"/>
          <w:lang w:val="zh-CN"/>
        </w:rPr>
        <w:t>评价期间，建设单位委托</w:t>
      </w:r>
      <w:r>
        <w:rPr>
          <w:rFonts w:hint="eastAsia" w:ascii="Times New Roman" w:hAnsi="Times New Roman"/>
          <w:highlight w:val="none"/>
        </w:rPr>
        <w:t>云南环绿环境检测技术有限公司对项目所在区域声环境质量现状进行了监测，监测结果如下表</w:t>
      </w:r>
      <w:r>
        <w:rPr>
          <w:rFonts w:hint="eastAsia" w:ascii="Times New Roman" w:hAnsi="Times New Roman"/>
          <w:highlight w:val="none"/>
          <w:lang w:val="en-US" w:eastAsia="zh-CN"/>
        </w:rPr>
        <w:t>5.3-1</w:t>
      </w:r>
      <w:r>
        <w:rPr>
          <w:rFonts w:hint="eastAsia" w:ascii="Times New Roman" w:hAnsi="Times New Roman"/>
          <w:highlight w:val="none"/>
        </w:rPr>
        <w:t>。</w:t>
      </w:r>
    </w:p>
    <w:p>
      <w:pPr>
        <w:pStyle w:val="17"/>
        <w:ind w:firstLine="0" w:firstLineChars="0"/>
        <w:jc w:val="center"/>
        <w:rPr>
          <w:rFonts w:ascii="Times New Roman" w:hAnsi="Times New Roman"/>
          <w:b/>
          <w:bCs/>
          <w:sz w:val="21"/>
          <w:szCs w:val="21"/>
          <w:highlight w:val="none"/>
        </w:rPr>
      </w:pPr>
      <w:r>
        <w:rPr>
          <w:rFonts w:ascii="Times New Roman" w:hAnsi="Times New Roman"/>
          <w:b/>
          <w:bCs/>
          <w:sz w:val="21"/>
          <w:szCs w:val="21"/>
          <w:highlight w:val="none"/>
          <w:lang w:val="zh-CN"/>
        </w:rPr>
        <w:t>表</w:t>
      </w:r>
      <w:r>
        <w:rPr>
          <w:rFonts w:hint="eastAsia" w:ascii="Times New Roman" w:hAnsi="Times New Roman"/>
          <w:b/>
          <w:bCs/>
          <w:sz w:val="21"/>
          <w:szCs w:val="21"/>
          <w:highlight w:val="none"/>
          <w:lang w:val="en-US" w:eastAsia="zh-CN"/>
        </w:rPr>
        <w:t>5.3-1</w:t>
      </w:r>
      <w:r>
        <w:rPr>
          <w:rFonts w:ascii="Times New Roman" w:hAnsi="Times New Roman"/>
          <w:b/>
          <w:bCs/>
          <w:sz w:val="21"/>
          <w:szCs w:val="21"/>
          <w:highlight w:val="none"/>
        </w:rPr>
        <w:t xml:space="preserve">  声环境质量现状监测一览表</w:t>
      </w:r>
      <w:r>
        <w:rPr>
          <w:rFonts w:hint="eastAsia" w:ascii="Times New Roman" w:hAnsi="Times New Roman"/>
          <w:b/>
          <w:bCs/>
          <w:sz w:val="21"/>
          <w:szCs w:val="21"/>
          <w:highlight w:val="none"/>
        </w:rPr>
        <w:t xml:space="preserve">  单位：dB（A）</w:t>
      </w:r>
    </w:p>
    <w:tbl>
      <w:tblPr>
        <w:tblStyle w:val="29"/>
        <w:tblW w:w="9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2"/>
        <w:gridCol w:w="1322"/>
        <w:gridCol w:w="1323"/>
        <w:gridCol w:w="1324"/>
        <w:gridCol w:w="1323"/>
        <w:gridCol w:w="1323"/>
        <w:gridCol w:w="1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322" w:type="dxa"/>
            <w:shd w:val="clear" w:color="auto" w:fill="auto"/>
            <w:vAlign w:val="center"/>
          </w:tcPr>
          <w:p>
            <w:pPr>
              <w:pStyle w:val="17"/>
              <w:ind w:firstLine="0" w:firstLineChars="0"/>
              <w:jc w:val="center"/>
              <w:rPr>
                <w:rFonts w:hint="default" w:ascii="Times New Roman" w:hAnsi="Times New Roman" w:eastAsia="宋体"/>
                <w:b/>
                <w:bCs/>
                <w:sz w:val="21"/>
                <w:szCs w:val="21"/>
                <w:highlight w:val="none"/>
                <w:lang w:val="en-US" w:eastAsia="zh-CN"/>
              </w:rPr>
            </w:pPr>
            <w:r>
              <w:rPr>
                <w:rFonts w:hint="eastAsia" w:ascii="Times New Roman" w:hAnsi="Times New Roman"/>
                <w:b/>
                <w:bCs/>
                <w:sz w:val="21"/>
                <w:szCs w:val="21"/>
                <w:highlight w:val="none"/>
                <w:lang w:val="zh-CN"/>
              </w:rPr>
              <w:t>监测日期</w:t>
            </w:r>
          </w:p>
        </w:tc>
        <w:tc>
          <w:tcPr>
            <w:tcW w:w="1322" w:type="dxa"/>
            <w:shd w:val="clear" w:color="auto" w:fill="auto"/>
            <w:vAlign w:val="center"/>
          </w:tcPr>
          <w:p>
            <w:pPr>
              <w:pStyle w:val="17"/>
              <w:ind w:firstLine="0" w:firstLineChars="0"/>
              <w:jc w:val="center"/>
              <w:rPr>
                <w:rFonts w:ascii="Times New Roman" w:hAnsi="Times New Roman"/>
                <w:b/>
                <w:bCs/>
                <w:sz w:val="21"/>
                <w:szCs w:val="21"/>
                <w:highlight w:val="none"/>
                <w:lang w:val="zh-CN"/>
              </w:rPr>
            </w:pPr>
            <w:r>
              <w:rPr>
                <w:rFonts w:hint="eastAsia" w:ascii="Times New Roman" w:hAnsi="Times New Roman"/>
                <w:b/>
                <w:bCs/>
                <w:sz w:val="21"/>
                <w:szCs w:val="21"/>
                <w:highlight w:val="none"/>
                <w:lang w:val="zh-CN"/>
              </w:rPr>
              <w:t>监测点位</w:t>
            </w:r>
          </w:p>
        </w:tc>
        <w:tc>
          <w:tcPr>
            <w:tcW w:w="1323" w:type="dxa"/>
            <w:shd w:val="clear" w:color="auto" w:fill="auto"/>
            <w:vAlign w:val="center"/>
          </w:tcPr>
          <w:p>
            <w:pPr>
              <w:pStyle w:val="17"/>
              <w:ind w:firstLine="0" w:firstLineChars="0"/>
              <w:jc w:val="center"/>
              <w:rPr>
                <w:rFonts w:ascii="Times New Roman" w:hAnsi="Times New Roman"/>
                <w:b/>
                <w:bCs/>
                <w:sz w:val="21"/>
                <w:szCs w:val="21"/>
                <w:highlight w:val="none"/>
                <w:lang w:val="zh-CN"/>
              </w:rPr>
            </w:pPr>
            <w:r>
              <w:rPr>
                <w:rFonts w:hint="eastAsia" w:ascii="Times New Roman" w:hAnsi="Times New Roman"/>
                <w:b/>
                <w:bCs/>
                <w:sz w:val="21"/>
                <w:szCs w:val="21"/>
                <w:highlight w:val="none"/>
                <w:lang w:val="zh-CN"/>
              </w:rPr>
              <w:t>监测时段</w:t>
            </w:r>
          </w:p>
        </w:tc>
        <w:tc>
          <w:tcPr>
            <w:tcW w:w="1324" w:type="dxa"/>
            <w:shd w:val="clear" w:color="auto" w:fill="auto"/>
            <w:vAlign w:val="center"/>
          </w:tcPr>
          <w:p>
            <w:pPr>
              <w:pStyle w:val="17"/>
              <w:ind w:firstLine="0" w:firstLineChars="0"/>
              <w:jc w:val="center"/>
              <w:rPr>
                <w:rFonts w:ascii="Times New Roman" w:hAnsi="Times New Roman"/>
                <w:b/>
                <w:bCs/>
                <w:sz w:val="21"/>
                <w:szCs w:val="21"/>
                <w:highlight w:val="none"/>
                <w:lang w:val="zh-CN"/>
              </w:rPr>
            </w:pPr>
            <w:r>
              <w:rPr>
                <w:rFonts w:hint="eastAsia" w:ascii="Times New Roman" w:hAnsi="Times New Roman"/>
                <w:b/>
                <w:bCs/>
                <w:sz w:val="21"/>
                <w:szCs w:val="21"/>
                <w:highlight w:val="none"/>
                <w:lang w:val="zh-CN"/>
              </w:rPr>
              <w:t>监测结果</w:t>
            </w:r>
          </w:p>
        </w:tc>
        <w:tc>
          <w:tcPr>
            <w:tcW w:w="1323" w:type="dxa"/>
            <w:shd w:val="clear" w:color="auto" w:fill="auto"/>
            <w:vAlign w:val="center"/>
          </w:tcPr>
          <w:p>
            <w:pPr>
              <w:pStyle w:val="17"/>
              <w:ind w:firstLine="0" w:firstLineChars="0"/>
              <w:jc w:val="center"/>
              <w:rPr>
                <w:rFonts w:ascii="Times New Roman" w:hAnsi="Times New Roman"/>
                <w:b/>
                <w:bCs/>
                <w:sz w:val="21"/>
                <w:szCs w:val="21"/>
                <w:highlight w:val="none"/>
                <w:lang w:val="zh-CN"/>
              </w:rPr>
            </w:pPr>
            <w:r>
              <w:rPr>
                <w:rFonts w:hint="eastAsia" w:ascii="Times New Roman" w:hAnsi="Times New Roman"/>
                <w:b/>
                <w:bCs/>
                <w:sz w:val="21"/>
                <w:szCs w:val="21"/>
                <w:highlight w:val="none"/>
                <w:lang w:val="zh-CN"/>
              </w:rPr>
              <w:t>标准</w:t>
            </w:r>
          </w:p>
        </w:tc>
        <w:tc>
          <w:tcPr>
            <w:tcW w:w="1323" w:type="dxa"/>
            <w:shd w:val="clear" w:color="auto" w:fill="auto"/>
            <w:vAlign w:val="center"/>
          </w:tcPr>
          <w:p>
            <w:pPr>
              <w:pStyle w:val="17"/>
              <w:ind w:firstLine="0" w:firstLineChars="0"/>
              <w:jc w:val="center"/>
              <w:rPr>
                <w:rFonts w:ascii="Times New Roman" w:hAnsi="Times New Roman"/>
                <w:b/>
                <w:bCs/>
                <w:sz w:val="21"/>
                <w:szCs w:val="21"/>
                <w:highlight w:val="none"/>
                <w:lang w:val="zh-CN"/>
              </w:rPr>
            </w:pPr>
            <w:r>
              <w:rPr>
                <w:rFonts w:hint="eastAsia" w:ascii="Times New Roman" w:hAnsi="Times New Roman"/>
                <w:b/>
                <w:bCs/>
                <w:sz w:val="21"/>
                <w:szCs w:val="21"/>
                <w:highlight w:val="none"/>
                <w:lang w:val="zh-CN"/>
              </w:rPr>
              <w:t>超标率</w:t>
            </w:r>
          </w:p>
        </w:tc>
        <w:tc>
          <w:tcPr>
            <w:tcW w:w="1323" w:type="dxa"/>
            <w:shd w:val="clear" w:color="auto" w:fill="auto"/>
            <w:vAlign w:val="center"/>
          </w:tcPr>
          <w:p>
            <w:pPr>
              <w:pStyle w:val="17"/>
              <w:ind w:firstLine="0" w:firstLineChars="0"/>
              <w:jc w:val="center"/>
              <w:rPr>
                <w:rFonts w:ascii="Times New Roman" w:hAnsi="Times New Roman"/>
                <w:b/>
                <w:bCs/>
                <w:sz w:val="21"/>
                <w:szCs w:val="21"/>
                <w:highlight w:val="none"/>
                <w:lang w:val="zh-CN"/>
              </w:rPr>
            </w:pPr>
            <w:r>
              <w:rPr>
                <w:rFonts w:hint="eastAsia" w:ascii="Times New Roman" w:hAnsi="Times New Roman"/>
                <w:b/>
                <w:bCs/>
                <w:sz w:val="21"/>
                <w:szCs w:val="21"/>
                <w:highlight w:val="none"/>
                <w:lang w:val="zh-CN"/>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322" w:type="dxa"/>
            <w:vMerge w:val="restart"/>
            <w:shd w:val="clear" w:color="auto" w:fill="auto"/>
            <w:vAlign w:val="center"/>
          </w:tcPr>
          <w:p>
            <w:pPr>
              <w:pStyle w:val="17"/>
              <w:ind w:firstLine="0" w:firstLineChars="0"/>
              <w:jc w:val="center"/>
              <w:rPr>
                <w:rFonts w:ascii="Times New Roman" w:hAnsi="Times New Roman"/>
                <w:sz w:val="21"/>
                <w:szCs w:val="21"/>
                <w:highlight w:val="none"/>
                <w:lang w:val="zh-CN"/>
              </w:rPr>
            </w:pPr>
            <w:r>
              <w:rPr>
                <w:rFonts w:hint="eastAsia" w:ascii="Times New Roman" w:hAnsi="Times New Roman"/>
                <w:sz w:val="21"/>
                <w:szCs w:val="21"/>
                <w:highlight w:val="none"/>
                <w:lang w:val="en-US" w:eastAsia="zh-CN"/>
              </w:rPr>
              <w:t>2020/2/15</w:t>
            </w:r>
          </w:p>
        </w:tc>
        <w:tc>
          <w:tcPr>
            <w:tcW w:w="1322" w:type="dxa"/>
            <w:vMerge w:val="restart"/>
            <w:shd w:val="clear" w:color="auto" w:fill="auto"/>
            <w:vAlign w:val="center"/>
          </w:tcPr>
          <w:p>
            <w:pPr>
              <w:pStyle w:val="17"/>
              <w:ind w:firstLine="0" w:firstLineChars="0"/>
              <w:jc w:val="center"/>
              <w:rPr>
                <w:rFonts w:hint="default" w:ascii="Times New Roman" w:hAnsi="Times New Roman" w:eastAsia="宋体"/>
                <w:sz w:val="21"/>
                <w:szCs w:val="21"/>
                <w:highlight w:val="none"/>
                <w:lang w:val="en-US" w:eastAsia="zh-CN"/>
              </w:rPr>
            </w:pPr>
            <w:r>
              <w:rPr>
                <w:rFonts w:hint="eastAsia" w:ascii="Times New Roman" w:hAnsi="Times New Roman"/>
                <w:sz w:val="21"/>
                <w:szCs w:val="21"/>
                <w:highlight w:val="none"/>
                <w:lang w:val="en-US" w:eastAsia="zh-CN"/>
              </w:rPr>
              <w:t>厂界西外1m</w:t>
            </w:r>
          </w:p>
        </w:tc>
        <w:tc>
          <w:tcPr>
            <w:tcW w:w="1323" w:type="dxa"/>
            <w:shd w:val="clear" w:color="auto" w:fill="auto"/>
            <w:vAlign w:val="center"/>
          </w:tcPr>
          <w:p>
            <w:pPr>
              <w:pStyle w:val="17"/>
              <w:ind w:firstLine="0" w:firstLineChars="0"/>
              <w:jc w:val="center"/>
              <w:rPr>
                <w:rFonts w:ascii="Times New Roman" w:hAnsi="Times New Roman"/>
                <w:sz w:val="21"/>
                <w:szCs w:val="21"/>
                <w:highlight w:val="none"/>
                <w:lang w:val="zh-CN"/>
              </w:rPr>
            </w:pPr>
            <w:r>
              <w:rPr>
                <w:rFonts w:hint="eastAsia" w:ascii="Times New Roman" w:hAnsi="Times New Roman"/>
                <w:sz w:val="21"/>
                <w:szCs w:val="21"/>
                <w:highlight w:val="none"/>
                <w:lang w:val="zh-CN"/>
              </w:rPr>
              <w:t>昼</w:t>
            </w:r>
          </w:p>
        </w:tc>
        <w:tc>
          <w:tcPr>
            <w:tcW w:w="1324" w:type="dxa"/>
            <w:shd w:val="clear" w:color="auto" w:fill="auto"/>
            <w:vAlign w:val="center"/>
          </w:tcPr>
          <w:p>
            <w:pPr>
              <w:pStyle w:val="17"/>
              <w:ind w:firstLine="0" w:firstLineChars="0"/>
              <w:jc w:val="center"/>
              <w:rPr>
                <w:rFonts w:hint="default" w:ascii="Times New Roman" w:hAnsi="Times New Roman" w:eastAsia="宋体"/>
                <w:sz w:val="21"/>
                <w:szCs w:val="21"/>
                <w:highlight w:val="none"/>
                <w:lang w:val="en-US" w:eastAsia="zh-CN"/>
              </w:rPr>
            </w:pPr>
            <w:r>
              <w:rPr>
                <w:rFonts w:hint="eastAsia" w:ascii="Times New Roman" w:hAnsi="Times New Roman"/>
                <w:sz w:val="21"/>
                <w:szCs w:val="21"/>
                <w:highlight w:val="none"/>
                <w:lang w:val="en-US" w:eastAsia="zh-CN"/>
              </w:rPr>
              <w:t>48</w:t>
            </w:r>
          </w:p>
        </w:tc>
        <w:tc>
          <w:tcPr>
            <w:tcW w:w="1323" w:type="dxa"/>
            <w:shd w:val="clear" w:color="auto" w:fill="auto"/>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60</w:t>
            </w:r>
          </w:p>
        </w:tc>
        <w:tc>
          <w:tcPr>
            <w:tcW w:w="1323" w:type="dxa"/>
            <w:shd w:val="clear" w:color="auto" w:fill="auto"/>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0</w:t>
            </w:r>
          </w:p>
        </w:tc>
        <w:tc>
          <w:tcPr>
            <w:tcW w:w="1323" w:type="dxa"/>
            <w:shd w:val="clear" w:color="auto" w:fill="auto"/>
            <w:vAlign w:val="center"/>
          </w:tcPr>
          <w:p>
            <w:pPr>
              <w:pStyle w:val="17"/>
              <w:ind w:firstLine="0" w:firstLineChars="0"/>
              <w:jc w:val="center"/>
              <w:rPr>
                <w:rFonts w:ascii="Times New Roman" w:hAnsi="Times New Roman"/>
                <w:sz w:val="21"/>
                <w:szCs w:val="21"/>
                <w:highlight w:val="none"/>
                <w:lang w:val="zh-CN"/>
              </w:rPr>
            </w:pPr>
            <w:r>
              <w:rPr>
                <w:rFonts w:hint="eastAsia" w:ascii="Times New Roman" w:hAnsi="Times New Roman"/>
                <w:sz w:val="21"/>
                <w:szCs w:val="21"/>
                <w:highlight w:val="none"/>
                <w:lang w:val="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322" w:type="dxa"/>
            <w:vMerge w:val="continue"/>
            <w:shd w:val="clear" w:color="auto" w:fill="auto"/>
            <w:vAlign w:val="center"/>
          </w:tcPr>
          <w:p>
            <w:pPr>
              <w:pStyle w:val="17"/>
              <w:ind w:firstLine="0" w:firstLineChars="0"/>
              <w:jc w:val="center"/>
              <w:rPr>
                <w:rFonts w:ascii="Times New Roman" w:hAnsi="Times New Roman"/>
                <w:sz w:val="21"/>
                <w:szCs w:val="21"/>
                <w:highlight w:val="none"/>
                <w:lang w:val="zh-CN"/>
              </w:rPr>
            </w:pPr>
          </w:p>
        </w:tc>
        <w:tc>
          <w:tcPr>
            <w:tcW w:w="1322" w:type="dxa"/>
            <w:vMerge w:val="continue"/>
            <w:shd w:val="clear" w:color="auto" w:fill="auto"/>
            <w:vAlign w:val="center"/>
          </w:tcPr>
          <w:p>
            <w:pPr>
              <w:pStyle w:val="17"/>
              <w:ind w:firstLine="0" w:firstLineChars="0"/>
              <w:jc w:val="center"/>
              <w:rPr>
                <w:rFonts w:ascii="Times New Roman" w:hAnsi="Times New Roman"/>
                <w:sz w:val="21"/>
                <w:szCs w:val="21"/>
                <w:highlight w:val="none"/>
                <w:lang w:val="zh-CN"/>
              </w:rPr>
            </w:pPr>
          </w:p>
        </w:tc>
        <w:tc>
          <w:tcPr>
            <w:tcW w:w="1323" w:type="dxa"/>
            <w:shd w:val="clear" w:color="auto" w:fill="auto"/>
            <w:vAlign w:val="center"/>
          </w:tcPr>
          <w:p>
            <w:pPr>
              <w:pStyle w:val="17"/>
              <w:ind w:firstLine="0" w:firstLineChars="0"/>
              <w:jc w:val="center"/>
              <w:rPr>
                <w:rFonts w:ascii="Times New Roman" w:hAnsi="Times New Roman"/>
                <w:sz w:val="21"/>
                <w:szCs w:val="21"/>
                <w:highlight w:val="none"/>
                <w:lang w:val="zh-CN"/>
              </w:rPr>
            </w:pPr>
            <w:r>
              <w:rPr>
                <w:rFonts w:hint="eastAsia" w:ascii="Times New Roman" w:hAnsi="Times New Roman"/>
                <w:sz w:val="21"/>
                <w:szCs w:val="21"/>
                <w:highlight w:val="none"/>
                <w:lang w:val="zh-CN"/>
              </w:rPr>
              <w:t>夜</w:t>
            </w:r>
          </w:p>
        </w:tc>
        <w:tc>
          <w:tcPr>
            <w:tcW w:w="1324" w:type="dxa"/>
            <w:shd w:val="clear" w:color="auto" w:fill="auto"/>
            <w:vAlign w:val="center"/>
          </w:tcPr>
          <w:p>
            <w:pPr>
              <w:pStyle w:val="17"/>
              <w:ind w:firstLine="0" w:firstLineChars="0"/>
              <w:jc w:val="center"/>
              <w:rPr>
                <w:rFonts w:hint="default" w:ascii="Times New Roman" w:hAnsi="Times New Roman" w:eastAsia="宋体"/>
                <w:sz w:val="21"/>
                <w:szCs w:val="21"/>
                <w:highlight w:val="none"/>
                <w:lang w:val="en-US" w:eastAsia="zh-CN"/>
              </w:rPr>
            </w:pPr>
            <w:r>
              <w:rPr>
                <w:rFonts w:hint="eastAsia" w:ascii="Times New Roman" w:hAnsi="Times New Roman"/>
                <w:sz w:val="21"/>
                <w:szCs w:val="21"/>
                <w:highlight w:val="none"/>
                <w:lang w:val="en-US" w:eastAsia="zh-CN"/>
              </w:rPr>
              <w:t>42</w:t>
            </w:r>
          </w:p>
        </w:tc>
        <w:tc>
          <w:tcPr>
            <w:tcW w:w="1323" w:type="dxa"/>
            <w:shd w:val="clear" w:color="auto" w:fill="auto"/>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50</w:t>
            </w:r>
          </w:p>
        </w:tc>
        <w:tc>
          <w:tcPr>
            <w:tcW w:w="1323" w:type="dxa"/>
            <w:shd w:val="clear" w:color="auto" w:fill="auto"/>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0</w:t>
            </w:r>
          </w:p>
        </w:tc>
        <w:tc>
          <w:tcPr>
            <w:tcW w:w="1323" w:type="dxa"/>
            <w:shd w:val="clear" w:color="auto" w:fill="auto"/>
            <w:vAlign w:val="center"/>
          </w:tcPr>
          <w:p>
            <w:pPr>
              <w:pStyle w:val="17"/>
              <w:ind w:firstLine="0" w:firstLineChars="0"/>
              <w:jc w:val="center"/>
              <w:rPr>
                <w:rFonts w:ascii="Times New Roman" w:hAnsi="Times New Roman"/>
                <w:sz w:val="21"/>
                <w:szCs w:val="21"/>
                <w:highlight w:val="none"/>
                <w:lang w:val="zh-CN"/>
              </w:rPr>
            </w:pPr>
            <w:r>
              <w:rPr>
                <w:rFonts w:hint="eastAsia" w:ascii="Times New Roman" w:hAnsi="Times New Roman"/>
                <w:sz w:val="21"/>
                <w:szCs w:val="21"/>
                <w:highlight w:val="none"/>
                <w:lang w:val="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322" w:type="dxa"/>
            <w:vMerge w:val="restart"/>
            <w:shd w:val="clear" w:color="auto" w:fill="auto"/>
            <w:vAlign w:val="center"/>
          </w:tcPr>
          <w:p>
            <w:pPr>
              <w:pStyle w:val="17"/>
              <w:ind w:firstLine="0" w:firstLineChars="0"/>
              <w:jc w:val="center"/>
              <w:rPr>
                <w:rFonts w:ascii="Times New Roman" w:hAnsi="Times New Roman"/>
                <w:sz w:val="21"/>
                <w:szCs w:val="21"/>
                <w:highlight w:val="none"/>
                <w:lang w:val="zh-CN"/>
              </w:rPr>
            </w:pPr>
            <w:r>
              <w:rPr>
                <w:rFonts w:hint="eastAsia" w:ascii="Times New Roman" w:hAnsi="Times New Roman"/>
                <w:sz w:val="21"/>
                <w:szCs w:val="21"/>
                <w:highlight w:val="none"/>
                <w:lang w:val="en-US" w:eastAsia="zh-CN"/>
              </w:rPr>
              <w:t>2020/2/16</w:t>
            </w:r>
          </w:p>
        </w:tc>
        <w:tc>
          <w:tcPr>
            <w:tcW w:w="1322" w:type="dxa"/>
            <w:vMerge w:val="restart"/>
            <w:shd w:val="clear" w:color="auto" w:fill="auto"/>
            <w:vAlign w:val="center"/>
          </w:tcPr>
          <w:p>
            <w:pPr>
              <w:pStyle w:val="17"/>
              <w:ind w:firstLine="0" w:firstLineChars="0"/>
              <w:jc w:val="center"/>
              <w:rPr>
                <w:rFonts w:hint="default" w:ascii="Times New Roman" w:hAnsi="Times New Roman" w:eastAsia="宋体"/>
                <w:sz w:val="21"/>
                <w:szCs w:val="21"/>
                <w:highlight w:val="none"/>
                <w:lang w:val="en-US" w:eastAsia="zh-CN"/>
              </w:rPr>
            </w:pPr>
            <w:r>
              <w:rPr>
                <w:rFonts w:hint="eastAsia" w:ascii="Times New Roman" w:hAnsi="Times New Roman"/>
                <w:sz w:val="21"/>
                <w:szCs w:val="21"/>
                <w:highlight w:val="none"/>
                <w:lang w:val="en-US" w:eastAsia="zh-CN"/>
              </w:rPr>
              <w:t>厂界西外1m</w:t>
            </w:r>
          </w:p>
        </w:tc>
        <w:tc>
          <w:tcPr>
            <w:tcW w:w="1323" w:type="dxa"/>
            <w:shd w:val="clear" w:color="auto" w:fill="auto"/>
            <w:vAlign w:val="center"/>
          </w:tcPr>
          <w:p>
            <w:pPr>
              <w:pStyle w:val="17"/>
              <w:ind w:firstLine="0" w:firstLineChars="0"/>
              <w:jc w:val="center"/>
              <w:rPr>
                <w:rFonts w:ascii="Times New Roman" w:hAnsi="Times New Roman"/>
                <w:sz w:val="21"/>
                <w:szCs w:val="21"/>
                <w:highlight w:val="none"/>
                <w:lang w:val="zh-CN"/>
              </w:rPr>
            </w:pPr>
            <w:r>
              <w:rPr>
                <w:rFonts w:hint="eastAsia" w:ascii="Times New Roman" w:hAnsi="Times New Roman"/>
                <w:sz w:val="21"/>
                <w:szCs w:val="21"/>
                <w:highlight w:val="none"/>
                <w:lang w:val="zh-CN"/>
              </w:rPr>
              <w:t>昼</w:t>
            </w:r>
          </w:p>
        </w:tc>
        <w:tc>
          <w:tcPr>
            <w:tcW w:w="1324" w:type="dxa"/>
            <w:shd w:val="clear" w:color="auto" w:fill="auto"/>
            <w:vAlign w:val="center"/>
          </w:tcPr>
          <w:p>
            <w:pPr>
              <w:pStyle w:val="17"/>
              <w:ind w:firstLine="0" w:firstLineChars="0"/>
              <w:jc w:val="center"/>
              <w:rPr>
                <w:rFonts w:hint="default" w:ascii="Times New Roman" w:hAnsi="Times New Roman" w:eastAsia="宋体"/>
                <w:sz w:val="21"/>
                <w:szCs w:val="21"/>
                <w:highlight w:val="none"/>
                <w:lang w:val="en-US" w:eastAsia="zh-CN"/>
              </w:rPr>
            </w:pPr>
            <w:r>
              <w:rPr>
                <w:rFonts w:hint="eastAsia" w:ascii="Times New Roman" w:hAnsi="Times New Roman"/>
                <w:sz w:val="21"/>
                <w:szCs w:val="21"/>
                <w:highlight w:val="none"/>
                <w:lang w:val="en-US" w:eastAsia="zh-CN"/>
              </w:rPr>
              <w:t>48</w:t>
            </w:r>
          </w:p>
        </w:tc>
        <w:tc>
          <w:tcPr>
            <w:tcW w:w="1323" w:type="dxa"/>
            <w:shd w:val="clear" w:color="auto" w:fill="auto"/>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60</w:t>
            </w:r>
          </w:p>
        </w:tc>
        <w:tc>
          <w:tcPr>
            <w:tcW w:w="1323" w:type="dxa"/>
            <w:shd w:val="clear" w:color="auto" w:fill="auto"/>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0</w:t>
            </w:r>
          </w:p>
        </w:tc>
        <w:tc>
          <w:tcPr>
            <w:tcW w:w="1323" w:type="dxa"/>
            <w:shd w:val="clear" w:color="auto" w:fill="auto"/>
            <w:vAlign w:val="center"/>
          </w:tcPr>
          <w:p>
            <w:pPr>
              <w:pStyle w:val="17"/>
              <w:ind w:firstLine="0" w:firstLineChars="0"/>
              <w:jc w:val="center"/>
              <w:rPr>
                <w:rFonts w:ascii="Times New Roman" w:hAnsi="Times New Roman"/>
                <w:sz w:val="21"/>
                <w:szCs w:val="21"/>
                <w:highlight w:val="none"/>
                <w:lang w:val="zh-CN"/>
              </w:rPr>
            </w:pPr>
            <w:r>
              <w:rPr>
                <w:rFonts w:hint="eastAsia" w:ascii="Times New Roman" w:hAnsi="Times New Roman"/>
                <w:sz w:val="21"/>
                <w:szCs w:val="21"/>
                <w:highlight w:val="none"/>
                <w:lang w:val="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322" w:type="dxa"/>
            <w:vMerge w:val="continue"/>
            <w:shd w:val="clear" w:color="auto" w:fill="auto"/>
            <w:vAlign w:val="center"/>
          </w:tcPr>
          <w:p>
            <w:pPr>
              <w:pStyle w:val="17"/>
              <w:ind w:firstLine="0" w:firstLineChars="0"/>
              <w:jc w:val="center"/>
              <w:rPr>
                <w:rFonts w:ascii="Times New Roman" w:hAnsi="Times New Roman"/>
                <w:sz w:val="21"/>
                <w:szCs w:val="21"/>
                <w:highlight w:val="none"/>
                <w:lang w:val="zh-CN"/>
              </w:rPr>
            </w:pPr>
          </w:p>
        </w:tc>
        <w:tc>
          <w:tcPr>
            <w:tcW w:w="1322" w:type="dxa"/>
            <w:vMerge w:val="continue"/>
            <w:shd w:val="clear" w:color="auto" w:fill="auto"/>
            <w:vAlign w:val="center"/>
          </w:tcPr>
          <w:p>
            <w:pPr>
              <w:pStyle w:val="17"/>
              <w:ind w:firstLine="0" w:firstLineChars="0"/>
              <w:jc w:val="center"/>
              <w:rPr>
                <w:rFonts w:ascii="Times New Roman" w:hAnsi="Times New Roman"/>
                <w:sz w:val="21"/>
                <w:szCs w:val="21"/>
                <w:highlight w:val="none"/>
                <w:lang w:val="zh-CN"/>
              </w:rPr>
            </w:pPr>
          </w:p>
        </w:tc>
        <w:tc>
          <w:tcPr>
            <w:tcW w:w="1323" w:type="dxa"/>
            <w:shd w:val="clear" w:color="auto" w:fill="auto"/>
            <w:vAlign w:val="center"/>
          </w:tcPr>
          <w:p>
            <w:pPr>
              <w:pStyle w:val="17"/>
              <w:ind w:firstLine="0" w:firstLineChars="0"/>
              <w:jc w:val="center"/>
              <w:rPr>
                <w:rFonts w:ascii="Times New Roman" w:hAnsi="Times New Roman"/>
                <w:sz w:val="21"/>
                <w:szCs w:val="21"/>
                <w:highlight w:val="none"/>
                <w:lang w:val="zh-CN"/>
              </w:rPr>
            </w:pPr>
            <w:r>
              <w:rPr>
                <w:rFonts w:hint="eastAsia" w:ascii="Times New Roman" w:hAnsi="Times New Roman"/>
                <w:sz w:val="21"/>
                <w:szCs w:val="21"/>
                <w:highlight w:val="none"/>
                <w:lang w:val="zh-CN"/>
              </w:rPr>
              <w:t>夜</w:t>
            </w:r>
          </w:p>
        </w:tc>
        <w:tc>
          <w:tcPr>
            <w:tcW w:w="1324" w:type="dxa"/>
            <w:shd w:val="clear" w:color="auto" w:fill="auto"/>
            <w:vAlign w:val="center"/>
          </w:tcPr>
          <w:p>
            <w:pPr>
              <w:pStyle w:val="17"/>
              <w:ind w:firstLine="0" w:firstLineChars="0"/>
              <w:jc w:val="center"/>
              <w:rPr>
                <w:rFonts w:hint="default" w:ascii="Times New Roman" w:hAnsi="Times New Roman" w:eastAsia="宋体"/>
                <w:sz w:val="21"/>
                <w:szCs w:val="21"/>
                <w:highlight w:val="none"/>
                <w:lang w:val="en-US" w:eastAsia="zh-CN"/>
              </w:rPr>
            </w:pPr>
            <w:r>
              <w:rPr>
                <w:rFonts w:hint="eastAsia" w:ascii="Times New Roman" w:hAnsi="Times New Roman"/>
                <w:sz w:val="21"/>
                <w:szCs w:val="21"/>
                <w:highlight w:val="none"/>
                <w:lang w:val="en-US" w:eastAsia="zh-CN"/>
              </w:rPr>
              <w:t>41</w:t>
            </w:r>
          </w:p>
        </w:tc>
        <w:tc>
          <w:tcPr>
            <w:tcW w:w="1323" w:type="dxa"/>
            <w:shd w:val="clear" w:color="auto" w:fill="auto"/>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50</w:t>
            </w:r>
          </w:p>
        </w:tc>
        <w:tc>
          <w:tcPr>
            <w:tcW w:w="1323" w:type="dxa"/>
            <w:shd w:val="clear" w:color="auto" w:fill="auto"/>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0</w:t>
            </w:r>
          </w:p>
        </w:tc>
        <w:tc>
          <w:tcPr>
            <w:tcW w:w="1323" w:type="dxa"/>
            <w:shd w:val="clear" w:color="auto" w:fill="auto"/>
            <w:vAlign w:val="center"/>
          </w:tcPr>
          <w:p>
            <w:pPr>
              <w:pStyle w:val="17"/>
              <w:ind w:firstLine="0" w:firstLineChars="0"/>
              <w:jc w:val="center"/>
              <w:rPr>
                <w:rFonts w:ascii="Times New Roman" w:hAnsi="Times New Roman"/>
                <w:sz w:val="21"/>
                <w:szCs w:val="21"/>
                <w:highlight w:val="none"/>
                <w:lang w:val="zh-CN"/>
              </w:rPr>
            </w:pPr>
            <w:r>
              <w:rPr>
                <w:rFonts w:hint="eastAsia" w:ascii="Times New Roman" w:hAnsi="Times New Roman"/>
                <w:sz w:val="21"/>
                <w:szCs w:val="21"/>
                <w:highlight w:val="none"/>
                <w:lang w:val="zh-CN"/>
              </w:rPr>
              <w:t>达标</w:t>
            </w:r>
          </w:p>
        </w:tc>
      </w:tr>
    </w:tbl>
    <w:p>
      <w:pPr>
        <w:pStyle w:val="17"/>
        <w:ind w:firstLine="0" w:firstLineChars="0"/>
        <w:rPr>
          <w:rFonts w:ascii="Times New Roman" w:hAnsi="Times New Roman"/>
          <w:highlight w:val="none"/>
          <w:lang w:val="zh-CN"/>
        </w:rPr>
      </w:pPr>
    </w:p>
    <w:p>
      <w:pPr>
        <w:pStyle w:val="17"/>
        <w:ind w:firstLine="480"/>
        <w:rPr>
          <w:rFonts w:ascii="Times New Roman" w:hAnsi="Times New Roman"/>
          <w:highlight w:val="none"/>
          <w:lang w:val="zh-CN"/>
        </w:rPr>
      </w:pPr>
      <w:r>
        <w:rPr>
          <w:rFonts w:hint="eastAsia" w:ascii="Times New Roman" w:hAnsi="Times New Roman"/>
          <w:highlight w:val="none"/>
          <w:lang w:val="zh-CN"/>
        </w:rPr>
        <w:t>由上表监测结果可知，监测点噪声昼夜监测值均能满足</w:t>
      </w:r>
      <w:r>
        <w:rPr>
          <w:rFonts w:ascii="Times New Roman" w:hAnsi="Times New Roman"/>
          <w:highlight w:val="none"/>
          <w:lang w:val="zh-CN"/>
        </w:rPr>
        <w:t>《声环境质量标准》（GB3096-2008）中的</w:t>
      </w:r>
      <w:r>
        <w:rPr>
          <w:rFonts w:hint="eastAsia" w:ascii="Times New Roman" w:hAnsi="Times New Roman"/>
          <w:highlight w:val="none"/>
        </w:rPr>
        <w:t>2</w:t>
      </w:r>
      <w:r>
        <w:rPr>
          <w:rFonts w:ascii="Times New Roman" w:hAnsi="Times New Roman"/>
          <w:highlight w:val="none"/>
          <w:lang w:val="zh-CN"/>
        </w:rPr>
        <w:t>类标准</w:t>
      </w:r>
      <w:r>
        <w:rPr>
          <w:rFonts w:hint="eastAsia" w:ascii="Times New Roman" w:hAnsi="Times New Roman"/>
          <w:highlight w:val="none"/>
          <w:lang w:val="zh-CN"/>
        </w:rPr>
        <w:t>，区域声环境质量现状良好。</w:t>
      </w:r>
    </w:p>
    <w:p>
      <w:pPr>
        <w:pStyle w:val="4"/>
        <w:rPr>
          <w:color w:val="auto"/>
          <w:highlight w:val="none"/>
        </w:rPr>
      </w:pPr>
      <w:bookmarkStart w:id="398" w:name="_Toc27987"/>
      <w:r>
        <w:rPr>
          <w:rFonts w:hint="eastAsia"/>
          <w:color w:val="auto"/>
          <w:highlight w:val="none"/>
          <w:lang w:val="en-US" w:eastAsia="zh-CN"/>
        </w:rPr>
        <w:t>5</w:t>
      </w:r>
      <w:r>
        <w:rPr>
          <w:rFonts w:hint="eastAsia"/>
          <w:color w:val="auto"/>
          <w:highlight w:val="none"/>
        </w:rPr>
        <w:t>.4生态环境质量现状</w:t>
      </w:r>
      <w:bookmarkEnd w:id="398"/>
    </w:p>
    <w:p>
      <w:pPr>
        <w:pStyle w:val="17"/>
        <w:numPr>
          <w:ilvl w:val="0"/>
          <w:numId w:val="9"/>
        </w:numPr>
        <w:ind w:firstLine="480"/>
        <w:rPr>
          <w:rFonts w:ascii="Times New Roman" w:hAnsi="Times New Roman"/>
          <w:color w:val="auto"/>
          <w:highlight w:val="none"/>
          <w:lang w:val="zh-CN"/>
        </w:rPr>
      </w:pPr>
      <w:r>
        <w:rPr>
          <w:rFonts w:hint="eastAsia" w:ascii="Times New Roman" w:hAnsi="Times New Roman"/>
          <w:color w:val="auto"/>
          <w:highlight w:val="none"/>
          <w:lang w:val="zh-CN"/>
        </w:rPr>
        <w:t>土地利用现状</w:t>
      </w:r>
    </w:p>
    <w:p>
      <w:pPr>
        <w:pStyle w:val="17"/>
        <w:ind w:firstLine="480"/>
        <w:rPr>
          <w:rFonts w:ascii="Times New Roman" w:hAnsi="Times New Roman"/>
          <w:color w:val="auto"/>
          <w:highlight w:val="none"/>
          <w:lang w:val="zh-CN"/>
        </w:rPr>
      </w:pPr>
      <w:r>
        <w:rPr>
          <w:rFonts w:hint="eastAsia" w:ascii="宋体" w:hAnsi="宋体" w:eastAsia="宋体"/>
          <w:szCs w:val="24"/>
          <w:highlight w:val="none"/>
        </w:rPr>
        <w:t>本矿山项目区土地面积为</w:t>
      </w:r>
      <w:r>
        <w:rPr>
          <w:rFonts w:ascii="宋体" w:hAnsi="宋体" w:eastAsia="宋体"/>
          <w:szCs w:val="24"/>
          <w:highlight w:val="none"/>
        </w:rPr>
        <w:t>10.1371hm²</w:t>
      </w:r>
      <w:r>
        <w:rPr>
          <w:rFonts w:hint="eastAsia" w:ascii="宋体" w:hAnsi="宋体" w:eastAsia="宋体"/>
          <w:szCs w:val="24"/>
          <w:highlight w:val="none"/>
        </w:rPr>
        <w:t>，其中：旱地0.9479hm²、灌木林地0.5461hm²，其他草地0.1641hm²，农村道路0.0749hm²、裸地8.4041hm²。矿区范围内涉及土地面积9.5000hm²，矿区范围外涉及土地面积0.6371hm²</w:t>
      </w:r>
      <w:r>
        <w:rPr>
          <w:rFonts w:hint="eastAsia" w:ascii="Times New Roman" w:hAnsi="Times New Roman"/>
          <w:color w:val="auto"/>
          <w:highlight w:val="none"/>
          <w:lang w:eastAsia="zh-CN"/>
        </w:rPr>
        <w:t>（包括工业场地、运输道路、排土场等设施用地），</w:t>
      </w:r>
      <w:r>
        <w:rPr>
          <w:rFonts w:ascii="Times New Roman" w:hAnsi="Times New Roman"/>
          <w:color w:val="auto"/>
          <w:highlight w:val="none"/>
        </w:rPr>
        <w:t>不涉及占用公益林、自然保护区、退耕还林区和基本农田。</w:t>
      </w:r>
    </w:p>
    <w:p>
      <w:pPr>
        <w:pStyle w:val="17"/>
        <w:ind w:firstLine="480"/>
        <w:rPr>
          <w:rFonts w:ascii="Times New Roman" w:hAnsi="Times New Roman"/>
          <w:color w:val="auto"/>
          <w:highlight w:val="none"/>
          <w:lang w:val="zh-CN"/>
        </w:rPr>
      </w:pPr>
      <w:r>
        <w:rPr>
          <w:rFonts w:hint="eastAsia" w:ascii="Times New Roman" w:hAnsi="Times New Roman"/>
          <w:color w:val="auto"/>
          <w:highlight w:val="none"/>
          <w:lang w:val="zh-CN"/>
        </w:rPr>
        <w:t>（2）评价区植被、植物现状</w:t>
      </w:r>
    </w:p>
    <w:p>
      <w:pPr>
        <w:pStyle w:val="17"/>
        <w:ind w:firstLine="480"/>
        <w:rPr>
          <w:rFonts w:ascii="Times New Roman" w:hAnsi="Times New Roman"/>
          <w:color w:val="auto"/>
          <w:highlight w:val="none"/>
          <w:lang w:val="zh-CN"/>
        </w:rPr>
      </w:pPr>
      <w:r>
        <w:rPr>
          <w:rFonts w:hint="eastAsia" w:ascii="Times New Roman" w:hAnsi="Times New Roman"/>
          <w:color w:val="auto"/>
          <w:highlight w:val="none"/>
          <w:lang w:val="zh-CN"/>
        </w:rPr>
        <w:t>①调查时间、范围及内容</w:t>
      </w:r>
    </w:p>
    <w:p>
      <w:pPr>
        <w:pStyle w:val="17"/>
        <w:ind w:firstLine="480"/>
        <w:rPr>
          <w:rFonts w:ascii="Times New Roman" w:hAnsi="Times New Roman"/>
          <w:color w:val="auto"/>
          <w:highlight w:val="none"/>
          <w:lang w:val="zh-CN"/>
        </w:rPr>
      </w:pPr>
      <w:r>
        <w:rPr>
          <w:rFonts w:hint="eastAsia" w:ascii="Times New Roman" w:hAnsi="Times New Roman"/>
          <w:color w:val="auto"/>
          <w:highlight w:val="none"/>
          <w:lang w:val="zh-CN"/>
        </w:rPr>
        <w:t>调查时间：20</w:t>
      </w:r>
      <w:r>
        <w:rPr>
          <w:rFonts w:hint="eastAsia" w:ascii="Times New Roman" w:hAnsi="Times New Roman"/>
          <w:color w:val="auto"/>
          <w:highlight w:val="none"/>
          <w:lang w:val="en-US" w:eastAsia="zh-CN"/>
        </w:rPr>
        <w:t>20</w:t>
      </w:r>
      <w:r>
        <w:rPr>
          <w:rFonts w:hint="eastAsia" w:ascii="Times New Roman" w:hAnsi="Times New Roman"/>
          <w:color w:val="auto"/>
          <w:highlight w:val="none"/>
          <w:lang w:val="zh-CN"/>
        </w:rPr>
        <w:t xml:space="preserve">年 </w:t>
      </w:r>
      <w:r>
        <w:rPr>
          <w:rFonts w:hint="eastAsia" w:ascii="Times New Roman" w:hAnsi="Times New Roman"/>
          <w:color w:val="auto"/>
          <w:highlight w:val="none"/>
          <w:lang w:val="en-US" w:eastAsia="zh-CN"/>
        </w:rPr>
        <w:t>2</w:t>
      </w:r>
      <w:r>
        <w:rPr>
          <w:rFonts w:hint="eastAsia" w:ascii="Times New Roman" w:hAnsi="Times New Roman"/>
          <w:color w:val="auto"/>
          <w:highlight w:val="none"/>
          <w:lang w:val="zh-CN"/>
        </w:rPr>
        <w:t>月。</w:t>
      </w:r>
    </w:p>
    <w:p>
      <w:pPr>
        <w:pStyle w:val="17"/>
        <w:ind w:firstLine="480"/>
        <w:rPr>
          <w:rFonts w:ascii="Times New Roman" w:hAnsi="Times New Roman"/>
          <w:color w:val="auto"/>
          <w:highlight w:val="none"/>
          <w:lang w:val="zh-CN"/>
        </w:rPr>
      </w:pPr>
      <w:r>
        <w:rPr>
          <w:rFonts w:hint="eastAsia" w:ascii="Times New Roman" w:hAnsi="Times New Roman"/>
          <w:color w:val="auto"/>
          <w:highlight w:val="none"/>
          <w:lang w:val="zh-CN"/>
        </w:rPr>
        <w:t>调查范围：占地区及外延200m的范围。</w:t>
      </w:r>
    </w:p>
    <w:p>
      <w:pPr>
        <w:pStyle w:val="17"/>
        <w:ind w:firstLine="480"/>
        <w:rPr>
          <w:rFonts w:ascii="Times New Roman" w:hAnsi="Times New Roman"/>
          <w:color w:val="auto"/>
          <w:highlight w:val="none"/>
          <w:lang w:val="zh-CN"/>
        </w:rPr>
      </w:pPr>
      <w:r>
        <w:rPr>
          <w:rFonts w:hint="eastAsia" w:ascii="Times New Roman" w:hAnsi="Times New Roman"/>
          <w:color w:val="auto"/>
          <w:highlight w:val="none"/>
          <w:lang w:val="zh-CN"/>
        </w:rPr>
        <w:t>调查内容：评价区内植被类型及植物物种。</w:t>
      </w:r>
    </w:p>
    <w:p>
      <w:pPr>
        <w:pStyle w:val="17"/>
        <w:ind w:firstLine="480"/>
        <w:rPr>
          <w:rFonts w:ascii="Times New Roman" w:hAnsi="Times New Roman"/>
          <w:color w:val="auto"/>
          <w:highlight w:val="none"/>
          <w:lang w:val="zh-CN"/>
        </w:rPr>
      </w:pPr>
      <w:r>
        <w:rPr>
          <w:rFonts w:hint="eastAsia" w:ascii="Times New Roman" w:hAnsi="Times New Roman"/>
          <w:color w:val="auto"/>
          <w:highlight w:val="none"/>
          <w:lang w:val="zh-CN"/>
        </w:rPr>
        <w:t>②调查方法</w:t>
      </w:r>
    </w:p>
    <w:p>
      <w:pPr>
        <w:pStyle w:val="17"/>
        <w:ind w:firstLine="480"/>
        <w:rPr>
          <w:rFonts w:ascii="Times New Roman" w:hAnsi="Times New Roman"/>
          <w:color w:val="auto"/>
          <w:highlight w:val="none"/>
          <w:lang w:val="zh-CN"/>
        </w:rPr>
      </w:pPr>
      <w:r>
        <w:rPr>
          <w:rFonts w:hint="eastAsia"/>
          <w:color w:val="auto"/>
          <w:highlight w:val="none"/>
        </w:rPr>
        <w:t>调查采用了现场踏勘、资料收集、咨询相关部门等集中方式</w:t>
      </w:r>
      <w:r>
        <w:rPr>
          <w:rFonts w:hint="eastAsia" w:ascii="Times New Roman" w:hAnsi="Times New Roman"/>
          <w:color w:val="auto"/>
          <w:highlight w:val="none"/>
          <w:lang w:val="zh-CN"/>
        </w:rPr>
        <w:t>。</w:t>
      </w:r>
    </w:p>
    <w:p>
      <w:pPr>
        <w:pStyle w:val="17"/>
        <w:ind w:firstLine="480"/>
        <w:rPr>
          <w:rFonts w:ascii="Times New Roman" w:hAnsi="Times New Roman"/>
          <w:color w:val="auto"/>
          <w:highlight w:val="none"/>
          <w:lang w:val="zh-CN"/>
        </w:rPr>
      </w:pPr>
      <w:r>
        <w:rPr>
          <w:rFonts w:hint="eastAsia" w:ascii="Times New Roman" w:hAnsi="Times New Roman"/>
          <w:color w:val="auto"/>
          <w:highlight w:val="none"/>
          <w:lang w:val="zh-CN"/>
        </w:rPr>
        <w:t>③ 植被、植物现状</w:t>
      </w:r>
    </w:p>
    <w:p>
      <w:pPr>
        <w:pStyle w:val="17"/>
        <w:ind w:firstLine="480"/>
        <w:rPr>
          <w:rFonts w:ascii="Times New Roman" w:hAnsi="Times New Roman"/>
          <w:color w:val="auto"/>
          <w:highlight w:val="none"/>
          <w:lang w:val="zh-CN"/>
        </w:rPr>
      </w:pPr>
      <w:r>
        <w:rPr>
          <w:rFonts w:hint="eastAsia" w:ascii="Times New Roman" w:hAnsi="Times New Roman"/>
          <w:color w:val="auto"/>
          <w:highlight w:val="none"/>
          <w:lang w:val="zh-CN"/>
        </w:rPr>
        <w:t>根据现场踏勘与调查，评价区域植被类型有两种：自然植被和人工植被。</w:t>
      </w:r>
    </w:p>
    <w:p>
      <w:pPr>
        <w:pStyle w:val="17"/>
        <w:ind w:firstLine="480"/>
        <w:rPr>
          <w:rFonts w:ascii="Times New Roman" w:hAnsi="Times New Roman"/>
          <w:color w:val="auto"/>
          <w:highlight w:val="none"/>
          <w:lang w:val="zh-CN"/>
        </w:rPr>
      </w:pPr>
      <w:r>
        <w:rPr>
          <w:rFonts w:hint="eastAsia" w:ascii="Times New Roman" w:hAnsi="Times New Roman"/>
          <w:color w:val="auto"/>
          <w:highlight w:val="none"/>
          <w:lang w:val="zh-CN"/>
        </w:rPr>
        <w:t>A 自然植被及物种</w:t>
      </w:r>
    </w:p>
    <w:p>
      <w:pPr>
        <w:pStyle w:val="17"/>
        <w:ind w:firstLine="480"/>
        <w:rPr>
          <w:rFonts w:ascii="Times New Roman" w:hAnsi="Times New Roman"/>
          <w:color w:val="auto"/>
          <w:highlight w:val="none"/>
          <w:lang w:val="zh-CN"/>
        </w:rPr>
      </w:pPr>
      <w:r>
        <w:rPr>
          <w:rFonts w:ascii="Times New Roman" w:hAnsi="Times New Roman"/>
          <w:color w:val="auto"/>
          <w:highlight w:val="none"/>
          <w:lang w:val="zh-CN"/>
        </w:rPr>
        <w:t>评价区域自然植被属亚热带针叶林栎类混交林带，主要乔木树种为云南松</w:t>
      </w:r>
      <w:r>
        <w:rPr>
          <w:rFonts w:ascii="Times New Roman" w:hAnsi="Times New Roman"/>
          <w:i/>
          <w:iCs/>
          <w:color w:val="auto"/>
          <w:highlight w:val="none"/>
          <w:lang w:val="zh-CN"/>
        </w:rPr>
        <w:t>Pinus yunnanensis、</w:t>
      </w:r>
      <w:r>
        <w:rPr>
          <w:rFonts w:ascii="Times New Roman" w:hAnsi="Times New Roman"/>
          <w:color w:val="auto"/>
          <w:highlight w:val="none"/>
          <w:lang w:val="zh-CN"/>
        </w:rPr>
        <w:t>栎类</w:t>
      </w:r>
      <w:r>
        <w:rPr>
          <w:rFonts w:ascii="Times New Roman" w:hAnsi="Times New Roman"/>
          <w:i/>
          <w:iCs/>
          <w:color w:val="auto"/>
          <w:highlight w:val="none"/>
          <w:lang w:val="zh-CN"/>
        </w:rPr>
        <w:t>Quercus L.</w:t>
      </w:r>
      <w:r>
        <w:rPr>
          <w:rFonts w:ascii="Times New Roman" w:hAnsi="Times New Roman"/>
          <w:color w:val="auto"/>
          <w:highlight w:val="none"/>
          <w:lang w:val="zh-CN"/>
        </w:rPr>
        <w:t>等，灌木树种主要为车桑子</w:t>
      </w:r>
      <w:r>
        <w:rPr>
          <w:rFonts w:ascii="Times New Roman" w:hAnsi="Times New Roman"/>
          <w:i/>
          <w:iCs/>
          <w:color w:val="auto"/>
          <w:highlight w:val="none"/>
          <w:lang w:val="zh-CN"/>
        </w:rPr>
        <w:t>Dodonaea Miller</w:t>
      </w:r>
      <w:r>
        <w:rPr>
          <w:rFonts w:ascii="Times New Roman" w:hAnsi="Times New Roman"/>
          <w:color w:val="auto"/>
          <w:highlight w:val="none"/>
          <w:lang w:val="zh-CN"/>
        </w:rPr>
        <w:t>、马桑</w:t>
      </w:r>
      <w:r>
        <w:rPr>
          <w:rFonts w:ascii="Times New Roman" w:hAnsi="Times New Roman"/>
          <w:i/>
          <w:iCs/>
          <w:color w:val="auto"/>
          <w:highlight w:val="none"/>
          <w:lang w:val="zh-CN"/>
        </w:rPr>
        <w:t>Coriaria nepalensis Wall</w:t>
      </w:r>
      <w:r>
        <w:rPr>
          <w:rFonts w:ascii="Times New Roman" w:hAnsi="Times New Roman"/>
          <w:color w:val="auto"/>
          <w:highlight w:val="none"/>
          <w:lang w:val="zh-CN"/>
        </w:rPr>
        <w:t>等，草类分布有黄背草</w:t>
      </w:r>
      <w:r>
        <w:rPr>
          <w:rFonts w:ascii="Times New Roman" w:hAnsi="Times New Roman"/>
          <w:i/>
          <w:iCs/>
          <w:color w:val="auto"/>
          <w:highlight w:val="none"/>
          <w:lang w:val="zh-CN"/>
        </w:rPr>
        <w:t>Themeda japonica (Willd.)、</w:t>
      </w:r>
      <w:r>
        <w:rPr>
          <w:rFonts w:ascii="Times New Roman" w:hAnsi="Times New Roman"/>
          <w:color w:val="auto"/>
          <w:highlight w:val="none"/>
          <w:lang w:val="zh-CN"/>
        </w:rPr>
        <w:t>鬼针草</w:t>
      </w:r>
      <w:r>
        <w:rPr>
          <w:rFonts w:ascii="Times New Roman" w:hAnsi="Times New Roman"/>
          <w:i/>
          <w:iCs/>
          <w:color w:val="auto"/>
          <w:highlight w:val="none"/>
          <w:lang w:val="zh-CN"/>
        </w:rPr>
        <w:t>Bidens pilosa L.、</w:t>
      </w:r>
      <w:r>
        <w:rPr>
          <w:rFonts w:ascii="Times New Roman" w:hAnsi="Times New Roman"/>
          <w:color w:val="auto"/>
          <w:highlight w:val="none"/>
          <w:lang w:val="zh-CN"/>
        </w:rPr>
        <w:t>飞机草</w:t>
      </w:r>
      <w:r>
        <w:rPr>
          <w:rFonts w:ascii="Times New Roman" w:hAnsi="Times New Roman"/>
          <w:i/>
          <w:iCs/>
          <w:color w:val="auto"/>
          <w:highlight w:val="none"/>
          <w:lang w:val="zh-CN"/>
        </w:rPr>
        <w:t>Eupatorium odoratum L.</w:t>
      </w:r>
      <w:r>
        <w:rPr>
          <w:rFonts w:ascii="Times New Roman" w:hAnsi="Times New Roman"/>
          <w:color w:val="auto"/>
          <w:highlight w:val="none"/>
          <w:lang w:val="zh-CN"/>
        </w:rPr>
        <w:t>、芨芨草</w:t>
      </w:r>
      <w:r>
        <w:rPr>
          <w:rFonts w:ascii="Times New Roman" w:hAnsi="Times New Roman"/>
          <w:i/>
          <w:iCs/>
          <w:color w:val="auto"/>
          <w:highlight w:val="none"/>
          <w:lang w:val="zh-CN"/>
        </w:rPr>
        <w:t>Achnatherum splendens (Trin. )</w:t>
      </w:r>
      <w:r>
        <w:rPr>
          <w:rFonts w:ascii="Times New Roman" w:hAnsi="Times New Roman"/>
          <w:color w:val="auto"/>
          <w:highlight w:val="none"/>
          <w:lang w:val="zh-CN"/>
        </w:rPr>
        <w:t>、白茅</w:t>
      </w:r>
      <w:r>
        <w:rPr>
          <w:rFonts w:ascii="Times New Roman" w:hAnsi="Times New Roman"/>
          <w:i/>
          <w:iCs/>
          <w:color w:val="auto"/>
          <w:highlight w:val="none"/>
          <w:lang w:val="zh-CN"/>
        </w:rPr>
        <w:t>Imperata cylindrica (L.) Beauv.</w:t>
      </w:r>
      <w:r>
        <w:rPr>
          <w:rFonts w:ascii="Times New Roman" w:hAnsi="Times New Roman"/>
          <w:color w:val="auto"/>
          <w:highlight w:val="none"/>
          <w:lang w:val="zh-CN"/>
        </w:rPr>
        <w:t>等。</w:t>
      </w:r>
    </w:p>
    <w:p>
      <w:pPr>
        <w:pStyle w:val="17"/>
        <w:ind w:firstLine="480"/>
        <w:rPr>
          <w:rFonts w:ascii="Times New Roman" w:hAnsi="Times New Roman"/>
          <w:color w:val="auto"/>
          <w:highlight w:val="none"/>
          <w:lang w:val="zh-CN"/>
        </w:rPr>
      </w:pPr>
      <w:r>
        <w:rPr>
          <w:rFonts w:ascii="Times New Roman" w:hAnsi="Times New Roman"/>
          <w:color w:val="auto"/>
          <w:highlight w:val="none"/>
          <w:lang w:val="zh-CN"/>
        </w:rPr>
        <w:t>B 人工植被及物种</w:t>
      </w:r>
    </w:p>
    <w:p>
      <w:pPr>
        <w:pStyle w:val="17"/>
        <w:ind w:firstLine="480"/>
        <w:rPr>
          <w:rFonts w:ascii="Times New Roman" w:hAnsi="Times New Roman"/>
          <w:color w:val="auto"/>
          <w:highlight w:val="none"/>
          <w:lang w:val="zh-CN"/>
        </w:rPr>
      </w:pPr>
      <w:r>
        <w:rPr>
          <w:rFonts w:ascii="Times New Roman" w:hAnsi="Times New Roman"/>
          <w:color w:val="auto"/>
          <w:highlight w:val="none"/>
          <w:lang w:val="zh-CN"/>
        </w:rPr>
        <w:t>人工植被为旱地和人工林，旱地主要种植玉米</w:t>
      </w:r>
      <w:r>
        <w:rPr>
          <w:rFonts w:ascii="Times New Roman" w:hAnsi="Times New Roman"/>
          <w:i/>
          <w:iCs/>
          <w:color w:val="auto"/>
          <w:highlight w:val="none"/>
          <w:lang w:val="zh-CN"/>
        </w:rPr>
        <w:t>Zea mays L.</w:t>
      </w:r>
      <w:r>
        <w:rPr>
          <w:rFonts w:ascii="Times New Roman" w:hAnsi="Times New Roman"/>
          <w:color w:val="auto"/>
          <w:kern w:val="0"/>
          <w:highlight w:val="none"/>
        </w:rPr>
        <w:t>、蚕豆</w:t>
      </w:r>
      <w:r>
        <w:rPr>
          <w:rFonts w:ascii="Times New Roman" w:hAnsi="Times New Roman"/>
          <w:i/>
          <w:iCs/>
          <w:color w:val="auto"/>
          <w:highlight w:val="none"/>
          <w:lang w:val="zh-CN"/>
        </w:rPr>
        <w:t>Vicia faba L.</w:t>
      </w:r>
      <w:r>
        <w:rPr>
          <w:rFonts w:ascii="Times New Roman" w:hAnsi="Times New Roman"/>
          <w:color w:val="auto"/>
          <w:kern w:val="0"/>
          <w:highlight w:val="none"/>
        </w:rPr>
        <w:t>、南瓜</w:t>
      </w:r>
      <w:r>
        <w:rPr>
          <w:rFonts w:ascii="Times New Roman" w:hAnsi="Times New Roman"/>
          <w:i/>
          <w:iCs/>
          <w:color w:val="auto"/>
          <w:highlight w:val="none"/>
          <w:lang w:val="zh-CN"/>
        </w:rPr>
        <w:t>Cucurbita moschata (Duch. ex Lam.) Duch. ex Poiret</w:t>
      </w:r>
      <w:r>
        <w:rPr>
          <w:rFonts w:ascii="Times New Roman" w:hAnsi="Times New Roman"/>
          <w:color w:val="auto"/>
          <w:kern w:val="0"/>
          <w:highlight w:val="none"/>
        </w:rPr>
        <w:t>、烤烟</w:t>
      </w:r>
      <w:r>
        <w:rPr>
          <w:rFonts w:ascii="Times New Roman" w:hAnsi="Times New Roman"/>
          <w:i/>
          <w:iCs/>
          <w:color w:val="auto"/>
          <w:highlight w:val="none"/>
          <w:lang w:val="zh-CN"/>
        </w:rPr>
        <w:t>Flue curedTobacco</w:t>
      </w:r>
      <w:r>
        <w:rPr>
          <w:rFonts w:ascii="Times New Roman" w:hAnsi="Times New Roman"/>
          <w:color w:val="auto"/>
          <w:highlight w:val="none"/>
          <w:lang w:val="zh-CN"/>
        </w:rPr>
        <w:t>等；人工林植物种类主要是桉树</w:t>
      </w:r>
      <w:r>
        <w:rPr>
          <w:rFonts w:ascii="Times New Roman" w:hAnsi="Times New Roman"/>
          <w:i/>
          <w:iCs/>
          <w:color w:val="auto"/>
          <w:highlight w:val="none"/>
          <w:lang w:val="zh-CN"/>
        </w:rPr>
        <w:t>Eucalyptus robusta Smith</w:t>
      </w:r>
      <w:r>
        <w:rPr>
          <w:rFonts w:ascii="Times New Roman" w:hAnsi="Times New Roman"/>
          <w:color w:val="auto"/>
          <w:highlight w:val="none"/>
          <w:lang w:val="zh-CN"/>
        </w:rPr>
        <w:t>。</w:t>
      </w:r>
    </w:p>
    <w:p>
      <w:pPr>
        <w:pStyle w:val="17"/>
        <w:ind w:firstLine="480"/>
        <w:rPr>
          <w:rFonts w:ascii="Times New Roman" w:hAnsi="Times New Roman"/>
          <w:color w:val="auto"/>
          <w:highlight w:val="none"/>
          <w:lang w:val="zh-CN"/>
        </w:rPr>
      </w:pPr>
      <w:r>
        <w:rPr>
          <w:rFonts w:hint="eastAsia" w:ascii="Times New Roman" w:hAnsi="Times New Roman"/>
          <w:color w:val="auto"/>
          <w:highlight w:val="none"/>
          <w:lang w:val="zh-CN"/>
        </w:rPr>
        <w:t>C 保护植物和古树名木</w:t>
      </w:r>
    </w:p>
    <w:p>
      <w:pPr>
        <w:pStyle w:val="17"/>
        <w:ind w:firstLine="480"/>
        <w:rPr>
          <w:rFonts w:ascii="Times New Roman" w:hAnsi="Times New Roman"/>
          <w:color w:val="auto"/>
          <w:highlight w:val="none"/>
          <w:lang w:val="zh-CN"/>
        </w:rPr>
      </w:pPr>
      <w:r>
        <w:rPr>
          <w:rFonts w:hint="eastAsia" w:ascii="Times New Roman" w:hAnsi="Times New Roman"/>
          <w:color w:val="auto"/>
          <w:highlight w:val="none"/>
          <w:lang w:val="zh-CN"/>
        </w:rPr>
        <w:t>根据相关资料记录和实地走访，依据《国家重点保护野生植物名录》(第一批，1999)、云南省林业厅文件云林保护字(1996)第 65 号《关于印发云南省古树 名木名录的通知》、《云南省重点保护野生植物名录》、《云南省生物物种名录（2016 版）》，在评价区内未发现珍稀濒危保护植物和古树名木分布，亦无特有种和科研价值高的物种。</w:t>
      </w:r>
    </w:p>
    <w:p>
      <w:pPr>
        <w:pStyle w:val="17"/>
        <w:ind w:firstLine="480"/>
        <w:rPr>
          <w:rFonts w:ascii="Times New Roman" w:hAnsi="Times New Roman"/>
          <w:color w:val="auto"/>
          <w:highlight w:val="none"/>
          <w:lang w:val="zh-CN"/>
        </w:rPr>
      </w:pPr>
      <w:r>
        <w:rPr>
          <w:rFonts w:hint="eastAsia" w:ascii="Times New Roman" w:hAnsi="Times New Roman"/>
          <w:color w:val="auto"/>
          <w:highlight w:val="none"/>
          <w:lang w:val="zh-CN"/>
        </w:rPr>
        <w:t>（3）野生动物现状</w:t>
      </w:r>
    </w:p>
    <w:p>
      <w:pPr>
        <w:pStyle w:val="17"/>
        <w:ind w:firstLine="480"/>
        <w:rPr>
          <w:rFonts w:ascii="Times New Roman" w:hAnsi="Times New Roman"/>
          <w:color w:val="auto"/>
          <w:highlight w:val="none"/>
          <w:lang w:val="zh-CN"/>
        </w:rPr>
      </w:pPr>
      <w:r>
        <w:rPr>
          <w:rFonts w:hint="eastAsia" w:ascii="Times New Roman" w:hAnsi="Times New Roman"/>
          <w:color w:val="auto"/>
          <w:highlight w:val="none"/>
          <w:lang w:val="zh-CN"/>
        </w:rPr>
        <w:t>① 调查时间、范围、内容和方法</w:t>
      </w:r>
    </w:p>
    <w:p>
      <w:pPr>
        <w:pStyle w:val="17"/>
        <w:ind w:firstLine="480"/>
        <w:rPr>
          <w:rFonts w:ascii="Times New Roman" w:hAnsi="Times New Roman"/>
          <w:color w:val="auto"/>
          <w:highlight w:val="none"/>
          <w:lang w:val="zh-CN"/>
        </w:rPr>
      </w:pPr>
      <w:r>
        <w:rPr>
          <w:rFonts w:hint="eastAsia" w:ascii="Times New Roman" w:hAnsi="Times New Roman"/>
          <w:color w:val="auto"/>
          <w:highlight w:val="none"/>
          <w:lang w:val="zh-CN"/>
        </w:rPr>
        <w:t>调查时间：20</w:t>
      </w:r>
      <w:r>
        <w:rPr>
          <w:rFonts w:hint="eastAsia" w:ascii="Times New Roman" w:hAnsi="Times New Roman"/>
          <w:color w:val="auto"/>
          <w:highlight w:val="none"/>
          <w:lang w:val="en-US" w:eastAsia="zh-CN"/>
        </w:rPr>
        <w:t>20</w:t>
      </w:r>
      <w:r>
        <w:rPr>
          <w:rFonts w:hint="eastAsia" w:ascii="Times New Roman" w:hAnsi="Times New Roman"/>
          <w:color w:val="auto"/>
          <w:highlight w:val="none"/>
          <w:lang w:val="zh-CN"/>
        </w:rPr>
        <w:t>年</w:t>
      </w:r>
      <w:r>
        <w:rPr>
          <w:rFonts w:hint="eastAsia" w:ascii="Times New Roman" w:hAnsi="Times New Roman"/>
          <w:color w:val="auto"/>
          <w:highlight w:val="none"/>
          <w:lang w:val="en-US" w:eastAsia="zh-CN"/>
        </w:rPr>
        <w:t>2</w:t>
      </w:r>
      <w:r>
        <w:rPr>
          <w:rFonts w:hint="eastAsia" w:ascii="Times New Roman" w:hAnsi="Times New Roman"/>
          <w:color w:val="auto"/>
          <w:highlight w:val="none"/>
          <w:lang w:val="zh-CN"/>
        </w:rPr>
        <w:t>月。</w:t>
      </w:r>
    </w:p>
    <w:p>
      <w:pPr>
        <w:pStyle w:val="17"/>
        <w:ind w:firstLine="480"/>
        <w:rPr>
          <w:rFonts w:ascii="Times New Roman" w:hAnsi="Times New Roman"/>
          <w:color w:val="auto"/>
          <w:highlight w:val="none"/>
          <w:lang w:val="zh-CN"/>
        </w:rPr>
      </w:pPr>
      <w:r>
        <w:rPr>
          <w:rFonts w:hint="eastAsia" w:ascii="Times New Roman" w:hAnsi="Times New Roman"/>
          <w:color w:val="auto"/>
          <w:highlight w:val="none"/>
          <w:lang w:val="zh-CN"/>
        </w:rPr>
        <w:t>调查范围：矿区及外延200m的区域。</w:t>
      </w:r>
    </w:p>
    <w:p>
      <w:pPr>
        <w:pStyle w:val="17"/>
        <w:ind w:firstLine="480"/>
        <w:rPr>
          <w:rFonts w:ascii="Times New Roman" w:hAnsi="Times New Roman"/>
          <w:color w:val="auto"/>
          <w:highlight w:val="none"/>
          <w:lang w:val="zh-CN"/>
        </w:rPr>
      </w:pPr>
      <w:r>
        <w:rPr>
          <w:rFonts w:hint="eastAsia" w:ascii="Times New Roman" w:hAnsi="Times New Roman"/>
          <w:color w:val="auto"/>
          <w:highlight w:val="none"/>
          <w:lang w:val="zh-CN"/>
        </w:rPr>
        <w:t>调查内容：评价区内野生动物种类，国家重点保护野生动物分布，云南省级重点保护野生动物分布情况。</w:t>
      </w:r>
    </w:p>
    <w:p>
      <w:pPr>
        <w:pStyle w:val="17"/>
        <w:ind w:firstLine="480"/>
        <w:rPr>
          <w:rFonts w:ascii="Times New Roman" w:hAnsi="Times New Roman"/>
          <w:color w:val="auto"/>
          <w:highlight w:val="none"/>
          <w:lang w:val="zh-CN"/>
        </w:rPr>
      </w:pPr>
      <w:r>
        <w:rPr>
          <w:rFonts w:hint="eastAsia" w:ascii="Times New Roman" w:hAnsi="Times New Roman"/>
          <w:color w:val="auto"/>
          <w:highlight w:val="none"/>
          <w:lang w:val="zh-CN"/>
        </w:rPr>
        <w:t>调查方法：通过实地踏勘、问询相关专业人员、收集查询评价区和附近地区已发表文献和其他相关资料。</w:t>
      </w:r>
    </w:p>
    <w:p>
      <w:pPr>
        <w:pStyle w:val="17"/>
        <w:ind w:firstLine="480"/>
        <w:rPr>
          <w:rFonts w:ascii="Times New Roman" w:hAnsi="Times New Roman"/>
          <w:color w:val="auto"/>
          <w:highlight w:val="none"/>
          <w:lang w:val="zh-CN"/>
        </w:rPr>
      </w:pPr>
      <w:r>
        <w:rPr>
          <w:rFonts w:hint="eastAsia" w:ascii="Times New Roman" w:hAnsi="Times New Roman"/>
          <w:color w:val="auto"/>
          <w:highlight w:val="none"/>
          <w:lang w:val="zh-CN"/>
        </w:rPr>
        <w:t>② 野生动物现状</w:t>
      </w:r>
    </w:p>
    <w:p>
      <w:pPr>
        <w:adjustRightInd w:val="0"/>
        <w:snapToGrid w:val="0"/>
        <w:ind w:firstLine="480"/>
        <w:rPr>
          <w:color w:val="auto"/>
          <w:highlight w:val="none"/>
        </w:rPr>
      </w:pPr>
      <w:r>
        <w:rPr>
          <w:rFonts w:hint="eastAsia"/>
          <w:color w:val="auto"/>
          <w:highlight w:val="none"/>
          <w:lang w:val="zh-CN"/>
        </w:rPr>
        <w:t xml:space="preserve">评价区域由于处于村庄周边，人类干扰较多，不具备良好的野生动物栖息条件，区域无国家和云南省大型野生动物存在，主要为适应性广、活动强的小型动物，如松鼠 </w:t>
      </w:r>
      <w:r>
        <w:rPr>
          <w:rFonts w:hint="eastAsia"/>
          <w:i/>
          <w:iCs/>
          <w:color w:val="auto"/>
          <w:highlight w:val="none"/>
          <w:lang w:val="zh-CN"/>
        </w:rPr>
        <w:t>Sciuridae</w:t>
      </w:r>
      <w:r>
        <w:rPr>
          <w:rFonts w:hint="eastAsia"/>
          <w:color w:val="auto"/>
          <w:highlight w:val="none"/>
          <w:lang w:val="zh-CN"/>
        </w:rPr>
        <w:t xml:space="preserve">、社鼠 </w:t>
      </w:r>
      <w:r>
        <w:rPr>
          <w:rFonts w:hint="eastAsia"/>
          <w:i/>
          <w:iCs/>
          <w:color w:val="auto"/>
          <w:highlight w:val="none"/>
          <w:lang w:val="zh-CN"/>
        </w:rPr>
        <w:t>R.niviventer confucianus</w:t>
      </w:r>
      <w:r>
        <w:rPr>
          <w:rFonts w:hint="eastAsia"/>
          <w:color w:val="auto"/>
          <w:highlight w:val="none"/>
          <w:lang w:val="zh-CN"/>
        </w:rPr>
        <w:t xml:space="preserve">、小家鼠 </w:t>
      </w:r>
      <w:r>
        <w:rPr>
          <w:rFonts w:hint="eastAsia"/>
          <w:i/>
          <w:iCs/>
          <w:color w:val="auto"/>
          <w:highlight w:val="none"/>
          <w:lang w:val="zh-CN"/>
        </w:rPr>
        <w:t>Mus musculus</w:t>
      </w:r>
      <w:r>
        <w:rPr>
          <w:rFonts w:hint="eastAsia"/>
          <w:color w:val="auto"/>
          <w:highlight w:val="none"/>
          <w:lang w:val="zh-CN"/>
        </w:rPr>
        <w:t>、壁虎</w:t>
      </w:r>
      <w:r>
        <w:rPr>
          <w:rFonts w:hint="eastAsia"/>
          <w:i/>
          <w:iCs/>
          <w:color w:val="auto"/>
          <w:highlight w:val="none"/>
          <w:lang w:val="zh-CN"/>
        </w:rPr>
        <w:t>Gekko japonicus Dumeril et Bibron</w:t>
      </w:r>
      <w:r>
        <w:rPr>
          <w:rFonts w:hint="eastAsia"/>
          <w:color w:val="auto"/>
          <w:highlight w:val="none"/>
          <w:lang w:val="zh-CN"/>
        </w:rPr>
        <w:t xml:space="preserve">、山麻雀 </w:t>
      </w:r>
      <w:r>
        <w:rPr>
          <w:rFonts w:hint="eastAsia"/>
          <w:i/>
          <w:iCs/>
          <w:color w:val="auto"/>
          <w:highlight w:val="none"/>
          <w:lang w:val="zh-CN"/>
        </w:rPr>
        <w:t>Passer rutilans</w:t>
      </w:r>
      <w:r>
        <w:rPr>
          <w:rFonts w:hint="eastAsia"/>
          <w:color w:val="auto"/>
          <w:highlight w:val="none"/>
          <w:lang w:val="zh-CN"/>
        </w:rPr>
        <w:t xml:space="preserve">、喜鹊 </w:t>
      </w:r>
      <w:r>
        <w:rPr>
          <w:rFonts w:hint="eastAsia"/>
          <w:i/>
          <w:iCs/>
          <w:color w:val="auto"/>
          <w:highlight w:val="none"/>
          <w:lang w:val="zh-CN"/>
        </w:rPr>
        <w:t>Pica pica</w:t>
      </w:r>
      <w:r>
        <w:rPr>
          <w:rFonts w:hint="eastAsia"/>
          <w:color w:val="auto"/>
          <w:highlight w:val="none"/>
          <w:lang w:val="zh-CN"/>
        </w:rPr>
        <w:t>、</w:t>
      </w:r>
      <w:r>
        <w:rPr>
          <w:color w:val="auto"/>
          <w:highlight w:val="none"/>
        </w:rPr>
        <w:t>青蛙</w:t>
      </w:r>
      <w:r>
        <w:rPr>
          <w:rFonts w:hint="eastAsia"/>
          <w:i/>
          <w:iCs/>
          <w:color w:val="auto"/>
          <w:highlight w:val="none"/>
          <w:lang w:val="zh-CN"/>
        </w:rPr>
        <w:t>Frog</w:t>
      </w:r>
      <w:r>
        <w:rPr>
          <w:color w:val="auto"/>
          <w:highlight w:val="none"/>
        </w:rPr>
        <w:t>、</w:t>
      </w:r>
      <w:r>
        <w:rPr>
          <w:rFonts w:hint="eastAsia"/>
          <w:color w:val="auto"/>
          <w:highlight w:val="none"/>
        </w:rPr>
        <w:t>土蛤蟆</w:t>
      </w:r>
      <w:r>
        <w:rPr>
          <w:rFonts w:hint="eastAsia"/>
          <w:i/>
          <w:iCs/>
          <w:color w:val="auto"/>
          <w:highlight w:val="none"/>
          <w:lang w:val="zh-CN"/>
        </w:rPr>
        <w:t>Soil toad</w:t>
      </w:r>
      <w:r>
        <w:rPr>
          <w:rFonts w:hint="eastAsia"/>
          <w:color w:val="auto"/>
          <w:highlight w:val="none"/>
        </w:rPr>
        <w:t>等。</w:t>
      </w:r>
      <w:r>
        <w:rPr>
          <w:color w:val="auto"/>
          <w:highlight w:val="none"/>
        </w:rPr>
        <w:t>此外，还有种类和数量众多的昆虫。</w:t>
      </w:r>
    </w:p>
    <w:p>
      <w:pPr>
        <w:pStyle w:val="17"/>
        <w:ind w:firstLine="480"/>
        <w:rPr>
          <w:rFonts w:ascii="Times New Roman" w:hAnsi="Times New Roman"/>
          <w:color w:val="auto"/>
          <w:highlight w:val="none"/>
          <w:lang w:val="zh-CN"/>
        </w:rPr>
      </w:pPr>
      <w:r>
        <w:rPr>
          <w:rFonts w:hint="eastAsia" w:ascii="Times New Roman" w:hAnsi="Times New Roman"/>
          <w:color w:val="auto"/>
          <w:highlight w:val="none"/>
          <w:lang w:val="zh-CN"/>
        </w:rPr>
        <w:t>根据实地踏勘、问询相关专业人员和查询资料，评价区域内无国家和云南省 重点保护动物和珍稀濒危动物。</w:t>
      </w:r>
    </w:p>
    <w:p>
      <w:pPr>
        <w:pStyle w:val="17"/>
        <w:ind w:left="480" w:leftChars="200" w:firstLine="0" w:firstLineChars="0"/>
        <w:rPr>
          <w:rFonts w:ascii="Times New Roman" w:hAnsi="Times New Roman"/>
          <w:color w:val="auto"/>
          <w:highlight w:val="none"/>
          <w:lang w:val="zh-CN"/>
        </w:rPr>
      </w:pPr>
      <w:r>
        <w:rPr>
          <w:rFonts w:hint="eastAsia" w:ascii="Times New Roman" w:hAnsi="Times New Roman"/>
          <w:color w:val="auto"/>
          <w:highlight w:val="none"/>
          <w:lang w:val="zh-CN"/>
        </w:rPr>
        <w:t>（</w:t>
      </w:r>
      <w:r>
        <w:rPr>
          <w:rFonts w:hint="eastAsia" w:ascii="Times New Roman" w:hAnsi="Times New Roman"/>
          <w:color w:val="auto"/>
          <w:highlight w:val="none"/>
        </w:rPr>
        <w:t>4</w:t>
      </w:r>
      <w:r>
        <w:rPr>
          <w:rFonts w:hint="eastAsia" w:ascii="Times New Roman" w:hAnsi="Times New Roman"/>
          <w:color w:val="auto"/>
          <w:highlight w:val="none"/>
          <w:lang w:val="zh-CN"/>
        </w:rPr>
        <w:t>）生态环境质量现状</w:t>
      </w:r>
    </w:p>
    <w:p>
      <w:pPr>
        <w:pStyle w:val="17"/>
        <w:ind w:firstLine="480"/>
        <w:rPr>
          <w:rFonts w:hint="eastAsia" w:ascii="Times New Roman" w:hAnsi="Times New Roman"/>
          <w:color w:val="auto"/>
          <w:highlight w:val="none"/>
          <w:lang w:val="zh-CN"/>
        </w:rPr>
      </w:pPr>
      <w:r>
        <w:rPr>
          <w:rFonts w:hint="eastAsia" w:ascii="Times New Roman" w:hAnsi="Times New Roman"/>
          <w:color w:val="auto"/>
          <w:highlight w:val="none"/>
          <w:lang w:val="zh-CN"/>
        </w:rPr>
        <w:t>评价区人员活动频繁，生态环境受人为干扰较大，植被覆盖率低，物种多样性一般，生态环境质量现状一般。</w:t>
      </w:r>
    </w:p>
    <w:p>
      <w:pPr>
        <w:pStyle w:val="4"/>
        <w:rPr>
          <w:rFonts w:hint="default"/>
          <w:color w:val="auto"/>
          <w:highlight w:val="none"/>
          <w:lang w:val="en-US" w:eastAsia="zh-CN"/>
        </w:rPr>
      </w:pPr>
      <w:bookmarkStart w:id="399" w:name="_Toc14416"/>
      <w:r>
        <w:rPr>
          <w:rFonts w:hint="eastAsia"/>
          <w:color w:val="auto"/>
          <w:highlight w:val="none"/>
          <w:lang w:val="en-US" w:eastAsia="zh-CN"/>
        </w:rPr>
        <w:t>5.5水土流失现状</w:t>
      </w:r>
      <w:bookmarkEnd w:id="399"/>
    </w:p>
    <w:p>
      <w:pPr>
        <w:pStyle w:val="17"/>
        <w:ind w:firstLine="480"/>
        <w:rPr>
          <w:rFonts w:hint="eastAsia" w:ascii="Times New Roman" w:hAnsi="Times New Roman"/>
          <w:color w:val="auto"/>
          <w:highlight w:val="none"/>
          <w:lang w:val="zh-CN"/>
        </w:rPr>
      </w:pPr>
      <w:r>
        <w:rPr>
          <w:rFonts w:hint="eastAsia" w:ascii="Times New Roman" w:hAnsi="Times New Roman"/>
          <w:color w:val="auto"/>
          <w:highlight w:val="none"/>
          <w:lang w:val="en-US" w:eastAsia="zh-CN"/>
        </w:rPr>
        <w:t xml:space="preserve">根据《云南省 </w:t>
      </w:r>
      <w:r>
        <w:rPr>
          <w:rFonts w:hint="default" w:ascii="Times New Roman" w:hAnsi="Times New Roman"/>
          <w:color w:val="auto"/>
          <w:highlight w:val="none"/>
          <w:lang w:val="en-US" w:eastAsia="zh-CN"/>
        </w:rPr>
        <w:t xml:space="preserve">2004 </w:t>
      </w:r>
      <w:r>
        <w:rPr>
          <w:rFonts w:hint="eastAsia" w:ascii="Times New Roman" w:hAnsi="Times New Roman"/>
          <w:color w:val="auto"/>
          <w:highlight w:val="none"/>
          <w:lang w:val="en-US" w:eastAsia="zh-CN"/>
        </w:rPr>
        <w:t>年土壤侵蚀现状遥感调查报告》（云南省水利厅、云南省水利水电科学研究所，</w:t>
      </w:r>
      <w:r>
        <w:rPr>
          <w:rFonts w:hint="default" w:ascii="Times New Roman" w:hAnsi="Times New Roman"/>
          <w:color w:val="auto"/>
          <w:highlight w:val="none"/>
          <w:lang w:val="en-US" w:eastAsia="zh-CN"/>
        </w:rPr>
        <w:t xml:space="preserve">2006 </w:t>
      </w:r>
      <w:r>
        <w:rPr>
          <w:rFonts w:hint="eastAsia" w:ascii="Times New Roman" w:hAnsi="Times New Roman"/>
          <w:color w:val="auto"/>
          <w:highlight w:val="none"/>
          <w:lang w:val="en-US" w:eastAsia="zh-CN"/>
        </w:rPr>
        <w:t xml:space="preserve">年 </w:t>
      </w:r>
      <w:r>
        <w:rPr>
          <w:rFonts w:hint="default" w:ascii="Times New Roman" w:hAnsi="Times New Roman"/>
          <w:color w:val="auto"/>
          <w:highlight w:val="none"/>
          <w:lang w:val="en-US" w:eastAsia="zh-CN"/>
        </w:rPr>
        <w:t xml:space="preserve">2 </w:t>
      </w:r>
      <w:r>
        <w:rPr>
          <w:rFonts w:hint="eastAsia" w:ascii="Times New Roman" w:hAnsi="Times New Roman"/>
          <w:color w:val="auto"/>
          <w:highlight w:val="none"/>
          <w:lang w:val="en-US" w:eastAsia="zh-CN"/>
        </w:rPr>
        <w:t>月）：砚山县国土面积</w:t>
      </w:r>
      <w:r>
        <w:rPr>
          <w:rFonts w:hint="default" w:ascii="Times New Roman" w:hAnsi="Times New Roman"/>
          <w:color w:val="auto"/>
          <w:highlight w:val="none"/>
          <w:lang w:val="en-US" w:eastAsia="zh-CN"/>
        </w:rPr>
        <w:t>3865.21km</w:t>
      </w:r>
      <w:r>
        <w:rPr>
          <w:rFonts w:hint="default" w:ascii="Times New Roman" w:hAnsi="Times New Roman"/>
          <w:color w:val="auto"/>
          <w:highlight w:val="none"/>
          <w:vertAlign w:val="superscript"/>
          <w:lang w:val="en-US" w:eastAsia="zh-CN"/>
        </w:rPr>
        <w:t>2</w:t>
      </w:r>
      <w:r>
        <w:rPr>
          <w:rFonts w:hint="eastAsia" w:ascii="Times New Roman" w:hAnsi="Times New Roman"/>
          <w:color w:val="auto"/>
          <w:highlight w:val="none"/>
          <w:lang w:val="en-US" w:eastAsia="zh-CN"/>
        </w:rPr>
        <w:t xml:space="preserve">，微度侵蚀面积 </w:t>
      </w:r>
      <w:r>
        <w:rPr>
          <w:rFonts w:hint="default" w:ascii="Times New Roman" w:hAnsi="Times New Roman"/>
          <w:color w:val="auto"/>
          <w:highlight w:val="none"/>
          <w:lang w:val="en-US" w:eastAsia="zh-CN"/>
        </w:rPr>
        <w:t>1803.76km</w:t>
      </w:r>
      <w:r>
        <w:rPr>
          <w:rFonts w:hint="default" w:ascii="Times New Roman" w:hAnsi="Times New Roman"/>
          <w:color w:val="auto"/>
          <w:highlight w:val="none"/>
          <w:vertAlign w:val="superscript"/>
          <w:lang w:val="en-US" w:eastAsia="zh-CN"/>
        </w:rPr>
        <w:t>2</w:t>
      </w:r>
      <w:r>
        <w:rPr>
          <w:rFonts w:hint="eastAsia" w:ascii="Times New Roman" w:hAnsi="Times New Roman"/>
          <w:color w:val="auto"/>
          <w:highlight w:val="none"/>
          <w:lang w:val="en-US" w:eastAsia="zh-CN"/>
        </w:rPr>
        <w:t>，占土地总面积的</w:t>
      </w:r>
      <w:r>
        <w:rPr>
          <w:rFonts w:hint="default" w:ascii="Times New Roman" w:hAnsi="Times New Roman"/>
          <w:color w:val="auto"/>
          <w:highlight w:val="none"/>
          <w:lang w:val="en-US" w:eastAsia="zh-CN"/>
        </w:rPr>
        <w:t>46.67%</w:t>
      </w:r>
      <w:r>
        <w:rPr>
          <w:rFonts w:hint="eastAsia" w:ascii="Times New Roman" w:hAnsi="Times New Roman"/>
          <w:color w:val="auto"/>
          <w:highlight w:val="none"/>
          <w:lang w:val="en-US" w:eastAsia="zh-CN"/>
        </w:rPr>
        <w:t xml:space="preserve">；土壤侵蚀面积 </w:t>
      </w:r>
      <w:r>
        <w:rPr>
          <w:rFonts w:hint="default" w:ascii="Times New Roman" w:hAnsi="Times New Roman"/>
          <w:color w:val="auto"/>
          <w:highlight w:val="none"/>
          <w:lang w:val="en-US" w:eastAsia="zh-CN"/>
        </w:rPr>
        <w:t>2061.45km</w:t>
      </w:r>
      <w:r>
        <w:rPr>
          <w:rFonts w:hint="default" w:ascii="Times New Roman" w:hAnsi="Times New Roman"/>
          <w:color w:val="auto"/>
          <w:highlight w:val="none"/>
          <w:vertAlign w:val="superscript"/>
          <w:lang w:val="en-US" w:eastAsia="zh-CN"/>
        </w:rPr>
        <w:t>2</w:t>
      </w:r>
      <w:r>
        <w:rPr>
          <w:rFonts w:hint="eastAsia" w:ascii="Times New Roman" w:hAnsi="Times New Roman"/>
          <w:color w:val="auto"/>
          <w:highlight w:val="none"/>
          <w:lang w:val="en-US" w:eastAsia="zh-CN"/>
        </w:rPr>
        <w:t>，占土地总面积</w:t>
      </w:r>
      <w:r>
        <w:rPr>
          <w:rFonts w:hint="default" w:ascii="Times New Roman" w:hAnsi="Times New Roman"/>
          <w:color w:val="auto"/>
          <w:highlight w:val="none"/>
          <w:lang w:val="en-US" w:eastAsia="zh-CN"/>
        </w:rPr>
        <w:t>53.33%</w:t>
      </w:r>
      <w:r>
        <w:rPr>
          <w:rFonts w:hint="eastAsia" w:ascii="Times New Roman" w:hAnsi="Times New Roman"/>
          <w:color w:val="auto"/>
          <w:highlight w:val="none"/>
          <w:lang w:val="en-US" w:eastAsia="zh-CN"/>
        </w:rPr>
        <w:t>。在土壤侵蚀面积中，轻度侵蚀面积为</w:t>
      </w:r>
      <w:r>
        <w:rPr>
          <w:rFonts w:hint="default" w:ascii="Times New Roman" w:hAnsi="Times New Roman"/>
          <w:color w:val="auto"/>
          <w:highlight w:val="none"/>
          <w:lang w:val="en-US" w:eastAsia="zh-CN"/>
        </w:rPr>
        <w:t>1537.52km</w:t>
      </w:r>
      <w:r>
        <w:rPr>
          <w:rFonts w:hint="default" w:ascii="Times New Roman" w:hAnsi="Times New Roman"/>
          <w:color w:val="auto"/>
          <w:highlight w:val="none"/>
          <w:vertAlign w:val="superscript"/>
          <w:lang w:val="en-US" w:eastAsia="zh-CN"/>
        </w:rPr>
        <w:t>2</w:t>
      </w:r>
      <w:r>
        <w:rPr>
          <w:rFonts w:hint="eastAsia" w:ascii="Times New Roman" w:hAnsi="Times New Roman"/>
          <w:color w:val="auto"/>
          <w:highlight w:val="none"/>
          <w:lang w:val="en-US" w:eastAsia="zh-CN"/>
        </w:rPr>
        <w:t>，占土壤侵蚀面积的</w:t>
      </w:r>
      <w:r>
        <w:rPr>
          <w:rFonts w:hint="default" w:ascii="Times New Roman" w:hAnsi="Times New Roman"/>
          <w:color w:val="auto"/>
          <w:highlight w:val="none"/>
          <w:lang w:val="en-US" w:eastAsia="zh-CN"/>
        </w:rPr>
        <w:t>74.58%</w:t>
      </w:r>
      <w:r>
        <w:rPr>
          <w:rFonts w:hint="eastAsia" w:ascii="Times New Roman" w:hAnsi="Times New Roman"/>
          <w:color w:val="auto"/>
          <w:highlight w:val="none"/>
          <w:lang w:val="en-US" w:eastAsia="zh-CN"/>
        </w:rPr>
        <w:t>；中度侵蚀为</w:t>
      </w:r>
      <w:r>
        <w:rPr>
          <w:rFonts w:hint="default" w:ascii="Times New Roman" w:hAnsi="Times New Roman"/>
          <w:color w:val="auto"/>
          <w:highlight w:val="none"/>
          <w:lang w:val="en-US" w:eastAsia="zh-CN"/>
        </w:rPr>
        <w:t>395.17km</w:t>
      </w:r>
      <w:r>
        <w:rPr>
          <w:rFonts w:hint="default" w:ascii="Times New Roman" w:hAnsi="Times New Roman"/>
          <w:color w:val="auto"/>
          <w:highlight w:val="none"/>
          <w:vertAlign w:val="superscript"/>
          <w:lang w:val="en-US" w:eastAsia="zh-CN"/>
        </w:rPr>
        <w:t>2</w:t>
      </w:r>
      <w:r>
        <w:rPr>
          <w:rFonts w:hint="eastAsia" w:ascii="Times New Roman" w:hAnsi="Times New Roman"/>
          <w:color w:val="auto"/>
          <w:highlight w:val="none"/>
          <w:lang w:val="en-US" w:eastAsia="zh-CN"/>
        </w:rPr>
        <w:t>，占土壤侵蚀面积的</w:t>
      </w:r>
      <w:r>
        <w:rPr>
          <w:rFonts w:hint="default" w:ascii="Times New Roman" w:hAnsi="Times New Roman"/>
          <w:color w:val="auto"/>
          <w:highlight w:val="none"/>
          <w:lang w:val="en-US" w:eastAsia="zh-CN"/>
        </w:rPr>
        <w:t>19.17%</w:t>
      </w:r>
      <w:r>
        <w:rPr>
          <w:rFonts w:hint="eastAsia" w:ascii="Times New Roman" w:hAnsi="Times New Roman"/>
          <w:color w:val="auto"/>
          <w:highlight w:val="none"/>
          <w:lang w:val="en-US" w:eastAsia="zh-CN"/>
        </w:rPr>
        <w:t>；强度侵蚀为</w:t>
      </w:r>
      <w:r>
        <w:rPr>
          <w:rFonts w:hint="default" w:ascii="Times New Roman" w:hAnsi="Times New Roman"/>
          <w:color w:val="auto"/>
          <w:highlight w:val="none"/>
          <w:lang w:val="en-US" w:eastAsia="zh-CN"/>
        </w:rPr>
        <w:t>128.57km</w:t>
      </w:r>
      <w:r>
        <w:rPr>
          <w:rFonts w:hint="default" w:ascii="Times New Roman" w:hAnsi="Times New Roman"/>
          <w:color w:val="auto"/>
          <w:highlight w:val="none"/>
          <w:vertAlign w:val="superscript"/>
          <w:lang w:val="en-US" w:eastAsia="zh-CN"/>
        </w:rPr>
        <w:t>2</w:t>
      </w:r>
      <w:r>
        <w:rPr>
          <w:rFonts w:hint="eastAsia" w:ascii="Times New Roman" w:hAnsi="Times New Roman"/>
          <w:color w:val="auto"/>
          <w:highlight w:val="none"/>
          <w:lang w:val="en-US" w:eastAsia="zh-CN"/>
        </w:rPr>
        <w:t>，占土壤侵蚀面积的</w:t>
      </w:r>
      <w:r>
        <w:rPr>
          <w:rFonts w:hint="default" w:ascii="Times New Roman" w:hAnsi="Times New Roman"/>
          <w:color w:val="auto"/>
          <w:highlight w:val="none"/>
          <w:lang w:val="en-US" w:eastAsia="zh-CN"/>
        </w:rPr>
        <w:t>6.24%</w:t>
      </w:r>
      <w:r>
        <w:rPr>
          <w:rFonts w:hint="eastAsia" w:ascii="Times New Roman" w:hAnsi="Times New Roman"/>
          <w:color w:val="auto"/>
          <w:highlight w:val="none"/>
          <w:lang w:val="en-US" w:eastAsia="zh-CN"/>
        </w:rPr>
        <w:t>；极强度侵蚀为</w:t>
      </w:r>
      <w:r>
        <w:rPr>
          <w:rFonts w:hint="default" w:ascii="Times New Roman" w:hAnsi="Times New Roman"/>
          <w:color w:val="auto"/>
          <w:highlight w:val="none"/>
          <w:lang w:val="en-US" w:eastAsia="zh-CN"/>
        </w:rPr>
        <w:t>0.19km</w:t>
      </w:r>
      <w:r>
        <w:rPr>
          <w:rFonts w:hint="default" w:ascii="Times New Roman" w:hAnsi="Times New Roman"/>
          <w:color w:val="auto"/>
          <w:highlight w:val="none"/>
          <w:vertAlign w:val="superscript"/>
          <w:lang w:val="en-US" w:eastAsia="zh-CN"/>
        </w:rPr>
        <w:t>2</w:t>
      </w:r>
      <w:r>
        <w:rPr>
          <w:rFonts w:hint="eastAsia" w:ascii="Times New Roman" w:hAnsi="Times New Roman"/>
          <w:color w:val="auto"/>
          <w:highlight w:val="none"/>
          <w:lang w:val="en-US" w:eastAsia="zh-CN"/>
        </w:rPr>
        <w:t xml:space="preserve">，占土壤侵蚀面积的 </w:t>
      </w:r>
      <w:r>
        <w:rPr>
          <w:rFonts w:hint="default" w:ascii="Times New Roman" w:hAnsi="Times New Roman"/>
          <w:color w:val="auto"/>
          <w:highlight w:val="none"/>
          <w:lang w:val="en-US" w:eastAsia="zh-CN"/>
        </w:rPr>
        <w:t>0.01%</w:t>
      </w:r>
      <w:r>
        <w:rPr>
          <w:rFonts w:hint="eastAsia" w:ascii="Times New Roman" w:hAnsi="Times New Roman"/>
          <w:color w:val="auto"/>
          <w:highlight w:val="none"/>
          <w:lang w:val="en-US" w:eastAsia="zh-CN"/>
        </w:rPr>
        <w:t>；无剧烈侵蚀。</w:t>
      </w:r>
    </w:p>
    <w:p>
      <w:pPr>
        <w:pStyle w:val="17"/>
        <w:ind w:firstLine="480"/>
        <w:rPr>
          <w:rFonts w:hint="eastAsia" w:ascii="Times New Roman" w:hAnsi="Times New Roman"/>
          <w:color w:val="auto"/>
          <w:highlight w:val="none"/>
          <w:lang w:val="zh-CN"/>
        </w:rPr>
      </w:pPr>
      <w:r>
        <w:rPr>
          <w:rFonts w:hint="eastAsia" w:ascii="Times New Roman" w:hAnsi="Times New Roman"/>
          <w:color w:val="auto"/>
          <w:highlight w:val="none"/>
          <w:lang w:val="zh-CN" w:eastAsia="zh-CN"/>
        </w:rPr>
        <w:t>根据现场调查区域内占地类型主要为有林地、草地、坡耕地和其他用地（裸岩），工程建设、生产过程中的水土流失形式以水蚀为主，</w:t>
      </w:r>
      <w:r>
        <w:rPr>
          <w:rFonts w:hint="eastAsia"/>
          <w:color w:val="auto"/>
          <w:kern w:val="0"/>
          <w:sz w:val="24"/>
          <w:highlight w:val="none"/>
        </w:rPr>
        <w:t>土壤侵蚀现状主要为轻度侵蚀</w:t>
      </w:r>
      <w:r>
        <w:rPr>
          <w:rFonts w:hint="eastAsia" w:ascii="Times New Roman" w:hAnsi="Times New Roman"/>
          <w:color w:val="auto"/>
          <w:highlight w:val="none"/>
          <w:lang w:val="zh-CN" w:eastAsia="zh-CN"/>
        </w:rPr>
        <w:t>。</w:t>
      </w:r>
    </w:p>
    <w:p>
      <w:pPr>
        <w:pStyle w:val="4"/>
        <w:rPr>
          <w:rFonts w:hint="eastAsia"/>
          <w:color w:val="auto"/>
          <w:highlight w:val="none"/>
          <w:lang w:val="en-US" w:eastAsia="zh-CN"/>
        </w:rPr>
      </w:pPr>
      <w:bookmarkStart w:id="400" w:name="_Toc18062"/>
      <w:r>
        <w:rPr>
          <w:rFonts w:hint="eastAsia"/>
          <w:color w:val="auto"/>
          <w:highlight w:val="none"/>
          <w:lang w:val="en-US" w:eastAsia="zh-CN"/>
        </w:rPr>
        <w:t>5.6土壤环境质量现状</w:t>
      </w:r>
      <w:bookmarkEnd w:id="400"/>
    </w:p>
    <w:p>
      <w:pPr>
        <w:pStyle w:val="17"/>
        <w:ind w:firstLine="480"/>
        <w:rPr>
          <w:rFonts w:ascii="Times New Roman" w:hAnsi="Times New Roman"/>
          <w:color w:val="auto"/>
          <w:highlight w:val="none"/>
        </w:rPr>
      </w:pPr>
      <w:r>
        <w:rPr>
          <w:rFonts w:hint="eastAsia" w:ascii="Times New Roman" w:hAnsi="Times New Roman"/>
          <w:color w:val="auto"/>
          <w:highlight w:val="none"/>
        </w:rPr>
        <w:t>本次评价过程中</w:t>
      </w:r>
      <w:r>
        <w:rPr>
          <w:rFonts w:hint="eastAsia" w:ascii="Times New Roman" w:hAnsi="Times New Roman"/>
          <w:color w:val="auto"/>
          <w:highlight w:val="none"/>
          <w:lang w:eastAsia="zh-CN"/>
        </w:rPr>
        <w:t>，为了解矿区及周边土壤环境质量现状，</w:t>
      </w:r>
      <w:r>
        <w:rPr>
          <w:rFonts w:hint="eastAsia" w:ascii="Times New Roman" w:hAnsi="Times New Roman"/>
          <w:color w:val="auto"/>
          <w:highlight w:val="none"/>
        </w:rPr>
        <w:t>建设单位委托云南环绿环境检测技术有限公司对项目所在区域</w:t>
      </w:r>
      <w:r>
        <w:rPr>
          <w:rFonts w:hint="eastAsia" w:ascii="Times New Roman" w:hAnsi="Times New Roman"/>
          <w:color w:val="auto"/>
          <w:highlight w:val="none"/>
          <w:lang w:eastAsia="zh-CN"/>
        </w:rPr>
        <w:t>土壤</w:t>
      </w:r>
      <w:r>
        <w:rPr>
          <w:rFonts w:hint="eastAsia" w:ascii="Times New Roman" w:hAnsi="Times New Roman"/>
          <w:color w:val="auto"/>
          <w:highlight w:val="none"/>
        </w:rPr>
        <w:t>进行了现状补充监测，监测方案及监测结果如下：</w:t>
      </w:r>
    </w:p>
    <w:p>
      <w:pPr>
        <w:pStyle w:val="17"/>
        <w:ind w:firstLine="480"/>
        <w:rPr>
          <w:rFonts w:ascii="Times New Roman" w:hAnsi="Times New Roman"/>
          <w:b/>
          <w:bCs/>
          <w:color w:val="auto"/>
          <w:highlight w:val="none"/>
        </w:rPr>
      </w:pPr>
      <w:r>
        <w:rPr>
          <w:rFonts w:hint="eastAsia" w:ascii="Times New Roman" w:hAnsi="Times New Roman"/>
          <w:b/>
          <w:bCs/>
          <w:color w:val="auto"/>
          <w:highlight w:val="none"/>
          <w:lang w:eastAsia="zh-CN"/>
        </w:rPr>
        <w:t>（</w:t>
      </w:r>
      <w:r>
        <w:rPr>
          <w:rFonts w:hint="eastAsia" w:ascii="Times New Roman" w:hAnsi="Times New Roman"/>
          <w:b/>
          <w:bCs/>
          <w:color w:val="auto"/>
          <w:highlight w:val="none"/>
          <w:lang w:val="en-US" w:eastAsia="zh-CN"/>
        </w:rPr>
        <w:t>1</w:t>
      </w:r>
      <w:r>
        <w:rPr>
          <w:rFonts w:hint="eastAsia" w:ascii="Times New Roman" w:hAnsi="Times New Roman"/>
          <w:b/>
          <w:bCs/>
          <w:color w:val="auto"/>
          <w:highlight w:val="none"/>
          <w:lang w:eastAsia="zh-CN"/>
        </w:rPr>
        <w:t>）</w:t>
      </w:r>
      <w:r>
        <w:rPr>
          <w:rFonts w:hint="eastAsia" w:ascii="Times New Roman" w:hAnsi="Times New Roman"/>
          <w:b/>
          <w:bCs/>
          <w:color w:val="auto"/>
          <w:highlight w:val="none"/>
        </w:rPr>
        <w:t>监测方案</w:t>
      </w:r>
    </w:p>
    <w:p>
      <w:pPr>
        <w:autoSpaceDE w:val="0"/>
        <w:autoSpaceDN w:val="0"/>
        <w:adjustRightInd w:val="0"/>
        <w:ind w:firstLine="470" w:firstLineChars="196"/>
        <w:rPr>
          <w:rFonts w:hint="eastAsia" w:eastAsia="宋体"/>
          <w:bCs/>
          <w:color w:val="auto"/>
          <w:kern w:val="0"/>
          <w:highlight w:val="none"/>
          <w:lang w:val="en-US" w:eastAsia="zh-CN"/>
        </w:rPr>
      </w:pPr>
      <w:r>
        <w:rPr>
          <w:bCs/>
          <w:color w:val="auto"/>
          <w:highlight w:val="none"/>
        </w:rPr>
        <w:t>监测项目：</w:t>
      </w:r>
      <w:r>
        <w:rPr>
          <w:rFonts w:hint="eastAsia" w:ascii="宋体" w:hAnsi="宋体" w:cs="宋体"/>
          <w:spacing w:val="0"/>
          <w:sz w:val="24"/>
          <w:szCs w:val="24"/>
          <w:highlight w:val="none"/>
        </w:rPr>
        <w:t>①pH、</w:t>
      </w:r>
      <w:r>
        <w:rPr>
          <w:rFonts w:hint="eastAsia" w:ascii="宋体" w:hAnsi="宋体" w:cs="宋体"/>
          <w:spacing w:val="0"/>
          <w:sz w:val="24"/>
          <w:szCs w:val="24"/>
          <w:highlight w:val="none"/>
          <w:lang w:bidi="ar"/>
        </w:rPr>
        <w:t>镉、汞、砷、铅、六价铬、铜、镍、</w:t>
      </w:r>
      <w:r>
        <w:rPr>
          <w:rFonts w:hint="eastAsia" w:ascii="宋体" w:hAnsi="宋体" w:cs="宋体"/>
          <w:spacing w:val="0"/>
          <w:sz w:val="24"/>
          <w:szCs w:val="24"/>
          <w:highlight w:val="none"/>
        </w:rPr>
        <w:t>土壤容重、孔隙度,共10项；②pH、砷、镉、六价铬、铜、铅、汞、镍、</w:t>
      </w:r>
      <w:r>
        <w:rPr>
          <w:rFonts w:hint="eastAsia" w:ascii="宋体" w:hAnsi="宋体" w:cs="宋体"/>
          <w:spacing w:val="0"/>
          <w:sz w:val="24"/>
          <w:szCs w:val="24"/>
          <w:highlight w:val="none"/>
          <w:lang w:val="zh-CN"/>
        </w:rPr>
        <w:t>四氯化碳、氯仿、氯甲烷、</w:t>
      </w:r>
      <w:r>
        <w:rPr>
          <w:rFonts w:hint="eastAsia" w:ascii="宋体" w:hAnsi="宋体" w:cs="宋体"/>
          <w:spacing w:val="0"/>
          <w:sz w:val="24"/>
          <w:szCs w:val="24"/>
          <w:highlight w:val="none"/>
        </w:rPr>
        <w:t>1,1-二氯乙烷、1,2-二氯乙烷、顺</w:t>
      </w:r>
      <w:r>
        <w:rPr>
          <w:rFonts w:hint="eastAsia" w:ascii="宋体" w:hAnsi="宋体" w:cs="宋体"/>
          <w:bCs/>
          <w:spacing w:val="0"/>
          <w:sz w:val="24"/>
          <w:szCs w:val="24"/>
          <w:highlight w:val="none"/>
        </w:rPr>
        <w:t>式</w:t>
      </w:r>
      <w:r>
        <w:rPr>
          <w:rFonts w:hint="eastAsia" w:ascii="宋体" w:hAnsi="宋体" w:cs="宋体"/>
          <w:spacing w:val="0"/>
          <w:sz w:val="24"/>
          <w:szCs w:val="24"/>
          <w:highlight w:val="none"/>
        </w:rPr>
        <w:t>-1,2-二氯乙烯、反</w:t>
      </w:r>
      <w:r>
        <w:rPr>
          <w:rFonts w:hint="eastAsia" w:ascii="宋体" w:hAnsi="宋体" w:cs="宋体"/>
          <w:bCs/>
          <w:spacing w:val="0"/>
          <w:sz w:val="24"/>
          <w:szCs w:val="24"/>
          <w:highlight w:val="none"/>
        </w:rPr>
        <w:t>式</w:t>
      </w:r>
      <w:r>
        <w:rPr>
          <w:rFonts w:hint="eastAsia" w:ascii="宋体" w:hAnsi="宋体" w:cs="宋体"/>
          <w:spacing w:val="0"/>
          <w:sz w:val="24"/>
          <w:szCs w:val="24"/>
          <w:highlight w:val="none"/>
        </w:rPr>
        <w:t>-1,2-二氯乙烯、二氯甲烷、1,2-二氯丙烷、1,1,1,2-四氯乙烷、1,1,2,2-四氯乙烷、四氯乙烯、1,1,1-三氯乙烷、1,1,2-三氯乙烷、三氯乙烯、1,2,3-三氯丙烷、氯乙烯、苯、氯苯、1,2-二氯苯、1,4-二氯苯、乙苯、苯乙烯、甲苯、间二甲苯+对二甲苯、邻二甲苯、硝基苯、苯胺、2-氯苯酚、苯并[a]蒽、苯并[a]芘、苯并[b]荧蒽、苯并[k]荧蒽、䓛、二苯并[a,h]蒽、茚并[1,2,3-cd]芘、萘、土壤容重、孔隙度，共47项</w:t>
      </w:r>
      <w:r>
        <w:rPr>
          <w:rFonts w:hint="eastAsia" w:ascii="宋体" w:hAnsi="宋体" w:cs="宋体"/>
          <w:spacing w:val="0"/>
          <w:sz w:val="24"/>
          <w:szCs w:val="24"/>
          <w:highlight w:val="none"/>
          <w:lang w:eastAsia="zh-CN"/>
        </w:rPr>
        <w:t>。</w:t>
      </w:r>
    </w:p>
    <w:p>
      <w:pPr>
        <w:ind w:firstLine="480"/>
        <w:rPr>
          <w:bCs/>
          <w:color w:val="auto"/>
          <w:highlight w:val="none"/>
        </w:rPr>
      </w:pPr>
      <w:r>
        <w:rPr>
          <w:bCs/>
          <w:color w:val="auto"/>
          <w:highlight w:val="none"/>
        </w:rPr>
        <w:t>采样和分析方法：按颁布的标准方法进行采样分析。</w:t>
      </w:r>
    </w:p>
    <w:p>
      <w:pPr>
        <w:ind w:firstLine="480"/>
        <w:rPr>
          <w:rFonts w:hint="eastAsia" w:eastAsia="宋体"/>
          <w:bCs/>
          <w:color w:val="auto"/>
          <w:highlight w:val="none"/>
          <w:lang w:eastAsia="zh-CN"/>
        </w:rPr>
      </w:pPr>
      <w:r>
        <w:rPr>
          <w:bCs/>
          <w:color w:val="auto"/>
          <w:highlight w:val="none"/>
        </w:rPr>
        <w:t>监测</w:t>
      </w:r>
      <w:r>
        <w:rPr>
          <w:rFonts w:hint="eastAsia"/>
          <w:bCs/>
          <w:color w:val="auto"/>
          <w:highlight w:val="none"/>
        </w:rPr>
        <w:t>点位</w:t>
      </w:r>
      <w:r>
        <w:rPr>
          <w:bCs/>
          <w:color w:val="auto"/>
          <w:highlight w:val="none"/>
        </w:rPr>
        <w:t>：</w:t>
      </w:r>
      <w:r>
        <w:rPr>
          <w:rFonts w:hint="eastAsia"/>
          <w:bCs/>
          <w:color w:val="auto"/>
          <w:highlight w:val="none"/>
          <w:lang w:val="en-US" w:eastAsia="zh-CN"/>
        </w:rPr>
        <w:t>①占地范围内BT2；②占地范围外BT1（上风向）、BT3（下风向），共3个</w:t>
      </w:r>
      <w:r>
        <w:rPr>
          <w:rFonts w:hint="eastAsia"/>
          <w:bCs/>
          <w:color w:val="auto"/>
          <w:highlight w:val="none"/>
          <w:lang w:eastAsia="zh-CN"/>
        </w:rPr>
        <w:t>检测</w:t>
      </w:r>
      <w:r>
        <w:rPr>
          <w:rFonts w:hint="eastAsia"/>
          <w:bCs/>
          <w:color w:val="auto"/>
          <w:highlight w:val="none"/>
          <w:lang w:val="en-US" w:eastAsia="zh-CN"/>
        </w:rPr>
        <w:t>点位</w:t>
      </w:r>
      <w:r>
        <w:rPr>
          <w:bCs/>
          <w:color w:val="auto"/>
          <w:highlight w:val="none"/>
        </w:rPr>
        <w:t>。</w:t>
      </w:r>
      <w:r>
        <w:rPr>
          <w:rFonts w:hint="eastAsia"/>
          <w:bCs/>
          <w:color w:val="auto"/>
          <w:highlight w:val="none"/>
          <w:lang w:eastAsia="zh-CN"/>
        </w:rPr>
        <w:t>表层样</w:t>
      </w:r>
    </w:p>
    <w:p>
      <w:pPr>
        <w:autoSpaceDE w:val="0"/>
        <w:autoSpaceDN w:val="0"/>
        <w:adjustRightInd w:val="0"/>
        <w:ind w:firstLine="470" w:firstLineChars="196"/>
        <w:rPr>
          <w:rFonts w:hint="eastAsia"/>
          <w:bCs/>
          <w:color w:val="auto"/>
          <w:kern w:val="0"/>
          <w:highlight w:val="none"/>
        </w:rPr>
      </w:pPr>
      <w:r>
        <w:rPr>
          <w:bCs/>
          <w:color w:val="auto"/>
          <w:highlight w:val="none"/>
        </w:rPr>
        <w:t>监测频率：</w:t>
      </w:r>
      <w:r>
        <w:rPr>
          <w:rFonts w:hint="default"/>
          <w:bCs/>
          <w:color w:val="auto"/>
          <w:highlight w:val="none"/>
          <w:lang w:val="en-US" w:eastAsia="zh-CN"/>
        </w:rPr>
        <w:t>监测1天，每天监测1次</w:t>
      </w:r>
      <w:r>
        <w:rPr>
          <w:rFonts w:hint="eastAsia"/>
          <w:bCs/>
          <w:color w:val="auto"/>
          <w:kern w:val="0"/>
          <w:highlight w:val="none"/>
        </w:rPr>
        <w:t>；</w:t>
      </w:r>
    </w:p>
    <w:p>
      <w:pPr>
        <w:pStyle w:val="17"/>
        <w:keepNext w:val="0"/>
        <w:keepLines w:val="0"/>
        <w:pageBreakBefore w:val="0"/>
        <w:widowControl w:val="0"/>
        <w:kinsoku/>
        <w:wordWrap/>
        <w:overflowPunct/>
        <w:topLinePunct w:val="0"/>
        <w:autoSpaceDE/>
        <w:autoSpaceDN/>
        <w:bidi w:val="0"/>
        <w:adjustRightInd/>
        <w:snapToGrid/>
        <w:ind w:firstLine="482" w:firstLineChars="200"/>
        <w:textAlignment w:val="auto"/>
        <w:rPr>
          <w:rFonts w:ascii="Times New Roman" w:hAnsi="Times New Roman"/>
          <w:b/>
          <w:bCs/>
          <w:color w:val="auto"/>
          <w:highlight w:val="none"/>
        </w:rPr>
      </w:pPr>
      <w:r>
        <w:rPr>
          <w:rFonts w:hint="eastAsia" w:ascii="Times New Roman" w:hAnsi="Times New Roman"/>
          <w:b/>
          <w:bCs/>
          <w:color w:val="auto"/>
          <w:highlight w:val="none"/>
          <w:lang w:val="en-US" w:eastAsia="zh-CN"/>
        </w:rPr>
        <w:t>（2）评价标准</w:t>
      </w:r>
    </w:p>
    <w:p>
      <w:pPr>
        <w:ind w:firstLine="480"/>
        <w:rPr>
          <w:rFonts w:ascii="Times New Roman" w:hAnsi="Times New Roman" w:cs="Times New Roman"/>
          <w:bCs/>
          <w:color w:val="auto"/>
          <w:highlight w:val="none"/>
        </w:rPr>
      </w:pPr>
      <w:r>
        <w:rPr>
          <w:rFonts w:hint="default" w:ascii="Times New Roman" w:hAnsi="Times New Roman" w:cs="Times New Roman"/>
          <w:bCs/>
          <w:color w:val="auto"/>
          <w:highlight w:val="none"/>
          <w:lang w:val="en-US" w:eastAsia="zh-CN"/>
        </w:rPr>
        <w:t>《土壤环境质量标准-建设用地土壤污染风险管控标准》（GB36600-2018）和《土壤环境质量-农用地土壤污染风险管控标准》（GB15618-218）。</w:t>
      </w:r>
    </w:p>
    <w:p>
      <w:pPr>
        <w:ind w:firstLine="480"/>
        <w:rPr>
          <w:rFonts w:hint="eastAsia" w:ascii="Times New Roman" w:hAnsi="Times New Roman" w:eastAsia="宋体" w:cs="Times New Roman"/>
          <w:b/>
          <w:bCs w:val="0"/>
          <w:color w:val="auto"/>
          <w:highlight w:val="none"/>
          <w:lang w:eastAsia="zh-CN"/>
        </w:rPr>
      </w:pPr>
      <w:r>
        <w:rPr>
          <w:rFonts w:hint="eastAsia" w:ascii="Times New Roman" w:hAnsi="Times New Roman" w:cs="Times New Roman"/>
          <w:b/>
          <w:bCs w:val="0"/>
          <w:color w:val="auto"/>
          <w:highlight w:val="none"/>
          <w:lang w:eastAsia="zh-CN"/>
        </w:rPr>
        <w:t>（</w:t>
      </w:r>
      <w:r>
        <w:rPr>
          <w:rFonts w:hint="eastAsia" w:ascii="Times New Roman" w:hAnsi="Times New Roman" w:cs="Times New Roman"/>
          <w:b/>
          <w:bCs w:val="0"/>
          <w:color w:val="auto"/>
          <w:highlight w:val="none"/>
          <w:lang w:val="en-US" w:eastAsia="zh-CN"/>
        </w:rPr>
        <w:t>3</w:t>
      </w:r>
      <w:r>
        <w:rPr>
          <w:rFonts w:hint="eastAsia" w:ascii="Times New Roman" w:hAnsi="Times New Roman" w:cs="Times New Roman"/>
          <w:b/>
          <w:bCs w:val="0"/>
          <w:color w:val="auto"/>
          <w:highlight w:val="none"/>
          <w:lang w:eastAsia="zh-CN"/>
        </w:rPr>
        <w:t>）监测结果</w:t>
      </w:r>
    </w:p>
    <w:p>
      <w:pPr>
        <w:pStyle w:val="17"/>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olor w:val="auto"/>
          <w:highlight w:val="none"/>
          <w:lang w:val="en-US" w:eastAsia="zh-CN"/>
        </w:rPr>
      </w:pPr>
      <w:r>
        <w:rPr>
          <w:rFonts w:hint="eastAsia" w:ascii="Times New Roman" w:hAnsi="Times New Roman"/>
          <w:color w:val="auto"/>
          <w:highlight w:val="none"/>
          <w:lang w:eastAsia="zh-CN"/>
        </w:rPr>
        <w:t>监测结果见表</w:t>
      </w:r>
      <w:r>
        <w:rPr>
          <w:rFonts w:hint="eastAsia" w:ascii="Times New Roman" w:hAnsi="Times New Roman"/>
          <w:color w:val="auto"/>
          <w:highlight w:val="none"/>
          <w:lang w:val="en-US" w:eastAsia="zh-CN"/>
        </w:rPr>
        <w:t>5.6-1、5.6-2所示.</w:t>
      </w:r>
    </w:p>
    <w:p>
      <w:pPr>
        <w:pStyle w:val="17"/>
        <w:ind w:firstLine="0" w:firstLineChars="0"/>
        <w:rPr>
          <w:rFonts w:ascii="Times New Roman" w:hAnsi="Times New Roman"/>
          <w:color w:val="auto"/>
          <w:highlight w:val="none"/>
        </w:rPr>
        <w:sectPr>
          <w:pgSz w:w="11911" w:h="16838"/>
          <w:pgMar w:top="1417" w:right="1417" w:bottom="1417" w:left="1417" w:header="879" w:footer="952" w:gutter="0"/>
          <w:pgBorders>
            <w:top w:val="none" w:sz="0" w:space="0"/>
            <w:left w:val="none" w:sz="0" w:space="0"/>
            <w:bottom w:val="none" w:sz="0" w:space="0"/>
            <w:right w:val="none" w:sz="0" w:space="0"/>
          </w:pgBorders>
          <w:pgNumType w:fmt="decimal"/>
          <w:cols w:space="720" w:num="1"/>
          <w:docGrid w:linePitch="312" w:charSpace="0"/>
        </w:sectPr>
      </w:pPr>
    </w:p>
    <w:p>
      <w:pPr>
        <w:pageBreakBefore w:val="0"/>
        <w:kinsoku/>
        <w:wordWrap/>
        <w:overflowPunct/>
        <w:bidi w:val="0"/>
        <w:adjustRightInd w:val="0"/>
        <w:snapToGrid w:val="0"/>
        <w:spacing w:line="360" w:lineRule="auto"/>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表</w:t>
      </w:r>
      <w:r>
        <w:rPr>
          <w:rFonts w:hint="eastAsia" w:cs="Times New Roman"/>
          <w:b/>
          <w:bCs/>
          <w:color w:val="auto"/>
          <w:sz w:val="21"/>
          <w:szCs w:val="21"/>
          <w:highlight w:val="none"/>
          <w:lang w:val="en-US" w:eastAsia="zh-CN"/>
        </w:rPr>
        <w:t>5.6-1</w:t>
      </w:r>
      <w:r>
        <w:rPr>
          <w:rFonts w:hint="default" w:ascii="Times New Roman" w:hAnsi="Times New Roman" w:cs="Times New Roman"/>
          <w:b/>
          <w:bCs/>
          <w:color w:val="auto"/>
          <w:sz w:val="21"/>
          <w:szCs w:val="21"/>
          <w:highlight w:val="none"/>
          <w:lang w:val="en-US" w:eastAsia="zh-CN"/>
        </w:rPr>
        <w:t xml:space="preserve">  </w:t>
      </w:r>
      <w:r>
        <w:rPr>
          <w:rFonts w:hint="eastAsia" w:ascii="Times New Roman" w:hAnsi="Times New Roman" w:cs="Times New Roman"/>
          <w:b/>
          <w:bCs/>
          <w:color w:val="auto"/>
          <w:sz w:val="21"/>
          <w:szCs w:val="21"/>
          <w:highlight w:val="none"/>
          <w:lang w:val="en-US" w:eastAsia="zh-CN"/>
        </w:rPr>
        <w:t>占地范围外</w:t>
      </w:r>
      <w:r>
        <w:rPr>
          <w:rFonts w:hint="default" w:ascii="Times New Roman" w:hAnsi="Times New Roman" w:cs="Times New Roman"/>
          <w:b/>
          <w:bCs/>
          <w:color w:val="auto"/>
          <w:sz w:val="21"/>
          <w:szCs w:val="21"/>
          <w:highlight w:val="none"/>
          <w:lang w:eastAsia="zh-CN"/>
        </w:rPr>
        <w:t>土壤</w:t>
      </w:r>
      <w:r>
        <w:rPr>
          <w:rFonts w:hint="eastAsia" w:ascii="Times New Roman" w:hAnsi="Times New Roman" w:cs="Times New Roman"/>
          <w:b/>
          <w:bCs/>
          <w:color w:val="auto"/>
          <w:sz w:val="21"/>
          <w:szCs w:val="21"/>
          <w:highlight w:val="none"/>
          <w:lang w:val="en-US" w:eastAsia="zh-CN"/>
        </w:rPr>
        <w:t>表层样</w:t>
      </w:r>
      <w:r>
        <w:rPr>
          <w:rFonts w:hint="default" w:ascii="Times New Roman" w:hAnsi="Times New Roman" w:cs="Times New Roman"/>
          <w:b/>
          <w:bCs/>
          <w:color w:val="auto"/>
          <w:sz w:val="21"/>
          <w:szCs w:val="21"/>
          <w:highlight w:val="none"/>
          <w:lang w:eastAsia="zh-CN"/>
        </w:rPr>
        <w:t xml:space="preserve">监测结果 </w:t>
      </w:r>
    </w:p>
    <w:tbl>
      <w:tblPr>
        <w:tblStyle w:val="29"/>
        <w:tblW w:w="14367"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2533"/>
        <w:gridCol w:w="1180"/>
        <w:gridCol w:w="1505"/>
        <w:gridCol w:w="1059"/>
        <w:gridCol w:w="974"/>
        <w:gridCol w:w="1177"/>
        <w:gridCol w:w="1122"/>
        <w:gridCol w:w="1115"/>
        <w:gridCol w:w="1177"/>
        <w:gridCol w:w="1385"/>
        <w:gridCol w:w="1140"/>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533" w:type="dxa"/>
            <w:vMerge w:val="restart"/>
            <w:shd w:val="clear" w:color="auto" w:fill="auto"/>
            <w:noWrap w:val="0"/>
            <w:vAlign w:val="center"/>
          </w:tcPr>
          <w:p>
            <w:pPr>
              <w:spacing w:line="360" w:lineRule="auto"/>
              <w:ind w:firstLine="0" w:firstLineChars="0"/>
              <w:jc w:val="center"/>
              <w:rPr>
                <w:rFonts w:hint="default" w:ascii="Times New Roman" w:hAnsi="Times New Roman" w:cs="Times New Roman"/>
                <w:b/>
                <w:bCs/>
                <w:color w:val="auto"/>
                <w:sz w:val="21"/>
                <w:szCs w:val="21"/>
                <w:highlight w:val="none"/>
                <w:lang w:val="zh-CN"/>
              </w:rPr>
            </w:pPr>
            <w:r>
              <w:rPr>
                <w:rFonts w:hint="default" w:ascii="Times New Roman" w:hAnsi="Times New Roman" w:cs="Times New Roman"/>
                <w:b/>
                <w:bCs/>
                <w:color w:val="auto"/>
                <w:sz w:val="21"/>
                <w:szCs w:val="21"/>
                <w:highlight w:val="none"/>
                <w:lang w:val="zh-CN"/>
              </w:rPr>
              <w:t>采样地点</w:t>
            </w:r>
          </w:p>
        </w:tc>
        <w:tc>
          <w:tcPr>
            <w:tcW w:w="1180" w:type="dxa"/>
            <w:vMerge w:val="restart"/>
            <w:shd w:val="clear" w:color="auto" w:fill="auto"/>
            <w:noWrap w:val="0"/>
            <w:vAlign w:val="center"/>
          </w:tcPr>
          <w:p>
            <w:pPr>
              <w:spacing w:line="360" w:lineRule="auto"/>
              <w:ind w:firstLine="0" w:firstLineChars="0"/>
              <w:jc w:val="center"/>
              <w:rPr>
                <w:rFonts w:hint="default" w:ascii="Times New Roman" w:hAnsi="Times New Roman" w:cs="Times New Roman"/>
                <w:b/>
                <w:bCs/>
                <w:color w:val="auto"/>
                <w:sz w:val="21"/>
                <w:szCs w:val="21"/>
                <w:highlight w:val="none"/>
                <w:lang w:val="zh-CN"/>
              </w:rPr>
            </w:pPr>
            <w:r>
              <w:rPr>
                <w:rFonts w:hint="default" w:ascii="Times New Roman" w:hAnsi="Times New Roman" w:cs="Times New Roman"/>
                <w:b/>
                <w:bCs/>
                <w:color w:val="auto"/>
                <w:sz w:val="21"/>
                <w:szCs w:val="21"/>
                <w:highlight w:val="none"/>
                <w:lang w:val="zh-CN"/>
              </w:rPr>
              <w:t>监测日期</w:t>
            </w:r>
          </w:p>
        </w:tc>
        <w:tc>
          <w:tcPr>
            <w:tcW w:w="10654" w:type="dxa"/>
            <w:gridSpan w:val="9"/>
            <w:tcBorders>
              <w:right w:val="single" w:color="000000" w:sz="8" w:space="0"/>
            </w:tcBorders>
            <w:shd w:val="clear" w:color="auto" w:fill="auto"/>
            <w:noWrap w:val="0"/>
            <w:vAlign w:val="center"/>
          </w:tcPr>
          <w:p>
            <w:pPr>
              <w:spacing w:line="360" w:lineRule="auto"/>
              <w:ind w:firstLine="0" w:firstLineChars="0"/>
              <w:jc w:val="center"/>
              <w:rPr>
                <w:rFonts w:hint="default" w:ascii="Times New Roman" w:hAnsi="Times New Roman" w:cs="Times New Roman"/>
                <w:b/>
                <w:bCs/>
                <w:color w:val="auto"/>
                <w:sz w:val="21"/>
                <w:szCs w:val="21"/>
                <w:highlight w:val="none"/>
                <w:lang w:val="zh-CN" w:eastAsia="zh-CN"/>
              </w:rPr>
            </w:pPr>
            <w:r>
              <w:rPr>
                <w:rFonts w:hint="default" w:ascii="Times New Roman" w:hAnsi="Times New Roman" w:cs="Times New Roman"/>
                <w:b/>
                <w:bCs/>
                <w:color w:val="auto"/>
                <w:sz w:val="21"/>
                <w:szCs w:val="21"/>
                <w:highlight w:val="none"/>
                <w:lang w:val="zh-CN" w:eastAsia="zh-CN"/>
              </w:rPr>
              <w:t>监测项目(注:pH无量纲，</w:t>
            </w:r>
            <w:r>
              <w:rPr>
                <w:rFonts w:hint="default" w:ascii="Times New Roman" w:hAnsi="Times New Roman" w:cs="Times New Roman"/>
                <w:b/>
                <w:bCs/>
                <w:color w:val="auto"/>
                <w:sz w:val="21"/>
                <w:szCs w:val="21"/>
                <w:highlight w:val="none"/>
                <w:lang w:eastAsia="zh-CN"/>
              </w:rPr>
              <w:t>其余</w:t>
            </w:r>
            <w:r>
              <w:rPr>
                <w:rFonts w:hint="default" w:ascii="Times New Roman" w:hAnsi="Times New Roman" w:cs="Times New Roman"/>
                <w:b/>
                <w:bCs/>
                <w:color w:val="auto"/>
                <w:sz w:val="21"/>
                <w:szCs w:val="21"/>
                <w:highlight w:val="none"/>
                <w:lang w:val="zh-CN" w:eastAsia="zh-CN"/>
              </w:rPr>
              <w:t>单位</w:t>
            </w:r>
            <w:r>
              <w:rPr>
                <w:rFonts w:hint="default" w:ascii="Times New Roman" w:hAnsi="Times New Roman" w:cs="Times New Roman"/>
                <w:b/>
                <w:bCs/>
                <w:color w:val="auto"/>
                <w:sz w:val="21"/>
                <w:szCs w:val="21"/>
                <w:highlight w:val="none"/>
                <w:lang w:eastAsia="zh-CN"/>
              </w:rPr>
              <w:t>均为</w:t>
            </w:r>
            <w:r>
              <w:rPr>
                <w:rFonts w:hint="default" w:ascii="Times New Roman" w:hAnsi="Times New Roman" w:cs="Times New Roman"/>
                <w:b/>
                <w:bCs/>
                <w:color w:val="auto"/>
                <w:sz w:val="21"/>
                <w:szCs w:val="21"/>
                <w:highlight w:val="none"/>
                <w:lang w:val="zh-CN" w:eastAsia="zh-CN"/>
              </w:rPr>
              <w:t>：mg/kg</w:t>
            </w:r>
            <w:r>
              <w:rPr>
                <w:rFonts w:hint="default" w:ascii="Times New Roman" w:hAnsi="Times New Roman" w:cs="Times New Roman"/>
                <w:b/>
                <w:bCs/>
                <w:color w:val="auto"/>
                <w:sz w:val="21"/>
                <w:szCs w:val="21"/>
                <w:highlight w:val="none"/>
                <w:lang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33" w:type="dxa"/>
            <w:vMerge w:val="continue"/>
            <w:shd w:val="clear" w:color="auto" w:fill="auto"/>
            <w:noWrap w:val="0"/>
            <w:vAlign w:val="center"/>
          </w:tcPr>
          <w:p>
            <w:pPr>
              <w:spacing w:line="360" w:lineRule="auto"/>
              <w:ind w:firstLine="0" w:firstLineChars="0"/>
              <w:jc w:val="center"/>
              <w:rPr>
                <w:rFonts w:hint="default" w:ascii="Times New Roman" w:hAnsi="Times New Roman" w:cs="Times New Roman"/>
                <w:b/>
                <w:bCs/>
                <w:color w:val="auto"/>
                <w:sz w:val="21"/>
                <w:szCs w:val="21"/>
                <w:highlight w:val="none"/>
                <w:lang w:val="zh-CN" w:eastAsia="zh-CN"/>
              </w:rPr>
            </w:pPr>
          </w:p>
        </w:tc>
        <w:tc>
          <w:tcPr>
            <w:tcW w:w="1180" w:type="dxa"/>
            <w:vMerge w:val="continue"/>
            <w:shd w:val="clear" w:color="auto" w:fill="auto"/>
            <w:noWrap w:val="0"/>
            <w:vAlign w:val="center"/>
          </w:tcPr>
          <w:p>
            <w:pPr>
              <w:spacing w:line="360" w:lineRule="auto"/>
              <w:ind w:firstLine="0" w:firstLineChars="0"/>
              <w:jc w:val="center"/>
              <w:rPr>
                <w:rFonts w:hint="default" w:ascii="Times New Roman" w:hAnsi="Times New Roman" w:cs="Times New Roman"/>
                <w:b/>
                <w:bCs/>
                <w:color w:val="auto"/>
                <w:sz w:val="21"/>
                <w:szCs w:val="21"/>
                <w:highlight w:val="none"/>
                <w:lang w:val="zh-CN" w:eastAsia="zh-CN"/>
              </w:rPr>
            </w:pPr>
          </w:p>
        </w:tc>
        <w:tc>
          <w:tcPr>
            <w:tcW w:w="1505" w:type="dxa"/>
            <w:shd w:val="clear" w:color="auto" w:fill="auto"/>
            <w:noWrap w:val="0"/>
            <w:vAlign w:val="center"/>
          </w:tcPr>
          <w:p>
            <w:pPr>
              <w:spacing w:line="360" w:lineRule="auto"/>
              <w:ind w:firstLine="0" w:firstLineChars="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pH值</w:t>
            </w:r>
          </w:p>
          <w:p>
            <w:pPr>
              <w:spacing w:line="360" w:lineRule="auto"/>
              <w:ind w:firstLine="0" w:firstLineChars="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（无量纲）</w:t>
            </w:r>
          </w:p>
        </w:tc>
        <w:tc>
          <w:tcPr>
            <w:tcW w:w="1059" w:type="dxa"/>
            <w:shd w:val="clear" w:color="auto" w:fill="auto"/>
            <w:noWrap w:val="0"/>
            <w:vAlign w:val="center"/>
          </w:tcPr>
          <w:p>
            <w:pPr>
              <w:spacing w:line="360" w:lineRule="auto"/>
              <w:ind w:firstLine="0" w:firstLineChars="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砷</w:t>
            </w:r>
          </w:p>
        </w:tc>
        <w:tc>
          <w:tcPr>
            <w:tcW w:w="974" w:type="dxa"/>
            <w:shd w:val="clear" w:color="auto" w:fill="auto"/>
            <w:noWrap w:val="0"/>
            <w:vAlign w:val="center"/>
          </w:tcPr>
          <w:p>
            <w:pPr>
              <w:spacing w:line="360" w:lineRule="auto"/>
              <w:ind w:firstLine="0" w:firstLineChars="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镉</w:t>
            </w:r>
          </w:p>
        </w:tc>
        <w:tc>
          <w:tcPr>
            <w:tcW w:w="1177" w:type="dxa"/>
            <w:shd w:val="clear" w:color="auto" w:fill="auto"/>
            <w:noWrap w:val="0"/>
            <w:vAlign w:val="center"/>
          </w:tcPr>
          <w:p>
            <w:pPr>
              <w:spacing w:line="360" w:lineRule="auto"/>
              <w:ind w:firstLine="0" w:firstLineChars="0"/>
              <w:jc w:val="center"/>
              <w:rPr>
                <w:rFonts w:hint="default" w:ascii="Times New Roman" w:hAnsi="Times New Roman"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六价</w:t>
            </w:r>
            <w:r>
              <w:rPr>
                <w:rFonts w:hint="default" w:ascii="Times New Roman" w:hAnsi="Times New Roman" w:cs="Times New Roman"/>
                <w:b/>
                <w:bCs/>
                <w:color w:val="auto"/>
                <w:sz w:val="21"/>
                <w:szCs w:val="21"/>
                <w:highlight w:val="none"/>
                <w:lang w:val="en-US" w:eastAsia="zh-CN"/>
              </w:rPr>
              <w:t>铬</w:t>
            </w:r>
          </w:p>
        </w:tc>
        <w:tc>
          <w:tcPr>
            <w:tcW w:w="1122" w:type="dxa"/>
            <w:shd w:val="clear" w:color="auto" w:fill="auto"/>
            <w:noWrap w:val="0"/>
            <w:vAlign w:val="center"/>
          </w:tcPr>
          <w:p>
            <w:pPr>
              <w:spacing w:line="360" w:lineRule="auto"/>
              <w:ind w:firstLine="0" w:firstLineChars="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铜</w:t>
            </w:r>
          </w:p>
        </w:tc>
        <w:tc>
          <w:tcPr>
            <w:tcW w:w="1115" w:type="dxa"/>
            <w:shd w:val="clear" w:color="auto" w:fill="auto"/>
            <w:noWrap w:val="0"/>
            <w:vAlign w:val="center"/>
          </w:tcPr>
          <w:p>
            <w:pPr>
              <w:spacing w:line="360" w:lineRule="auto"/>
              <w:ind w:firstLine="0" w:firstLineChars="0"/>
              <w:jc w:val="center"/>
              <w:rPr>
                <w:rFonts w:hint="default" w:ascii="Times New Roman" w:hAnsi="Times New Roman" w:cs="Times New Roman"/>
                <w:b/>
                <w:bCs/>
                <w:color w:val="auto"/>
                <w:sz w:val="21"/>
                <w:szCs w:val="21"/>
                <w:highlight w:val="none"/>
                <w:lang w:val="zh-CN"/>
              </w:rPr>
            </w:pPr>
            <w:r>
              <w:rPr>
                <w:rFonts w:hint="default" w:ascii="Times New Roman" w:hAnsi="Times New Roman" w:cs="Times New Roman"/>
                <w:b/>
                <w:bCs/>
                <w:color w:val="auto"/>
                <w:sz w:val="21"/>
                <w:szCs w:val="21"/>
                <w:highlight w:val="none"/>
                <w:lang w:val="en-US" w:eastAsia="zh-CN"/>
              </w:rPr>
              <w:t>铅</w:t>
            </w:r>
          </w:p>
        </w:tc>
        <w:tc>
          <w:tcPr>
            <w:tcW w:w="1177" w:type="dxa"/>
            <w:shd w:val="clear" w:color="auto" w:fill="auto"/>
            <w:noWrap w:val="0"/>
            <w:vAlign w:val="center"/>
          </w:tcPr>
          <w:p>
            <w:pPr>
              <w:spacing w:line="360" w:lineRule="auto"/>
              <w:ind w:firstLine="0" w:firstLineChars="0"/>
              <w:jc w:val="center"/>
              <w:rPr>
                <w:rFonts w:hint="default" w:ascii="Times New Roman" w:hAnsi="Times New Roman" w:cs="Times New Roman"/>
                <w:b/>
                <w:bCs/>
                <w:color w:val="auto"/>
                <w:sz w:val="21"/>
                <w:szCs w:val="21"/>
                <w:highlight w:val="none"/>
                <w:lang w:val="zh-CN"/>
              </w:rPr>
            </w:pPr>
            <w:r>
              <w:rPr>
                <w:rFonts w:hint="default" w:ascii="Times New Roman" w:hAnsi="Times New Roman" w:cs="Times New Roman"/>
                <w:b/>
                <w:bCs/>
                <w:color w:val="auto"/>
                <w:sz w:val="21"/>
                <w:szCs w:val="21"/>
                <w:highlight w:val="none"/>
                <w:lang w:val="en-US" w:eastAsia="zh-CN"/>
              </w:rPr>
              <w:t>汞</w:t>
            </w:r>
          </w:p>
        </w:tc>
        <w:tc>
          <w:tcPr>
            <w:tcW w:w="2525" w:type="dxa"/>
            <w:gridSpan w:val="2"/>
            <w:tcBorders>
              <w:right w:val="single" w:color="000000" w:sz="8" w:space="0"/>
            </w:tcBorders>
            <w:shd w:val="clear" w:color="auto" w:fill="auto"/>
            <w:noWrap w:val="0"/>
            <w:vAlign w:val="center"/>
          </w:tcPr>
          <w:p>
            <w:pPr>
              <w:spacing w:line="360" w:lineRule="auto"/>
              <w:ind w:firstLine="0" w:firstLineChars="0"/>
              <w:jc w:val="center"/>
              <w:rPr>
                <w:rFonts w:hint="default" w:ascii="Times New Roman" w:hAnsi="Times New Roman" w:cs="Times New Roman"/>
                <w:b/>
                <w:bCs/>
                <w:color w:val="auto"/>
                <w:sz w:val="21"/>
                <w:szCs w:val="21"/>
                <w:highlight w:val="none"/>
                <w:lang w:val="zh-CN"/>
              </w:rPr>
            </w:pPr>
            <w:r>
              <w:rPr>
                <w:rFonts w:hint="default" w:ascii="Times New Roman" w:hAnsi="Times New Roman" w:cs="Times New Roman"/>
                <w:b/>
                <w:bCs/>
                <w:color w:val="auto"/>
                <w:sz w:val="21"/>
                <w:szCs w:val="21"/>
                <w:highlight w:val="none"/>
                <w:lang w:val="en-US" w:eastAsia="zh-CN"/>
              </w:rPr>
              <w:t>镍</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2533" w:type="dxa"/>
            <w:shd w:val="pct10" w:color="auto" w:fill="auto"/>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占地范围外BT1（上风向）</w:t>
            </w:r>
          </w:p>
        </w:tc>
        <w:tc>
          <w:tcPr>
            <w:tcW w:w="1180" w:type="dxa"/>
            <w:shd w:val="pct10" w:color="auto" w:fill="auto"/>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w:t>
            </w:r>
            <w:r>
              <w:rPr>
                <w:rFonts w:hint="eastAsia" w:cs="Times New Roman"/>
                <w:color w:val="auto"/>
                <w:sz w:val="21"/>
                <w:szCs w:val="21"/>
                <w:highlight w:val="none"/>
                <w:lang w:val="en-US" w:eastAsia="zh-CN"/>
              </w:rPr>
              <w:t>20/2/18</w:t>
            </w:r>
          </w:p>
        </w:tc>
        <w:tc>
          <w:tcPr>
            <w:tcW w:w="1505"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6.18</w:t>
            </w:r>
          </w:p>
        </w:tc>
        <w:tc>
          <w:tcPr>
            <w:tcW w:w="1059"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25.6</w:t>
            </w:r>
          </w:p>
        </w:tc>
        <w:tc>
          <w:tcPr>
            <w:tcW w:w="974"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0.24</w:t>
            </w:r>
          </w:p>
        </w:tc>
        <w:tc>
          <w:tcPr>
            <w:tcW w:w="1177"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未检出</w:t>
            </w:r>
          </w:p>
        </w:tc>
        <w:tc>
          <w:tcPr>
            <w:tcW w:w="1122"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47</w:t>
            </w:r>
          </w:p>
        </w:tc>
        <w:tc>
          <w:tcPr>
            <w:tcW w:w="1115"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20.9</w:t>
            </w:r>
          </w:p>
        </w:tc>
        <w:tc>
          <w:tcPr>
            <w:tcW w:w="1177"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0.124</w:t>
            </w:r>
          </w:p>
        </w:tc>
        <w:tc>
          <w:tcPr>
            <w:tcW w:w="2525" w:type="dxa"/>
            <w:gridSpan w:val="2"/>
            <w:tcBorders>
              <w:right w:val="single" w:color="000000" w:sz="8" w:space="0"/>
            </w:tcBorders>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28</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3" w:type="dxa"/>
            <w:gridSpan w:val="2"/>
            <w:shd w:val="pct10" w:color="auto" w:fill="auto"/>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标准</w:t>
            </w:r>
          </w:p>
        </w:tc>
        <w:tc>
          <w:tcPr>
            <w:tcW w:w="1505"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p>
        </w:tc>
        <w:tc>
          <w:tcPr>
            <w:tcW w:w="1059"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40</w:t>
            </w:r>
          </w:p>
        </w:tc>
        <w:tc>
          <w:tcPr>
            <w:tcW w:w="974"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0.3</w:t>
            </w:r>
          </w:p>
        </w:tc>
        <w:tc>
          <w:tcPr>
            <w:tcW w:w="1177"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150</w:t>
            </w:r>
          </w:p>
        </w:tc>
        <w:tc>
          <w:tcPr>
            <w:tcW w:w="1122"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1115"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90</w:t>
            </w:r>
          </w:p>
        </w:tc>
        <w:tc>
          <w:tcPr>
            <w:tcW w:w="1177"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1.8</w:t>
            </w:r>
          </w:p>
        </w:tc>
        <w:tc>
          <w:tcPr>
            <w:tcW w:w="2525" w:type="dxa"/>
            <w:gridSpan w:val="2"/>
            <w:tcBorders>
              <w:right w:val="single" w:color="000000" w:sz="8" w:space="0"/>
            </w:tcBorders>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70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3713" w:type="dxa"/>
            <w:gridSpan w:val="2"/>
            <w:shd w:val="pct10" w:color="auto" w:fill="auto"/>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标准指数</w:t>
            </w:r>
          </w:p>
        </w:tc>
        <w:tc>
          <w:tcPr>
            <w:tcW w:w="1505"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p>
        </w:tc>
        <w:tc>
          <w:tcPr>
            <w:tcW w:w="1059"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0.61</w:t>
            </w:r>
          </w:p>
        </w:tc>
        <w:tc>
          <w:tcPr>
            <w:tcW w:w="974"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0.93</w:t>
            </w:r>
          </w:p>
        </w:tc>
        <w:tc>
          <w:tcPr>
            <w:tcW w:w="1177"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w:t>
            </w:r>
          </w:p>
        </w:tc>
        <w:tc>
          <w:tcPr>
            <w:tcW w:w="1122"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0.51</w:t>
            </w:r>
          </w:p>
        </w:tc>
        <w:tc>
          <w:tcPr>
            <w:tcW w:w="1115"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0.78</w:t>
            </w:r>
          </w:p>
        </w:tc>
        <w:tc>
          <w:tcPr>
            <w:tcW w:w="1177"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0.32</w:t>
            </w:r>
          </w:p>
        </w:tc>
        <w:tc>
          <w:tcPr>
            <w:tcW w:w="2525" w:type="dxa"/>
            <w:gridSpan w:val="2"/>
            <w:tcBorders>
              <w:right w:val="single" w:color="000000" w:sz="8" w:space="0"/>
            </w:tcBorders>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0.53</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3713" w:type="dxa"/>
            <w:gridSpan w:val="2"/>
            <w:shd w:val="pct10" w:color="auto" w:fill="auto"/>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超标倍数</w:t>
            </w:r>
          </w:p>
        </w:tc>
        <w:tc>
          <w:tcPr>
            <w:tcW w:w="1505"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p>
        </w:tc>
        <w:tc>
          <w:tcPr>
            <w:tcW w:w="1059"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w:t>
            </w:r>
          </w:p>
        </w:tc>
        <w:tc>
          <w:tcPr>
            <w:tcW w:w="974"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w:t>
            </w:r>
          </w:p>
        </w:tc>
        <w:tc>
          <w:tcPr>
            <w:tcW w:w="1177"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w:t>
            </w:r>
          </w:p>
        </w:tc>
        <w:tc>
          <w:tcPr>
            <w:tcW w:w="1122"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w:t>
            </w:r>
          </w:p>
        </w:tc>
        <w:tc>
          <w:tcPr>
            <w:tcW w:w="1115"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w:t>
            </w:r>
          </w:p>
        </w:tc>
        <w:tc>
          <w:tcPr>
            <w:tcW w:w="1177"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p>
        </w:tc>
        <w:tc>
          <w:tcPr>
            <w:tcW w:w="2525" w:type="dxa"/>
            <w:gridSpan w:val="2"/>
            <w:tcBorders>
              <w:right w:val="single" w:color="000000" w:sz="8" w:space="0"/>
            </w:tcBorders>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3713" w:type="dxa"/>
            <w:gridSpan w:val="2"/>
            <w:shd w:val="pct10" w:color="auto" w:fill="auto"/>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达标情况</w:t>
            </w:r>
          </w:p>
        </w:tc>
        <w:tc>
          <w:tcPr>
            <w:tcW w:w="1505"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p>
        </w:tc>
        <w:tc>
          <w:tcPr>
            <w:tcW w:w="1059"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达标</w:t>
            </w:r>
          </w:p>
        </w:tc>
        <w:tc>
          <w:tcPr>
            <w:tcW w:w="974"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达标</w:t>
            </w:r>
          </w:p>
        </w:tc>
        <w:tc>
          <w:tcPr>
            <w:tcW w:w="1177"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达标</w:t>
            </w:r>
          </w:p>
        </w:tc>
        <w:tc>
          <w:tcPr>
            <w:tcW w:w="1122"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达标</w:t>
            </w:r>
          </w:p>
        </w:tc>
        <w:tc>
          <w:tcPr>
            <w:tcW w:w="1115"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达标</w:t>
            </w:r>
          </w:p>
        </w:tc>
        <w:tc>
          <w:tcPr>
            <w:tcW w:w="1177"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达标</w:t>
            </w:r>
          </w:p>
        </w:tc>
        <w:tc>
          <w:tcPr>
            <w:tcW w:w="2525" w:type="dxa"/>
            <w:gridSpan w:val="2"/>
            <w:tcBorders>
              <w:right w:val="single" w:color="000000" w:sz="8" w:space="0"/>
            </w:tcBorders>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eastAsia="zh-CN"/>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2533" w:type="dxa"/>
            <w:vMerge w:val="restart"/>
            <w:shd w:val="pct10" w:color="auto" w:fill="auto"/>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采样地点</w:t>
            </w:r>
          </w:p>
        </w:tc>
        <w:tc>
          <w:tcPr>
            <w:tcW w:w="1180" w:type="dxa"/>
            <w:vMerge w:val="restart"/>
            <w:shd w:val="pct10" w:color="auto" w:fill="auto"/>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监测日期</w:t>
            </w:r>
          </w:p>
        </w:tc>
        <w:tc>
          <w:tcPr>
            <w:tcW w:w="10654" w:type="dxa"/>
            <w:gridSpan w:val="9"/>
            <w:tcBorders>
              <w:right w:val="single" w:color="000000" w:sz="8" w:space="0"/>
            </w:tcBorders>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eastAsia="zh-CN"/>
              </w:rPr>
              <w:t>监测项目(注:pH无量纲，</w:t>
            </w:r>
            <w:r>
              <w:rPr>
                <w:rFonts w:hint="default" w:ascii="Times New Roman" w:hAnsi="Times New Roman" w:cs="Times New Roman"/>
                <w:color w:val="auto"/>
                <w:sz w:val="21"/>
                <w:szCs w:val="21"/>
                <w:highlight w:val="none"/>
                <w:lang w:eastAsia="zh-CN"/>
              </w:rPr>
              <w:t>其余</w:t>
            </w:r>
            <w:r>
              <w:rPr>
                <w:rFonts w:hint="default" w:ascii="Times New Roman" w:hAnsi="Times New Roman" w:cs="Times New Roman"/>
                <w:color w:val="auto"/>
                <w:sz w:val="21"/>
                <w:szCs w:val="21"/>
                <w:highlight w:val="none"/>
                <w:lang w:val="zh-CN" w:eastAsia="zh-CN"/>
              </w:rPr>
              <w:t>单位</w:t>
            </w:r>
            <w:r>
              <w:rPr>
                <w:rFonts w:hint="default" w:ascii="Times New Roman" w:hAnsi="Times New Roman" w:cs="Times New Roman"/>
                <w:color w:val="auto"/>
                <w:sz w:val="21"/>
                <w:szCs w:val="21"/>
                <w:highlight w:val="none"/>
                <w:lang w:eastAsia="zh-CN"/>
              </w:rPr>
              <w:t>均为</w:t>
            </w:r>
            <w:r>
              <w:rPr>
                <w:rFonts w:hint="default" w:ascii="Times New Roman" w:hAnsi="Times New Roman" w:cs="Times New Roman"/>
                <w:color w:val="auto"/>
                <w:sz w:val="21"/>
                <w:szCs w:val="21"/>
                <w:highlight w:val="none"/>
                <w:lang w:val="zh-CN" w:eastAsia="zh-CN"/>
              </w:rPr>
              <w:t>：mg/kg</w:t>
            </w:r>
            <w:r>
              <w:rPr>
                <w:rFonts w:hint="default" w:ascii="Times New Roman" w:hAnsi="Times New Roman" w:cs="Times New Roman"/>
                <w:color w:val="auto"/>
                <w:sz w:val="21"/>
                <w:szCs w:val="21"/>
                <w:highlight w:val="none"/>
                <w:lang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2533" w:type="dxa"/>
            <w:vMerge w:val="continue"/>
            <w:shd w:val="pct10" w:color="auto" w:fill="auto"/>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zh-CN"/>
              </w:rPr>
            </w:pPr>
          </w:p>
        </w:tc>
        <w:tc>
          <w:tcPr>
            <w:tcW w:w="1180" w:type="dxa"/>
            <w:vMerge w:val="continue"/>
            <w:shd w:val="pct10" w:color="auto" w:fill="auto"/>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zh-CN"/>
              </w:rPr>
            </w:pPr>
          </w:p>
        </w:tc>
        <w:tc>
          <w:tcPr>
            <w:tcW w:w="1505"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pH值</w:t>
            </w:r>
          </w:p>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（无量纲）</w:t>
            </w:r>
          </w:p>
        </w:tc>
        <w:tc>
          <w:tcPr>
            <w:tcW w:w="1059"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砷</w:t>
            </w:r>
          </w:p>
        </w:tc>
        <w:tc>
          <w:tcPr>
            <w:tcW w:w="974"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镉</w:t>
            </w:r>
          </w:p>
        </w:tc>
        <w:tc>
          <w:tcPr>
            <w:tcW w:w="1177"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六价</w:t>
            </w:r>
            <w:r>
              <w:rPr>
                <w:rFonts w:hint="default" w:ascii="Times New Roman" w:hAnsi="Times New Roman" w:cs="Times New Roman"/>
                <w:color w:val="auto"/>
                <w:sz w:val="21"/>
                <w:szCs w:val="21"/>
                <w:highlight w:val="none"/>
                <w:lang w:val="en-US" w:eastAsia="zh-CN"/>
              </w:rPr>
              <w:t>铬</w:t>
            </w:r>
          </w:p>
        </w:tc>
        <w:tc>
          <w:tcPr>
            <w:tcW w:w="1122"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铜</w:t>
            </w:r>
          </w:p>
        </w:tc>
        <w:tc>
          <w:tcPr>
            <w:tcW w:w="1115"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铅</w:t>
            </w:r>
          </w:p>
        </w:tc>
        <w:tc>
          <w:tcPr>
            <w:tcW w:w="1177"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汞</w:t>
            </w:r>
          </w:p>
        </w:tc>
        <w:tc>
          <w:tcPr>
            <w:tcW w:w="2525" w:type="dxa"/>
            <w:gridSpan w:val="2"/>
            <w:tcBorders>
              <w:right w:val="single" w:color="000000" w:sz="8" w:space="0"/>
            </w:tcBorders>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镍</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2533" w:type="dxa"/>
            <w:shd w:val="pct10" w:color="auto" w:fill="auto"/>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占地范围外BT3（下风向）</w:t>
            </w:r>
          </w:p>
        </w:tc>
        <w:tc>
          <w:tcPr>
            <w:tcW w:w="1180" w:type="dxa"/>
            <w:shd w:val="pct10" w:color="auto" w:fill="auto"/>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2020/2/18</w:t>
            </w:r>
          </w:p>
        </w:tc>
        <w:tc>
          <w:tcPr>
            <w:tcW w:w="1505"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6.43</w:t>
            </w:r>
          </w:p>
        </w:tc>
        <w:tc>
          <w:tcPr>
            <w:tcW w:w="1059"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28.8</w:t>
            </w:r>
          </w:p>
        </w:tc>
        <w:tc>
          <w:tcPr>
            <w:tcW w:w="974"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0.28</w:t>
            </w:r>
          </w:p>
        </w:tc>
        <w:tc>
          <w:tcPr>
            <w:tcW w:w="1177"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未检出</w:t>
            </w:r>
          </w:p>
        </w:tc>
        <w:tc>
          <w:tcPr>
            <w:tcW w:w="1122"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44</w:t>
            </w:r>
          </w:p>
        </w:tc>
        <w:tc>
          <w:tcPr>
            <w:tcW w:w="1115"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18</w:t>
            </w:r>
          </w:p>
        </w:tc>
        <w:tc>
          <w:tcPr>
            <w:tcW w:w="1177"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0.184</w:t>
            </w:r>
          </w:p>
        </w:tc>
        <w:tc>
          <w:tcPr>
            <w:tcW w:w="2525" w:type="dxa"/>
            <w:gridSpan w:val="2"/>
            <w:tcBorders>
              <w:right w:val="single" w:color="000000" w:sz="8" w:space="0"/>
            </w:tcBorders>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36</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713" w:type="dxa"/>
            <w:gridSpan w:val="2"/>
            <w:shd w:val="pct10" w:color="auto" w:fill="auto"/>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rPr>
              <w:t>标准</w:t>
            </w:r>
          </w:p>
        </w:tc>
        <w:tc>
          <w:tcPr>
            <w:tcW w:w="1505"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w:t>
            </w:r>
          </w:p>
        </w:tc>
        <w:tc>
          <w:tcPr>
            <w:tcW w:w="1059"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40</w:t>
            </w:r>
          </w:p>
        </w:tc>
        <w:tc>
          <w:tcPr>
            <w:tcW w:w="974"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0.3</w:t>
            </w:r>
          </w:p>
        </w:tc>
        <w:tc>
          <w:tcPr>
            <w:tcW w:w="1177"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150</w:t>
            </w:r>
          </w:p>
        </w:tc>
        <w:tc>
          <w:tcPr>
            <w:tcW w:w="1122"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1115"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90</w:t>
            </w:r>
          </w:p>
        </w:tc>
        <w:tc>
          <w:tcPr>
            <w:tcW w:w="1177"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1.8</w:t>
            </w:r>
          </w:p>
        </w:tc>
        <w:tc>
          <w:tcPr>
            <w:tcW w:w="2525" w:type="dxa"/>
            <w:gridSpan w:val="2"/>
            <w:tcBorders>
              <w:right w:val="single" w:color="000000" w:sz="8" w:space="0"/>
            </w:tcBorders>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70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3" w:type="dxa"/>
            <w:gridSpan w:val="2"/>
            <w:shd w:val="pct10" w:color="auto" w:fill="auto"/>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eastAsia="zh-CN"/>
              </w:rPr>
              <w:t>标准指数</w:t>
            </w:r>
          </w:p>
        </w:tc>
        <w:tc>
          <w:tcPr>
            <w:tcW w:w="1505"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w:t>
            </w:r>
          </w:p>
        </w:tc>
        <w:tc>
          <w:tcPr>
            <w:tcW w:w="1059"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0.75</w:t>
            </w:r>
          </w:p>
        </w:tc>
        <w:tc>
          <w:tcPr>
            <w:tcW w:w="974"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0.48</w:t>
            </w:r>
          </w:p>
        </w:tc>
        <w:tc>
          <w:tcPr>
            <w:tcW w:w="1177"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w:t>
            </w:r>
          </w:p>
        </w:tc>
        <w:tc>
          <w:tcPr>
            <w:tcW w:w="1122"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0.43</w:t>
            </w:r>
          </w:p>
        </w:tc>
        <w:tc>
          <w:tcPr>
            <w:tcW w:w="1115"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0.59</w:t>
            </w:r>
          </w:p>
        </w:tc>
        <w:tc>
          <w:tcPr>
            <w:tcW w:w="1177"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0.23</w:t>
            </w:r>
          </w:p>
        </w:tc>
        <w:tc>
          <w:tcPr>
            <w:tcW w:w="2525" w:type="dxa"/>
            <w:gridSpan w:val="2"/>
            <w:tcBorders>
              <w:right w:val="single" w:color="000000" w:sz="8" w:space="0"/>
            </w:tcBorders>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0.27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3713" w:type="dxa"/>
            <w:gridSpan w:val="2"/>
            <w:shd w:val="pct10" w:color="auto" w:fill="auto"/>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eastAsia="zh-CN"/>
              </w:rPr>
              <w:t>超标倍数</w:t>
            </w:r>
          </w:p>
        </w:tc>
        <w:tc>
          <w:tcPr>
            <w:tcW w:w="1505"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w:t>
            </w:r>
          </w:p>
        </w:tc>
        <w:tc>
          <w:tcPr>
            <w:tcW w:w="1059"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w:t>
            </w:r>
          </w:p>
        </w:tc>
        <w:tc>
          <w:tcPr>
            <w:tcW w:w="974"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w:t>
            </w:r>
          </w:p>
        </w:tc>
        <w:tc>
          <w:tcPr>
            <w:tcW w:w="1177"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w:t>
            </w:r>
          </w:p>
        </w:tc>
        <w:tc>
          <w:tcPr>
            <w:tcW w:w="1122"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w:t>
            </w:r>
          </w:p>
        </w:tc>
        <w:tc>
          <w:tcPr>
            <w:tcW w:w="1115"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w:t>
            </w:r>
          </w:p>
        </w:tc>
        <w:tc>
          <w:tcPr>
            <w:tcW w:w="1177"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w:t>
            </w:r>
          </w:p>
        </w:tc>
        <w:tc>
          <w:tcPr>
            <w:tcW w:w="2525" w:type="dxa"/>
            <w:gridSpan w:val="2"/>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713" w:type="dxa"/>
            <w:gridSpan w:val="2"/>
            <w:shd w:val="pct10" w:color="auto" w:fill="auto"/>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达标情况</w:t>
            </w:r>
          </w:p>
        </w:tc>
        <w:tc>
          <w:tcPr>
            <w:tcW w:w="1505"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eastAsia="zh-CN"/>
              </w:rPr>
              <w:t>——</w:t>
            </w:r>
          </w:p>
        </w:tc>
        <w:tc>
          <w:tcPr>
            <w:tcW w:w="1059"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eastAsia="zh-CN"/>
              </w:rPr>
              <w:t>达标</w:t>
            </w:r>
          </w:p>
        </w:tc>
        <w:tc>
          <w:tcPr>
            <w:tcW w:w="974"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eastAsia="zh-CN"/>
              </w:rPr>
              <w:t>达标</w:t>
            </w:r>
          </w:p>
        </w:tc>
        <w:tc>
          <w:tcPr>
            <w:tcW w:w="1177"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eastAsia="zh-CN"/>
              </w:rPr>
              <w:t>达标</w:t>
            </w:r>
          </w:p>
        </w:tc>
        <w:tc>
          <w:tcPr>
            <w:tcW w:w="1122"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eastAsia="zh-CN"/>
              </w:rPr>
              <w:t>达标</w:t>
            </w:r>
          </w:p>
        </w:tc>
        <w:tc>
          <w:tcPr>
            <w:tcW w:w="1115"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en-US" w:eastAsia="zh-CN"/>
              </w:rPr>
              <w:t>达</w:t>
            </w:r>
            <w:r>
              <w:rPr>
                <w:rFonts w:hint="default" w:ascii="Times New Roman" w:hAnsi="Times New Roman" w:cs="Times New Roman"/>
                <w:color w:val="auto"/>
                <w:sz w:val="21"/>
                <w:szCs w:val="21"/>
                <w:highlight w:val="none"/>
                <w:lang w:eastAsia="zh-CN"/>
              </w:rPr>
              <w:t>标</w:t>
            </w:r>
          </w:p>
        </w:tc>
        <w:tc>
          <w:tcPr>
            <w:tcW w:w="1177"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eastAsia="zh-CN"/>
              </w:rPr>
              <w:t>达标</w:t>
            </w:r>
          </w:p>
        </w:tc>
        <w:tc>
          <w:tcPr>
            <w:tcW w:w="1385"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达标</w:t>
            </w:r>
          </w:p>
        </w:tc>
        <w:tc>
          <w:tcPr>
            <w:tcW w:w="1140"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zh-CN"/>
              </w:rPr>
            </w:pPr>
          </w:p>
        </w:tc>
      </w:tr>
    </w:tbl>
    <w:p>
      <w:pPr>
        <w:pStyle w:val="2"/>
        <w:rPr>
          <w:rFonts w:hint="default" w:ascii="Times New Roman" w:hAnsi="Times New Roman" w:cs="Times New Roman"/>
          <w:color w:val="auto"/>
          <w:sz w:val="24"/>
          <w:highlight w:val="none"/>
        </w:rPr>
      </w:pPr>
    </w:p>
    <w:p>
      <w:pPr>
        <w:pStyle w:val="2"/>
        <w:ind w:firstLine="480" w:firstLineChars="200"/>
        <w:rPr>
          <w:rFonts w:ascii="Times New Roman" w:hAnsi="Times New Roman"/>
          <w:color w:val="auto"/>
          <w:highlight w:val="none"/>
        </w:rPr>
      </w:pPr>
      <w:r>
        <w:rPr>
          <w:rFonts w:hint="default" w:ascii="Times New Roman" w:hAnsi="Times New Roman" w:cs="Times New Roman"/>
          <w:color w:val="auto"/>
          <w:sz w:val="24"/>
          <w:szCs w:val="24"/>
          <w:highlight w:val="none"/>
          <w:lang w:val="en-US" w:eastAsia="zh-CN"/>
        </w:rPr>
        <w:t>根据上表的监测结果，占地范围外BT1（上风向）</w:t>
      </w:r>
      <w:r>
        <w:rPr>
          <w:rFonts w:hint="eastAsia" w:ascii="Times New Roman" w:hAnsi="Times New Roman" w:cs="Times New Roman"/>
          <w:color w:val="auto"/>
          <w:sz w:val="24"/>
          <w:szCs w:val="24"/>
          <w:highlight w:val="none"/>
          <w:lang w:val="en-US" w:eastAsia="zh-CN"/>
        </w:rPr>
        <w:t>、占地范围外BT3（下风向）表层土壤现状监测值</w:t>
      </w:r>
      <w:r>
        <w:rPr>
          <w:rFonts w:hint="default" w:ascii="Times New Roman" w:hAnsi="Times New Roman" w:cs="Times New Roman"/>
          <w:color w:val="auto"/>
          <w:sz w:val="24"/>
          <w:szCs w:val="24"/>
          <w:highlight w:val="none"/>
          <w:lang w:val="en-US" w:eastAsia="zh-CN"/>
        </w:rPr>
        <w:t>均能满足《土壤环境质量-农用地土壤污染风险管控标准》（GB15618-218）筛选值要求</w:t>
      </w:r>
      <w:r>
        <w:rPr>
          <w:rFonts w:hint="eastAsia" w:ascii="Times New Roman" w:hAnsi="Times New Roman" w:cs="Times New Roman"/>
          <w:color w:val="auto"/>
          <w:sz w:val="24"/>
          <w:szCs w:val="24"/>
          <w:highlight w:val="none"/>
          <w:lang w:val="en-US" w:eastAsia="zh-CN"/>
        </w:rPr>
        <w:t>；土壤pH值范围为</w:t>
      </w:r>
      <w:r>
        <w:rPr>
          <w:rFonts w:hint="eastAsia" w:cs="Times New Roman"/>
          <w:color w:val="auto"/>
          <w:sz w:val="24"/>
          <w:szCs w:val="24"/>
          <w:highlight w:val="none"/>
          <w:lang w:val="en-US" w:eastAsia="zh-CN"/>
        </w:rPr>
        <w:t>6.18</w:t>
      </w:r>
      <w:r>
        <w:rPr>
          <w:rFonts w:hint="eastAsia"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6.43</w:t>
      </w:r>
      <w:r>
        <w:rPr>
          <w:rFonts w:hint="eastAsia" w:ascii="Times New Roman" w:hAnsi="Times New Roman" w:cs="Times New Roman"/>
          <w:color w:val="auto"/>
          <w:sz w:val="24"/>
          <w:szCs w:val="24"/>
          <w:highlight w:val="none"/>
          <w:lang w:val="en-US" w:eastAsia="zh-CN"/>
        </w:rPr>
        <w:t>（5.5＜pH＜8.5），无酸化、碱化现象。</w:t>
      </w:r>
    </w:p>
    <w:p>
      <w:pPr>
        <w:pageBreakBefore w:val="0"/>
        <w:kinsoku/>
        <w:wordWrap/>
        <w:overflowPunct/>
        <w:bidi w:val="0"/>
        <w:adjustRightInd w:val="0"/>
        <w:snapToGrid w:val="0"/>
        <w:spacing w:line="360" w:lineRule="auto"/>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表</w:t>
      </w:r>
      <w:r>
        <w:rPr>
          <w:rFonts w:hint="eastAsia" w:cs="Times New Roman"/>
          <w:b/>
          <w:bCs/>
          <w:color w:val="auto"/>
          <w:sz w:val="21"/>
          <w:szCs w:val="21"/>
          <w:highlight w:val="none"/>
          <w:lang w:val="en-US" w:eastAsia="zh-CN"/>
        </w:rPr>
        <w:t>5.6-2</w:t>
      </w:r>
      <w:r>
        <w:rPr>
          <w:rFonts w:hint="default" w:ascii="Times New Roman" w:hAnsi="Times New Roman" w:cs="Times New Roman"/>
          <w:b/>
          <w:bCs/>
          <w:color w:val="auto"/>
          <w:sz w:val="21"/>
          <w:szCs w:val="21"/>
          <w:highlight w:val="none"/>
          <w:lang w:val="en-US" w:eastAsia="zh-CN"/>
        </w:rPr>
        <w:t xml:space="preserve">  </w:t>
      </w:r>
      <w:r>
        <w:rPr>
          <w:rFonts w:hint="eastAsia" w:ascii="Times New Roman" w:hAnsi="Times New Roman" w:cs="Times New Roman"/>
          <w:b/>
          <w:bCs/>
          <w:color w:val="auto"/>
          <w:sz w:val="21"/>
          <w:szCs w:val="21"/>
          <w:highlight w:val="none"/>
          <w:lang w:val="en-US" w:eastAsia="zh-CN"/>
        </w:rPr>
        <w:t>占地范围内</w:t>
      </w:r>
      <w:r>
        <w:rPr>
          <w:rFonts w:hint="default" w:ascii="Times New Roman" w:hAnsi="Times New Roman" w:cs="Times New Roman"/>
          <w:b/>
          <w:bCs/>
          <w:color w:val="auto"/>
          <w:sz w:val="21"/>
          <w:szCs w:val="21"/>
          <w:highlight w:val="none"/>
          <w:lang w:eastAsia="zh-CN"/>
        </w:rPr>
        <w:t>土壤</w:t>
      </w:r>
      <w:r>
        <w:rPr>
          <w:rFonts w:hint="eastAsia" w:ascii="Times New Roman" w:hAnsi="Times New Roman" w:cs="Times New Roman"/>
          <w:b/>
          <w:bCs/>
          <w:color w:val="auto"/>
          <w:sz w:val="21"/>
          <w:szCs w:val="21"/>
          <w:highlight w:val="none"/>
          <w:lang w:val="en-US" w:eastAsia="zh-CN"/>
        </w:rPr>
        <w:t>表层样</w:t>
      </w:r>
      <w:r>
        <w:rPr>
          <w:rFonts w:hint="default" w:ascii="Times New Roman" w:hAnsi="Times New Roman" w:cs="Times New Roman"/>
          <w:b/>
          <w:bCs/>
          <w:color w:val="auto"/>
          <w:sz w:val="21"/>
          <w:szCs w:val="21"/>
          <w:highlight w:val="none"/>
          <w:lang w:eastAsia="zh-CN"/>
        </w:rPr>
        <w:t xml:space="preserve">监测结果 </w:t>
      </w:r>
    </w:p>
    <w:tbl>
      <w:tblPr>
        <w:tblStyle w:val="29"/>
        <w:tblW w:w="14140"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2708"/>
        <w:gridCol w:w="1139"/>
        <w:gridCol w:w="1732"/>
        <w:gridCol w:w="1132"/>
        <w:gridCol w:w="1041"/>
        <w:gridCol w:w="1259"/>
        <w:gridCol w:w="1199"/>
        <w:gridCol w:w="1191"/>
        <w:gridCol w:w="1260"/>
        <w:gridCol w:w="147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708" w:type="dxa"/>
            <w:vMerge w:val="restart"/>
            <w:shd w:val="clear" w:color="auto" w:fill="auto"/>
            <w:noWrap w:val="0"/>
            <w:vAlign w:val="center"/>
          </w:tcPr>
          <w:p>
            <w:pPr>
              <w:spacing w:line="360" w:lineRule="auto"/>
              <w:ind w:firstLine="0" w:firstLineChars="0"/>
              <w:jc w:val="center"/>
              <w:rPr>
                <w:rFonts w:hint="default" w:ascii="Times New Roman" w:hAnsi="Times New Roman" w:cs="Times New Roman"/>
                <w:b/>
                <w:bCs/>
                <w:color w:val="auto"/>
                <w:sz w:val="21"/>
                <w:szCs w:val="21"/>
                <w:highlight w:val="none"/>
                <w:lang w:val="zh-CN"/>
              </w:rPr>
            </w:pPr>
            <w:r>
              <w:rPr>
                <w:rFonts w:hint="default" w:ascii="Times New Roman" w:hAnsi="Times New Roman" w:cs="Times New Roman"/>
                <w:b/>
                <w:bCs/>
                <w:color w:val="auto"/>
                <w:sz w:val="21"/>
                <w:szCs w:val="21"/>
                <w:highlight w:val="none"/>
                <w:lang w:val="zh-CN"/>
              </w:rPr>
              <w:t>采样地点</w:t>
            </w:r>
          </w:p>
        </w:tc>
        <w:tc>
          <w:tcPr>
            <w:tcW w:w="1139" w:type="dxa"/>
            <w:vMerge w:val="restart"/>
            <w:shd w:val="clear" w:color="auto" w:fill="auto"/>
            <w:noWrap w:val="0"/>
            <w:vAlign w:val="center"/>
          </w:tcPr>
          <w:p>
            <w:pPr>
              <w:spacing w:line="360" w:lineRule="auto"/>
              <w:ind w:firstLine="0" w:firstLineChars="0"/>
              <w:jc w:val="center"/>
              <w:rPr>
                <w:rFonts w:hint="default" w:ascii="Times New Roman" w:hAnsi="Times New Roman" w:cs="Times New Roman"/>
                <w:b/>
                <w:bCs/>
                <w:color w:val="auto"/>
                <w:sz w:val="21"/>
                <w:szCs w:val="21"/>
                <w:highlight w:val="none"/>
                <w:lang w:val="zh-CN"/>
              </w:rPr>
            </w:pPr>
            <w:r>
              <w:rPr>
                <w:rFonts w:hint="default" w:ascii="Times New Roman" w:hAnsi="Times New Roman" w:cs="Times New Roman"/>
                <w:b/>
                <w:bCs/>
                <w:color w:val="auto"/>
                <w:sz w:val="21"/>
                <w:szCs w:val="21"/>
                <w:highlight w:val="none"/>
                <w:lang w:val="zh-CN"/>
              </w:rPr>
              <w:t>监测日期</w:t>
            </w:r>
          </w:p>
        </w:tc>
        <w:tc>
          <w:tcPr>
            <w:tcW w:w="10293" w:type="dxa"/>
            <w:gridSpan w:val="8"/>
            <w:tcBorders>
              <w:right w:val="single" w:color="000000" w:sz="8" w:space="0"/>
            </w:tcBorders>
            <w:shd w:val="clear" w:color="auto" w:fill="auto"/>
            <w:noWrap w:val="0"/>
            <w:vAlign w:val="center"/>
          </w:tcPr>
          <w:p>
            <w:pPr>
              <w:spacing w:line="360" w:lineRule="auto"/>
              <w:ind w:firstLine="0" w:firstLineChars="0"/>
              <w:jc w:val="center"/>
              <w:rPr>
                <w:rFonts w:hint="default" w:ascii="Times New Roman" w:hAnsi="Times New Roman" w:cs="Times New Roman"/>
                <w:b/>
                <w:bCs/>
                <w:color w:val="auto"/>
                <w:sz w:val="21"/>
                <w:szCs w:val="21"/>
                <w:highlight w:val="none"/>
                <w:lang w:val="zh-CN" w:eastAsia="zh-CN"/>
              </w:rPr>
            </w:pPr>
            <w:r>
              <w:rPr>
                <w:rFonts w:hint="default" w:ascii="Times New Roman" w:hAnsi="Times New Roman" w:cs="Times New Roman"/>
                <w:b/>
                <w:bCs/>
                <w:color w:val="auto"/>
                <w:sz w:val="21"/>
                <w:szCs w:val="21"/>
                <w:highlight w:val="none"/>
                <w:lang w:val="zh-CN" w:eastAsia="zh-CN"/>
              </w:rPr>
              <w:t>监测项目(注:pH无量纲，</w:t>
            </w:r>
            <w:r>
              <w:rPr>
                <w:rFonts w:hint="default" w:ascii="Times New Roman" w:hAnsi="Times New Roman" w:cs="Times New Roman"/>
                <w:b/>
                <w:bCs/>
                <w:color w:val="auto"/>
                <w:sz w:val="21"/>
                <w:szCs w:val="21"/>
                <w:highlight w:val="none"/>
                <w:lang w:eastAsia="zh-CN"/>
              </w:rPr>
              <w:t>其余</w:t>
            </w:r>
            <w:r>
              <w:rPr>
                <w:rFonts w:hint="default" w:ascii="Times New Roman" w:hAnsi="Times New Roman" w:cs="Times New Roman"/>
                <w:b/>
                <w:bCs/>
                <w:color w:val="auto"/>
                <w:sz w:val="21"/>
                <w:szCs w:val="21"/>
                <w:highlight w:val="none"/>
                <w:lang w:val="zh-CN" w:eastAsia="zh-CN"/>
              </w:rPr>
              <w:t>单位</w:t>
            </w:r>
            <w:r>
              <w:rPr>
                <w:rFonts w:hint="default" w:ascii="Times New Roman" w:hAnsi="Times New Roman" w:cs="Times New Roman"/>
                <w:b/>
                <w:bCs/>
                <w:color w:val="auto"/>
                <w:sz w:val="21"/>
                <w:szCs w:val="21"/>
                <w:highlight w:val="none"/>
                <w:lang w:eastAsia="zh-CN"/>
              </w:rPr>
              <w:t>均为</w:t>
            </w:r>
            <w:r>
              <w:rPr>
                <w:rFonts w:hint="default" w:ascii="Times New Roman" w:hAnsi="Times New Roman" w:cs="Times New Roman"/>
                <w:b/>
                <w:bCs/>
                <w:color w:val="auto"/>
                <w:sz w:val="21"/>
                <w:szCs w:val="21"/>
                <w:highlight w:val="none"/>
                <w:lang w:val="zh-CN" w:eastAsia="zh-CN"/>
              </w:rPr>
              <w:t>：mg/kg</w:t>
            </w:r>
            <w:r>
              <w:rPr>
                <w:rFonts w:hint="default" w:ascii="Times New Roman" w:hAnsi="Times New Roman" w:cs="Times New Roman"/>
                <w:b/>
                <w:bCs/>
                <w:color w:val="auto"/>
                <w:sz w:val="21"/>
                <w:szCs w:val="21"/>
                <w:highlight w:val="none"/>
                <w:lang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54" w:hRule="atLeast"/>
          <w:jc w:val="center"/>
        </w:trPr>
        <w:tc>
          <w:tcPr>
            <w:tcW w:w="2708" w:type="dxa"/>
            <w:vMerge w:val="continue"/>
            <w:shd w:val="clear" w:color="auto" w:fill="auto"/>
            <w:noWrap w:val="0"/>
            <w:vAlign w:val="center"/>
          </w:tcPr>
          <w:p>
            <w:pPr>
              <w:spacing w:line="360" w:lineRule="auto"/>
              <w:ind w:firstLine="0" w:firstLineChars="0"/>
              <w:jc w:val="center"/>
              <w:rPr>
                <w:rFonts w:hint="default" w:ascii="Times New Roman" w:hAnsi="Times New Roman" w:cs="Times New Roman"/>
                <w:b/>
                <w:bCs/>
                <w:color w:val="auto"/>
                <w:sz w:val="21"/>
                <w:szCs w:val="21"/>
                <w:highlight w:val="none"/>
                <w:lang w:val="zh-CN" w:eastAsia="zh-CN"/>
              </w:rPr>
            </w:pPr>
          </w:p>
        </w:tc>
        <w:tc>
          <w:tcPr>
            <w:tcW w:w="1139" w:type="dxa"/>
            <w:vMerge w:val="continue"/>
            <w:shd w:val="clear" w:color="auto" w:fill="auto"/>
            <w:noWrap w:val="0"/>
            <w:vAlign w:val="center"/>
          </w:tcPr>
          <w:p>
            <w:pPr>
              <w:spacing w:line="360" w:lineRule="auto"/>
              <w:ind w:firstLine="0" w:firstLineChars="0"/>
              <w:jc w:val="center"/>
              <w:rPr>
                <w:rFonts w:hint="default" w:ascii="Times New Roman" w:hAnsi="Times New Roman" w:cs="Times New Roman"/>
                <w:b/>
                <w:bCs/>
                <w:color w:val="auto"/>
                <w:sz w:val="21"/>
                <w:szCs w:val="21"/>
                <w:highlight w:val="none"/>
                <w:lang w:val="zh-CN" w:eastAsia="zh-CN"/>
              </w:rPr>
            </w:pPr>
          </w:p>
        </w:tc>
        <w:tc>
          <w:tcPr>
            <w:tcW w:w="1732" w:type="dxa"/>
            <w:shd w:val="clear" w:color="auto" w:fill="auto"/>
            <w:noWrap w:val="0"/>
            <w:vAlign w:val="center"/>
          </w:tcPr>
          <w:p>
            <w:pPr>
              <w:spacing w:line="360" w:lineRule="auto"/>
              <w:ind w:firstLine="0" w:firstLineChars="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pH值</w:t>
            </w:r>
          </w:p>
          <w:p>
            <w:pPr>
              <w:spacing w:line="360" w:lineRule="auto"/>
              <w:ind w:firstLine="0" w:firstLineChars="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（无量纲）</w:t>
            </w:r>
          </w:p>
        </w:tc>
        <w:tc>
          <w:tcPr>
            <w:tcW w:w="1132" w:type="dxa"/>
            <w:shd w:val="clear" w:color="auto" w:fill="auto"/>
            <w:noWrap w:val="0"/>
            <w:vAlign w:val="center"/>
          </w:tcPr>
          <w:p>
            <w:pPr>
              <w:spacing w:line="360" w:lineRule="auto"/>
              <w:ind w:firstLine="0" w:firstLineChars="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砷</w:t>
            </w:r>
          </w:p>
        </w:tc>
        <w:tc>
          <w:tcPr>
            <w:tcW w:w="1041" w:type="dxa"/>
            <w:shd w:val="clear" w:color="auto" w:fill="auto"/>
            <w:noWrap w:val="0"/>
            <w:vAlign w:val="center"/>
          </w:tcPr>
          <w:p>
            <w:pPr>
              <w:spacing w:line="360" w:lineRule="auto"/>
              <w:ind w:firstLine="0" w:firstLineChars="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镉</w:t>
            </w:r>
          </w:p>
        </w:tc>
        <w:tc>
          <w:tcPr>
            <w:tcW w:w="1259" w:type="dxa"/>
            <w:shd w:val="clear" w:color="auto" w:fill="auto"/>
            <w:noWrap w:val="0"/>
            <w:vAlign w:val="center"/>
          </w:tcPr>
          <w:p>
            <w:pPr>
              <w:spacing w:line="360" w:lineRule="auto"/>
              <w:ind w:firstLine="0" w:firstLineChars="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铬</w:t>
            </w:r>
            <w:r>
              <w:rPr>
                <w:rFonts w:hint="eastAsia" w:ascii="Times New Roman" w:hAnsi="Times New Roman" w:cs="Times New Roman"/>
                <w:b/>
                <w:bCs/>
                <w:color w:val="auto"/>
                <w:sz w:val="21"/>
                <w:szCs w:val="21"/>
                <w:highlight w:val="none"/>
                <w:lang w:val="en-US" w:eastAsia="zh-CN"/>
              </w:rPr>
              <w:t>（六价）</w:t>
            </w:r>
          </w:p>
        </w:tc>
        <w:tc>
          <w:tcPr>
            <w:tcW w:w="1199" w:type="dxa"/>
            <w:shd w:val="clear" w:color="auto" w:fill="auto"/>
            <w:noWrap w:val="0"/>
            <w:vAlign w:val="center"/>
          </w:tcPr>
          <w:p>
            <w:pPr>
              <w:spacing w:line="360" w:lineRule="auto"/>
              <w:ind w:firstLine="0" w:firstLineChars="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铜</w:t>
            </w:r>
          </w:p>
        </w:tc>
        <w:tc>
          <w:tcPr>
            <w:tcW w:w="1191" w:type="dxa"/>
            <w:shd w:val="clear" w:color="auto" w:fill="auto"/>
            <w:noWrap w:val="0"/>
            <w:vAlign w:val="center"/>
          </w:tcPr>
          <w:p>
            <w:pPr>
              <w:spacing w:line="360" w:lineRule="auto"/>
              <w:ind w:firstLine="0" w:firstLineChars="0"/>
              <w:jc w:val="center"/>
              <w:rPr>
                <w:rFonts w:hint="default" w:ascii="Times New Roman" w:hAnsi="Times New Roman" w:cs="Times New Roman"/>
                <w:b/>
                <w:bCs/>
                <w:color w:val="auto"/>
                <w:sz w:val="21"/>
                <w:szCs w:val="21"/>
                <w:highlight w:val="none"/>
                <w:lang w:val="zh-CN"/>
              </w:rPr>
            </w:pPr>
            <w:r>
              <w:rPr>
                <w:rFonts w:hint="default" w:ascii="Times New Roman" w:hAnsi="Times New Roman" w:cs="Times New Roman"/>
                <w:b/>
                <w:bCs/>
                <w:color w:val="auto"/>
                <w:sz w:val="21"/>
                <w:szCs w:val="21"/>
                <w:highlight w:val="none"/>
                <w:lang w:val="en-US" w:eastAsia="zh-CN"/>
              </w:rPr>
              <w:t>铅</w:t>
            </w:r>
          </w:p>
        </w:tc>
        <w:tc>
          <w:tcPr>
            <w:tcW w:w="1260" w:type="dxa"/>
            <w:shd w:val="clear" w:color="auto" w:fill="auto"/>
            <w:noWrap w:val="0"/>
            <w:vAlign w:val="center"/>
          </w:tcPr>
          <w:p>
            <w:pPr>
              <w:spacing w:line="360" w:lineRule="auto"/>
              <w:ind w:firstLine="0" w:firstLineChars="0"/>
              <w:jc w:val="center"/>
              <w:rPr>
                <w:rFonts w:hint="default" w:ascii="Times New Roman" w:hAnsi="Times New Roman" w:cs="Times New Roman"/>
                <w:b/>
                <w:bCs/>
                <w:color w:val="auto"/>
                <w:sz w:val="21"/>
                <w:szCs w:val="21"/>
                <w:highlight w:val="none"/>
                <w:lang w:val="zh-CN"/>
              </w:rPr>
            </w:pPr>
            <w:r>
              <w:rPr>
                <w:rFonts w:hint="default" w:ascii="Times New Roman" w:hAnsi="Times New Roman" w:cs="Times New Roman"/>
                <w:b/>
                <w:bCs/>
                <w:color w:val="auto"/>
                <w:sz w:val="21"/>
                <w:szCs w:val="21"/>
                <w:highlight w:val="none"/>
                <w:lang w:val="en-US" w:eastAsia="zh-CN"/>
              </w:rPr>
              <w:t>汞</w:t>
            </w:r>
          </w:p>
        </w:tc>
        <w:tc>
          <w:tcPr>
            <w:tcW w:w="1479" w:type="dxa"/>
            <w:shd w:val="clear" w:color="auto" w:fill="auto"/>
            <w:noWrap w:val="0"/>
            <w:vAlign w:val="center"/>
          </w:tcPr>
          <w:p>
            <w:pPr>
              <w:spacing w:line="360" w:lineRule="auto"/>
              <w:ind w:firstLine="0" w:firstLineChars="0"/>
              <w:jc w:val="center"/>
              <w:rPr>
                <w:rFonts w:hint="default" w:ascii="Times New Roman" w:hAnsi="Times New Roman" w:cs="Times New Roman"/>
                <w:b/>
                <w:bCs/>
                <w:color w:val="auto"/>
                <w:sz w:val="21"/>
                <w:szCs w:val="21"/>
                <w:highlight w:val="none"/>
                <w:lang w:val="zh-CN"/>
              </w:rPr>
            </w:pPr>
            <w:r>
              <w:rPr>
                <w:rFonts w:hint="default" w:ascii="Times New Roman" w:hAnsi="Times New Roman" w:cs="Times New Roman"/>
                <w:b/>
                <w:bCs/>
                <w:color w:val="auto"/>
                <w:sz w:val="21"/>
                <w:szCs w:val="21"/>
                <w:highlight w:val="none"/>
                <w:lang w:val="en-US" w:eastAsia="zh-CN"/>
              </w:rPr>
              <w:t>镍</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2708" w:type="dxa"/>
            <w:shd w:val="pct10" w:color="auto" w:fill="auto"/>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占地范围内BT2</w:t>
            </w:r>
          </w:p>
        </w:tc>
        <w:tc>
          <w:tcPr>
            <w:tcW w:w="1139" w:type="dxa"/>
            <w:shd w:val="pct10" w:color="auto" w:fill="auto"/>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2019/</w:t>
            </w:r>
            <w:r>
              <w:rPr>
                <w:rFonts w:hint="eastAsia" w:ascii="Times New Roman" w:hAnsi="Times New Roman" w:cs="Times New Roman"/>
                <w:color w:val="auto"/>
                <w:sz w:val="21"/>
                <w:szCs w:val="21"/>
                <w:highlight w:val="none"/>
                <w:lang w:val="en-US" w:eastAsia="zh-CN"/>
              </w:rPr>
              <w:t>7</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15</w:t>
            </w:r>
          </w:p>
        </w:tc>
        <w:tc>
          <w:tcPr>
            <w:tcW w:w="1732"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6.32</w:t>
            </w:r>
          </w:p>
        </w:tc>
        <w:tc>
          <w:tcPr>
            <w:tcW w:w="1132"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15.4</w:t>
            </w:r>
          </w:p>
        </w:tc>
        <w:tc>
          <w:tcPr>
            <w:tcW w:w="1041"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0.27</w:t>
            </w:r>
          </w:p>
        </w:tc>
        <w:tc>
          <w:tcPr>
            <w:tcW w:w="1259"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未检出</w:t>
            </w:r>
          </w:p>
        </w:tc>
        <w:tc>
          <w:tcPr>
            <w:tcW w:w="1199"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91</w:t>
            </w:r>
          </w:p>
        </w:tc>
        <w:tc>
          <w:tcPr>
            <w:tcW w:w="1191"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32.2</w:t>
            </w:r>
          </w:p>
        </w:tc>
        <w:tc>
          <w:tcPr>
            <w:tcW w:w="1260"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0.176</w:t>
            </w:r>
          </w:p>
        </w:tc>
        <w:tc>
          <w:tcPr>
            <w:tcW w:w="1479"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77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847" w:type="dxa"/>
            <w:gridSpan w:val="2"/>
            <w:shd w:val="pct10" w:color="auto" w:fill="auto"/>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标准</w:t>
            </w:r>
          </w:p>
        </w:tc>
        <w:tc>
          <w:tcPr>
            <w:tcW w:w="1732"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p>
        </w:tc>
        <w:tc>
          <w:tcPr>
            <w:tcW w:w="1132"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041"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259"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199"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191"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260"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479"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847" w:type="dxa"/>
            <w:gridSpan w:val="2"/>
            <w:shd w:val="pct10" w:color="auto" w:fill="auto"/>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标准指数</w:t>
            </w:r>
          </w:p>
        </w:tc>
        <w:tc>
          <w:tcPr>
            <w:tcW w:w="1732"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p>
        </w:tc>
        <w:tc>
          <w:tcPr>
            <w:tcW w:w="1132"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w:t>
            </w:r>
          </w:p>
        </w:tc>
        <w:tc>
          <w:tcPr>
            <w:tcW w:w="1041"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w:t>
            </w:r>
          </w:p>
        </w:tc>
        <w:tc>
          <w:tcPr>
            <w:tcW w:w="1259"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w:t>
            </w:r>
          </w:p>
        </w:tc>
        <w:tc>
          <w:tcPr>
            <w:tcW w:w="1199"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w:t>
            </w:r>
          </w:p>
        </w:tc>
        <w:tc>
          <w:tcPr>
            <w:tcW w:w="1191"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w:t>
            </w:r>
          </w:p>
        </w:tc>
        <w:tc>
          <w:tcPr>
            <w:tcW w:w="1260"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w:t>
            </w:r>
          </w:p>
        </w:tc>
        <w:tc>
          <w:tcPr>
            <w:tcW w:w="1479"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847" w:type="dxa"/>
            <w:gridSpan w:val="2"/>
            <w:shd w:val="pct10" w:color="auto" w:fill="auto"/>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超标倍数</w:t>
            </w:r>
          </w:p>
        </w:tc>
        <w:tc>
          <w:tcPr>
            <w:tcW w:w="1732"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p>
        </w:tc>
        <w:tc>
          <w:tcPr>
            <w:tcW w:w="1132"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w:t>
            </w:r>
          </w:p>
        </w:tc>
        <w:tc>
          <w:tcPr>
            <w:tcW w:w="1041"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w:t>
            </w:r>
          </w:p>
        </w:tc>
        <w:tc>
          <w:tcPr>
            <w:tcW w:w="1259"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w:t>
            </w:r>
          </w:p>
        </w:tc>
        <w:tc>
          <w:tcPr>
            <w:tcW w:w="1199"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w:t>
            </w:r>
          </w:p>
        </w:tc>
        <w:tc>
          <w:tcPr>
            <w:tcW w:w="1191"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w:t>
            </w:r>
          </w:p>
        </w:tc>
        <w:tc>
          <w:tcPr>
            <w:tcW w:w="1260"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p>
        </w:tc>
        <w:tc>
          <w:tcPr>
            <w:tcW w:w="1479"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847" w:type="dxa"/>
            <w:gridSpan w:val="2"/>
            <w:shd w:val="pct10" w:color="auto" w:fill="auto"/>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达标情况</w:t>
            </w:r>
          </w:p>
        </w:tc>
        <w:tc>
          <w:tcPr>
            <w:tcW w:w="1732"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p>
        </w:tc>
        <w:tc>
          <w:tcPr>
            <w:tcW w:w="1132"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w:t>
            </w:r>
          </w:p>
        </w:tc>
        <w:tc>
          <w:tcPr>
            <w:tcW w:w="1041"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w:t>
            </w:r>
          </w:p>
        </w:tc>
        <w:tc>
          <w:tcPr>
            <w:tcW w:w="1259"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w:t>
            </w:r>
          </w:p>
        </w:tc>
        <w:tc>
          <w:tcPr>
            <w:tcW w:w="1199"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w:t>
            </w:r>
          </w:p>
        </w:tc>
        <w:tc>
          <w:tcPr>
            <w:tcW w:w="1191"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w:t>
            </w:r>
          </w:p>
        </w:tc>
        <w:tc>
          <w:tcPr>
            <w:tcW w:w="1260"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w:t>
            </w:r>
          </w:p>
        </w:tc>
        <w:tc>
          <w:tcPr>
            <w:tcW w:w="1479" w:type="dxa"/>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847" w:type="dxa"/>
            <w:gridSpan w:val="2"/>
            <w:shd w:val="pct10" w:color="auto" w:fill="auto"/>
            <w:noWrap w:val="0"/>
            <w:vAlign w:val="center"/>
          </w:tcPr>
          <w:p>
            <w:pPr>
              <w:spacing w:line="360" w:lineRule="auto"/>
              <w:ind w:firstLine="0" w:firstLineChars="0"/>
              <w:jc w:val="center"/>
              <w:rPr>
                <w:rFonts w:hint="default" w:ascii="Times New Roman" w:hAnsi="Times New Roman" w:cs="Times New Roman"/>
                <w:color w:val="auto"/>
                <w:sz w:val="21"/>
                <w:szCs w:val="21"/>
                <w:highlight w:val="none"/>
                <w:lang w:val="zh-CN"/>
              </w:rPr>
            </w:pPr>
            <w:r>
              <w:rPr>
                <w:rFonts w:hint="eastAsia" w:ascii="Times New Roman" w:hAnsi="Times New Roman" w:cs="Times New Roman"/>
                <w:color w:val="auto"/>
                <w:sz w:val="21"/>
                <w:szCs w:val="21"/>
                <w:highlight w:val="none"/>
                <w:lang w:val="zh-CN"/>
              </w:rPr>
              <w:t>说明</w:t>
            </w:r>
          </w:p>
        </w:tc>
        <w:tc>
          <w:tcPr>
            <w:tcW w:w="10293" w:type="dxa"/>
            <w:gridSpan w:val="8"/>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eastAsia="zh-CN"/>
              </w:rPr>
              <w:t>全指标监测因子其余项目均为未检出，</w:t>
            </w:r>
            <w:r>
              <w:rPr>
                <w:rFonts w:hint="eastAsia" w:ascii="Times New Roman" w:hAnsi="Times New Roman" w:cs="Times New Roman"/>
                <w:color w:val="auto"/>
                <w:sz w:val="21"/>
                <w:szCs w:val="21"/>
                <w:highlight w:val="none"/>
                <w:lang w:eastAsia="zh-CN"/>
              </w:rPr>
              <w:t>根据</w:t>
            </w:r>
            <w:r>
              <w:rPr>
                <w:rFonts w:hint="eastAsia" w:ascii="Times New Roman" w:hAnsi="Times New Roman" w:cs="Times New Roman"/>
                <w:color w:val="auto"/>
                <w:sz w:val="21"/>
                <w:szCs w:val="21"/>
                <w:highlight w:val="none"/>
                <w:lang w:val="en-US" w:eastAsia="zh-CN"/>
              </w:rPr>
              <w:t>《土壤环境质量标准-建设用地土壤污染风险管控标准》（GB36600-2018）中建设用地分类划分，本项目为露天采矿用地，无相应标准值，根据《环境影响评价技术导则——土壤环境（试行）》（HJ  964-2018）现状评价要求，只给出现状监测值。</w:t>
            </w:r>
          </w:p>
        </w:tc>
      </w:tr>
    </w:tbl>
    <w:p>
      <w:pPr>
        <w:pStyle w:val="2"/>
        <w:rPr>
          <w:rFonts w:hint="default" w:ascii="Times New Roman" w:hAnsi="Times New Roman" w:cs="Times New Roman"/>
          <w:sz w:val="24"/>
          <w:highlight w:val="none"/>
        </w:rPr>
      </w:pPr>
    </w:p>
    <w:p>
      <w:pPr>
        <w:pStyle w:val="17"/>
        <w:ind w:firstLine="0" w:firstLineChars="0"/>
        <w:rPr>
          <w:rFonts w:ascii="Times New Roman" w:hAnsi="Times New Roman"/>
          <w:highlight w:val="none"/>
        </w:rPr>
      </w:pPr>
    </w:p>
    <w:p>
      <w:pPr>
        <w:pStyle w:val="17"/>
        <w:ind w:firstLine="0" w:firstLineChars="0"/>
        <w:rPr>
          <w:rFonts w:ascii="Times New Roman" w:hAnsi="Times New Roman"/>
          <w:highlight w:val="none"/>
        </w:rPr>
      </w:pPr>
    </w:p>
    <w:p>
      <w:pPr>
        <w:pStyle w:val="17"/>
        <w:ind w:firstLine="0" w:firstLineChars="0"/>
        <w:rPr>
          <w:rFonts w:ascii="Times New Roman" w:hAnsi="Times New Roman"/>
          <w:highlight w:val="none"/>
        </w:rPr>
      </w:pPr>
    </w:p>
    <w:p>
      <w:pPr>
        <w:pStyle w:val="17"/>
        <w:ind w:firstLine="0" w:firstLineChars="0"/>
        <w:rPr>
          <w:rFonts w:ascii="Times New Roman" w:hAnsi="Times New Roman"/>
          <w:highlight w:val="none"/>
        </w:rPr>
      </w:pPr>
    </w:p>
    <w:p>
      <w:pPr>
        <w:pStyle w:val="17"/>
        <w:ind w:firstLine="0" w:firstLineChars="0"/>
        <w:rPr>
          <w:rFonts w:ascii="Times New Roman" w:hAnsi="Times New Roman"/>
          <w:highlight w:val="none"/>
        </w:rPr>
        <w:sectPr>
          <w:pgSz w:w="16838" w:h="11911" w:orient="landscape"/>
          <w:pgMar w:top="1417" w:right="1417" w:bottom="1417" w:left="1417" w:header="879" w:footer="952" w:gutter="0"/>
          <w:pgBorders>
            <w:top w:val="none" w:sz="0" w:space="0"/>
            <w:left w:val="none" w:sz="0" w:space="0"/>
            <w:bottom w:val="none" w:sz="0" w:space="0"/>
            <w:right w:val="none" w:sz="0" w:space="0"/>
          </w:pgBorders>
          <w:pgNumType w:fmt="decimal"/>
          <w:cols w:space="720" w:num="1"/>
          <w:docGrid w:linePitch="312" w:charSpace="0"/>
        </w:sectPr>
      </w:pPr>
    </w:p>
    <w:p>
      <w:pPr>
        <w:pStyle w:val="3"/>
        <w:rPr>
          <w:highlight w:val="none"/>
        </w:rPr>
      </w:pPr>
      <w:bookmarkStart w:id="401" w:name="_Toc18500"/>
      <w:bookmarkStart w:id="402" w:name="_Toc13095"/>
      <w:bookmarkStart w:id="403" w:name="_Toc21156"/>
      <w:bookmarkStart w:id="404" w:name="_Toc23386"/>
      <w:bookmarkStart w:id="405" w:name="_Toc11795"/>
      <w:bookmarkStart w:id="406" w:name="_Toc4874"/>
      <w:r>
        <w:rPr>
          <w:rFonts w:hint="eastAsia"/>
          <w:highlight w:val="none"/>
          <w:lang w:val="en-US" w:eastAsia="zh-CN"/>
        </w:rPr>
        <w:t>6</w:t>
      </w:r>
      <w:r>
        <w:rPr>
          <w:highlight w:val="none"/>
        </w:rPr>
        <w:t>环境影响分析</w:t>
      </w:r>
      <w:bookmarkEnd w:id="401"/>
      <w:bookmarkEnd w:id="402"/>
      <w:bookmarkEnd w:id="403"/>
      <w:bookmarkEnd w:id="404"/>
      <w:bookmarkEnd w:id="405"/>
      <w:bookmarkEnd w:id="406"/>
    </w:p>
    <w:p>
      <w:pPr>
        <w:pStyle w:val="4"/>
        <w:rPr>
          <w:highlight w:val="none"/>
        </w:rPr>
      </w:pPr>
      <w:bookmarkStart w:id="407" w:name="_Toc14483"/>
      <w:r>
        <w:rPr>
          <w:rFonts w:hint="eastAsia"/>
          <w:highlight w:val="none"/>
          <w:lang w:val="en-US" w:eastAsia="zh-CN"/>
        </w:rPr>
        <w:t>6</w:t>
      </w:r>
      <w:r>
        <w:rPr>
          <w:rFonts w:hint="eastAsia"/>
          <w:highlight w:val="none"/>
        </w:rPr>
        <w:t>.1施工期环境影响分析</w:t>
      </w:r>
      <w:bookmarkEnd w:id="407"/>
    </w:p>
    <w:p>
      <w:pPr>
        <w:pStyle w:val="5"/>
        <w:adjustRightInd w:val="0"/>
        <w:snapToGrid w:val="0"/>
        <w:rPr>
          <w:rFonts w:hint="default"/>
          <w:highlight w:val="none"/>
        </w:rPr>
      </w:pPr>
      <w:bookmarkStart w:id="408" w:name="_Toc21269"/>
      <w:r>
        <w:rPr>
          <w:rFonts w:hint="eastAsia"/>
          <w:highlight w:val="none"/>
          <w:lang w:val="en-US" w:eastAsia="zh-CN"/>
        </w:rPr>
        <w:t>6</w:t>
      </w:r>
      <w:r>
        <w:rPr>
          <w:highlight w:val="none"/>
        </w:rPr>
        <w:t>.1.1施工期大气环境影响分析</w:t>
      </w:r>
      <w:bookmarkEnd w:id="408"/>
    </w:p>
    <w:p>
      <w:pPr>
        <w:pStyle w:val="8"/>
        <w:ind w:firstLine="540" w:firstLineChars="0"/>
        <w:rPr>
          <w:rFonts w:hint="eastAsia"/>
          <w:color w:val="auto"/>
          <w:highlight w:val="none"/>
        </w:rPr>
      </w:pPr>
      <w:r>
        <w:rPr>
          <w:rFonts w:hint="eastAsia"/>
          <w:color w:val="auto"/>
          <w:highlight w:val="none"/>
        </w:rPr>
        <w:t>1、施工扬尘</w:t>
      </w:r>
    </w:p>
    <w:p>
      <w:pPr>
        <w:pStyle w:val="8"/>
        <w:ind w:firstLine="540" w:firstLineChars="0"/>
        <w:rPr>
          <w:color w:val="auto"/>
          <w:highlight w:val="none"/>
        </w:rPr>
      </w:pPr>
      <w:r>
        <w:rPr>
          <w:rFonts w:hint="eastAsia"/>
          <w:color w:val="auto"/>
          <w:highlight w:val="none"/>
        </w:rPr>
        <w:t>施工扬尘主要来源于场地平整、土石方挖填、施工作业等环节。另外，施工运输车辆在马路上运送材料也会引起较大的扬尘。扬尘中的主要污染物为TSP， 其中不含有毒有害的特殊污染物。扬尘呈无组织排放，散落在施工场地和周围地表，并随降水的冲刷而转移至水体。在干季风大的情况下，以上施工过程会导致施工现场扬尘飞扬，使空气中粉尘颗粒物浓度升高，影响所在区域周围的空气环境质量。扬尘量的大小与诸多因素有关，难以界定，采用类比法对空气环境影响进行分析。</w:t>
      </w:r>
    </w:p>
    <w:p>
      <w:pPr>
        <w:adjustRightInd w:val="0"/>
        <w:snapToGrid w:val="0"/>
        <w:ind w:firstLine="480"/>
        <w:rPr>
          <w:rFonts w:hint="eastAsia"/>
          <w:highlight w:val="none"/>
        </w:rPr>
      </w:pPr>
      <w:r>
        <w:rPr>
          <w:rFonts w:hint="eastAsia"/>
          <w:highlight w:val="none"/>
        </w:rPr>
        <w:t>北京市环境科学研究院曾对7个建筑工程工地的扬尘进行了测定，测定时风速为 2.4m/s，测试结果表明：</w:t>
      </w:r>
    </w:p>
    <w:p>
      <w:pPr>
        <w:adjustRightInd w:val="0"/>
        <w:snapToGrid w:val="0"/>
        <w:ind w:firstLine="480"/>
        <w:rPr>
          <w:rFonts w:hint="eastAsia"/>
          <w:highlight w:val="none"/>
        </w:rPr>
      </w:pPr>
      <w:r>
        <w:rPr>
          <w:rFonts w:hint="eastAsia"/>
          <w:highlight w:val="none"/>
        </w:rPr>
        <w:t>①当风速为2.4m/s时，建筑施工扬尘污染严重，工地内TSP浓度为上风向对照点的1.5~2.3倍，平均1.88倍，相当于环境空气质量标准的1.4~2.5倍，平均1.98 倍；</w:t>
      </w:r>
    </w:p>
    <w:p>
      <w:pPr>
        <w:adjustRightInd w:val="0"/>
        <w:snapToGrid w:val="0"/>
        <w:ind w:firstLine="480"/>
        <w:rPr>
          <w:rFonts w:hint="eastAsia"/>
          <w:highlight w:val="none"/>
        </w:rPr>
      </w:pPr>
      <w:r>
        <w:rPr>
          <w:rFonts w:hint="eastAsia"/>
          <w:highlight w:val="none"/>
        </w:rPr>
        <w:t>②建筑施工扬尘的影响范围为其下风向150m之内，被影响地区的TSP浓度平均值为0.491mg/m</w:t>
      </w:r>
      <w:r>
        <w:rPr>
          <w:rFonts w:hint="eastAsia"/>
          <w:highlight w:val="none"/>
          <w:vertAlign w:val="superscript"/>
        </w:rPr>
        <w:t>3</w:t>
      </w:r>
      <w:r>
        <w:rPr>
          <w:rFonts w:hint="eastAsia"/>
          <w:highlight w:val="none"/>
        </w:rPr>
        <w:t>，相当于环境空气质量标准1.6倍；</w:t>
      </w:r>
    </w:p>
    <w:p>
      <w:pPr>
        <w:adjustRightInd w:val="0"/>
        <w:snapToGrid w:val="0"/>
        <w:ind w:firstLine="480"/>
        <w:rPr>
          <w:highlight w:val="none"/>
        </w:rPr>
      </w:pPr>
      <w:r>
        <w:rPr>
          <w:rFonts w:hint="eastAsia"/>
          <w:highlight w:val="none"/>
        </w:rPr>
        <w:t>③类比其它建筑施工工地扬尘污染情况（表 6.1-1）当风速〉2.5m/s时，项目施工粉尘的影响范围变大，特别下风向超标范围将更大。施工现场近地面粉尘浓度会超过《环境空气质量标准》（GB3095-2012）二级标准中24小时平均值0.15mg/m</w:t>
      </w:r>
      <w:r>
        <w:rPr>
          <w:rFonts w:hint="eastAsia"/>
          <w:highlight w:val="none"/>
          <w:vertAlign w:val="superscript"/>
        </w:rPr>
        <w:t>3</w:t>
      </w:r>
      <w:r>
        <w:rPr>
          <w:rFonts w:hint="eastAsia"/>
          <w:highlight w:val="none"/>
        </w:rPr>
        <w:t>的2.0~8.0倍。</w:t>
      </w:r>
    </w:p>
    <w:p>
      <w:pPr>
        <w:pStyle w:val="17"/>
        <w:ind w:firstLine="480"/>
        <w:jc w:val="center"/>
        <w:rPr>
          <w:rFonts w:hint="default" w:ascii="Times New Roman" w:hAnsi="Times New Roman" w:eastAsia="宋体"/>
          <w:highlight w:val="none"/>
          <w:lang w:val="en-US" w:eastAsia="zh-CN"/>
        </w:rPr>
      </w:pPr>
      <w:r>
        <w:rPr>
          <w:rFonts w:hint="eastAsia" w:ascii="Times New Roman" w:hAnsi="Times New Roman"/>
          <w:b/>
          <w:bCs/>
          <w:sz w:val="21"/>
          <w:szCs w:val="21"/>
          <w:highlight w:val="none"/>
          <w:lang w:val="en-US" w:eastAsia="zh-CN"/>
        </w:rPr>
        <w:t>表6.1-1  类比其它建筑施工工地扬尘污染情况  单位（mg/m</w:t>
      </w:r>
      <w:r>
        <w:rPr>
          <w:rFonts w:hint="eastAsia" w:ascii="Times New Roman" w:hAnsi="Times New Roman"/>
          <w:b/>
          <w:bCs/>
          <w:sz w:val="21"/>
          <w:szCs w:val="21"/>
          <w:highlight w:val="none"/>
          <w:vertAlign w:val="superscript"/>
          <w:lang w:val="en-US" w:eastAsia="zh-CN"/>
        </w:rPr>
        <w:t>3</w:t>
      </w:r>
      <w:r>
        <w:rPr>
          <w:rFonts w:hint="eastAsia" w:ascii="Times New Roman" w:hAnsi="Times New Roman"/>
          <w:b/>
          <w:bCs/>
          <w:sz w:val="21"/>
          <w:szCs w:val="21"/>
          <w:highlight w:val="none"/>
          <w:lang w:val="en-US" w:eastAsia="zh-CN"/>
        </w:rPr>
        <w:t>）</w:t>
      </w:r>
    </w:p>
    <w:tbl>
      <w:tblPr>
        <w:tblStyle w:val="30"/>
        <w:tblW w:w="92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4"/>
        <w:gridCol w:w="1897"/>
        <w:gridCol w:w="1275"/>
        <w:gridCol w:w="1539"/>
        <w:gridCol w:w="1539"/>
        <w:gridCol w:w="1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4" w:type="dxa"/>
            <w:vMerge w:val="restart"/>
            <w:vAlign w:val="center"/>
          </w:tcPr>
          <w:p>
            <w:pPr>
              <w:pStyle w:val="17"/>
              <w:ind w:left="0" w:leftChars="0" w:firstLine="0" w:firstLineChars="0"/>
              <w:jc w:val="center"/>
              <w:rPr>
                <w:rFonts w:hint="eastAsia" w:ascii="Times New Roman" w:hAnsi="Times New Roman" w:eastAsia="宋体"/>
                <w:sz w:val="21"/>
                <w:szCs w:val="21"/>
                <w:highlight w:val="none"/>
                <w:vertAlign w:val="baseline"/>
                <w:lang w:eastAsia="zh-CN"/>
              </w:rPr>
            </w:pPr>
            <w:r>
              <w:rPr>
                <w:rFonts w:hint="eastAsia" w:ascii="Times New Roman" w:hAnsi="Times New Roman"/>
                <w:sz w:val="21"/>
                <w:szCs w:val="21"/>
                <w:highlight w:val="none"/>
                <w:vertAlign w:val="baseline"/>
                <w:lang w:eastAsia="zh-CN"/>
              </w:rPr>
              <w:t>项目</w:t>
            </w:r>
          </w:p>
        </w:tc>
        <w:tc>
          <w:tcPr>
            <w:tcW w:w="1897" w:type="dxa"/>
            <w:vMerge w:val="restart"/>
            <w:vAlign w:val="center"/>
          </w:tcPr>
          <w:p>
            <w:pPr>
              <w:pStyle w:val="17"/>
              <w:ind w:left="0" w:leftChars="0" w:firstLine="0" w:firstLineChars="0"/>
              <w:jc w:val="center"/>
              <w:rPr>
                <w:rFonts w:hint="eastAsia" w:ascii="Times New Roman" w:hAnsi="Times New Roman"/>
                <w:sz w:val="21"/>
                <w:szCs w:val="21"/>
                <w:highlight w:val="none"/>
                <w:vertAlign w:val="baseline"/>
              </w:rPr>
            </w:pPr>
            <w:r>
              <w:rPr>
                <w:rFonts w:hint="eastAsia" w:ascii="Times New Roman" w:hAnsi="Times New Roman"/>
                <w:sz w:val="21"/>
                <w:szCs w:val="21"/>
                <w:highlight w:val="none"/>
                <w:vertAlign w:val="baseline"/>
              </w:rPr>
              <w:t>工地上风向 50m</w:t>
            </w:r>
          </w:p>
        </w:tc>
        <w:tc>
          <w:tcPr>
            <w:tcW w:w="1275" w:type="dxa"/>
            <w:vMerge w:val="restart"/>
            <w:vAlign w:val="center"/>
          </w:tcPr>
          <w:p>
            <w:pPr>
              <w:pStyle w:val="17"/>
              <w:ind w:left="0" w:leftChars="0" w:firstLine="0" w:firstLineChars="0"/>
              <w:jc w:val="center"/>
              <w:rPr>
                <w:rFonts w:hint="eastAsia" w:ascii="Times New Roman" w:hAnsi="Times New Roman" w:eastAsia="宋体"/>
                <w:sz w:val="21"/>
                <w:szCs w:val="21"/>
                <w:highlight w:val="none"/>
                <w:vertAlign w:val="baseline"/>
                <w:lang w:eastAsia="zh-CN"/>
              </w:rPr>
            </w:pPr>
            <w:r>
              <w:rPr>
                <w:rFonts w:hint="eastAsia" w:ascii="Times New Roman" w:hAnsi="Times New Roman"/>
                <w:sz w:val="21"/>
                <w:szCs w:val="21"/>
                <w:highlight w:val="none"/>
                <w:vertAlign w:val="baseline"/>
                <w:lang w:eastAsia="zh-CN"/>
              </w:rPr>
              <w:t>工地内</w:t>
            </w:r>
          </w:p>
        </w:tc>
        <w:tc>
          <w:tcPr>
            <w:tcW w:w="4617" w:type="dxa"/>
            <w:gridSpan w:val="3"/>
            <w:vAlign w:val="center"/>
          </w:tcPr>
          <w:p>
            <w:pPr>
              <w:pStyle w:val="17"/>
              <w:jc w:val="center"/>
              <w:rPr>
                <w:rFonts w:hint="eastAsia" w:ascii="Times New Roman" w:hAnsi="Times New Roman" w:eastAsia="宋体"/>
                <w:sz w:val="21"/>
                <w:szCs w:val="21"/>
                <w:highlight w:val="none"/>
                <w:vertAlign w:val="baseline"/>
                <w:lang w:eastAsia="zh-CN"/>
              </w:rPr>
            </w:pPr>
            <w:r>
              <w:rPr>
                <w:rFonts w:hint="eastAsia" w:ascii="Times New Roman" w:hAnsi="Times New Roman"/>
                <w:sz w:val="21"/>
                <w:szCs w:val="21"/>
                <w:highlight w:val="none"/>
                <w:vertAlign w:val="baseline"/>
                <w:lang w:eastAsia="zh-CN"/>
              </w:rPr>
              <w:t>工地下风向监测位置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4" w:type="dxa"/>
            <w:vMerge w:val="continue"/>
            <w:vAlign w:val="center"/>
          </w:tcPr>
          <w:p>
            <w:pPr>
              <w:pStyle w:val="17"/>
              <w:jc w:val="center"/>
              <w:rPr>
                <w:rFonts w:hint="eastAsia" w:ascii="Times New Roman" w:hAnsi="Times New Roman" w:eastAsia="宋体"/>
                <w:sz w:val="21"/>
                <w:szCs w:val="21"/>
                <w:highlight w:val="none"/>
                <w:vertAlign w:val="baseline"/>
                <w:lang w:eastAsia="zh-CN"/>
              </w:rPr>
            </w:pPr>
          </w:p>
        </w:tc>
        <w:tc>
          <w:tcPr>
            <w:tcW w:w="1897" w:type="dxa"/>
            <w:vMerge w:val="continue"/>
            <w:vAlign w:val="center"/>
          </w:tcPr>
          <w:p>
            <w:pPr>
              <w:pStyle w:val="17"/>
              <w:jc w:val="center"/>
              <w:rPr>
                <w:rFonts w:hint="eastAsia" w:ascii="Times New Roman" w:hAnsi="Times New Roman"/>
                <w:sz w:val="21"/>
                <w:szCs w:val="21"/>
                <w:highlight w:val="none"/>
                <w:vertAlign w:val="baseline"/>
              </w:rPr>
            </w:pPr>
          </w:p>
        </w:tc>
        <w:tc>
          <w:tcPr>
            <w:tcW w:w="1275" w:type="dxa"/>
            <w:vMerge w:val="continue"/>
            <w:vAlign w:val="center"/>
          </w:tcPr>
          <w:p>
            <w:pPr>
              <w:pStyle w:val="17"/>
              <w:jc w:val="center"/>
              <w:rPr>
                <w:rFonts w:hint="eastAsia" w:ascii="Times New Roman" w:hAnsi="Times New Roman"/>
                <w:sz w:val="21"/>
                <w:szCs w:val="21"/>
                <w:highlight w:val="none"/>
                <w:vertAlign w:val="baseline"/>
              </w:rPr>
            </w:pPr>
          </w:p>
        </w:tc>
        <w:tc>
          <w:tcPr>
            <w:tcW w:w="1539" w:type="dxa"/>
            <w:vAlign w:val="center"/>
          </w:tcPr>
          <w:p>
            <w:pPr>
              <w:pStyle w:val="17"/>
              <w:jc w:val="center"/>
              <w:rPr>
                <w:rFonts w:hint="default" w:ascii="Times New Roman" w:hAnsi="Times New Roman" w:eastAsia="宋体"/>
                <w:sz w:val="21"/>
                <w:szCs w:val="21"/>
                <w:highlight w:val="none"/>
                <w:vertAlign w:val="baseline"/>
                <w:lang w:val="en-US" w:eastAsia="zh-CN"/>
              </w:rPr>
            </w:pPr>
            <w:r>
              <w:rPr>
                <w:rFonts w:hint="eastAsia" w:ascii="Times New Roman" w:hAnsi="Times New Roman"/>
                <w:sz w:val="21"/>
                <w:szCs w:val="21"/>
                <w:highlight w:val="none"/>
                <w:vertAlign w:val="baseline"/>
                <w:lang w:val="en-US" w:eastAsia="zh-CN"/>
              </w:rPr>
              <w:t>50m</w:t>
            </w:r>
          </w:p>
        </w:tc>
        <w:tc>
          <w:tcPr>
            <w:tcW w:w="1539" w:type="dxa"/>
            <w:vAlign w:val="center"/>
          </w:tcPr>
          <w:p>
            <w:pPr>
              <w:pStyle w:val="17"/>
              <w:jc w:val="center"/>
              <w:rPr>
                <w:rFonts w:hint="default" w:ascii="Times New Roman" w:hAnsi="Times New Roman" w:eastAsia="宋体"/>
                <w:sz w:val="21"/>
                <w:szCs w:val="21"/>
                <w:highlight w:val="none"/>
                <w:vertAlign w:val="baseline"/>
                <w:lang w:val="en-US" w:eastAsia="zh-CN"/>
              </w:rPr>
            </w:pPr>
            <w:r>
              <w:rPr>
                <w:rFonts w:hint="eastAsia" w:ascii="Times New Roman" w:hAnsi="Times New Roman"/>
                <w:sz w:val="21"/>
                <w:szCs w:val="21"/>
                <w:highlight w:val="none"/>
                <w:vertAlign w:val="baseline"/>
                <w:lang w:val="en-US" w:eastAsia="zh-CN"/>
              </w:rPr>
              <w:t>100m</w:t>
            </w:r>
          </w:p>
        </w:tc>
        <w:tc>
          <w:tcPr>
            <w:tcW w:w="1539" w:type="dxa"/>
            <w:vAlign w:val="center"/>
          </w:tcPr>
          <w:p>
            <w:pPr>
              <w:pStyle w:val="17"/>
              <w:jc w:val="center"/>
              <w:rPr>
                <w:rFonts w:hint="default" w:ascii="Times New Roman" w:hAnsi="Times New Roman" w:eastAsia="宋体"/>
                <w:sz w:val="21"/>
                <w:szCs w:val="21"/>
                <w:highlight w:val="none"/>
                <w:vertAlign w:val="baseline"/>
                <w:lang w:val="en-US" w:eastAsia="zh-CN"/>
              </w:rPr>
            </w:pPr>
            <w:r>
              <w:rPr>
                <w:rFonts w:hint="eastAsia" w:ascii="Times New Roman" w:hAnsi="Times New Roman"/>
                <w:sz w:val="21"/>
                <w:szCs w:val="21"/>
                <w:highlight w:val="none"/>
                <w:vertAlign w:val="baseline"/>
                <w:lang w:val="en-US" w:eastAsia="zh-CN"/>
              </w:rPr>
              <w:t>150m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4" w:type="dxa"/>
            <w:vAlign w:val="center"/>
          </w:tcPr>
          <w:p>
            <w:pPr>
              <w:pStyle w:val="17"/>
              <w:ind w:left="0" w:leftChars="0" w:firstLine="0" w:firstLineChars="0"/>
              <w:jc w:val="center"/>
              <w:rPr>
                <w:rFonts w:hint="eastAsia" w:ascii="Times New Roman" w:hAnsi="Times New Roman" w:eastAsia="宋体"/>
                <w:sz w:val="21"/>
                <w:szCs w:val="21"/>
                <w:highlight w:val="none"/>
                <w:vertAlign w:val="baseline"/>
                <w:lang w:val="en-US" w:eastAsia="zh-CN"/>
              </w:rPr>
            </w:pPr>
            <w:r>
              <w:rPr>
                <w:rFonts w:hint="eastAsia" w:ascii="Times New Roman" w:hAnsi="Times New Roman"/>
                <w:sz w:val="21"/>
                <w:szCs w:val="21"/>
                <w:highlight w:val="none"/>
                <w:vertAlign w:val="baseline"/>
                <w:lang w:val="en-US" w:eastAsia="zh-CN"/>
              </w:rPr>
              <w:t>范围值</w:t>
            </w:r>
          </w:p>
        </w:tc>
        <w:tc>
          <w:tcPr>
            <w:tcW w:w="1897" w:type="dxa"/>
            <w:vAlign w:val="center"/>
          </w:tcPr>
          <w:p>
            <w:pPr>
              <w:pStyle w:val="17"/>
              <w:ind w:left="0" w:leftChars="0" w:firstLine="0" w:firstLineChars="0"/>
              <w:jc w:val="center"/>
              <w:rPr>
                <w:rFonts w:hint="eastAsia" w:ascii="Times New Roman" w:hAnsi="Times New Roman"/>
                <w:sz w:val="21"/>
                <w:szCs w:val="21"/>
                <w:highlight w:val="none"/>
                <w:vertAlign w:val="baseline"/>
              </w:rPr>
            </w:pPr>
            <w:r>
              <w:rPr>
                <w:rFonts w:hint="eastAsia" w:ascii="Times New Roman" w:hAnsi="Times New Roman"/>
                <w:sz w:val="21"/>
                <w:szCs w:val="21"/>
                <w:highlight w:val="none"/>
                <w:vertAlign w:val="baseline"/>
              </w:rPr>
              <w:t>0.303~0.328</w:t>
            </w:r>
          </w:p>
        </w:tc>
        <w:tc>
          <w:tcPr>
            <w:tcW w:w="1275" w:type="dxa"/>
            <w:vAlign w:val="center"/>
          </w:tcPr>
          <w:p>
            <w:pPr>
              <w:pStyle w:val="17"/>
              <w:ind w:left="0" w:leftChars="0" w:firstLine="0" w:firstLineChars="0"/>
              <w:jc w:val="center"/>
              <w:rPr>
                <w:rFonts w:hint="eastAsia" w:ascii="Times New Roman" w:hAnsi="Times New Roman"/>
                <w:sz w:val="21"/>
                <w:szCs w:val="21"/>
                <w:highlight w:val="none"/>
                <w:vertAlign w:val="baseline"/>
              </w:rPr>
            </w:pPr>
            <w:r>
              <w:rPr>
                <w:rFonts w:hint="eastAsia" w:ascii="Times New Roman" w:hAnsi="Times New Roman"/>
                <w:sz w:val="21"/>
                <w:szCs w:val="21"/>
                <w:highlight w:val="none"/>
                <w:vertAlign w:val="baseline"/>
              </w:rPr>
              <w:t>0.409~0.759</w:t>
            </w:r>
          </w:p>
        </w:tc>
        <w:tc>
          <w:tcPr>
            <w:tcW w:w="1539" w:type="dxa"/>
            <w:vAlign w:val="center"/>
          </w:tcPr>
          <w:p>
            <w:pPr>
              <w:pStyle w:val="17"/>
              <w:ind w:left="0" w:leftChars="0" w:firstLine="0" w:firstLineChars="0"/>
              <w:jc w:val="center"/>
              <w:rPr>
                <w:rFonts w:hint="eastAsia" w:ascii="Times New Roman" w:hAnsi="Times New Roman"/>
                <w:sz w:val="21"/>
                <w:szCs w:val="21"/>
                <w:highlight w:val="none"/>
                <w:vertAlign w:val="baseline"/>
              </w:rPr>
            </w:pPr>
            <w:r>
              <w:rPr>
                <w:rFonts w:hint="eastAsia" w:ascii="Times New Roman" w:hAnsi="Times New Roman"/>
                <w:sz w:val="21"/>
                <w:szCs w:val="21"/>
                <w:highlight w:val="none"/>
                <w:vertAlign w:val="baseline"/>
              </w:rPr>
              <w:t>0.434~0.538</w:t>
            </w:r>
          </w:p>
        </w:tc>
        <w:tc>
          <w:tcPr>
            <w:tcW w:w="1539" w:type="dxa"/>
            <w:vAlign w:val="center"/>
          </w:tcPr>
          <w:p>
            <w:pPr>
              <w:pStyle w:val="17"/>
              <w:ind w:left="0" w:leftChars="0" w:firstLine="0" w:firstLineChars="0"/>
              <w:jc w:val="center"/>
              <w:rPr>
                <w:rFonts w:hint="eastAsia" w:ascii="Times New Roman" w:hAnsi="Times New Roman"/>
                <w:sz w:val="21"/>
                <w:szCs w:val="21"/>
                <w:highlight w:val="none"/>
                <w:vertAlign w:val="baseline"/>
              </w:rPr>
            </w:pPr>
            <w:r>
              <w:rPr>
                <w:rFonts w:hint="eastAsia" w:ascii="Times New Roman" w:hAnsi="Times New Roman"/>
                <w:sz w:val="21"/>
                <w:szCs w:val="21"/>
                <w:highlight w:val="none"/>
                <w:vertAlign w:val="baseline"/>
              </w:rPr>
              <w:t>0.356~0.465</w:t>
            </w:r>
          </w:p>
        </w:tc>
        <w:tc>
          <w:tcPr>
            <w:tcW w:w="1539" w:type="dxa"/>
            <w:vAlign w:val="center"/>
          </w:tcPr>
          <w:p>
            <w:pPr>
              <w:pStyle w:val="17"/>
              <w:ind w:left="0" w:leftChars="0" w:firstLine="0" w:firstLineChars="0"/>
              <w:jc w:val="center"/>
              <w:rPr>
                <w:rFonts w:hint="eastAsia" w:ascii="Times New Roman" w:hAnsi="Times New Roman"/>
                <w:sz w:val="21"/>
                <w:szCs w:val="21"/>
                <w:highlight w:val="none"/>
                <w:vertAlign w:val="baseline"/>
              </w:rPr>
            </w:pPr>
            <w:r>
              <w:rPr>
                <w:rFonts w:hint="eastAsia" w:ascii="Times New Roman" w:hAnsi="Times New Roman"/>
                <w:sz w:val="21"/>
                <w:szCs w:val="21"/>
                <w:highlight w:val="none"/>
                <w:vertAlign w:val="baseline"/>
              </w:rPr>
              <w:t>0.309~0.336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4" w:type="dxa"/>
            <w:vAlign w:val="center"/>
          </w:tcPr>
          <w:p>
            <w:pPr>
              <w:pStyle w:val="17"/>
              <w:ind w:left="0" w:leftChars="0" w:firstLine="0" w:firstLineChars="0"/>
              <w:jc w:val="center"/>
              <w:rPr>
                <w:rFonts w:hint="eastAsia" w:ascii="Times New Roman" w:hAnsi="Times New Roman" w:eastAsia="宋体"/>
                <w:sz w:val="21"/>
                <w:szCs w:val="21"/>
                <w:highlight w:val="none"/>
                <w:vertAlign w:val="baseline"/>
                <w:lang w:eastAsia="zh-CN"/>
              </w:rPr>
            </w:pPr>
            <w:r>
              <w:rPr>
                <w:rFonts w:hint="eastAsia" w:ascii="Times New Roman" w:hAnsi="Times New Roman"/>
                <w:sz w:val="21"/>
                <w:szCs w:val="21"/>
                <w:highlight w:val="none"/>
                <w:vertAlign w:val="baseline"/>
                <w:lang w:eastAsia="zh-CN"/>
              </w:rPr>
              <w:t>均值</w:t>
            </w:r>
          </w:p>
        </w:tc>
        <w:tc>
          <w:tcPr>
            <w:tcW w:w="1897" w:type="dxa"/>
            <w:vAlign w:val="center"/>
          </w:tcPr>
          <w:p>
            <w:pPr>
              <w:pStyle w:val="17"/>
              <w:ind w:left="0" w:leftChars="0" w:firstLine="0" w:firstLineChars="0"/>
              <w:jc w:val="center"/>
              <w:rPr>
                <w:rFonts w:hint="eastAsia" w:ascii="Times New Roman" w:hAnsi="Times New Roman"/>
                <w:sz w:val="21"/>
                <w:szCs w:val="21"/>
                <w:highlight w:val="none"/>
                <w:vertAlign w:val="baseline"/>
              </w:rPr>
            </w:pPr>
            <w:r>
              <w:rPr>
                <w:rFonts w:hint="eastAsia" w:ascii="Times New Roman" w:hAnsi="Times New Roman"/>
                <w:sz w:val="21"/>
                <w:szCs w:val="21"/>
                <w:highlight w:val="none"/>
                <w:vertAlign w:val="baseline"/>
              </w:rPr>
              <w:t>0.317</w:t>
            </w:r>
          </w:p>
        </w:tc>
        <w:tc>
          <w:tcPr>
            <w:tcW w:w="1275" w:type="dxa"/>
            <w:vAlign w:val="center"/>
          </w:tcPr>
          <w:p>
            <w:pPr>
              <w:pStyle w:val="17"/>
              <w:ind w:left="0" w:leftChars="0" w:firstLine="0" w:firstLineChars="0"/>
              <w:jc w:val="center"/>
              <w:rPr>
                <w:rFonts w:hint="default" w:ascii="Times New Roman" w:hAnsi="Times New Roman" w:eastAsia="宋体"/>
                <w:sz w:val="21"/>
                <w:szCs w:val="21"/>
                <w:highlight w:val="none"/>
                <w:vertAlign w:val="baseline"/>
                <w:lang w:val="en-US" w:eastAsia="zh-CN"/>
              </w:rPr>
            </w:pPr>
            <w:r>
              <w:rPr>
                <w:rFonts w:hint="eastAsia" w:ascii="Times New Roman" w:hAnsi="Times New Roman"/>
                <w:sz w:val="21"/>
                <w:szCs w:val="21"/>
                <w:highlight w:val="none"/>
                <w:vertAlign w:val="baseline"/>
                <w:lang w:val="en-US" w:eastAsia="zh-CN"/>
              </w:rPr>
              <w:t>0.596</w:t>
            </w:r>
          </w:p>
        </w:tc>
        <w:tc>
          <w:tcPr>
            <w:tcW w:w="1539" w:type="dxa"/>
            <w:vAlign w:val="center"/>
          </w:tcPr>
          <w:p>
            <w:pPr>
              <w:pStyle w:val="17"/>
              <w:ind w:left="0" w:leftChars="0" w:firstLine="0" w:firstLineChars="0"/>
              <w:jc w:val="center"/>
              <w:rPr>
                <w:rFonts w:hint="default" w:ascii="Times New Roman" w:hAnsi="Times New Roman" w:eastAsia="宋体"/>
                <w:sz w:val="21"/>
                <w:szCs w:val="21"/>
                <w:highlight w:val="none"/>
                <w:vertAlign w:val="baseline"/>
                <w:lang w:val="en-US" w:eastAsia="zh-CN"/>
              </w:rPr>
            </w:pPr>
            <w:r>
              <w:rPr>
                <w:rFonts w:hint="eastAsia" w:ascii="Times New Roman" w:hAnsi="Times New Roman"/>
                <w:sz w:val="21"/>
                <w:szCs w:val="21"/>
                <w:highlight w:val="none"/>
                <w:vertAlign w:val="baseline"/>
                <w:lang w:val="en-US" w:eastAsia="zh-CN"/>
              </w:rPr>
              <w:t>0.487</w:t>
            </w:r>
          </w:p>
        </w:tc>
        <w:tc>
          <w:tcPr>
            <w:tcW w:w="1539" w:type="dxa"/>
            <w:vAlign w:val="center"/>
          </w:tcPr>
          <w:p>
            <w:pPr>
              <w:pStyle w:val="17"/>
              <w:ind w:left="0" w:leftChars="0" w:firstLine="0" w:firstLineChars="0"/>
              <w:jc w:val="center"/>
              <w:rPr>
                <w:rFonts w:hint="default" w:ascii="Times New Roman" w:hAnsi="Times New Roman" w:eastAsia="宋体"/>
                <w:sz w:val="21"/>
                <w:szCs w:val="21"/>
                <w:highlight w:val="none"/>
                <w:vertAlign w:val="baseline"/>
                <w:lang w:val="en-US" w:eastAsia="zh-CN"/>
              </w:rPr>
            </w:pPr>
            <w:r>
              <w:rPr>
                <w:rFonts w:hint="eastAsia" w:ascii="Times New Roman" w:hAnsi="Times New Roman"/>
                <w:sz w:val="21"/>
                <w:szCs w:val="21"/>
                <w:highlight w:val="none"/>
                <w:vertAlign w:val="baseline"/>
                <w:lang w:val="en-US" w:eastAsia="zh-CN"/>
              </w:rPr>
              <w:t>0.390</w:t>
            </w:r>
          </w:p>
        </w:tc>
        <w:tc>
          <w:tcPr>
            <w:tcW w:w="1539" w:type="dxa"/>
            <w:vAlign w:val="center"/>
          </w:tcPr>
          <w:p>
            <w:pPr>
              <w:pStyle w:val="17"/>
              <w:ind w:left="0" w:leftChars="0" w:firstLine="0" w:firstLineChars="0"/>
              <w:jc w:val="center"/>
              <w:rPr>
                <w:rFonts w:hint="default" w:ascii="Times New Roman" w:hAnsi="Times New Roman" w:eastAsia="宋体"/>
                <w:sz w:val="21"/>
                <w:szCs w:val="21"/>
                <w:highlight w:val="none"/>
                <w:vertAlign w:val="baseline"/>
                <w:lang w:val="en-US" w:eastAsia="zh-CN"/>
              </w:rPr>
            </w:pPr>
            <w:r>
              <w:rPr>
                <w:rFonts w:hint="eastAsia" w:ascii="Times New Roman" w:hAnsi="Times New Roman"/>
                <w:sz w:val="21"/>
                <w:szCs w:val="21"/>
                <w:highlight w:val="none"/>
                <w:vertAlign w:val="baseline"/>
                <w:lang w:val="en-US" w:eastAsia="zh-CN"/>
              </w:rPr>
              <w:t>0.322</w:t>
            </w:r>
          </w:p>
        </w:tc>
      </w:tr>
    </w:tbl>
    <w:p>
      <w:pPr>
        <w:pStyle w:val="17"/>
        <w:ind w:firstLine="480"/>
        <w:rPr>
          <w:rFonts w:hint="eastAsia" w:ascii="Times New Roman" w:hAnsi="Times New Roman"/>
          <w:highlight w:val="none"/>
          <w:lang w:eastAsia="zh-CN"/>
        </w:rPr>
      </w:pPr>
      <w:r>
        <w:rPr>
          <w:rFonts w:hint="eastAsia" w:ascii="Times New Roman" w:hAnsi="Times New Roman"/>
          <w:highlight w:val="none"/>
        </w:rPr>
        <w:t>根据</w:t>
      </w:r>
      <w:r>
        <w:rPr>
          <w:rFonts w:hint="eastAsia" w:ascii="Times New Roman" w:hAnsi="Times New Roman"/>
          <w:highlight w:val="none"/>
          <w:lang w:eastAsia="zh-CN"/>
        </w:rPr>
        <w:t>砚山县</w:t>
      </w:r>
      <w:r>
        <w:rPr>
          <w:rFonts w:hint="eastAsia" w:ascii="Times New Roman" w:hAnsi="Times New Roman"/>
          <w:highlight w:val="none"/>
        </w:rPr>
        <w:t>气象资料，本项目建设区主导风向为南风，年平均风速</w:t>
      </w:r>
      <w:r>
        <w:rPr>
          <w:rFonts w:hint="eastAsia" w:ascii="Times New Roman" w:hAnsi="Times New Roman"/>
          <w:highlight w:val="none"/>
          <w:lang w:val="en-US" w:eastAsia="zh-CN"/>
        </w:rPr>
        <w:t>3.1</w:t>
      </w:r>
      <w:r>
        <w:rPr>
          <w:rFonts w:hint="eastAsia" w:ascii="Times New Roman" w:hAnsi="Times New Roman"/>
          <w:highlight w:val="none"/>
        </w:rPr>
        <w:t>m/s，略大于上述北京工地测定风速（2.4m/s）及其它类比工地测定风速（2.5m/s）</w:t>
      </w:r>
      <w:r>
        <w:rPr>
          <w:rFonts w:hint="eastAsia" w:ascii="Times New Roman" w:hAnsi="Times New Roman"/>
          <w:highlight w:val="none"/>
          <w:lang w:eastAsia="zh-CN"/>
        </w:rPr>
        <w:t>；本项目建设所在地的空气平均相对湿度为72%，比北京的平均相对湿度58%大；对照上述测定结果，并考虑风速和湿度的综合影响，项目施工扬尘影响的情况与上述测定结果类比影响范围相似，因此周边在150m范围以内的保护目标均有超标的可能，在下风向影响较大。项目下风向150m范围内无环境敏感目标，项目施工扬尘对环境敏感目标影响较小。项目在施工场地安排专门员工对施工场地洒水以减少扬尘量，洒水次数根据天气状况而定。一般每天不少于 2 次；若遇到大风或干燥天气要适当增加洒水次数，若洒水适当扬尘量将减低5%~28%，可大大减少了扬尘对环境的影响。</w:t>
      </w:r>
    </w:p>
    <w:p>
      <w:pPr>
        <w:pStyle w:val="17"/>
        <w:ind w:firstLine="480"/>
        <w:rPr>
          <w:rFonts w:hint="eastAsia" w:ascii="Times New Roman" w:hAnsi="Times New Roman" w:eastAsia="宋体"/>
          <w:highlight w:val="none"/>
          <w:lang w:eastAsia="zh-CN"/>
        </w:rPr>
      </w:pPr>
      <w:r>
        <w:rPr>
          <w:rFonts w:hint="eastAsia" w:ascii="Times New Roman" w:hAnsi="Times New Roman"/>
          <w:highlight w:val="none"/>
          <w:lang w:val="en-US" w:eastAsia="zh-CN"/>
        </w:rPr>
        <w:t>2、道路扬尘</w:t>
      </w:r>
    </w:p>
    <w:p>
      <w:pPr>
        <w:pStyle w:val="17"/>
        <w:ind w:firstLine="480"/>
        <w:rPr>
          <w:rFonts w:hint="eastAsia" w:ascii="Times New Roman" w:hAnsi="Times New Roman"/>
          <w:highlight w:val="none"/>
        </w:rPr>
      </w:pPr>
      <w:r>
        <w:rPr>
          <w:rFonts w:hint="eastAsia" w:ascii="Times New Roman" w:hAnsi="Times New Roman"/>
          <w:highlight w:val="none"/>
        </w:rPr>
        <w:t>渣土运输车辆扬尘的产生与路面清洁程度及车辆行驶速度有关。根据交通部公路研究所对施工现场车辆扬尘监测结果：下风向150m处扬尘瞬时浓度达3.49mg/m</w:t>
      </w:r>
      <w:r>
        <w:rPr>
          <w:rFonts w:hint="eastAsia" w:ascii="Times New Roman" w:hAnsi="Times New Roman"/>
          <w:highlight w:val="none"/>
          <w:vertAlign w:val="superscript"/>
        </w:rPr>
        <w:t>3</w:t>
      </w:r>
      <w:r>
        <w:rPr>
          <w:rFonts w:hint="eastAsia" w:ascii="Times New Roman" w:hAnsi="Times New Roman"/>
          <w:highlight w:val="none"/>
        </w:rPr>
        <w:t>，超过《环境空气质量标准》（GB3095-2012）二级标准中1小时平均值的2.9倍，会对周围环境保护目标造成一定的影响。</w:t>
      </w:r>
    </w:p>
    <w:p>
      <w:pPr>
        <w:pStyle w:val="17"/>
        <w:ind w:firstLine="480"/>
        <w:rPr>
          <w:rFonts w:hint="eastAsia" w:ascii="Times New Roman" w:hAnsi="Times New Roman"/>
          <w:highlight w:val="none"/>
        </w:rPr>
      </w:pPr>
      <w:r>
        <w:rPr>
          <w:rFonts w:hint="eastAsia" w:ascii="Times New Roman" w:hAnsi="Times New Roman"/>
          <w:highlight w:val="none"/>
        </w:rPr>
        <w:t>为进一步减轻和避免施工扬尘对评价区域内环境敏感目标的影响，本项目施工期间还需采取以下扬尘污染防治措施：</w:t>
      </w:r>
    </w:p>
    <w:p>
      <w:pPr>
        <w:pStyle w:val="17"/>
        <w:ind w:firstLine="480"/>
        <w:rPr>
          <w:rFonts w:hint="eastAsia" w:ascii="Times New Roman" w:hAnsi="Times New Roman"/>
          <w:highlight w:val="none"/>
        </w:rPr>
      </w:pPr>
      <w:r>
        <w:rPr>
          <w:rFonts w:hint="eastAsia" w:ascii="Times New Roman" w:hAnsi="Times New Roman"/>
          <w:highlight w:val="none"/>
        </w:rPr>
        <w:t>①施工期间实行围挡封闭施工，尽量避免在大风天气下进行施工作业；</w:t>
      </w:r>
    </w:p>
    <w:p>
      <w:pPr>
        <w:pStyle w:val="17"/>
        <w:ind w:firstLine="480"/>
        <w:rPr>
          <w:rFonts w:hint="eastAsia" w:ascii="Times New Roman" w:hAnsi="Times New Roman"/>
          <w:highlight w:val="none"/>
          <w:lang w:eastAsia="zh-CN"/>
        </w:rPr>
      </w:pPr>
      <w:r>
        <w:rPr>
          <w:rFonts w:hint="eastAsia" w:ascii="Times New Roman" w:hAnsi="Times New Roman"/>
          <w:highlight w:val="none"/>
        </w:rPr>
        <w:t>②在施工机械的选型上考虑相应的环保型产品，主要使用轻质柴油或电作为能源，不得使用劣质燃料</w:t>
      </w:r>
      <w:r>
        <w:rPr>
          <w:rFonts w:hint="eastAsia" w:ascii="Times New Roman" w:hAnsi="Times New Roman"/>
          <w:highlight w:val="none"/>
          <w:lang w:eastAsia="zh-CN"/>
        </w:rPr>
        <w:t>；</w:t>
      </w:r>
    </w:p>
    <w:p>
      <w:pPr>
        <w:pStyle w:val="17"/>
        <w:ind w:firstLine="480"/>
        <w:rPr>
          <w:rFonts w:hint="eastAsia" w:ascii="Times New Roman" w:hAnsi="Times New Roman" w:eastAsia="宋体"/>
          <w:highlight w:val="none"/>
          <w:lang w:eastAsia="zh-CN"/>
        </w:rPr>
      </w:pPr>
      <w:r>
        <w:rPr>
          <w:rFonts w:hint="eastAsia" w:ascii="Times New Roman" w:hAnsi="Times New Roman"/>
          <w:highlight w:val="none"/>
        </w:rPr>
        <w:t>③施工期间，施工单位应在施工现场醒目位置设置施工标志牌和施工现场总平面布置图以及安全生产、消防保卫、环境保护、文明施工等制度牌。施工标志牌应当标明建设工程名称，建设单位、设计单位、施工单位、工程监理单位名称， 项目经理姓名和联系电话，开工和计划竣工日期以及施工许可证批准文号等</w:t>
      </w:r>
      <w:r>
        <w:rPr>
          <w:rFonts w:hint="eastAsia" w:ascii="Times New Roman" w:hAnsi="Times New Roman"/>
          <w:highlight w:val="none"/>
          <w:lang w:eastAsia="zh-CN"/>
        </w:rPr>
        <w:t>；</w:t>
      </w:r>
    </w:p>
    <w:p>
      <w:pPr>
        <w:pStyle w:val="17"/>
        <w:ind w:firstLine="480"/>
        <w:rPr>
          <w:rFonts w:hint="eastAsia" w:ascii="Times New Roman" w:hAnsi="Times New Roman" w:eastAsia="宋体"/>
          <w:highlight w:val="none"/>
          <w:lang w:eastAsia="zh-CN"/>
        </w:rPr>
      </w:pPr>
      <w:r>
        <w:rPr>
          <w:rFonts w:hint="eastAsia" w:ascii="Times New Roman" w:hAnsi="Times New Roman"/>
          <w:highlight w:val="none"/>
        </w:rPr>
        <w:t>④在施工场地安排专门员工对施工场地洒水以减少扬尘量，洒水次数根据天气状况而定。一般每天不少于</w:t>
      </w:r>
      <w:r>
        <w:rPr>
          <w:rFonts w:hint="eastAsia" w:ascii="Times New Roman" w:hAnsi="Times New Roman"/>
          <w:highlight w:val="none"/>
          <w:lang w:val="en-US" w:eastAsia="zh-CN"/>
        </w:rPr>
        <w:t>2</w:t>
      </w:r>
      <w:r>
        <w:rPr>
          <w:rFonts w:hint="eastAsia" w:ascii="Times New Roman" w:hAnsi="Times New Roman"/>
          <w:highlight w:val="none"/>
        </w:rPr>
        <w:t>次，若遇到大风或干燥天气要适当增加洒水次数。遇到大风天气，应停止土方作业</w:t>
      </w:r>
      <w:r>
        <w:rPr>
          <w:rFonts w:hint="eastAsia" w:ascii="Times New Roman" w:hAnsi="Times New Roman"/>
          <w:highlight w:val="none"/>
          <w:lang w:eastAsia="zh-CN"/>
        </w:rPr>
        <w:t>；</w:t>
      </w:r>
    </w:p>
    <w:p>
      <w:pPr>
        <w:pStyle w:val="17"/>
        <w:ind w:firstLine="480"/>
        <w:rPr>
          <w:rFonts w:hint="eastAsia" w:ascii="Times New Roman" w:hAnsi="Times New Roman" w:eastAsia="宋体"/>
          <w:highlight w:val="none"/>
          <w:lang w:eastAsia="zh-CN"/>
        </w:rPr>
      </w:pPr>
      <w:r>
        <w:rPr>
          <w:rFonts w:hint="eastAsia" w:ascii="Times New Roman" w:hAnsi="Times New Roman"/>
          <w:highlight w:val="none"/>
        </w:rPr>
        <w:t>⑤施工过程中产生的弃土、弃料及其它建筑垃圾，应及时清运。若在工地内堆置超过一周的，则应采取覆盖防尘布、防尘网，定期喷洒抑尘剂，定期喷水压尘等措施，防止风蚀起尘及水蚀迁移</w:t>
      </w:r>
      <w:r>
        <w:rPr>
          <w:rFonts w:hint="eastAsia" w:ascii="Times New Roman" w:hAnsi="Times New Roman"/>
          <w:highlight w:val="none"/>
          <w:lang w:eastAsia="zh-CN"/>
        </w:rPr>
        <w:t>；</w:t>
      </w:r>
    </w:p>
    <w:p>
      <w:pPr>
        <w:pStyle w:val="17"/>
        <w:ind w:firstLine="480"/>
        <w:rPr>
          <w:rFonts w:hint="eastAsia" w:ascii="Times New Roman" w:hAnsi="Times New Roman" w:eastAsia="宋体"/>
          <w:highlight w:val="none"/>
          <w:lang w:eastAsia="zh-CN"/>
        </w:rPr>
      </w:pPr>
      <w:r>
        <w:rPr>
          <w:rFonts w:hint="eastAsia" w:ascii="Times New Roman" w:hAnsi="Times New Roman"/>
          <w:highlight w:val="none"/>
        </w:rPr>
        <w:t>⑥进出工地的物料、渣土、垃圾运输车辆也应该加强管理，尽可能采用密闭车斗，并保证物料不遗撒外漏。若无密闭车斗，物料、垃圾、渣土的装载高度不得超过车辆槽帮上沿，车斗应用苫布遮盖严实，防止在运输途中发生跑、冒、漏、滴。车辆应按照批准的路线和时间进行物料、渣土、垃圾的运输</w:t>
      </w:r>
      <w:r>
        <w:rPr>
          <w:rFonts w:hint="eastAsia" w:ascii="Times New Roman" w:hAnsi="Times New Roman"/>
          <w:highlight w:val="none"/>
          <w:lang w:eastAsia="zh-CN"/>
        </w:rPr>
        <w:t>；</w:t>
      </w:r>
    </w:p>
    <w:p>
      <w:pPr>
        <w:pStyle w:val="17"/>
        <w:ind w:firstLine="480"/>
        <w:rPr>
          <w:rFonts w:hint="eastAsia" w:ascii="Times New Roman" w:hAnsi="Times New Roman"/>
          <w:highlight w:val="none"/>
        </w:rPr>
      </w:pPr>
      <w:r>
        <w:rPr>
          <w:rFonts w:hint="eastAsia" w:ascii="Times New Roman" w:hAnsi="Times New Roman"/>
          <w:highlight w:val="none"/>
        </w:rPr>
        <w:t>⑦优化施工期间运输车辆的出入场路径。</w:t>
      </w:r>
    </w:p>
    <w:p>
      <w:pPr>
        <w:pStyle w:val="17"/>
        <w:ind w:firstLine="480"/>
        <w:rPr>
          <w:rFonts w:ascii="Times New Roman" w:hAnsi="Times New Roman"/>
          <w:highlight w:val="none"/>
        </w:rPr>
      </w:pPr>
      <w:r>
        <w:rPr>
          <w:rFonts w:hint="eastAsia" w:ascii="Times New Roman" w:hAnsi="Times New Roman"/>
          <w:highlight w:val="none"/>
        </w:rPr>
        <w:t>在严格落实上述施工期扬尘污染防治措施后，工程施工期扬尘对周围大气环境保护目标的影响可得到很大程度的减小，施工期扬尘影响可以接受。</w:t>
      </w:r>
    </w:p>
    <w:p>
      <w:pPr>
        <w:pStyle w:val="17"/>
        <w:ind w:firstLine="480"/>
        <w:rPr>
          <w:rFonts w:hint="eastAsia" w:ascii="Times New Roman" w:hAnsi="Times New Roman" w:eastAsia="宋体"/>
          <w:highlight w:val="none"/>
          <w:lang w:eastAsia="zh-CN"/>
        </w:rPr>
      </w:pPr>
      <w:r>
        <w:rPr>
          <w:rFonts w:hint="eastAsia" w:ascii="Times New Roman" w:hAnsi="Times New Roman"/>
          <w:highlight w:val="none"/>
        </w:rPr>
        <w:t>综上，项目施工期产生的废气量小，且施工期周期短，施工期产生的废气随施工期的结束而逐渐消除，对周边声环境影响较小</w:t>
      </w:r>
      <w:r>
        <w:rPr>
          <w:rFonts w:hint="eastAsia" w:ascii="Times New Roman" w:hAnsi="Times New Roman"/>
          <w:highlight w:val="none"/>
          <w:lang w:eastAsia="zh-CN"/>
        </w:rPr>
        <w:t>。</w:t>
      </w:r>
    </w:p>
    <w:p>
      <w:pPr>
        <w:pStyle w:val="17"/>
        <w:ind w:firstLine="480"/>
        <w:rPr>
          <w:rFonts w:hint="eastAsia" w:ascii="Times New Roman" w:hAnsi="Times New Roman" w:eastAsia="宋体"/>
          <w:highlight w:val="none"/>
          <w:lang w:val="en-US" w:eastAsia="zh-CN"/>
        </w:rPr>
      </w:pPr>
      <w:r>
        <w:rPr>
          <w:rFonts w:hint="eastAsia" w:ascii="Times New Roman" w:hAnsi="Times New Roman"/>
          <w:highlight w:val="none"/>
          <w:lang w:val="en-US" w:eastAsia="zh-CN"/>
        </w:rPr>
        <w:t>3、施工机械废气</w:t>
      </w:r>
    </w:p>
    <w:p>
      <w:pPr>
        <w:pStyle w:val="17"/>
        <w:ind w:firstLine="480"/>
        <w:rPr>
          <w:rFonts w:hint="eastAsia" w:ascii="Times New Roman" w:hAnsi="Times New Roman"/>
          <w:highlight w:val="none"/>
        </w:rPr>
      </w:pPr>
      <w:r>
        <w:rPr>
          <w:rFonts w:hint="eastAsia" w:ascii="Times New Roman" w:hAnsi="Times New Roman"/>
          <w:highlight w:val="none"/>
        </w:rPr>
        <w:t>建筑施工过程机械主要有挖掘机、装载机等，大部分机械使用柴油作为能源，少量使用汽油，这部份机械主要在土石方阶段使用，在运行时排放的废气是主要的污染源。在主体施工、安装阶段使用的机械一般都是以电为能源，如电钻、电锯等，一般不会产生废气。</w:t>
      </w:r>
    </w:p>
    <w:p>
      <w:pPr>
        <w:pStyle w:val="17"/>
        <w:ind w:firstLine="480"/>
        <w:rPr>
          <w:rFonts w:ascii="Times New Roman" w:hAnsi="Times New Roman"/>
          <w:highlight w:val="none"/>
        </w:rPr>
      </w:pPr>
      <w:r>
        <w:rPr>
          <w:rFonts w:hint="eastAsia" w:ascii="Times New Roman" w:hAnsi="Times New Roman"/>
          <w:highlight w:val="none"/>
        </w:rPr>
        <w:t>施工过程中机械废气主要是CO、碳氢化合物等，其产生量及废气中污染物浓度视其使用频率及发动机对燃料的燃烧情况而异。施工机械废气属于低架点源无组织排放性质，具有间断性产生、产生量较小、产生点相对分散、易被稀释扩散等特点。加之项目施工场地周围较空旷、地面风速也较大，大气扩散条件相对较好，故一般情况下，施工机械和运输车辆所产生的废气污染在空气中经自然扩散和稀释后，对评价区域空气环境质量影响不大</w:t>
      </w:r>
      <w:r>
        <w:rPr>
          <w:rFonts w:hint="eastAsia" w:ascii="Times New Roman" w:hAnsi="Times New Roman"/>
          <w:highlight w:val="none"/>
          <w:lang w:eastAsia="zh-CN"/>
        </w:rPr>
        <w:t>。</w:t>
      </w:r>
    </w:p>
    <w:p>
      <w:pPr>
        <w:pStyle w:val="5"/>
        <w:adjustRightInd w:val="0"/>
        <w:snapToGrid w:val="0"/>
        <w:rPr>
          <w:rFonts w:hint="eastAsia"/>
          <w:highlight w:val="none"/>
          <w:lang w:val="en-US" w:eastAsia="zh-CN"/>
        </w:rPr>
      </w:pPr>
      <w:bookmarkStart w:id="409" w:name="_Toc7658"/>
      <w:r>
        <w:rPr>
          <w:rFonts w:hint="eastAsia"/>
          <w:highlight w:val="none"/>
          <w:lang w:val="en-US" w:eastAsia="zh-CN"/>
        </w:rPr>
        <w:t>6.1.2施工期水环境影响分析</w:t>
      </w:r>
      <w:bookmarkEnd w:id="409"/>
    </w:p>
    <w:p>
      <w:pPr>
        <w:pStyle w:val="8"/>
        <w:ind w:firstLine="540" w:firstLineChars="0"/>
        <w:rPr>
          <w:rFonts w:hint="eastAsia"/>
          <w:highlight w:val="none"/>
        </w:rPr>
      </w:pPr>
      <w:r>
        <w:rPr>
          <w:rFonts w:hint="eastAsia"/>
          <w:highlight w:val="none"/>
        </w:rPr>
        <w:t>施工期废水主要为施工人员清洁废水，根据工程分析，废水产生量约为</w:t>
      </w:r>
      <w:r>
        <w:rPr>
          <w:rFonts w:hint="eastAsia"/>
          <w:highlight w:val="none"/>
          <w:lang w:val="en-US" w:eastAsia="zh-CN"/>
        </w:rPr>
        <w:t>0.48</w:t>
      </w:r>
      <w:r>
        <w:rPr>
          <w:highlight w:val="none"/>
        </w:rPr>
        <w:t>m</w:t>
      </w:r>
      <w:r>
        <w:rPr>
          <w:highlight w:val="none"/>
          <w:vertAlign w:val="superscript"/>
        </w:rPr>
        <w:t>3</w:t>
      </w:r>
      <w:r>
        <w:rPr>
          <w:highlight w:val="none"/>
        </w:rPr>
        <w:t>/d</w:t>
      </w:r>
      <w:r>
        <w:rPr>
          <w:rFonts w:hint="eastAsia"/>
          <w:highlight w:val="none"/>
        </w:rPr>
        <w:t>，设置沉淀池（1个，3m</w:t>
      </w:r>
      <w:r>
        <w:rPr>
          <w:rFonts w:hint="eastAsia"/>
          <w:highlight w:val="none"/>
          <w:vertAlign w:val="superscript"/>
        </w:rPr>
        <w:t>3</w:t>
      </w:r>
      <w:r>
        <w:rPr>
          <w:rFonts w:hint="eastAsia"/>
          <w:highlight w:val="none"/>
        </w:rPr>
        <w:t>）沉淀处理后回用于场区洒水降尘。</w:t>
      </w:r>
    </w:p>
    <w:p>
      <w:pPr>
        <w:pStyle w:val="8"/>
        <w:ind w:firstLine="540" w:firstLineChars="0"/>
        <w:rPr>
          <w:rFonts w:hint="eastAsia"/>
          <w:highlight w:val="none"/>
        </w:rPr>
      </w:pPr>
      <w:r>
        <w:rPr>
          <w:rFonts w:hint="eastAsia"/>
          <w:highlight w:val="none"/>
        </w:rPr>
        <w:t>施工期雨天收集前30min雨水进行处理，收集量为15.3m³，后期雨水直排。项目拟在地势较低处靠近排放口处设置容积为30m</w:t>
      </w:r>
      <w:r>
        <w:rPr>
          <w:rFonts w:hint="eastAsia"/>
          <w:highlight w:val="none"/>
          <w:vertAlign w:val="superscript"/>
        </w:rPr>
        <w:t>3</w:t>
      </w:r>
      <w:r>
        <w:rPr>
          <w:rFonts w:hint="eastAsia"/>
          <w:highlight w:val="none"/>
        </w:rPr>
        <w:t>的雨水沉淀池收集地表径流，经沉淀处理后回用于场区洒水降尘，不外排。</w:t>
      </w:r>
    </w:p>
    <w:p>
      <w:pPr>
        <w:pStyle w:val="8"/>
        <w:ind w:firstLine="540" w:firstLineChars="0"/>
        <w:rPr>
          <w:highlight w:val="none"/>
        </w:rPr>
      </w:pPr>
      <w:r>
        <w:rPr>
          <w:rFonts w:hint="eastAsia"/>
          <w:highlight w:val="none"/>
        </w:rPr>
        <w:t>综上，项目采取了以上环保措施后，项目施工期产生的废水对环境造成的影响不大。</w:t>
      </w:r>
    </w:p>
    <w:p>
      <w:pPr>
        <w:tabs>
          <w:tab w:val="left" w:pos="5580"/>
        </w:tabs>
        <w:adjustRightInd w:val="0"/>
        <w:ind w:left="0" w:leftChars="0" w:firstLine="0" w:firstLineChars="0"/>
        <w:textAlignment w:val="baseline"/>
        <w:rPr>
          <w:rFonts w:hint="eastAsia"/>
          <w:highlight w:val="none"/>
        </w:rPr>
      </w:pPr>
      <w:r>
        <w:rPr>
          <w:rFonts w:hint="eastAsia" w:ascii="Times New Roman" w:hAnsi="Times New Roman" w:eastAsia="宋体" w:cs="Times New Roman"/>
          <w:b/>
          <w:kern w:val="0"/>
          <w:sz w:val="28"/>
          <w:szCs w:val="27"/>
          <w:highlight w:val="none"/>
          <w:lang w:val="en-US" w:eastAsia="zh-CN" w:bidi="ar-SA"/>
        </w:rPr>
        <w:t>6.1.</w:t>
      </w:r>
      <w:r>
        <w:rPr>
          <w:rFonts w:hint="eastAsia" w:cs="Times New Roman"/>
          <w:b/>
          <w:kern w:val="0"/>
          <w:sz w:val="28"/>
          <w:szCs w:val="27"/>
          <w:highlight w:val="none"/>
          <w:lang w:val="en-US" w:eastAsia="zh-CN" w:bidi="ar-SA"/>
        </w:rPr>
        <w:t>3</w:t>
      </w:r>
      <w:r>
        <w:rPr>
          <w:rFonts w:hint="eastAsia" w:ascii="Times New Roman" w:hAnsi="Times New Roman" w:eastAsia="宋体" w:cs="Times New Roman"/>
          <w:b/>
          <w:kern w:val="0"/>
          <w:sz w:val="28"/>
          <w:szCs w:val="27"/>
          <w:highlight w:val="none"/>
          <w:lang w:val="en-US" w:eastAsia="zh-CN" w:bidi="ar-SA"/>
        </w:rPr>
        <w:t>施工期</w:t>
      </w:r>
      <w:r>
        <w:rPr>
          <w:rFonts w:hint="eastAsia" w:cs="Times New Roman"/>
          <w:b/>
          <w:kern w:val="0"/>
          <w:sz w:val="28"/>
          <w:szCs w:val="27"/>
          <w:highlight w:val="none"/>
          <w:lang w:val="en-US" w:eastAsia="zh-CN" w:bidi="ar-SA"/>
        </w:rPr>
        <w:t>声</w:t>
      </w:r>
      <w:r>
        <w:rPr>
          <w:rFonts w:hint="eastAsia" w:ascii="Times New Roman" w:hAnsi="Times New Roman" w:eastAsia="宋体" w:cs="Times New Roman"/>
          <w:b/>
          <w:kern w:val="0"/>
          <w:sz w:val="28"/>
          <w:szCs w:val="27"/>
          <w:highlight w:val="none"/>
          <w:lang w:val="en-US" w:eastAsia="zh-CN" w:bidi="ar-SA"/>
        </w:rPr>
        <w:t>环境影响分析</w:t>
      </w:r>
    </w:p>
    <w:p>
      <w:pPr>
        <w:tabs>
          <w:tab w:val="left" w:pos="5580"/>
        </w:tabs>
        <w:adjustRightInd w:val="0"/>
        <w:ind w:firstLine="480"/>
        <w:textAlignment w:val="baseline"/>
        <w:rPr>
          <w:rFonts w:hint="eastAsia"/>
          <w:highlight w:val="none"/>
        </w:rPr>
      </w:pPr>
      <w:r>
        <w:rPr>
          <w:rFonts w:hint="eastAsia"/>
          <w:highlight w:val="none"/>
        </w:rPr>
        <w:t>1、噪声源分析</w:t>
      </w:r>
    </w:p>
    <w:p>
      <w:pPr>
        <w:tabs>
          <w:tab w:val="left" w:pos="5580"/>
        </w:tabs>
        <w:adjustRightInd w:val="0"/>
        <w:ind w:firstLine="480"/>
        <w:textAlignment w:val="baseline"/>
        <w:rPr>
          <w:rFonts w:hint="eastAsia" w:eastAsia="宋体"/>
          <w:highlight w:val="none"/>
          <w:lang w:eastAsia="zh-CN"/>
        </w:rPr>
      </w:pPr>
      <w:r>
        <w:rPr>
          <w:rFonts w:hint="eastAsia"/>
          <w:highlight w:val="none"/>
        </w:rPr>
        <w:t>根据前述施工期工程分析可知，项目施工噪声主要来源于各施工阶段施工机械产生的噪声，该噪声具有阵发性、临时性和不固定性，不同的施工设备产生的噪声不同。在多台机械设备同时作业时，各台设备产生的噪声会产生叠加。各施工阶段主要施工机械噪声源强如表</w:t>
      </w:r>
      <w:r>
        <w:rPr>
          <w:rFonts w:hint="eastAsia"/>
          <w:highlight w:val="none"/>
          <w:lang w:val="en-US" w:eastAsia="zh-CN"/>
        </w:rPr>
        <w:t>3.3-2</w:t>
      </w:r>
      <w:r>
        <w:rPr>
          <w:rFonts w:hint="eastAsia"/>
          <w:highlight w:val="none"/>
        </w:rPr>
        <w:t>所示</w:t>
      </w:r>
      <w:r>
        <w:rPr>
          <w:rFonts w:hint="eastAsia"/>
          <w:highlight w:val="none"/>
          <w:lang w:eastAsia="zh-CN"/>
        </w:rPr>
        <w:t>。</w:t>
      </w:r>
    </w:p>
    <w:p>
      <w:pPr>
        <w:tabs>
          <w:tab w:val="left" w:pos="5580"/>
        </w:tabs>
        <w:adjustRightInd w:val="0"/>
        <w:ind w:firstLine="480"/>
        <w:textAlignment w:val="baseline"/>
        <w:rPr>
          <w:rFonts w:hint="eastAsia"/>
          <w:highlight w:val="none"/>
        </w:rPr>
      </w:pPr>
      <w:r>
        <w:rPr>
          <w:rFonts w:hint="eastAsia"/>
          <w:highlight w:val="none"/>
        </w:rPr>
        <w:t>2、施工噪声衰减预测</w:t>
      </w:r>
    </w:p>
    <w:p>
      <w:pPr>
        <w:tabs>
          <w:tab w:val="left" w:pos="5580"/>
        </w:tabs>
        <w:adjustRightInd w:val="0"/>
        <w:ind w:firstLine="480"/>
        <w:textAlignment w:val="baseline"/>
        <w:rPr>
          <w:rFonts w:hint="eastAsia"/>
          <w:highlight w:val="none"/>
          <w:lang w:eastAsia="zh-CN"/>
        </w:rPr>
      </w:pPr>
      <w:r>
        <w:rPr>
          <w:rFonts w:hint="eastAsia"/>
          <w:highlight w:val="none"/>
        </w:rPr>
        <w:t>项目大多数施工设备噪声均属于中低频产噪设备，预测其影响时可只考虑其扩散衰减，预测模型可选用</w:t>
      </w:r>
      <w:r>
        <w:rPr>
          <w:rFonts w:hint="eastAsia"/>
          <w:highlight w:val="none"/>
          <w:lang w:eastAsia="zh-CN"/>
        </w:rPr>
        <w:t>：</w:t>
      </w:r>
    </w:p>
    <w:p>
      <w:pPr>
        <w:pStyle w:val="2"/>
        <w:spacing w:line="231" w:lineRule="exact"/>
        <w:ind w:left="697"/>
        <w:rPr>
          <w:rFonts w:ascii="Times New Roman" w:hAnsi="Times New Roman" w:eastAsia="宋体"/>
          <w:highlight w:val="none"/>
        </w:rPr>
      </w:pPr>
      <w:r>
        <w:rPr>
          <w:rFonts w:ascii="Times New Roman" w:hAnsi="Times New Roman" w:eastAsia="宋体"/>
          <w:position w:val="2"/>
          <w:highlight w:val="none"/>
        </w:rPr>
        <w:t>Lp（r）=Lp（r</w:t>
      </w:r>
      <w:r>
        <w:rPr>
          <w:rFonts w:ascii="Times New Roman" w:hAnsi="Times New Roman" w:eastAsia="宋体"/>
          <w:position w:val="2"/>
          <w:highlight w:val="none"/>
          <w:vertAlign w:val="subscript"/>
        </w:rPr>
        <w:t>0</w:t>
      </w:r>
      <w:r>
        <w:rPr>
          <w:rFonts w:ascii="Times New Roman" w:hAnsi="Times New Roman" w:eastAsia="宋体"/>
          <w:position w:val="2"/>
          <w:highlight w:val="none"/>
          <w:vertAlign w:val="baseline"/>
        </w:rPr>
        <w:t>）－20lg（r/r</w:t>
      </w:r>
      <w:r>
        <w:rPr>
          <w:rFonts w:ascii="Times New Roman" w:hAnsi="Times New Roman" w:eastAsia="宋体"/>
          <w:position w:val="2"/>
          <w:highlight w:val="none"/>
          <w:vertAlign w:val="subscript"/>
        </w:rPr>
        <w:t>0</w:t>
      </w:r>
      <w:r>
        <w:rPr>
          <w:rFonts w:ascii="Times New Roman" w:hAnsi="Times New Roman" w:eastAsia="宋体"/>
          <w:position w:val="2"/>
          <w:highlight w:val="none"/>
          <w:vertAlign w:val="baseline"/>
        </w:rPr>
        <w:t>）</w:t>
      </w:r>
    </w:p>
    <w:p>
      <w:pPr>
        <w:pStyle w:val="2"/>
        <w:spacing w:before="159"/>
        <w:ind w:left="697"/>
        <w:rPr>
          <w:rFonts w:ascii="Times New Roman" w:hAnsi="Times New Roman" w:eastAsia="宋体"/>
          <w:highlight w:val="none"/>
        </w:rPr>
      </w:pPr>
      <w:r>
        <w:rPr>
          <w:rFonts w:ascii="Times New Roman" w:hAnsi="Times New Roman" w:eastAsia="宋体"/>
          <w:highlight w:val="none"/>
        </w:rPr>
        <w:t>式中：Lp（r）——距声源r处的声压级，dB(A)；</w:t>
      </w:r>
    </w:p>
    <w:p>
      <w:pPr>
        <w:tabs>
          <w:tab w:val="left" w:pos="5580"/>
        </w:tabs>
        <w:adjustRightInd w:val="0"/>
        <w:ind w:firstLine="1920" w:firstLineChars="800"/>
        <w:textAlignment w:val="baseline"/>
        <w:rPr>
          <w:rFonts w:ascii="Times New Roman" w:hAnsi="Times New Roman" w:eastAsia="宋体"/>
          <w:position w:val="2"/>
          <w:highlight w:val="none"/>
          <w:vertAlign w:val="baseline"/>
        </w:rPr>
      </w:pPr>
      <w:r>
        <w:rPr>
          <w:rFonts w:ascii="Times New Roman" w:hAnsi="Times New Roman" w:eastAsia="宋体"/>
          <w:position w:val="2"/>
          <w:highlight w:val="none"/>
        </w:rPr>
        <w:t>Lp（r</w:t>
      </w:r>
      <w:r>
        <w:rPr>
          <w:rFonts w:ascii="Times New Roman" w:hAnsi="Times New Roman" w:eastAsia="宋体"/>
          <w:position w:val="2"/>
          <w:highlight w:val="none"/>
          <w:vertAlign w:val="subscript"/>
        </w:rPr>
        <w:t>0</w:t>
      </w:r>
      <w:r>
        <w:rPr>
          <w:rFonts w:ascii="Times New Roman" w:hAnsi="Times New Roman" w:eastAsia="宋体"/>
          <w:position w:val="2"/>
          <w:highlight w:val="none"/>
          <w:vertAlign w:val="baseline"/>
        </w:rPr>
        <w:t>）——参考位置r</w:t>
      </w:r>
      <w:r>
        <w:rPr>
          <w:rFonts w:ascii="Times New Roman" w:hAnsi="Times New Roman" w:eastAsia="宋体"/>
          <w:position w:val="2"/>
          <w:highlight w:val="none"/>
          <w:vertAlign w:val="subscript"/>
        </w:rPr>
        <w:t>0</w:t>
      </w:r>
      <w:r>
        <w:rPr>
          <w:rFonts w:ascii="Times New Roman" w:hAnsi="Times New Roman" w:eastAsia="宋体"/>
          <w:position w:val="2"/>
          <w:highlight w:val="none"/>
          <w:vertAlign w:val="baseline"/>
        </w:rPr>
        <w:t>处的声压级，dB(A)</w:t>
      </w:r>
    </w:p>
    <w:p>
      <w:pPr>
        <w:tabs>
          <w:tab w:val="left" w:pos="5580"/>
        </w:tabs>
        <w:adjustRightInd w:val="0"/>
        <w:ind w:firstLine="480"/>
        <w:textAlignment w:val="baseline"/>
        <w:rPr>
          <w:rFonts w:hint="eastAsia" w:ascii="Times New Roman" w:hAnsi="Times New Roman" w:eastAsia="宋体"/>
          <w:position w:val="2"/>
          <w:highlight w:val="none"/>
          <w:vertAlign w:val="baseline"/>
          <w:lang w:eastAsia="zh-CN"/>
        </w:rPr>
      </w:pPr>
      <w:r>
        <w:rPr>
          <w:rFonts w:hint="eastAsia" w:ascii="Times New Roman" w:hAnsi="Times New Roman" w:eastAsia="宋体"/>
          <w:position w:val="2"/>
          <w:highlight w:val="none"/>
          <w:vertAlign w:val="baseline"/>
          <w:lang w:eastAsia="zh-CN"/>
        </w:rPr>
        <w:drawing>
          <wp:inline distT="0" distB="0" distL="114300" distR="114300">
            <wp:extent cx="3533775" cy="514350"/>
            <wp:effectExtent l="0" t="0" r="9525" b="0"/>
            <wp:docPr id="11" name="图片 11" descr="噪声叠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噪声叠加"/>
                    <pic:cNvPicPr>
                      <a:picLocks noChangeAspect="1"/>
                    </pic:cNvPicPr>
                  </pic:nvPicPr>
                  <pic:blipFill>
                    <a:blip r:embed="rId21"/>
                    <a:stretch>
                      <a:fillRect/>
                    </a:stretch>
                  </pic:blipFill>
                  <pic:spPr>
                    <a:xfrm>
                      <a:off x="0" y="0"/>
                      <a:ext cx="3533775" cy="514350"/>
                    </a:xfrm>
                    <a:prstGeom prst="rect">
                      <a:avLst/>
                    </a:prstGeom>
                  </pic:spPr>
                </pic:pic>
              </a:graphicData>
            </a:graphic>
          </wp:inline>
        </w:drawing>
      </w:r>
    </w:p>
    <w:p>
      <w:pPr>
        <w:tabs>
          <w:tab w:val="left" w:pos="5580"/>
        </w:tabs>
        <w:adjustRightInd w:val="0"/>
        <w:ind w:firstLine="480"/>
        <w:textAlignment w:val="baseline"/>
        <w:rPr>
          <w:rFonts w:hint="eastAsia"/>
          <w:highlight w:val="none"/>
        </w:rPr>
      </w:pPr>
      <w:r>
        <w:rPr>
          <w:rFonts w:hint="eastAsia"/>
          <w:highlight w:val="none"/>
        </w:rPr>
        <w:t>式中：LPT——预测点出新增的总声压级，dB(A)；</w:t>
      </w:r>
    </w:p>
    <w:p>
      <w:pPr>
        <w:tabs>
          <w:tab w:val="left" w:pos="5580"/>
        </w:tabs>
        <w:adjustRightInd w:val="0"/>
        <w:ind w:firstLine="1200" w:firstLineChars="500"/>
        <w:textAlignment w:val="baseline"/>
        <w:rPr>
          <w:rFonts w:hint="eastAsia"/>
          <w:highlight w:val="none"/>
        </w:rPr>
      </w:pPr>
      <w:r>
        <w:rPr>
          <w:rFonts w:hint="eastAsia"/>
          <w:highlight w:val="none"/>
        </w:rPr>
        <w:t>Lpi——第i个声源至预测点处的声压级，dB(A)；</w:t>
      </w:r>
    </w:p>
    <w:p>
      <w:pPr>
        <w:tabs>
          <w:tab w:val="left" w:pos="5580"/>
        </w:tabs>
        <w:adjustRightInd w:val="0"/>
        <w:ind w:firstLine="1200" w:firstLineChars="500"/>
        <w:textAlignment w:val="baseline"/>
        <w:rPr>
          <w:rFonts w:hint="eastAsia" w:eastAsia="宋体"/>
          <w:highlight w:val="none"/>
          <w:lang w:eastAsia="zh-CN"/>
        </w:rPr>
      </w:pPr>
      <w:r>
        <w:rPr>
          <w:rFonts w:hint="eastAsia"/>
          <w:highlight w:val="none"/>
        </w:rPr>
        <w:t>n——声源个数</w:t>
      </w:r>
      <w:r>
        <w:rPr>
          <w:rFonts w:hint="eastAsia"/>
          <w:highlight w:val="none"/>
          <w:lang w:eastAsia="zh-CN"/>
        </w:rPr>
        <w:t>。</w:t>
      </w:r>
    </w:p>
    <w:p>
      <w:pPr>
        <w:keepNext w:val="0"/>
        <w:keepLines w:val="0"/>
        <w:pageBreakBefore w:val="0"/>
        <w:widowControl w:val="0"/>
        <w:tabs>
          <w:tab w:val="left" w:pos="5580"/>
        </w:tabs>
        <w:kinsoku/>
        <w:wordWrap/>
        <w:overflowPunct/>
        <w:topLinePunct w:val="0"/>
        <w:autoSpaceDE/>
        <w:autoSpaceDN/>
        <w:bidi w:val="0"/>
        <w:adjustRightInd w:val="0"/>
        <w:snapToGrid/>
        <w:ind w:left="0" w:leftChars="0" w:firstLine="480" w:firstLineChars="200"/>
        <w:textAlignment w:val="baseline"/>
        <w:rPr>
          <w:rFonts w:hint="eastAsia"/>
          <w:highlight w:val="none"/>
          <w:lang w:val="en-US" w:eastAsia="zh-CN"/>
        </w:rPr>
      </w:pPr>
      <w:r>
        <w:rPr>
          <w:rFonts w:hint="eastAsia"/>
          <w:highlight w:val="none"/>
          <w:lang w:val="en-US" w:eastAsia="zh-CN"/>
        </w:rPr>
        <w:t>3、预测结果</w:t>
      </w:r>
    </w:p>
    <w:p>
      <w:pPr>
        <w:keepNext w:val="0"/>
        <w:keepLines w:val="0"/>
        <w:pageBreakBefore w:val="0"/>
        <w:widowControl w:val="0"/>
        <w:tabs>
          <w:tab w:val="left" w:pos="5580"/>
        </w:tabs>
        <w:kinsoku/>
        <w:wordWrap/>
        <w:overflowPunct/>
        <w:topLinePunct w:val="0"/>
        <w:autoSpaceDE/>
        <w:autoSpaceDN/>
        <w:bidi w:val="0"/>
        <w:adjustRightInd w:val="0"/>
        <w:snapToGrid/>
        <w:ind w:left="0" w:leftChars="0" w:firstLine="480" w:firstLineChars="200"/>
        <w:textAlignment w:val="baseline"/>
        <w:rPr>
          <w:highlight w:val="none"/>
        </w:rPr>
      </w:pPr>
      <w:r>
        <w:rPr>
          <w:rFonts w:ascii="Times New Roman" w:hAnsi="Times New Roman" w:eastAsia="宋体"/>
          <w:highlight w:val="none"/>
        </w:rPr>
        <w:t>各种施工设备运行时的超标范围预测结果如表6.1-</w:t>
      </w:r>
      <w:r>
        <w:rPr>
          <w:rFonts w:hint="eastAsia"/>
          <w:highlight w:val="none"/>
          <w:lang w:val="en-US" w:eastAsia="zh-CN"/>
        </w:rPr>
        <w:t>2</w:t>
      </w:r>
      <w:r>
        <w:rPr>
          <w:rFonts w:ascii="Times New Roman" w:hAnsi="Times New Roman" w:eastAsia="宋体"/>
          <w:highlight w:val="none"/>
        </w:rPr>
        <w:t>所示</w:t>
      </w:r>
      <w:r>
        <w:rPr>
          <w:rFonts w:hint="eastAsia"/>
          <w:highlight w:val="none"/>
        </w:rPr>
        <w:t>。</w:t>
      </w:r>
    </w:p>
    <w:p>
      <w:pPr>
        <w:ind w:firstLine="0" w:firstLineChars="0"/>
        <w:jc w:val="center"/>
        <w:rPr>
          <w:b/>
          <w:sz w:val="21"/>
          <w:szCs w:val="21"/>
          <w:highlight w:val="none"/>
        </w:rPr>
      </w:pPr>
      <w:r>
        <w:rPr>
          <w:rFonts w:hint="eastAsia"/>
          <w:b/>
          <w:sz w:val="21"/>
          <w:szCs w:val="21"/>
          <w:highlight w:val="none"/>
        </w:rPr>
        <w:t>表</w:t>
      </w:r>
      <w:r>
        <w:rPr>
          <w:rFonts w:hint="eastAsia"/>
          <w:b/>
          <w:sz w:val="21"/>
          <w:szCs w:val="21"/>
          <w:highlight w:val="none"/>
          <w:lang w:val="en-US" w:eastAsia="zh-CN"/>
        </w:rPr>
        <w:t>6.1-2</w:t>
      </w:r>
      <w:r>
        <w:rPr>
          <w:rFonts w:hint="eastAsia"/>
          <w:b/>
          <w:sz w:val="21"/>
          <w:szCs w:val="21"/>
          <w:highlight w:val="none"/>
        </w:rPr>
        <w:t xml:space="preserve">  主要施工机械噪声源强及距离衰减情况  单位：dB（A）</w:t>
      </w:r>
    </w:p>
    <w:tbl>
      <w:tblPr>
        <w:tblStyle w:val="30"/>
        <w:tblW w:w="92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782"/>
        <w:gridCol w:w="664"/>
        <w:gridCol w:w="671"/>
        <w:gridCol w:w="671"/>
        <w:gridCol w:w="671"/>
        <w:gridCol w:w="671"/>
        <w:gridCol w:w="790"/>
        <w:gridCol w:w="790"/>
        <w:gridCol w:w="790"/>
        <w:gridCol w:w="790"/>
        <w:gridCol w:w="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200" w:type="dxa"/>
            <w:vMerge w:val="restart"/>
            <w:vAlign w:val="center"/>
          </w:tcPr>
          <w:p>
            <w:pPr>
              <w:adjustRightInd w:val="0"/>
              <w:snapToGrid w:val="0"/>
              <w:ind w:left="0" w:leftChars="0" w:firstLine="0" w:firstLineChars="0"/>
              <w:jc w:val="center"/>
              <w:rPr>
                <w:rFonts w:hint="eastAsia" w:eastAsia="宋体"/>
                <w:sz w:val="21"/>
                <w:szCs w:val="21"/>
                <w:highlight w:val="none"/>
                <w:vertAlign w:val="baseline"/>
                <w:lang w:eastAsia="zh-CN"/>
              </w:rPr>
            </w:pPr>
            <w:r>
              <w:rPr>
                <w:rFonts w:hint="eastAsia"/>
                <w:sz w:val="21"/>
                <w:szCs w:val="21"/>
                <w:highlight w:val="none"/>
                <w:vertAlign w:val="baseline"/>
                <w:lang w:eastAsia="zh-CN"/>
              </w:rPr>
              <w:t>施工机械</w:t>
            </w:r>
          </w:p>
        </w:tc>
        <w:tc>
          <w:tcPr>
            <w:tcW w:w="8091" w:type="dxa"/>
            <w:gridSpan w:val="11"/>
            <w:vAlign w:val="center"/>
          </w:tcPr>
          <w:p>
            <w:pPr>
              <w:adjustRightInd w:val="0"/>
              <w:snapToGrid w:val="0"/>
              <w:ind w:left="0" w:leftChars="0" w:firstLine="0" w:firstLineChars="0"/>
              <w:jc w:val="center"/>
              <w:rPr>
                <w:rFonts w:hint="eastAsia" w:eastAsia="宋体"/>
                <w:sz w:val="21"/>
                <w:szCs w:val="21"/>
                <w:highlight w:val="none"/>
                <w:vertAlign w:val="baseline"/>
                <w:lang w:eastAsia="zh-CN"/>
              </w:rPr>
            </w:pPr>
            <w:r>
              <w:rPr>
                <w:rFonts w:hint="eastAsia"/>
                <w:sz w:val="21"/>
                <w:szCs w:val="21"/>
                <w:highlight w:val="none"/>
                <w:vertAlign w:val="baseline"/>
                <w:lang w:eastAsia="zh-CN"/>
              </w:rPr>
              <w:t>衰减情况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vMerge w:val="continue"/>
            <w:vAlign w:val="center"/>
          </w:tcPr>
          <w:p>
            <w:pPr>
              <w:adjustRightInd w:val="0"/>
              <w:snapToGrid w:val="0"/>
              <w:ind w:left="0" w:leftChars="0" w:firstLine="0" w:firstLineChars="0"/>
              <w:jc w:val="center"/>
              <w:rPr>
                <w:sz w:val="21"/>
                <w:szCs w:val="21"/>
                <w:highlight w:val="none"/>
                <w:vertAlign w:val="baseline"/>
              </w:rPr>
            </w:pPr>
          </w:p>
        </w:tc>
        <w:tc>
          <w:tcPr>
            <w:tcW w:w="782" w:type="dxa"/>
            <w:vAlign w:val="center"/>
          </w:tcPr>
          <w:p>
            <w:pPr>
              <w:adjustRightInd w:val="0"/>
              <w:snapToGrid w:val="0"/>
              <w:ind w:left="0" w:leftChars="0" w:firstLine="0" w:firstLineChars="0"/>
              <w:jc w:val="center"/>
              <w:rPr>
                <w:rFonts w:hint="eastAsia" w:eastAsia="宋体"/>
                <w:sz w:val="21"/>
                <w:szCs w:val="21"/>
                <w:highlight w:val="none"/>
                <w:vertAlign w:val="baseline"/>
                <w:lang w:eastAsia="zh-CN"/>
              </w:rPr>
            </w:pPr>
            <w:r>
              <w:rPr>
                <w:rFonts w:hint="eastAsia"/>
                <w:sz w:val="21"/>
                <w:szCs w:val="21"/>
                <w:highlight w:val="none"/>
                <w:vertAlign w:val="baseline"/>
                <w:lang w:eastAsia="zh-CN"/>
              </w:rPr>
              <w:t>声源</w:t>
            </w:r>
          </w:p>
        </w:tc>
        <w:tc>
          <w:tcPr>
            <w:tcW w:w="664"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5m</w:t>
            </w:r>
          </w:p>
        </w:tc>
        <w:tc>
          <w:tcPr>
            <w:tcW w:w="671"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10m</w:t>
            </w:r>
          </w:p>
        </w:tc>
        <w:tc>
          <w:tcPr>
            <w:tcW w:w="671"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20m</w:t>
            </w:r>
          </w:p>
        </w:tc>
        <w:tc>
          <w:tcPr>
            <w:tcW w:w="671"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45m</w:t>
            </w:r>
          </w:p>
        </w:tc>
        <w:tc>
          <w:tcPr>
            <w:tcW w:w="671"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50m</w:t>
            </w:r>
          </w:p>
        </w:tc>
        <w:tc>
          <w:tcPr>
            <w:tcW w:w="790"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100m</w:t>
            </w:r>
          </w:p>
        </w:tc>
        <w:tc>
          <w:tcPr>
            <w:tcW w:w="790"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150m</w:t>
            </w:r>
          </w:p>
        </w:tc>
        <w:tc>
          <w:tcPr>
            <w:tcW w:w="790"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200m</w:t>
            </w:r>
          </w:p>
        </w:tc>
        <w:tc>
          <w:tcPr>
            <w:tcW w:w="790"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400m</w:t>
            </w:r>
          </w:p>
        </w:tc>
        <w:tc>
          <w:tcPr>
            <w:tcW w:w="801"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600m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vAlign w:val="center"/>
          </w:tcPr>
          <w:p>
            <w:pPr>
              <w:adjustRightInd w:val="0"/>
              <w:snapToGrid w:val="0"/>
              <w:ind w:left="0" w:leftChars="0" w:firstLine="0" w:firstLineChars="0"/>
              <w:jc w:val="center"/>
              <w:rPr>
                <w:rFonts w:hint="eastAsia" w:eastAsia="宋体"/>
                <w:sz w:val="21"/>
                <w:szCs w:val="21"/>
                <w:highlight w:val="none"/>
                <w:vertAlign w:val="baseline"/>
                <w:lang w:eastAsia="zh-CN"/>
              </w:rPr>
            </w:pPr>
            <w:r>
              <w:rPr>
                <w:rFonts w:hint="eastAsia"/>
                <w:sz w:val="21"/>
                <w:szCs w:val="21"/>
                <w:highlight w:val="none"/>
                <w:vertAlign w:val="baseline"/>
                <w:lang w:eastAsia="zh-CN"/>
              </w:rPr>
              <w:t>挖掘机</w:t>
            </w:r>
          </w:p>
        </w:tc>
        <w:tc>
          <w:tcPr>
            <w:tcW w:w="782"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85</w:t>
            </w:r>
          </w:p>
        </w:tc>
        <w:tc>
          <w:tcPr>
            <w:tcW w:w="664"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71</w:t>
            </w:r>
          </w:p>
        </w:tc>
        <w:tc>
          <w:tcPr>
            <w:tcW w:w="671"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65</w:t>
            </w:r>
          </w:p>
        </w:tc>
        <w:tc>
          <w:tcPr>
            <w:tcW w:w="671"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59</w:t>
            </w:r>
          </w:p>
        </w:tc>
        <w:tc>
          <w:tcPr>
            <w:tcW w:w="671"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51.9</w:t>
            </w:r>
          </w:p>
        </w:tc>
        <w:tc>
          <w:tcPr>
            <w:tcW w:w="671"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51</w:t>
            </w:r>
          </w:p>
        </w:tc>
        <w:tc>
          <w:tcPr>
            <w:tcW w:w="790"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45</w:t>
            </w:r>
          </w:p>
        </w:tc>
        <w:tc>
          <w:tcPr>
            <w:tcW w:w="790"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41</w:t>
            </w:r>
          </w:p>
        </w:tc>
        <w:tc>
          <w:tcPr>
            <w:tcW w:w="790"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39</w:t>
            </w:r>
          </w:p>
        </w:tc>
        <w:tc>
          <w:tcPr>
            <w:tcW w:w="790"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33</w:t>
            </w:r>
          </w:p>
        </w:tc>
        <w:tc>
          <w:tcPr>
            <w:tcW w:w="801"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vAlign w:val="center"/>
          </w:tcPr>
          <w:p>
            <w:pPr>
              <w:adjustRightInd w:val="0"/>
              <w:snapToGrid w:val="0"/>
              <w:ind w:left="0" w:leftChars="0" w:firstLine="0" w:firstLineChars="0"/>
              <w:jc w:val="center"/>
              <w:rPr>
                <w:rFonts w:hint="eastAsia" w:eastAsia="宋体"/>
                <w:sz w:val="21"/>
                <w:szCs w:val="21"/>
                <w:highlight w:val="none"/>
                <w:vertAlign w:val="baseline"/>
                <w:lang w:eastAsia="zh-CN"/>
              </w:rPr>
            </w:pPr>
            <w:r>
              <w:rPr>
                <w:rFonts w:hint="eastAsia"/>
                <w:sz w:val="21"/>
                <w:szCs w:val="21"/>
                <w:highlight w:val="none"/>
                <w:vertAlign w:val="baseline"/>
                <w:lang w:eastAsia="zh-CN"/>
              </w:rPr>
              <w:t>电锯</w:t>
            </w:r>
          </w:p>
        </w:tc>
        <w:tc>
          <w:tcPr>
            <w:tcW w:w="782"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95</w:t>
            </w:r>
          </w:p>
        </w:tc>
        <w:tc>
          <w:tcPr>
            <w:tcW w:w="664"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81</w:t>
            </w:r>
          </w:p>
        </w:tc>
        <w:tc>
          <w:tcPr>
            <w:tcW w:w="671"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75</w:t>
            </w:r>
          </w:p>
        </w:tc>
        <w:tc>
          <w:tcPr>
            <w:tcW w:w="671"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69</w:t>
            </w:r>
          </w:p>
        </w:tc>
        <w:tc>
          <w:tcPr>
            <w:tcW w:w="671"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61.9</w:t>
            </w:r>
          </w:p>
        </w:tc>
        <w:tc>
          <w:tcPr>
            <w:tcW w:w="671"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61</w:t>
            </w:r>
          </w:p>
        </w:tc>
        <w:tc>
          <w:tcPr>
            <w:tcW w:w="790"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55</w:t>
            </w:r>
          </w:p>
        </w:tc>
        <w:tc>
          <w:tcPr>
            <w:tcW w:w="790"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51</w:t>
            </w:r>
          </w:p>
        </w:tc>
        <w:tc>
          <w:tcPr>
            <w:tcW w:w="790"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49</w:t>
            </w:r>
          </w:p>
        </w:tc>
        <w:tc>
          <w:tcPr>
            <w:tcW w:w="790"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43</w:t>
            </w:r>
          </w:p>
        </w:tc>
        <w:tc>
          <w:tcPr>
            <w:tcW w:w="801"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vAlign w:val="center"/>
          </w:tcPr>
          <w:p>
            <w:pPr>
              <w:adjustRightInd w:val="0"/>
              <w:snapToGrid w:val="0"/>
              <w:ind w:left="0" w:leftChars="0" w:firstLine="0" w:firstLineChars="0"/>
              <w:jc w:val="center"/>
              <w:rPr>
                <w:rFonts w:hint="eastAsia"/>
                <w:sz w:val="21"/>
                <w:szCs w:val="21"/>
                <w:highlight w:val="none"/>
                <w:vertAlign w:val="baseline"/>
                <w:lang w:eastAsia="zh-CN"/>
              </w:rPr>
            </w:pPr>
            <w:r>
              <w:rPr>
                <w:rFonts w:hint="eastAsia"/>
                <w:sz w:val="21"/>
                <w:szCs w:val="21"/>
                <w:highlight w:val="none"/>
                <w:vertAlign w:val="baseline"/>
                <w:lang w:eastAsia="zh-CN"/>
              </w:rPr>
              <w:t>电钻</w:t>
            </w:r>
          </w:p>
        </w:tc>
        <w:tc>
          <w:tcPr>
            <w:tcW w:w="782" w:type="dxa"/>
            <w:vAlign w:val="center"/>
          </w:tcPr>
          <w:p>
            <w:pPr>
              <w:adjustRightInd w:val="0"/>
              <w:snapToGrid w:val="0"/>
              <w:ind w:left="0" w:leftChars="0" w:firstLine="0" w:firstLineChars="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100</w:t>
            </w:r>
          </w:p>
        </w:tc>
        <w:tc>
          <w:tcPr>
            <w:tcW w:w="664"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86</w:t>
            </w:r>
          </w:p>
        </w:tc>
        <w:tc>
          <w:tcPr>
            <w:tcW w:w="671"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80</w:t>
            </w:r>
          </w:p>
        </w:tc>
        <w:tc>
          <w:tcPr>
            <w:tcW w:w="671"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74</w:t>
            </w:r>
          </w:p>
        </w:tc>
        <w:tc>
          <w:tcPr>
            <w:tcW w:w="671"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66.9</w:t>
            </w:r>
          </w:p>
        </w:tc>
        <w:tc>
          <w:tcPr>
            <w:tcW w:w="671"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66</w:t>
            </w:r>
          </w:p>
        </w:tc>
        <w:tc>
          <w:tcPr>
            <w:tcW w:w="790"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60</w:t>
            </w:r>
          </w:p>
        </w:tc>
        <w:tc>
          <w:tcPr>
            <w:tcW w:w="790"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56</w:t>
            </w:r>
          </w:p>
        </w:tc>
        <w:tc>
          <w:tcPr>
            <w:tcW w:w="790"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54</w:t>
            </w:r>
          </w:p>
        </w:tc>
        <w:tc>
          <w:tcPr>
            <w:tcW w:w="790"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48</w:t>
            </w:r>
          </w:p>
        </w:tc>
        <w:tc>
          <w:tcPr>
            <w:tcW w:w="801"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vAlign w:val="center"/>
          </w:tcPr>
          <w:p>
            <w:pPr>
              <w:adjustRightInd w:val="0"/>
              <w:snapToGrid w:val="0"/>
              <w:ind w:left="0" w:leftChars="0" w:firstLine="0" w:firstLineChars="0"/>
              <w:jc w:val="center"/>
              <w:rPr>
                <w:rFonts w:hint="eastAsia" w:eastAsia="宋体"/>
                <w:sz w:val="21"/>
                <w:szCs w:val="21"/>
                <w:highlight w:val="none"/>
                <w:vertAlign w:val="baseline"/>
                <w:lang w:eastAsia="zh-CN"/>
              </w:rPr>
            </w:pPr>
            <w:r>
              <w:rPr>
                <w:rFonts w:hint="eastAsia"/>
                <w:sz w:val="21"/>
                <w:szCs w:val="21"/>
                <w:highlight w:val="none"/>
                <w:vertAlign w:val="baseline"/>
                <w:lang w:eastAsia="zh-CN"/>
              </w:rPr>
              <w:t>切割机</w:t>
            </w:r>
          </w:p>
        </w:tc>
        <w:tc>
          <w:tcPr>
            <w:tcW w:w="782"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95</w:t>
            </w:r>
          </w:p>
        </w:tc>
        <w:tc>
          <w:tcPr>
            <w:tcW w:w="664" w:type="dxa"/>
            <w:vAlign w:val="center"/>
          </w:tcPr>
          <w:p>
            <w:pPr>
              <w:adjustRightInd w:val="0"/>
              <w:snapToGrid w:val="0"/>
              <w:ind w:left="0" w:leftChars="0" w:firstLine="0" w:firstLineChars="0"/>
              <w:jc w:val="center"/>
              <w:rPr>
                <w:sz w:val="21"/>
                <w:szCs w:val="21"/>
                <w:highlight w:val="none"/>
                <w:vertAlign w:val="baseline"/>
              </w:rPr>
            </w:pPr>
            <w:r>
              <w:rPr>
                <w:rFonts w:hint="eastAsia"/>
                <w:sz w:val="21"/>
                <w:szCs w:val="21"/>
                <w:highlight w:val="none"/>
                <w:vertAlign w:val="baseline"/>
                <w:lang w:val="en-US" w:eastAsia="zh-CN"/>
              </w:rPr>
              <w:t>81</w:t>
            </w:r>
          </w:p>
        </w:tc>
        <w:tc>
          <w:tcPr>
            <w:tcW w:w="671" w:type="dxa"/>
            <w:vAlign w:val="center"/>
          </w:tcPr>
          <w:p>
            <w:pPr>
              <w:adjustRightInd w:val="0"/>
              <w:snapToGrid w:val="0"/>
              <w:ind w:left="0" w:leftChars="0" w:firstLine="0" w:firstLineChars="0"/>
              <w:jc w:val="center"/>
              <w:rPr>
                <w:sz w:val="21"/>
                <w:szCs w:val="21"/>
                <w:highlight w:val="none"/>
                <w:vertAlign w:val="baseline"/>
              </w:rPr>
            </w:pPr>
            <w:r>
              <w:rPr>
                <w:rFonts w:hint="eastAsia"/>
                <w:sz w:val="21"/>
                <w:szCs w:val="21"/>
                <w:highlight w:val="none"/>
                <w:vertAlign w:val="baseline"/>
                <w:lang w:val="en-US" w:eastAsia="zh-CN"/>
              </w:rPr>
              <w:t>75</w:t>
            </w:r>
          </w:p>
        </w:tc>
        <w:tc>
          <w:tcPr>
            <w:tcW w:w="671" w:type="dxa"/>
            <w:vAlign w:val="center"/>
          </w:tcPr>
          <w:p>
            <w:pPr>
              <w:adjustRightInd w:val="0"/>
              <w:snapToGrid w:val="0"/>
              <w:ind w:left="0" w:leftChars="0" w:firstLine="0" w:firstLineChars="0"/>
              <w:jc w:val="center"/>
              <w:rPr>
                <w:sz w:val="21"/>
                <w:szCs w:val="21"/>
                <w:highlight w:val="none"/>
                <w:vertAlign w:val="baseline"/>
              </w:rPr>
            </w:pPr>
            <w:r>
              <w:rPr>
                <w:rFonts w:hint="eastAsia"/>
                <w:sz w:val="21"/>
                <w:szCs w:val="21"/>
                <w:highlight w:val="none"/>
                <w:vertAlign w:val="baseline"/>
                <w:lang w:val="en-US" w:eastAsia="zh-CN"/>
              </w:rPr>
              <w:t>69</w:t>
            </w:r>
          </w:p>
        </w:tc>
        <w:tc>
          <w:tcPr>
            <w:tcW w:w="671" w:type="dxa"/>
            <w:vAlign w:val="center"/>
          </w:tcPr>
          <w:p>
            <w:pPr>
              <w:adjustRightInd w:val="0"/>
              <w:snapToGrid w:val="0"/>
              <w:ind w:left="0" w:leftChars="0" w:firstLine="0" w:firstLineChars="0"/>
              <w:jc w:val="center"/>
              <w:rPr>
                <w:sz w:val="21"/>
                <w:szCs w:val="21"/>
                <w:highlight w:val="none"/>
                <w:vertAlign w:val="baseline"/>
              </w:rPr>
            </w:pPr>
            <w:r>
              <w:rPr>
                <w:rFonts w:hint="eastAsia"/>
                <w:sz w:val="21"/>
                <w:szCs w:val="21"/>
                <w:highlight w:val="none"/>
                <w:vertAlign w:val="baseline"/>
                <w:lang w:val="en-US" w:eastAsia="zh-CN"/>
              </w:rPr>
              <w:t>61.9</w:t>
            </w:r>
          </w:p>
        </w:tc>
        <w:tc>
          <w:tcPr>
            <w:tcW w:w="671" w:type="dxa"/>
            <w:vAlign w:val="center"/>
          </w:tcPr>
          <w:p>
            <w:pPr>
              <w:adjustRightInd w:val="0"/>
              <w:snapToGrid w:val="0"/>
              <w:ind w:left="0" w:leftChars="0" w:firstLine="0" w:firstLineChars="0"/>
              <w:jc w:val="center"/>
              <w:rPr>
                <w:sz w:val="21"/>
                <w:szCs w:val="21"/>
                <w:highlight w:val="none"/>
                <w:vertAlign w:val="baseline"/>
              </w:rPr>
            </w:pPr>
            <w:r>
              <w:rPr>
                <w:rFonts w:hint="eastAsia"/>
                <w:sz w:val="21"/>
                <w:szCs w:val="21"/>
                <w:highlight w:val="none"/>
                <w:vertAlign w:val="baseline"/>
                <w:lang w:val="en-US" w:eastAsia="zh-CN"/>
              </w:rPr>
              <w:t>61</w:t>
            </w:r>
          </w:p>
        </w:tc>
        <w:tc>
          <w:tcPr>
            <w:tcW w:w="790" w:type="dxa"/>
            <w:vAlign w:val="center"/>
          </w:tcPr>
          <w:p>
            <w:pPr>
              <w:adjustRightInd w:val="0"/>
              <w:snapToGrid w:val="0"/>
              <w:ind w:left="0" w:leftChars="0" w:firstLine="0" w:firstLineChars="0"/>
              <w:jc w:val="center"/>
              <w:rPr>
                <w:sz w:val="21"/>
                <w:szCs w:val="21"/>
                <w:highlight w:val="none"/>
                <w:vertAlign w:val="baseline"/>
              </w:rPr>
            </w:pPr>
            <w:r>
              <w:rPr>
                <w:rFonts w:hint="eastAsia"/>
                <w:sz w:val="21"/>
                <w:szCs w:val="21"/>
                <w:highlight w:val="none"/>
                <w:vertAlign w:val="baseline"/>
                <w:lang w:val="en-US" w:eastAsia="zh-CN"/>
              </w:rPr>
              <w:t>55</w:t>
            </w:r>
          </w:p>
        </w:tc>
        <w:tc>
          <w:tcPr>
            <w:tcW w:w="790" w:type="dxa"/>
            <w:vAlign w:val="center"/>
          </w:tcPr>
          <w:p>
            <w:pPr>
              <w:adjustRightInd w:val="0"/>
              <w:snapToGrid w:val="0"/>
              <w:ind w:left="0" w:leftChars="0" w:firstLine="0" w:firstLineChars="0"/>
              <w:jc w:val="center"/>
              <w:rPr>
                <w:sz w:val="21"/>
                <w:szCs w:val="21"/>
                <w:highlight w:val="none"/>
                <w:vertAlign w:val="baseline"/>
              </w:rPr>
            </w:pPr>
            <w:r>
              <w:rPr>
                <w:rFonts w:hint="eastAsia"/>
                <w:sz w:val="21"/>
                <w:szCs w:val="21"/>
                <w:highlight w:val="none"/>
                <w:vertAlign w:val="baseline"/>
                <w:lang w:val="en-US" w:eastAsia="zh-CN"/>
              </w:rPr>
              <w:t>51</w:t>
            </w:r>
          </w:p>
        </w:tc>
        <w:tc>
          <w:tcPr>
            <w:tcW w:w="790" w:type="dxa"/>
            <w:vAlign w:val="center"/>
          </w:tcPr>
          <w:p>
            <w:pPr>
              <w:adjustRightInd w:val="0"/>
              <w:snapToGrid w:val="0"/>
              <w:ind w:left="0" w:leftChars="0" w:firstLine="0" w:firstLineChars="0"/>
              <w:jc w:val="center"/>
              <w:rPr>
                <w:sz w:val="21"/>
                <w:szCs w:val="21"/>
                <w:highlight w:val="none"/>
                <w:vertAlign w:val="baseline"/>
              </w:rPr>
            </w:pPr>
            <w:r>
              <w:rPr>
                <w:rFonts w:hint="eastAsia"/>
                <w:sz w:val="21"/>
                <w:szCs w:val="21"/>
                <w:highlight w:val="none"/>
                <w:vertAlign w:val="baseline"/>
                <w:lang w:val="en-US" w:eastAsia="zh-CN"/>
              </w:rPr>
              <w:t>49</w:t>
            </w:r>
          </w:p>
        </w:tc>
        <w:tc>
          <w:tcPr>
            <w:tcW w:w="790" w:type="dxa"/>
            <w:vAlign w:val="center"/>
          </w:tcPr>
          <w:p>
            <w:pPr>
              <w:adjustRightInd w:val="0"/>
              <w:snapToGrid w:val="0"/>
              <w:ind w:left="0" w:leftChars="0" w:firstLine="0" w:firstLineChars="0"/>
              <w:jc w:val="center"/>
              <w:rPr>
                <w:sz w:val="21"/>
                <w:szCs w:val="21"/>
                <w:highlight w:val="none"/>
                <w:vertAlign w:val="baseline"/>
              </w:rPr>
            </w:pPr>
            <w:r>
              <w:rPr>
                <w:rFonts w:hint="eastAsia"/>
                <w:sz w:val="21"/>
                <w:szCs w:val="21"/>
                <w:highlight w:val="none"/>
                <w:vertAlign w:val="baseline"/>
                <w:lang w:val="en-US" w:eastAsia="zh-CN"/>
              </w:rPr>
              <w:t>43</w:t>
            </w:r>
          </w:p>
        </w:tc>
        <w:tc>
          <w:tcPr>
            <w:tcW w:w="801" w:type="dxa"/>
            <w:vAlign w:val="center"/>
          </w:tcPr>
          <w:p>
            <w:pPr>
              <w:adjustRightInd w:val="0"/>
              <w:snapToGrid w:val="0"/>
              <w:ind w:left="0" w:leftChars="0" w:firstLine="0" w:firstLineChars="0"/>
              <w:jc w:val="center"/>
              <w:rPr>
                <w:sz w:val="21"/>
                <w:szCs w:val="21"/>
                <w:highlight w:val="none"/>
                <w:vertAlign w:val="baseline"/>
              </w:rPr>
            </w:pPr>
            <w:r>
              <w:rPr>
                <w:rFonts w:hint="eastAsia"/>
                <w:sz w:val="21"/>
                <w:szCs w:val="21"/>
                <w:highlight w:val="none"/>
                <w:vertAlign w:val="baseline"/>
                <w:lang w:val="en-US" w:eastAsia="zh-CN"/>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vAlign w:val="center"/>
          </w:tcPr>
          <w:p>
            <w:pPr>
              <w:adjustRightInd w:val="0"/>
              <w:snapToGrid w:val="0"/>
              <w:ind w:left="0" w:leftChars="0" w:firstLine="0" w:firstLineChars="0"/>
              <w:jc w:val="center"/>
              <w:rPr>
                <w:rFonts w:hint="eastAsia" w:eastAsia="宋体"/>
                <w:sz w:val="21"/>
                <w:szCs w:val="21"/>
                <w:highlight w:val="none"/>
                <w:vertAlign w:val="baseline"/>
                <w:lang w:eastAsia="zh-CN"/>
              </w:rPr>
            </w:pPr>
            <w:r>
              <w:rPr>
                <w:rFonts w:hint="eastAsia"/>
                <w:sz w:val="21"/>
                <w:szCs w:val="21"/>
                <w:highlight w:val="none"/>
                <w:vertAlign w:val="baseline"/>
                <w:lang w:eastAsia="zh-CN"/>
              </w:rPr>
              <w:t>装载机</w:t>
            </w:r>
          </w:p>
        </w:tc>
        <w:tc>
          <w:tcPr>
            <w:tcW w:w="782"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85</w:t>
            </w:r>
          </w:p>
        </w:tc>
        <w:tc>
          <w:tcPr>
            <w:tcW w:w="664" w:type="dxa"/>
            <w:vAlign w:val="center"/>
          </w:tcPr>
          <w:p>
            <w:pPr>
              <w:adjustRightInd w:val="0"/>
              <w:snapToGrid w:val="0"/>
              <w:ind w:left="0" w:leftChars="0" w:firstLine="0" w:firstLineChars="0"/>
              <w:jc w:val="center"/>
              <w:rPr>
                <w:sz w:val="21"/>
                <w:szCs w:val="21"/>
                <w:highlight w:val="none"/>
                <w:vertAlign w:val="baseline"/>
              </w:rPr>
            </w:pPr>
            <w:r>
              <w:rPr>
                <w:rFonts w:hint="eastAsia"/>
                <w:sz w:val="21"/>
                <w:szCs w:val="21"/>
                <w:highlight w:val="none"/>
                <w:vertAlign w:val="baseline"/>
                <w:lang w:val="en-US" w:eastAsia="zh-CN"/>
              </w:rPr>
              <w:t>71</w:t>
            </w:r>
          </w:p>
        </w:tc>
        <w:tc>
          <w:tcPr>
            <w:tcW w:w="671" w:type="dxa"/>
            <w:vAlign w:val="center"/>
          </w:tcPr>
          <w:p>
            <w:pPr>
              <w:adjustRightInd w:val="0"/>
              <w:snapToGrid w:val="0"/>
              <w:ind w:left="0" w:leftChars="0" w:firstLine="0" w:firstLineChars="0"/>
              <w:jc w:val="center"/>
              <w:rPr>
                <w:sz w:val="21"/>
                <w:szCs w:val="21"/>
                <w:highlight w:val="none"/>
                <w:vertAlign w:val="baseline"/>
              </w:rPr>
            </w:pPr>
            <w:r>
              <w:rPr>
                <w:rFonts w:hint="eastAsia"/>
                <w:sz w:val="21"/>
                <w:szCs w:val="21"/>
                <w:highlight w:val="none"/>
                <w:vertAlign w:val="baseline"/>
                <w:lang w:val="en-US" w:eastAsia="zh-CN"/>
              </w:rPr>
              <w:t>65</w:t>
            </w:r>
          </w:p>
        </w:tc>
        <w:tc>
          <w:tcPr>
            <w:tcW w:w="671" w:type="dxa"/>
            <w:vAlign w:val="center"/>
          </w:tcPr>
          <w:p>
            <w:pPr>
              <w:adjustRightInd w:val="0"/>
              <w:snapToGrid w:val="0"/>
              <w:ind w:left="0" w:leftChars="0" w:firstLine="0" w:firstLineChars="0"/>
              <w:jc w:val="center"/>
              <w:rPr>
                <w:sz w:val="21"/>
                <w:szCs w:val="21"/>
                <w:highlight w:val="none"/>
                <w:vertAlign w:val="baseline"/>
              </w:rPr>
            </w:pPr>
            <w:r>
              <w:rPr>
                <w:rFonts w:hint="eastAsia"/>
                <w:sz w:val="21"/>
                <w:szCs w:val="21"/>
                <w:highlight w:val="none"/>
                <w:vertAlign w:val="baseline"/>
                <w:lang w:val="en-US" w:eastAsia="zh-CN"/>
              </w:rPr>
              <w:t>59</w:t>
            </w:r>
          </w:p>
        </w:tc>
        <w:tc>
          <w:tcPr>
            <w:tcW w:w="671" w:type="dxa"/>
            <w:vAlign w:val="center"/>
          </w:tcPr>
          <w:p>
            <w:pPr>
              <w:adjustRightInd w:val="0"/>
              <w:snapToGrid w:val="0"/>
              <w:ind w:left="0" w:leftChars="0" w:firstLine="0" w:firstLineChars="0"/>
              <w:jc w:val="center"/>
              <w:rPr>
                <w:sz w:val="21"/>
                <w:szCs w:val="21"/>
                <w:highlight w:val="none"/>
                <w:vertAlign w:val="baseline"/>
              </w:rPr>
            </w:pPr>
            <w:r>
              <w:rPr>
                <w:rFonts w:hint="eastAsia"/>
                <w:sz w:val="21"/>
                <w:szCs w:val="21"/>
                <w:highlight w:val="none"/>
                <w:vertAlign w:val="baseline"/>
                <w:lang w:val="en-US" w:eastAsia="zh-CN"/>
              </w:rPr>
              <w:t>51.9</w:t>
            </w:r>
          </w:p>
        </w:tc>
        <w:tc>
          <w:tcPr>
            <w:tcW w:w="671" w:type="dxa"/>
            <w:vAlign w:val="center"/>
          </w:tcPr>
          <w:p>
            <w:pPr>
              <w:adjustRightInd w:val="0"/>
              <w:snapToGrid w:val="0"/>
              <w:ind w:left="0" w:leftChars="0" w:firstLine="0" w:firstLineChars="0"/>
              <w:jc w:val="center"/>
              <w:rPr>
                <w:sz w:val="21"/>
                <w:szCs w:val="21"/>
                <w:highlight w:val="none"/>
                <w:vertAlign w:val="baseline"/>
              </w:rPr>
            </w:pPr>
            <w:r>
              <w:rPr>
                <w:rFonts w:hint="eastAsia"/>
                <w:sz w:val="21"/>
                <w:szCs w:val="21"/>
                <w:highlight w:val="none"/>
                <w:vertAlign w:val="baseline"/>
                <w:lang w:val="en-US" w:eastAsia="zh-CN"/>
              </w:rPr>
              <w:t>51</w:t>
            </w:r>
          </w:p>
        </w:tc>
        <w:tc>
          <w:tcPr>
            <w:tcW w:w="790" w:type="dxa"/>
            <w:vAlign w:val="center"/>
          </w:tcPr>
          <w:p>
            <w:pPr>
              <w:adjustRightInd w:val="0"/>
              <w:snapToGrid w:val="0"/>
              <w:ind w:left="0" w:leftChars="0" w:firstLine="0" w:firstLineChars="0"/>
              <w:jc w:val="center"/>
              <w:rPr>
                <w:sz w:val="21"/>
                <w:szCs w:val="21"/>
                <w:highlight w:val="none"/>
                <w:vertAlign w:val="baseline"/>
              </w:rPr>
            </w:pPr>
            <w:r>
              <w:rPr>
                <w:rFonts w:hint="eastAsia"/>
                <w:sz w:val="21"/>
                <w:szCs w:val="21"/>
                <w:highlight w:val="none"/>
                <w:vertAlign w:val="baseline"/>
                <w:lang w:val="en-US" w:eastAsia="zh-CN"/>
              </w:rPr>
              <w:t>45</w:t>
            </w:r>
          </w:p>
        </w:tc>
        <w:tc>
          <w:tcPr>
            <w:tcW w:w="790" w:type="dxa"/>
            <w:vAlign w:val="center"/>
          </w:tcPr>
          <w:p>
            <w:pPr>
              <w:adjustRightInd w:val="0"/>
              <w:snapToGrid w:val="0"/>
              <w:ind w:left="0" w:leftChars="0" w:firstLine="0" w:firstLineChars="0"/>
              <w:jc w:val="center"/>
              <w:rPr>
                <w:sz w:val="21"/>
                <w:szCs w:val="21"/>
                <w:highlight w:val="none"/>
                <w:vertAlign w:val="baseline"/>
              </w:rPr>
            </w:pPr>
            <w:r>
              <w:rPr>
                <w:rFonts w:hint="eastAsia"/>
                <w:sz w:val="21"/>
                <w:szCs w:val="21"/>
                <w:highlight w:val="none"/>
                <w:vertAlign w:val="baseline"/>
                <w:lang w:val="en-US" w:eastAsia="zh-CN"/>
              </w:rPr>
              <w:t>41</w:t>
            </w:r>
          </w:p>
        </w:tc>
        <w:tc>
          <w:tcPr>
            <w:tcW w:w="790" w:type="dxa"/>
            <w:vAlign w:val="center"/>
          </w:tcPr>
          <w:p>
            <w:pPr>
              <w:adjustRightInd w:val="0"/>
              <w:snapToGrid w:val="0"/>
              <w:ind w:left="0" w:leftChars="0" w:firstLine="0" w:firstLineChars="0"/>
              <w:jc w:val="center"/>
              <w:rPr>
                <w:sz w:val="21"/>
                <w:szCs w:val="21"/>
                <w:highlight w:val="none"/>
                <w:vertAlign w:val="baseline"/>
              </w:rPr>
            </w:pPr>
            <w:r>
              <w:rPr>
                <w:rFonts w:hint="eastAsia"/>
                <w:sz w:val="21"/>
                <w:szCs w:val="21"/>
                <w:highlight w:val="none"/>
                <w:vertAlign w:val="baseline"/>
                <w:lang w:val="en-US" w:eastAsia="zh-CN"/>
              </w:rPr>
              <w:t>39</w:t>
            </w:r>
          </w:p>
        </w:tc>
        <w:tc>
          <w:tcPr>
            <w:tcW w:w="790" w:type="dxa"/>
            <w:vAlign w:val="center"/>
          </w:tcPr>
          <w:p>
            <w:pPr>
              <w:adjustRightInd w:val="0"/>
              <w:snapToGrid w:val="0"/>
              <w:ind w:left="0" w:leftChars="0" w:firstLine="0" w:firstLineChars="0"/>
              <w:jc w:val="center"/>
              <w:rPr>
                <w:sz w:val="21"/>
                <w:szCs w:val="21"/>
                <w:highlight w:val="none"/>
                <w:vertAlign w:val="baseline"/>
              </w:rPr>
            </w:pPr>
            <w:r>
              <w:rPr>
                <w:rFonts w:hint="eastAsia"/>
                <w:sz w:val="21"/>
                <w:szCs w:val="21"/>
                <w:highlight w:val="none"/>
                <w:vertAlign w:val="baseline"/>
                <w:lang w:val="en-US" w:eastAsia="zh-CN"/>
              </w:rPr>
              <w:t>33</w:t>
            </w:r>
          </w:p>
        </w:tc>
        <w:tc>
          <w:tcPr>
            <w:tcW w:w="801" w:type="dxa"/>
            <w:vAlign w:val="center"/>
          </w:tcPr>
          <w:p>
            <w:pPr>
              <w:adjustRightInd w:val="0"/>
              <w:snapToGrid w:val="0"/>
              <w:ind w:left="0" w:leftChars="0" w:firstLine="0" w:firstLineChars="0"/>
              <w:jc w:val="center"/>
              <w:rPr>
                <w:sz w:val="21"/>
                <w:szCs w:val="21"/>
                <w:highlight w:val="none"/>
                <w:vertAlign w:val="baseline"/>
              </w:rPr>
            </w:pPr>
            <w:r>
              <w:rPr>
                <w:rFonts w:hint="eastAsia"/>
                <w:sz w:val="21"/>
                <w:szCs w:val="21"/>
                <w:highlight w:val="none"/>
                <w:vertAlign w:val="baseline"/>
                <w:lang w:val="en-US" w:eastAsia="zh-CN"/>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vAlign w:val="center"/>
          </w:tcPr>
          <w:p>
            <w:pPr>
              <w:adjustRightInd w:val="0"/>
              <w:snapToGrid w:val="0"/>
              <w:ind w:left="0" w:leftChars="0" w:firstLine="0" w:firstLineChars="0"/>
              <w:jc w:val="center"/>
              <w:rPr>
                <w:rFonts w:hint="eastAsia" w:eastAsia="宋体"/>
                <w:sz w:val="21"/>
                <w:szCs w:val="21"/>
                <w:highlight w:val="none"/>
                <w:vertAlign w:val="baseline"/>
                <w:lang w:eastAsia="zh-CN"/>
              </w:rPr>
            </w:pPr>
            <w:r>
              <w:rPr>
                <w:rFonts w:hint="eastAsia"/>
                <w:sz w:val="21"/>
                <w:szCs w:val="21"/>
                <w:highlight w:val="none"/>
                <w:vertAlign w:val="baseline"/>
                <w:lang w:eastAsia="zh-CN"/>
              </w:rPr>
              <w:t>叠加值</w:t>
            </w:r>
          </w:p>
        </w:tc>
        <w:tc>
          <w:tcPr>
            <w:tcW w:w="782"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102.3</w:t>
            </w:r>
          </w:p>
        </w:tc>
        <w:tc>
          <w:tcPr>
            <w:tcW w:w="664"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88.3</w:t>
            </w:r>
          </w:p>
        </w:tc>
        <w:tc>
          <w:tcPr>
            <w:tcW w:w="671"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82.3</w:t>
            </w:r>
          </w:p>
        </w:tc>
        <w:tc>
          <w:tcPr>
            <w:tcW w:w="671"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76.3</w:t>
            </w:r>
          </w:p>
        </w:tc>
        <w:tc>
          <w:tcPr>
            <w:tcW w:w="671"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69.2</w:t>
            </w:r>
          </w:p>
        </w:tc>
        <w:tc>
          <w:tcPr>
            <w:tcW w:w="671"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68.3</w:t>
            </w:r>
          </w:p>
        </w:tc>
        <w:tc>
          <w:tcPr>
            <w:tcW w:w="790"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62.3</w:t>
            </w:r>
          </w:p>
        </w:tc>
        <w:tc>
          <w:tcPr>
            <w:tcW w:w="790"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58.8</w:t>
            </w:r>
          </w:p>
        </w:tc>
        <w:tc>
          <w:tcPr>
            <w:tcW w:w="790"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56.3</w:t>
            </w:r>
          </w:p>
        </w:tc>
        <w:tc>
          <w:tcPr>
            <w:tcW w:w="790"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50.3</w:t>
            </w:r>
          </w:p>
        </w:tc>
        <w:tc>
          <w:tcPr>
            <w:tcW w:w="801" w:type="dxa"/>
            <w:vAlign w:val="center"/>
          </w:tcPr>
          <w:p>
            <w:pPr>
              <w:adjustRightInd w:val="0"/>
              <w:snapToGrid w:val="0"/>
              <w:ind w:left="0" w:leftChars="0" w:firstLine="0" w:firstLineChars="0"/>
              <w:jc w:val="cente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46.7</w:t>
            </w:r>
          </w:p>
        </w:tc>
      </w:tr>
    </w:tbl>
    <w:p>
      <w:pPr>
        <w:adjustRightInd w:val="0"/>
        <w:snapToGrid w:val="0"/>
        <w:ind w:firstLine="480"/>
        <w:rPr>
          <w:rFonts w:hint="eastAsia" w:eastAsia="宋体"/>
          <w:highlight w:val="none"/>
          <w:lang w:eastAsia="zh-CN"/>
        </w:rPr>
      </w:pPr>
      <w:r>
        <w:rPr>
          <w:rFonts w:hint="eastAsia"/>
          <w:highlight w:val="none"/>
        </w:rPr>
        <w:t>根据表6.1-</w:t>
      </w:r>
      <w:r>
        <w:rPr>
          <w:rFonts w:hint="eastAsia"/>
          <w:highlight w:val="none"/>
          <w:lang w:val="en-US" w:eastAsia="zh-CN"/>
        </w:rPr>
        <w:t>2</w:t>
      </w:r>
      <w:r>
        <w:rPr>
          <w:rFonts w:hint="eastAsia"/>
          <w:highlight w:val="none"/>
        </w:rPr>
        <w:t>可知，项目夜间不施工，昼间施工噪声在45m处可达到《建筑施工场界环境噪声排放标准》（GB12523-2011）昼间70dB（A）。项目施工期主要为矿山公路开拓和生产、管理用房的建设，截排水沟以及相关环保设施的建设，根据位置关系，项目施工距离厂界均大于50m，且施工期设备不同时运行，项目施工厂界噪声能满足《建筑施工场界环境噪声排放标准》（GB12523-2011）标准。根据项目周边关系图，项目周边200m范围内无声环境敏感点，项目施工对周边声环境影响较小</w:t>
      </w:r>
      <w:r>
        <w:rPr>
          <w:rFonts w:hint="eastAsia"/>
          <w:highlight w:val="none"/>
          <w:lang w:eastAsia="zh-CN"/>
        </w:rPr>
        <w:t>。</w:t>
      </w:r>
    </w:p>
    <w:p>
      <w:pPr>
        <w:adjustRightInd w:val="0"/>
        <w:snapToGrid w:val="0"/>
        <w:ind w:firstLine="480"/>
        <w:rPr>
          <w:rFonts w:hint="eastAsia"/>
          <w:highlight w:val="none"/>
        </w:rPr>
      </w:pPr>
      <w:r>
        <w:rPr>
          <w:rFonts w:hint="eastAsia"/>
          <w:highlight w:val="none"/>
        </w:rPr>
        <w:t>为减小施工噪声对周围环境的影响。施工单位还应做到以下几点：</w:t>
      </w:r>
    </w:p>
    <w:p>
      <w:pPr>
        <w:adjustRightInd w:val="0"/>
        <w:snapToGrid w:val="0"/>
        <w:ind w:firstLine="480"/>
        <w:rPr>
          <w:rFonts w:hint="eastAsia"/>
          <w:highlight w:val="none"/>
        </w:rPr>
      </w:pPr>
      <w:r>
        <w:rPr>
          <w:rFonts w:hint="eastAsia"/>
          <w:highlight w:val="none"/>
        </w:rPr>
        <w:t>（1）施工期间，施工单位应选用低噪声的施工设备，从源头上控制噪声排放；加强施工机械的维修、管理，保证施工机械处于低噪声、高效率的良好工作状态；</w:t>
      </w:r>
    </w:p>
    <w:p>
      <w:pPr>
        <w:adjustRightInd w:val="0"/>
        <w:snapToGrid w:val="0"/>
        <w:ind w:firstLine="480"/>
        <w:rPr>
          <w:rFonts w:hint="eastAsia"/>
          <w:highlight w:val="none"/>
        </w:rPr>
      </w:pPr>
      <w:r>
        <w:rPr>
          <w:rFonts w:hint="eastAsia"/>
          <w:highlight w:val="none"/>
        </w:rPr>
        <w:t>（2）合理布置施工作业面和安排施工时间；</w:t>
      </w:r>
    </w:p>
    <w:p>
      <w:pPr>
        <w:adjustRightInd w:val="0"/>
        <w:snapToGrid w:val="0"/>
        <w:ind w:firstLine="480"/>
        <w:rPr>
          <w:rFonts w:hint="eastAsia"/>
          <w:highlight w:val="none"/>
        </w:rPr>
      </w:pPr>
      <w:r>
        <w:rPr>
          <w:rFonts w:hint="eastAsia"/>
          <w:highlight w:val="none"/>
        </w:rPr>
        <w:t>（3）科学合理地安排施工步骤，合理安排施工工序，优化施工方式，避免在同一时间集中使用大量的施工机械设备；</w:t>
      </w:r>
    </w:p>
    <w:p>
      <w:pPr>
        <w:adjustRightInd w:val="0"/>
        <w:snapToGrid w:val="0"/>
        <w:ind w:firstLine="480"/>
        <w:rPr>
          <w:highlight w:val="none"/>
        </w:rPr>
      </w:pPr>
      <w:r>
        <w:rPr>
          <w:rFonts w:hint="eastAsia"/>
          <w:highlight w:val="none"/>
        </w:rPr>
        <w:t>禁止夜间（晚22点至早晨6点之间），中午12时至14时进行产生环境噪声污染的建筑施工作业。因特殊需要必须连续作业的，施工单位必须持有关主管部门的证明向环境保护局登记备案，并于连续施工之日1天前公告环境保护目标。</w:t>
      </w:r>
    </w:p>
    <w:p>
      <w:pPr>
        <w:pStyle w:val="6"/>
        <w:ind w:left="0" w:leftChars="0" w:firstLine="0" w:firstLineChars="0"/>
        <w:rPr>
          <w:highlight w:val="none"/>
        </w:rPr>
      </w:pPr>
      <w:r>
        <w:rPr>
          <w:rFonts w:hint="eastAsia" w:ascii="Times New Roman" w:hAnsi="Times New Roman" w:eastAsia="宋体" w:cs="Times New Roman"/>
          <w:b/>
          <w:kern w:val="0"/>
          <w:sz w:val="28"/>
          <w:szCs w:val="27"/>
          <w:highlight w:val="none"/>
          <w:lang w:val="en-US" w:eastAsia="zh-CN" w:bidi="ar-SA"/>
        </w:rPr>
        <w:t>6.1.</w:t>
      </w:r>
      <w:r>
        <w:rPr>
          <w:rFonts w:hint="eastAsia" w:cs="Times New Roman"/>
          <w:b/>
          <w:kern w:val="0"/>
          <w:sz w:val="28"/>
          <w:szCs w:val="27"/>
          <w:highlight w:val="none"/>
          <w:lang w:val="en-US" w:eastAsia="zh-CN" w:bidi="ar-SA"/>
        </w:rPr>
        <w:t>4</w:t>
      </w:r>
      <w:r>
        <w:rPr>
          <w:rFonts w:hint="eastAsia" w:ascii="Times New Roman" w:hAnsi="Times New Roman" w:eastAsia="宋体" w:cs="Times New Roman"/>
          <w:b/>
          <w:kern w:val="0"/>
          <w:sz w:val="28"/>
          <w:szCs w:val="27"/>
          <w:highlight w:val="none"/>
          <w:lang w:val="en-US" w:eastAsia="zh-CN" w:bidi="ar-SA"/>
        </w:rPr>
        <w:t>施工期</w:t>
      </w:r>
      <w:r>
        <w:rPr>
          <w:rFonts w:hint="eastAsia" w:cs="Times New Roman"/>
          <w:b/>
          <w:kern w:val="0"/>
          <w:sz w:val="28"/>
          <w:szCs w:val="27"/>
          <w:highlight w:val="none"/>
          <w:lang w:val="en-US" w:eastAsia="zh-CN" w:bidi="ar-SA"/>
        </w:rPr>
        <w:t>固体废物</w:t>
      </w:r>
      <w:r>
        <w:rPr>
          <w:rFonts w:hint="eastAsia" w:ascii="Times New Roman" w:hAnsi="Times New Roman" w:eastAsia="宋体" w:cs="Times New Roman"/>
          <w:b/>
          <w:kern w:val="0"/>
          <w:sz w:val="28"/>
          <w:szCs w:val="27"/>
          <w:highlight w:val="none"/>
          <w:lang w:val="en-US" w:eastAsia="zh-CN" w:bidi="ar-SA"/>
        </w:rPr>
        <w:t>影响分析</w:t>
      </w:r>
    </w:p>
    <w:p>
      <w:pPr>
        <w:adjustRightInd w:val="0"/>
        <w:snapToGrid w:val="0"/>
        <w:ind w:firstLine="480"/>
        <w:rPr>
          <w:rFonts w:hint="eastAsia"/>
          <w:highlight w:val="none"/>
        </w:rPr>
      </w:pPr>
      <w:r>
        <w:rPr>
          <w:rFonts w:hint="eastAsia"/>
          <w:highlight w:val="none"/>
        </w:rPr>
        <w:t>根据工程分析可知，该项目施工期主要固体废物为废土石方、建筑垃圾、生活垃圾等。</w:t>
      </w:r>
    </w:p>
    <w:p>
      <w:pPr>
        <w:adjustRightInd w:val="0"/>
        <w:snapToGrid w:val="0"/>
        <w:ind w:firstLine="480"/>
        <w:rPr>
          <w:highlight w:val="none"/>
        </w:rPr>
      </w:pPr>
      <w:r>
        <w:rPr>
          <w:rFonts w:hint="eastAsia"/>
          <w:highlight w:val="none"/>
        </w:rPr>
        <w:t>项目施工期产生土石方5710m³，回填5710m³，可达到挖填平衡。</w:t>
      </w:r>
    </w:p>
    <w:p>
      <w:pPr>
        <w:adjustRightInd w:val="0"/>
        <w:snapToGrid w:val="0"/>
        <w:ind w:firstLine="480"/>
        <w:rPr>
          <w:rFonts w:hint="eastAsia"/>
          <w:highlight w:val="none"/>
        </w:rPr>
      </w:pPr>
      <w:r>
        <w:rPr>
          <w:rFonts w:hint="eastAsia"/>
          <w:highlight w:val="none"/>
        </w:rPr>
        <w:t>项目施工期建筑垃圾产生量约为</w:t>
      </w:r>
      <w:r>
        <w:rPr>
          <w:rFonts w:hint="eastAsia"/>
          <w:highlight w:val="none"/>
          <w:lang w:val="en-US" w:eastAsia="zh-CN"/>
        </w:rPr>
        <w:t>80</w:t>
      </w:r>
      <w:r>
        <w:rPr>
          <w:rFonts w:hint="eastAsia"/>
          <w:highlight w:val="none"/>
        </w:rPr>
        <w:t>t，主要成份以废混凝土、废钢材等惰性材料为主。建筑垃圾具有回收价值的可送废品收购站回收利用，其余按当地相关部门要求处置。</w:t>
      </w:r>
    </w:p>
    <w:p>
      <w:pPr>
        <w:adjustRightInd w:val="0"/>
        <w:snapToGrid w:val="0"/>
        <w:ind w:firstLine="480"/>
        <w:rPr>
          <w:rFonts w:hint="eastAsia"/>
          <w:highlight w:val="none"/>
        </w:rPr>
      </w:pPr>
      <w:r>
        <w:rPr>
          <w:rFonts w:hint="eastAsia"/>
          <w:highlight w:val="none"/>
        </w:rPr>
        <w:t>施工人员生活垃圾产生量为10kg/d，施工期为</w:t>
      </w:r>
      <w:r>
        <w:rPr>
          <w:rFonts w:hint="eastAsia"/>
          <w:highlight w:val="none"/>
          <w:lang w:val="en-US" w:eastAsia="zh-CN"/>
        </w:rPr>
        <w:t>7</w:t>
      </w:r>
      <w:r>
        <w:rPr>
          <w:rFonts w:hint="eastAsia"/>
          <w:highlight w:val="none"/>
        </w:rPr>
        <w:t xml:space="preserve">个月，施工期生活垃圾产生量为 </w:t>
      </w:r>
      <w:r>
        <w:rPr>
          <w:rFonts w:hint="eastAsia"/>
          <w:highlight w:val="none"/>
          <w:lang w:val="en-US" w:eastAsia="zh-CN"/>
        </w:rPr>
        <w:t>2.1</w:t>
      </w:r>
      <w:r>
        <w:rPr>
          <w:rFonts w:hint="eastAsia"/>
          <w:highlight w:val="none"/>
        </w:rPr>
        <w:t>t，经集中收集后运至</w:t>
      </w:r>
      <w:r>
        <w:rPr>
          <w:rFonts w:hint="eastAsia"/>
          <w:highlight w:val="none"/>
          <w:lang w:eastAsia="zh-CN"/>
        </w:rPr>
        <w:t>卡子村</w:t>
      </w:r>
      <w:r>
        <w:rPr>
          <w:rFonts w:hint="eastAsia"/>
          <w:highlight w:val="none"/>
        </w:rPr>
        <w:t>垃圾收集点，由环卫部门清运处置。</w:t>
      </w:r>
    </w:p>
    <w:p>
      <w:pPr>
        <w:adjustRightInd w:val="0"/>
        <w:snapToGrid w:val="0"/>
        <w:ind w:firstLine="480"/>
        <w:rPr>
          <w:rFonts w:hint="eastAsia"/>
          <w:highlight w:val="none"/>
        </w:rPr>
        <w:sectPr>
          <w:pgSz w:w="11911" w:h="16838"/>
          <w:pgMar w:top="1417" w:right="1417" w:bottom="1417" w:left="1417" w:header="879" w:footer="952" w:gutter="0"/>
          <w:pgBorders>
            <w:top w:val="none" w:sz="0" w:space="0"/>
            <w:left w:val="none" w:sz="0" w:space="0"/>
            <w:bottom w:val="none" w:sz="0" w:space="0"/>
            <w:right w:val="none" w:sz="0" w:space="0"/>
          </w:pgBorders>
          <w:pgNumType w:fmt="decimal"/>
          <w:cols w:space="720" w:num="1"/>
          <w:docGrid w:linePitch="312" w:charSpace="0"/>
        </w:sectPr>
      </w:pPr>
      <w:r>
        <w:rPr>
          <w:rFonts w:hint="eastAsia"/>
          <w:highlight w:val="none"/>
        </w:rPr>
        <w:t>综上所述，本项目施工期生产的固体废物经妥善处置，对周边环境产生的影响不大。</w:t>
      </w:r>
    </w:p>
    <w:p>
      <w:pPr>
        <w:pStyle w:val="4"/>
        <w:rPr>
          <w:highlight w:val="none"/>
        </w:rPr>
      </w:pPr>
      <w:bookmarkStart w:id="410" w:name="_Toc6658"/>
      <w:bookmarkStart w:id="411" w:name="_Toc32696"/>
      <w:bookmarkStart w:id="412" w:name="_Toc31739"/>
      <w:bookmarkStart w:id="413" w:name="_Toc24137"/>
      <w:bookmarkStart w:id="414" w:name="_Toc1388"/>
      <w:r>
        <w:rPr>
          <w:rFonts w:hint="eastAsia"/>
          <w:highlight w:val="none"/>
          <w:lang w:val="en-US" w:eastAsia="zh-CN"/>
        </w:rPr>
        <w:t>6</w:t>
      </w:r>
      <w:r>
        <w:rPr>
          <w:highlight w:val="none"/>
        </w:rPr>
        <w:t>.2运营期环境影响分析</w:t>
      </w:r>
      <w:bookmarkEnd w:id="410"/>
      <w:bookmarkEnd w:id="411"/>
      <w:bookmarkEnd w:id="412"/>
      <w:bookmarkEnd w:id="413"/>
      <w:bookmarkEnd w:id="414"/>
    </w:p>
    <w:p>
      <w:pPr>
        <w:pStyle w:val="5"/>
        <w:rPr>
          <w:rFonts w:hint="default"/>
          <w:highlight w:val="none"/>
        </w:rPr>
      </w:pPr>
      <w:bookmarkStart w:id="415" w:name="_Toc5974"/>
      <w:bookmarkStart w:id="416" w:name="_Toc24162"/>
      <w:bookmarkStart w:id="417" w:name="_Toc13949"/>
      <w:bookmarkStart w:id="418" w:name="_Toc10946"/>
      <w:bookmarkStart w:id="419" w:name="_Toc1841"/>
      <w:r>
        <w:rPr>
          <w:rFonts w:hint="eastAsia"/>
          <w:highlight w:val="none"/>
          <w:lang w:val="en-US" w:eastAsia="zh-CN"/>
        </w:rPr>
        <w:t>6</w:t>
      </w:r>
      <w:r>
        <w:rPr>
          <w:rFonts w:hint="default"/>
          <w:highlight w:val="none"/>
        </w:rPr>
        <w:t>.2.1运营期</w:t>
      </w:r>
      <w:r>
        <w:rPr>
          <w:highlight w:val="none"/>
        </w:rPr>
        <w:t>大气</w:t>
      </w:r>
      <w:r>
        <w:rPr>
          <w:rFonts w:hint="default"/>
          <w:highlight w:val="none"/>
        </w:rPr>
        <w:t>环境影响分析</w:t>
      </w:r>
      <w:bookmarkEnd w:id="415"/>
      <w:bookmarkEnd w:id="416"/>
      <w:bookmarkEnd w:id="417"/>
      <w:bookmarkEnd w:id="418"/>
      <w:bookmarkEnd w:id="419"/>
    </w:p>
    <w:p>
      <w:pPr>
        <w:spacing w:line="360" w:lineRule="auto"/>
        <w:ind w:firstLine="480"/>
        <w:rPr>
          <w:rFonts w:hint="eastAsia" w:cs="宋体"/>
          <w:sz w:val="24"/>
          <w:highlight w:val="none"/>
        </w:rPr>
      </w:pPr>
      <w:r>
        <w:rPr>
          <w:rFonts w:hint="eastAsia" w:cs="宋体"/>
          <w:sz w:val="24"/>
          <w:highlight w:val="none"/>
        </w:rPr>
        <w:t>项目</w:t>
      </w:r>
      <w:r>
        <w:rPr>
          <w:rFonts w:hint="eastAsia" w:cs="宋体"/>
          <w:sz w:val="24"/>
          <w:highlight w:val="none"/>
          <w:lang w:eastAsia="zh-CN"/>
        </w:rPr>
        <w:t>运营期</w:t>
      </w:r>
      <w:r>
        <w:rPr>
          <w:rFonts w:hint="eastAsia" w:cs="宋体"/>
          <w:sz w:val="24"/>
          <w:highlight w:val="none"/>
        </w:rPr>
        <w:t>大气污染物为主要为无组织粉尘</w:t>
      </w:r>
      <w:r>
        <w:rPr>
          <w:rFonts w:hint="eastAsia" w:cs="宋体"/>
          <w:sz w:val="24"/>
          <w:highlight w:val="none"/>
          <w:lang w:eastAsia="zh-CN"/>
        </w:rPr>
        <w:t>、有组织粉尘</w:t>
      </w:r>
      <w:r>
        <w:rPr>
          <w:rFonts w:hint="eastAsia" w:cs="宋体"/>
          <w:sz w:val="24"/>
          <w:highlight w:val="none"/>
        </w:rPr>
        <w:t>、机械及运输车辆尾气。</w:t>
      </w:r>
    </w:p>
    <w:p>
      <w:pPr>
        <w:spacing w:line="360" w:lineRule="auto"/>
        <w:ind w:firstLine="482"/>
        <w:rPr>
          <w:rFonts w:hint="eastAsia" w:cs="宋体"/>
          <w:b/>
          <w:sz w:val="24"/>
          <w:highlight w:val="none"/>
        </w:rPr>
      </w:pPr>
      <w:r>
        <w:rPr>
          <w:rFonts w:hint="eastAsia" w:cs="宋体"/>
          <w:b/>
          <w:sz w:val="24"/>
          <w:highlight w:val="none"/>
          <w:lang w:val="en-US" w:eastAsia="zh-CN"/>
        </w:rPr>
        <w:t>1、</w:t>
      </w:r>
      <w:r>
        <w:rPr>
          <w:rFonts w:hint="eastAsia" w:cs="宋体"/>
          <w:b/>
          <w:sz w:val="24"/>
          <w:highlight w:val="none"/>
          <w:lang w:eastAsia="zh-CN"/>
        </w:rPr>
        <w:t>项目</w:t>
      </w:r>
      <w:r>
        <w:rPr>
          <w:rFonts w:hint="eastAsia" w:cs="宋体"/>
          <w:b/>
          <w:sz w:val="24"/>
          <w:highlight w:val="none"/>
        </w:rPr>
        <w:t>粉尘</w:t>
      </w:r>
    </w:p>
    <w:p>
      <w:pPr>
        <w:spacing w:line="360" w:lineRule="auto"/>
        <w:ind w:firstLine="480"/>
        <w:rPr>
          <w:rFonts w:hint="eastAsia" w:cs="宋体"/>
          <w:sz w:val="24"/>
          <w:highlight w:val="none"/>
        </w:rPr>
      </w:pPr>
      <w:r>
        <w:rPr>
          <w:rFonts w:hint="eastAsia" w:cs="宋体"/>
          <w:sz w:val="24"/>
          <w:highlight w:val="none"/>
        </w:rPr>
        <w:t>项目矿山开采区</w:t>
      </w:r>
      <w:r>
        <w:rPr>
          <w:rFonts w:hint="eastAsia" w:cs="宋体"/>
          <w:sz w:val="24"/>
          <w:highlight w:val="none"/>
          <w:lang w:eastAsia="zh-CN"/>
        </w:rPr>
        <w:t>、</w:t>
      </w:r>
      <w:r>
        <w:rPr>
          <w:rFonts w:hint="eastAsia" w:cs="宋体"/>
          <w:sz w:val="24"/>
          <w:highlight w:val="none"/>
        </w:rPr>
        <w:t>矿区运输道路</w:t>
      </w:r>
      <w:r>
        <w:rPr>
          <w:rFonts w:hint="eastAsia" w:cs="宋体"/>
          <w:sz w:val="24"/>
          <w:highlight w:val="none"/>
          <w:lang w:eastAsia="zh-CN"/>
        </w:rPr>
        <w:t>和堆场区</w:t>
      </w:r>
      <w:r>
        <w:rPr>
          <w:rFonts w:hint="eastAsia" w:cs="宋体"/>
          <w:sz w:val="24"/>
          <w:highlight w:val="none"/>
        </w:rPr>
        <w:t>进行洒水降尘，开采平台作业采用</w:t>
      </w:r>
      <w:r>
        <w:rPr>
          <w:rFonts w:hint="eastAsia" w:cs="宋体"/>
          <w:sz w:val="24"/>
          <w:highlight w:val="none"/>
          <w:lang w:eastAsia="zh-CN"/>
        </w:rPr>
        <w:t>湿式</w:t>
      </w:r>
      <w:r>
        <w:rPr>
          <w:rFonts w:hint="eastAsia" w:cs="宋体"/>
          <w:sz w:val="24"/>
          <w:highlight w:val="none"/>
        </w:rPr>
        <w:t>潜孔钻凿岩、钻孔。通过采取以上措施后可大幅度降低无组织TSP产生量，根据工程分析可知，本项目在采取以上措施后</w:t>
      </w:r>
      <w:r>
        <w:rPr>
          <w:rFonts w:hint="eastAsia" w:cs="宋体"/>
          <w:sz w:val="24"/>
          <w:highlight w:val="none"/>
          <w:lang w:eastAsia="zh-CN"/>
        </w:rPr>
        <w:t>项目区</w:t>
      </w:r>
      <w:r>
        <w:rPr>
          <w:rFonts w:hint="eastAsia" w:cs="宋体"/>
          <w:sz w:val="24"/>
          <w:highlight w:val="none"/>
        </w:rPr>
        <w:t>无组织TSP排放量为</w:t>
      </w:r>
      <w:r>
        <w:rPr>
          <w:rFonts w:hint="eastAsia" w:cs="宋体"/>
          <w:sz w:val="24"/>
          <w:highlight w:val="none"/>
          <w:lang w:val="en-US" w:eastAsia="zh-CN"/>
        </w:rPr>
        <w:t>1.25</w:t>
      </w:r>
      <w:r>
        <w:rPr>
          <w:rFonts w:hint="eastAsia" w:cs="宋体"/>
          <w:sz w:val="24"/>
          <w:highlight w:val="none"/>
        </w:rPr>
        <w:t>t/a</w:t>
      </w:r>
      <w:r>
        <w:rPr>
          <w:rFonts w:hint="eastAsia" w:cs="宋体"/>
          <w:sz w:val="24"/>
          <w:highlight w:val="none"/>
          <w:lang w:eastAsia="zh-CN"/>
        </w:rPr>
        <w:t>，</w:t>
      </w:r>
      <w:r>
        <w:rPr>
          <w:rFonts w:hint="eastAsia" w:cs="宋体"/>
          <w:sz w:val="24"/>
          <w:highlight w:val="none"/>
          <w:lang w:val="en-US" w:eastAsia="zh-CN"/>
        </w:rPr>
        <w:t>0.52kg/h，整个项目区视同为一个面源</w:t>
      </w:r>
      <w:r>
        <w:rPr>
          <w:rFonts w:hint="eastAsia" w:cs="宋体"/>
          <w:sz w:val="24"/>
          <w:highlight w:val="none"/>
        </w:rPr>
        <w:t>。</w:t>
      </w:r>
    </w:p>
    <w:p>
      <w:pPr>
        <w:pStyle w:val="2"/>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eastAsia="宋体"/>
          <w:highlight w:val="none"/>
          <w:lang w:val="en-US" w:eastAsia="zh-CN"/>
        </w:rPr>
      </w:pPr>
      <w:r>
        <w:rPr>
          <w:rFonts w:hint="eastAsia" w:cs="宋体"/>
          <w:sz w:val="24"/>
          <w:highlight w:val="none"/>
          <w:lang w:eastAsia="zh-CN"/>
        </w:rPr>
        <w:t>项目有组织粉尘污染源为破碎筛分工段，根据工程分析，有组织粉尘经除尘效率</w:t>
      </w:r>
      <w:r>
        <w:rPr>
          <w:rFonts w:hint="eastAsia" w:cs="宋体"/>
          <w:sz w:val="24"/>
          <w:highlight w:val="none"/>
          <w:lang w:val="en-US" w:eastAsia="zh-CN"/>
        </w:rPr>
        <w:t>99.9%的除尘设施处理后，粉尘经15m高排气筒排放，粉尘排放量为0.0157t/a，0.006kg/h。</w:t>
      </w:r>
    </w:p>
    <w:p>
      <w:pPr>
        <w:spacing w:line="360" w:lineRule="auto"/>
        <w:ind w:firstLine="482"/>
        <w:rPr>
          <w:rFonts w:hint="eastAsia" w:cs="宋体"/>
          <w:b/>
          <w:sz w:val="24"/>
          <w:highlight w:val="none"/>
        </w:rPr>
      </w:pPr>
      <w:r>
        <w:rPr>
          <w:rFonts w:hint="eastAsia" w:cs="宋体"/>
          <w:b/>
          <w:sz w:val="24"/>
          <w:highlight w:val="none"/>
        </w:rPr>
        <w:t>（1）预测模式</w:t>
      </w:r>
    </w:p>
    <w:p>
      <w:pPr>
        <w:spacing w:line="360" w:lineRule="auto"/>
        <w:ind w:firstLine="480"/>
        <w:rPr>
          <w:rFonts w:hint="eastAsia" w:cs="宋体"/>
          <w:sz w:val="24"/>
          <w:highlight w:val="none"/>
        </w:rPr>
      </w:pPr>
      <w:r>
        <w:rPr>
          <w:rFonts w:hint="eastAsia" w:cs="宋体"/>
          <w:sz w:val="24"/>
          <w:highlight w:val="none"/>
        </w:rPr>
        <w:t>根据《环境影响评价技术导则 大气环境》（HJ2.2-2018）中5.3节工作等级的确定方法，结合项目工程分析结果，选择正常排放的主要污染物及排放参数，采用附录A推荐模型中的AERSCREEN模式计算项目污染源的最大环境影响。</w:t>
      </w:r>
    </w:p>
    <w:p>
      <w:pPr>
        <w:spacing w:line="360" w:lineRule="auto"/>
        <w:ind w:firstLine="482"/>
        <w:rPr>
          <w:rFonts w:hint="eastAsia" w:cs="宋体"/>
          <w:b/>
          <w:sz w:val="24"/>
          <w:highlight w:val="none"/>
        </w:rPr>
      </w:pPr>
      <w:r>
        <w:rPr>
          <w:rFonts w:hint="eastAsia" w:cs="宋体"/>
          <w:b/>
          <w:sz w:val="24"/>
          <w:highlight w:val="none"/>
        </w:rPr>
        <w:t>（2）污染源强</w:t>
      </w:r>
    </w:p>
    <w:p>
      <w:pPr>
        <w:pStyle w:val="17"/>
        <w:ind w:firstLine="482"/>
        <w:rPr>
          <w:rFonts w:hint="eastAsia" w:eastAsia="宋体"/>
          <w:highlight w:val="none"/>
          <w:lang w:val="en-US" w:eastAsia="zh-CN"/>
        </w:rPr>
      </w:pPr>
      <w:r>
        <w:rPr>
          <w:rFonts w:hint="eastAsia"/>
          <w:highlight w:val="none"/>
        </w:rPr>
        <w:t>根据工程分析可知，本项目无组织粉尘排放量为</w:t>
      </w:r>
      <w:r>
        <w:rPr>
          <w:rFonts w:hint="eastAsia"/>
          <w:highlight w:val="none"/>
          <w:lang w:val="en-US" w:eastAsia="zh-CN"/>
        </w:rPr>
        <w:t>1.244</w:t>
      </w:r>
      <w:r>
        <w:rPr>
          <w:rFonts w:hint="eastAsia"/>
          <w:highlight w:val="none"/>
        </w:rPr>
        <w:t>t/a，</w:t>
      </w:r>
      <w:r>
        <w:rPr>
          <w:rFonts w:hint="eastAsia"/>
          <w:highlight w:val="none"/>
          <w:lang w:eastAsia="zh-CN"/>
        </w:rPr>
        <w:t>有</w:t>
      </w:r>
      <w:r>
        <w:rPr>
          <w:rFonts w:hint="eastAsia"/>
          <w:highlight w:val="none"/>
        </w:rPr>
        <w:t>组织粉尘排放量为</w:t>
      </w:r>
      <w:r>
        <w:rPr>
          <w:rFonts w:hint="eastAsia"/>
          <w:highlight w:val="none"/>
          <w:lang w:val="en-US" w:eastAsia="zh-CN"/>
        </w:rPr>
        <w:t>0.0157</w:t>
      </w:r>
      <w:r>
        <w:rPr>
          <w:rFonts w:hint="eastAsia"/>
          <w:highlight w:val="none"/>
        </w:rPr>
        <w:t>t/a，项目无组织面源情况见表6.2-1</w:t>
      </w:r>
      <w:r>
        <w:rPr>
          <w:rFonts w:hint="eastAsia"/>
          <w:highlight w:val="none"/>
          <w:lang w:eastAsia="zh-CN"/>
        </w:rPr>
        <w:t>，有组织污染源强见表</w:t>
      </w:r>
      <w:r>
        <w:rPr>
          <w:rFonts w:hint="eastAsia"/>
          <w:highlight w:val="none"/>
          <w:lang w:val="en-US" w:eastAsia="zh-CN"/>
        </w:rPr>
        <w:t>6.2-2</w:t>
      </w:r>
      <w:r>
        <w:rPr>
          <w:rFonts w:hint="eastAsia"/>
          <w:highlight w:val="none"/>
          <w:lang w:eastAsia="zh-CN"/>
        </w:rPr>
        <w:t>。</w:t>
      </w:r>
    </w:p>
    <w:p>
      <w:pPr>
        <w:pStyle w:val="164"/>
        <w:spacing w:line="360" w:lineRule="auto"/>
        <w:ind w:firstLine="482"/>
        <w:jc w:val="center"/>
        <w:rPr>
          <w:rFonts w:hint="eastAsia"/>
          <w:b/>
          <w:sz w:val="21"/>
          <w:szCs w:val="21"/>
          <w:highlight w:val="none"/>
        </w:rPr>
      </w:pPr>
      <w:r>
        <w:rPr>
          <w:rFonts w:hint="eastAsia"/>
          <w:b/>
          <w:sz w:val="21"/>
          <w:szCs w:val="21"/>
          <w:highlight w:val="none"/>
        </w:rPr>
        <w:t>表6.2-1  项目无组织面源计算参数</w:t>
      </w:r>
    </w:p>
    <w:tbl>
      <w:tblPr>
        <w:tblStyle w:val="29"/>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2"/>
        <w:gridCol w:w="853"/>
        <w:gridCol w:w="1176"/>
        <w:gridCol w:w="1107"/>
        <w:gridCol w:w="1078"/>
        <w:gridCol w:w="1135"/>
        <w:gridCol w:w="921"/>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012" w:type="dxa"/>
            <w:noWrap w:val="0"/>
            <w:vAlign w:val="center"/>
          </w:tcPr>
          <w:p>
            <w:pPr>
              <w:ind w:firstLine="0" w:firstLineChars="0"/>
              <w:jc w:val="center"/>
              <w:rPr>
                <w:rFonts w:hint="eastAsia" w:cs="宋体"/>
                <w:sz w:val="21"/>
                <w:szCs w:val="21"/>
                <w:highlight w:val="none"/>
              </w:rPr>
            </w:pPr>
            <w:r>
              <w:rPr>
                <w:rFonts w:hint="eastAsia" w:cs="宋体"/>
                <w:sz w:val="21"/>
                <w:szCs w:val="21"/>
                <w:highlight w:val="none"/>
              </w:rPr>
              <w:t>污染源</w:t>
            </w:r>
          </w:p>
        </w:tc>
        <w:tc>
          <w:tcPr>
            <w:tcW w:w="853" w:type="dxa"/>
            <w:noWrap w:val="0"/>
            <w:vAlign w:val="center"/>
          </w:tcPr>
          <w:p>
            <w:pPr>
              <w:ind w:firstLine="0" w:firstLineChars="0"/>
              <w:jc w:val="center"/>
              <w:rPr>
                <w:rFonts w:hint="eastAsia" w:cs="宋体"/>
                <w:sz w:val="21"/>
                <w:szCs w:val="21"/>
                <w:highlight w:val="none"/>
              </w:rPr>
            </w:pPr>
            <w:r>
              <w:rPr>
                <w:rFonts w:hint="eastAsia" w:cs="宋体"/>
                <w:sz w:val="21"/>
                <w:szCs w:val="21"/>
                <w:highlight w:val="none"/>
              </w:rPr>
              <w:t>污染物</w:t>
            </w:r>
          </w:p>
        </w:tc>
        <w:tc>
          <w:tcPr>
            <w:tcW w:w="1176" w:type="dxa"/>
            <w:noWrap w:val="0"/>
            <w:vAlign w:val="center"/>
          </w:tcPr>
          <w:p>
            <w:pPr>
              <w:ind w:firstLine="0" w:firstLineChars="0"/>
              <w:jc w:val="center"/>
              <w:rPr>
                <w:rFonts w:hint="eastAsia" w:cs="宋体"/>
                <w:sz w:val="21"/>
                <w:szCs w:val="21"/>
                <w:highlight w:val="none"/>
              </w:rPr>
            </w:pPr>
            <w:r>
              <w:rPr>
                <w:rFonts w:hint="eastAsia" w:cs="宋体"/>
                <w:sz w:val="21"/>
                <w:szCs w:val="21"/>
                <w:highlight w:val="none"/>
              </w:rPr>
              <w:t>面源面积（m</w:t>
            </w:r>
            <w:r>
              <w:rPr>
                <w:rFonts w:hint="eastAsia" w:cs="宋体"/>
                <w:sz w:val="21"/>
                <w:szCs w:val="21"/>
                <w:highlight w:val="none"/>
                <w:vertAlign w:val="superscript"/>
              </w:rPr>
              <w:t>2</w:t>
            </w:r>
            <w:r>
              <w:rPr>
                <w:rFonts w:hint="eastAsia" w:cs="宋体"/>
                <w:sz w:val="21"/>
                <w:szCs w:val="21"/>
                <w:highlight w:val="none"/>
              </w:rPr>
              <w:t>）</w:t>
            </w:r>
          </w:p>
        </w:tc>
        <w:tc>
          <w:tcPr>
            <w:tcW w:w="1107" w:type="dxa"/>
            <w:noWrap w:val="0"/>
            <w:vAlign w:val="center"/>
          </w:tcPr>
          <w:p>
            <w:pPr>
              <w:ind w:firstLine="0" w:firstLineChars="0"/>
              <w:jc w:val="center"/>
              <w:rPr>
                <w:rFonts w:hint="eastAsia" w:cs="宋体"/>
                <w:sz w:val="21"/>
                <w:szCs w:val="21"/>
                <w:highlight w:val="none"/>
              </w:rPr>
            </w:pPr>
            <w:r>
              <w:rPr>
                <w:rFonts w:hint="eastAsia" w:cs="宋体"/>
                <w:sz w:val="21"/>
                <w:szCs w:val="21"/>
                <w:highlight w:val="none"/>
              </w:rPr>
              <w:t>面源长度（m）</w:t>
            </w:r>
          </w:p>
        </w:tc>
        <w:tc>
          <w:tcPr>
            <w:tcW w:w="1078" w:type="dxa"/>
            <w:noWrap w:val="0"/>
            <w:vAlign w:val="center"/>
          </w:tcPr>
          <w:p>
            <w:pPr>
              <w:ind w:firstLine="0" w:firstLineChars="0"/>
              <w:jc w:val="center"/>
              <w:rPr>
                <w:rFonts w:hint="eastAsia" w:cs="宋体"/>
                <w:sz w:val="21"/>
                <w:szCs w:val="21"/>
                <w:highlight w:val="none"/>
              </w:rPr>
            </w:pPr>
            <w:r>
              <w:rPr>
                <w:rFonts w:hint="eastAsia" w:cs="宋体"/>
                <w:sz w:val="21"/>
                <w:szCs w:val="21"/>
                <w:highlight w:val="none"/>
              </w:rPr>
              <w:t>面源宽度（m）</w:t>
            </w:r>
          </w:p>
        </w:tc>
        <w:tc>
          <w:tcPr>
            <w:tcW w:w="1135" w:type="dxa"/>
            <w:noWrap w:val="0"/>
            <w:vAlign w:val="center"/>
          </w:tcPr>
          <w:p>
            <w:pPr>
              <w:ind w:firstLine="0" w:firstLineChars="0"/>
              <w:jc w:val="center"/>
              <w:rPr>
                <w:rFonts w:hint="eastAsia" w:cs="宋体"/>
                <w:sz w:val="21"/>
                <w:szCs w:val="21"/>
                <w:highlight w:val="none"/>
              </w:rPr>
            </w:pPr>
            <w:r>
              <w:rPr>
                <w:rFonts w:hint="eastAsia" w:cs="宋体"/>
                <w:sz w:val="21"/>
                <w:szCs w:val="21"/>
                <w:highlight w:val="none"/>
              </w:rPr>
              <w:t>排放高度（m）</w:t>
            </w:r>
          </w:p>
        </w:tc>
        <w:tc>
          <w:tcPr>
            <w:tcW w:w="921" w:type="dxa"/>
            <w:noWrap w:val="0"/>
            <w:vAlign w:val="center"/>
          </w:tcPr>
          <w:p>
            <w:pPr>
              <w:ind w:firstLine="0" w:firstLineChars="0"/>
              <w:jc w:val="center"/>
              <w:rPr>
                <w:rFonts w:hint="eastAsia" w:cs="宋体"/>
                <w:sz w:val="21"/>
                <w:szCs w:val="21"/>
                <w:highlight w:val="none"/>
              </w:rPr>
            </w:pPr>
            <w:r>
              <w:rPr>
                <w:rFonts w:hint="eastAsia" w:cs="宋体"/>
                <w:sz w:val="21"/>
                <w:szCs w:val="21"/>
                <w:highlight w:val="none"/>
              </w:rPr>
              <w:t>排放量（t/a）</w:t>
            </w:r>
          </w:p>
        </w:tc>
        <w:tc>
          <w:tcPr>
            <w:tcW w:w="1246" w:type="dxa"/>
            <w:noWrap w:val="0"/>
            <w:vAlign w:val="center"/>
          </w:tcPr>
          <w:p>
            <w:pPr>
              <w:ind w:firstLine="0" w:firstLineChars="0"/>
              <w:jc w:val="center"/>
              <w:rPr>
                <w:rFonts w:hint="eastAsia" w:cs="宋体"/>
                <w:sz w:val="21"/>
                <w:szCs w:val="21"/>
                <w:highlight w:val="none"/>
              </w:rPr>
            </w:pPr>
            <w:r>
              <w:rPr>
                <w:rFonts w:hint="eastAsia" w:cs="宋体"/>
                <w:sz w:val="21"/>
                <w:szCs w:val="21"/>
                <w:highlight w:val="none"/>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 w:hRule="atLeast"/>
          <w:jc w:val="center"/>
        </w:trPr>
        <w:tc>
          <w:tcPr>
            <w:tcW w:w="1012" w:type="dxa"/>
            <w:noWrap w:val="0"/>
            <w:vAlign w:val="center"/>
          </w:tcPr>
          <w:p>
            <w:pPr>
              <w:ind w:firstLine="0" w:firstLineChars="0"/>
              <w:jc w:val="center"/>
              <w:rPr>
                <w:rFonts w:hint="eastAsia" w:cs="宋体"/>
                <w:sz w:val="21"/>
                <w:szCs w:val="21"/>
                <w:highlight w:val="none"/>
              </w:rPr>
            </w:pPr>
            <w:r>
              <w:rPr>
                <w:rFonts w:hint="eastAsia" w:cs="宋体"/>
                <w:sz w:val="21"/>
                <w:szCs w:val="21"/>
                <w:highlight w:val="none"/>
              </w:rPr>
              <w:t>项目区范围内</w:t>
            </w:r>
          </w:p>
        </w:tc>
        <w:tc>
          <w:tcPr>
            <w:tcW w:w="853" w:type="dxa"/>
            <w:noWrap w:val="0"/>
            <w:vAlign w:val="center"/>
          </w:tcPr>
          <w:p>
            <w:pPr>
              <w:ind w:firstLine="0" w:firstLineChars="0"/>
              <w:jc w:val="center"/>
              <w:rPr>
                <w:rFonts w:hint="eastAsia" w:cs="宋体"/>
                <w:sz w:val="21"/>
                <w:szCs w:val="21"/>
                <w:highlight w:val="none"/>
              </w:rPr>
            </w:pPr>
            <w:r>
              <w:rPr>
                <w:rFonts w:hint="eastAsia" w:cs="宋体"/>
                <w:sz w:val="21"/>
                <w:szCs w:val="21"/>
                <w:highlight w:val="none"/>
              </w:rPr>
              <w:t>TSP</w:t>
            </w:r>
          </w:p>
        </w:tc>
        <w:tc>
          <w:tcPr>
            <w:tcW w:w="1176" w:type="dxa"/>
            <w:noWrap w:val="0"/>
            <w:vAlign w:val="center"/>
          </w:tcPr>
          <w:p>
            <w:pPr>
              <w:ind w:firstLine="0" w:firstLineChars="0"/>
              <w:jc w:val="center"/>
              <w:rPr>
                <w:rFonts w:hint="default" w:eastAsia="宋体" w:cs="宋体"/>
                <w:sz w:val="21"/>
                <w:szCs w:val="21"/>
                <w:highlight w:val="none"/>
                <w:lang w:val="en-US" w:eastAsia="zh-CN"/>
              </w:rPr>
            </w:pPr>
            <w:r>
              <w:rPr>
                <w:rFonts w:hint="eastAsia" w:cs="宋体"/>
                <w:sz w:val="21"/>
                <w:szCs w:val="21"/>
                <w:highlight w:val="none"/>
                <w:lang w:val="en-US" w:eastAsia="zh-CN"/>
              </w:rPr>
              <w:t>96600</w:t>
            </w:r>
          </w:p>
        </w:tc>
        <w:tc>
          <w:tcPr>
            <w:tcW w:w="1107" w:type="dxa"/>
            <w:noWrap w:val="0"/>
            <w:vAlign w:val="center"/>
          </w:tcPr>
          <w:p>
            <w:pPr>
              <w:ind w:firstLine="0" w:firstLineChars="0"/>
              <w:jc w:val="center"/>
              <w:rPr>
                <w:rFonts w:hint="default" w:eastAsia="宋体" w:cs="宋体"/>
                <w:sz w:val="21"/>
                <w:szCs w:val="21"/>
                <w:highlight w:val="none"/>
                <w:lang w:val="en-US" w:eastAsia="zh-CN"/>
              </w:rPr>
            </w:pPr>
            <w:r>
              <w:rPr>
                <w:rFonts w:hint="eastAsia" w:cs="宋体"/>
                <w:sz w:val="21"/>
                <w:szCs w:val="21"/>
                <w:highlight w:val="none"/>
                <w:lang w:val="en-US" w:eastAsia="zh-CN"/>
              </w:rPr>
              <w:t>420</w:t>
            </w:r>
          </w:p>
        </w:tc>
        <w:tc>
          <w:tcPr>
            <w:tcW w:w="1078" w:type="dxa"/>
            <w:noWrap w:val="0"/>
            <w:vAlign w:val="center"/>
          </w:tcPr>
          <w:p>
            <w:pPr>
              <w:ind w:firstLine="0" w:firstLineChars="0"/>
              <w:jc w:val="center"/>
              <w:rPr>
                <w:rFonts w:hint="default" w:eastAsia="宋体" w:cs="宋体"/>
                <w:sz w:val="21"/>
                <w:szCs w:val="21"/>
                <w:highlight w:val="none"/>
                <w:lang w:val="en-US" w:eastAsia="zh-CN"/>
              </w:rPr>
            </w:pPr>
            <w:r>
              <w:rPr>
                <w:rFonts w:hint="eastAsia" w:cs="宋体"/>
                <w:sz w:val="21"/>
                <w:szCs w:val="21"/>
                <w:highlight w:val="none"/>
                <w:lang w:val="en-US" w:eastAsia="zh-CN"/>
              </w:rPr>
              <w:t>230</w:t>
            </w:r>
          </w:p>
        </w:tc>
        <w:tc>
          <w:tcPr>
            <w:tcW w:w="1135" w:type="dxa"/>
            <w:noWrap w:val="0"/>
            <w:vAlign w:val="center"/>
          </w:tcPr>
          <w:p>
            <w:pPr>
              <w:ind w:firstLine="0" w:firstLineChars="0"/>
              <w:jc w:val="center"/>
              <w:rPr>
                <w:rFonts w:hint="default" w:eastAsia="宋体" w:cs="宋体"/>
                <w:sz w:val="21"/>
                <w:szCs w:val="21"/>
                <w:highlight w:val="none"/>
                <w:lang w:val="en-US" w:eastAsia="zh-CN"/>
              </w:rPr>
            </w:pPr>
            <w:r>
              <w:rPr>
                <w:rFonts w:hint="eastAsia" w:cs="宋体"/>
                <w:sz w:val="21"/>
                <w:szCs w:val="21"/>
                <w:highlight w:val="none"/>
                <w:lang w:val="en-US" w:eastAsia="zh-CN"/>
              </w:rPr>
              <w:t>10</w:t>
            </w:r>
          </w:p>
        </w:tc>
        <w:tc>
          <w:tcPr>
            <w:tcW w:w="921" w:type="dxa"/>
            <w:noWrap w:val="0"/>
            <w:vAlign w:val="center"/>
          </w:tcPr>
          <w:p>
            <w:pPr>
              <w:ind w:firstLine="0" w:firstLineChars="0"/>
              <w:jc w:val="center"/>
              <w:rPr>
                <w:rFonts w:hint="default" w:eastAsia="宋体" w:cs="宋体"/>
                <w:sz w:val="21"/>
                <w:szCs w:val="21"/>
                <w:highlight w:val="none"/>
                <w:lang w:val="en-US" w:eastAsia="zh-CN"/>
              </w:rPr>
            </w:pPr>
            <w:r>
              <w:rPr>
                <w:rFonts w:hint="eastAsia" w:cs="宋体"/>
                <w:sz w:val="21"/>
                <w:szCs w:val="21"/>
                <w:highlight w:val="none"/>
                <w:lang w:val="en-US" w:eastAsia="zh-CN"/>
              </w:rPr>
              <w:t>1.25</w:t>
            </w:r>
          </w:p>
        </w:tc>
        <w:tc>
          <w:tcPr>
            <w:tcW w:w="1246" w:type="dxa"/>
            <w:noWrap w:val="0"/>
            <w:vAlign w:val="center"/>
          </w:tcPr>
          <w:p>
            <w:pPr>
              <w:ind w:firstLine="0" w:firstLineChars="0"/>
              <w:jc w:val="center"/>
              <w:rPr>
                <w:rFonts w:hint="default" w:eastAsia="宋体" w:cs="宋体"/>
                <w:sz w:val="21"/>
                <w:szCs w:val="21"/>
                <w:highlight w:val="none"/>
                <w:lang w:val="en-US" w:eastAsia="zh-CN"/>
              </w:rPr>
            </w:pPr>
            <w:r>
              <w:rPr>
                <w:rFonts w:hint="eastAsia" w:cs="宋体"/>
                <w:sz w:val="21"/>
                <w:szCs w:val="21"/>
                <w:highlight w:val="none"/>
                <w:lang w:val="en-US" w:eastAsia="zh-CN"/>
              </w:rPr>
              <w:t>0.52</w:t>
            </w:r>
          </w:p>
        </w:tc>
      </w:tr>
    </w:tbl>
    <w:p>
      <w:pPr>
        <w:pStyle w:val="17"/>
        <w:ind w:left="0" w:leftChars="0" w:firstLine="0" w:firstLineChars="0"/>
        <w:rPr>
          <w:rFonts w:hint="eastAsia" w:ascii="Times New Roman" w:hAnsi="Times New Roman"/>
          <w:b w:val="0"/>
          <w:bCs w:val="0"/>
          <w:color w:val="auto"/>
          <w:highlight w:val="none"/>
          <w:lang w:val="en-US" w:eastAsia="zh-CN"/>
        </w:rPr>
      </w:pPr>
    </w:p>
    <w:p>
      <w:pPr>
        <w:pStyle w:val="17"/>
        <w:ind w:left="0" w:leftChars="0" w:firstLine="0" w:firstLineChars="0"/>
        <w:jc w:val="center"/>
        <w:rPr>
          <w:rFonts w:hint="eastAsia" w:ascii="Times New Roman" w:hAnsi="Times New Roman" w:eastAsia="宋体"/>
          <w:b/>
          <w:bCs/>
          <w:color w:val="auto"/>
          <w:sz w:val="21"/>
          <w:szCs w:val="21"/>
          <w:highlight w:val="none"/>
          <w:lang w:eastAsia="zh-CN"/>
        </w:rPr>
      </w:pPr>
      <w:r>
        <w:rPr>
          <w:rFonts w:hint="eastAsia" w:ascii="Times New Roman" w:hAnsi="Times New Roman"/>
          <w:b/>
          <w:bCs/>
          <w:color w:val="auto"/>
          <w:sz w:val="21"/>
          <w:szCs w:val="21"/>
          <w:highlight w:val="none"/>
        </w:rPr>
        <w:t>表</w:t>
      </w:r>
      <w:r>
        <w:rPr>
          <w:rFonts w:hint="eastAsia" w:ascii="Times New Roman" w:hAnsi="Times New Roman"/>
          <w:b/>
          <w:bCs/>
          <w:color w:val="auto"/>
          <w:sz w:val="21"/>
          <w:szCs w:val="21"/>
          <w:highlight w:val="none"/>
          <w:lang w:val="en-US" w:eastAsia="zh-CN"/>
        </w:rPr>
        <w:t>6.2-2</w:t>
      </w:r>
      <w:r>
        <w:rPr>
          <w:rFonts w:hint="eastAsia" w:ascii="Times New Roman" w:hAnsi="Times New Roman"/>
          <w:b/>
          <w:bCs/>
          <w:color w:val="auto"/>
          <w:sz w:val="21"/>
          <w:szCs w:val="21"/>
          <w:highlight w:val="none"/>
        </w:rPr>
        <w:t xml:space="preserve">  </w:t>
      </w:r>
      <w:r>
        <w:rPr>
          <w:rFonts w:hint="eastAsia" w:ascii="Times New Roman" w:hAnsi="Times New Roman"/>
          <w:b/>
          <w:bCs/>
          <w:color w:val="auto"/>
          <w:sz w:val="21"/>
          <w:szCs w:val="21"/>
          <w:highlight w:val="none"/>
          <w:lang w:eastAsia="zh-CN"/>
        </w:rPr>
        <w:t>新增污染源点源参数表（有组织）</w:t>
      </w:r>
    </w:p>
    <w:tbl>
      <w:tblPr>
        <w:tblStyle w:val="30"/>
        <w:tblW w:w="9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774"/>
        <w:gridCol w:w="772"/>
        <w:gridCol w:w="773"/>
        <w:gridCol w:w="774"/>
        <w:gridCol w:w="773"/>
        <w:gridCol w:w="774"/>
        <w:gridCol w:w="774"/>
        <w:gridCol w:w="773"/>
        <w:gridCol w:w="773"/>
        <w:gridCol w:w="775"/>
        <w:gridCol w:w="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1" w:hRule="atLeast"/>
          <w:jc w:val="center"/>
        </w:trPr>
        <w:tc>
          <w:tcPr>
            <w:tcW w:w="772" w:type="dxa"/>
            <w:vMerge w:val="restart"/>
            <w:shd w:val="clear" w:color="auto" w:fill="auto"/>
            <w:vAlign w:val="center"/>
          </w:tcPr>
          <w:p>
            <w:pPr>
              <w:pStyle w:val="17"/>
              <w:ind w:left="0" w:leftChars="0" w:firstLine="0" w:firstLineChars="0"/>
              <w:jc w:val="center"/>
              <w:rPr>
                <w:rFonts w:hint="eastAsia" w:ascii="Times New Roman" w:hAnsi="Times New Roman" w:eastAsia="宋体"/>
                <w:b/>
                <w:bCs/>
                <w:color w:val="auto"/>
                <w:sz w:val="21"/>
                <w:szCs w:val="21"/>
                <w:highlight w:val="none"/>
                <w:vertAlign w:val="baseline"/>
                <w:lang w:eastAsia="zh-CN"/>
              </w:rPr>
            </w:pPr>
            <w:r>
              <w:rPr>
                <w:rFonts w:hint="eastAsia" w:ascii="Times New Roman" w:hAnsi="Times New Roman"/>
                <w:b/>
                <w:bCs/>
                <w:color w:val="auto"/>
                <w:sz w:val="21"/>
                <w:szCs w:val="21"/>
                <w:highlight w:val="none"/>
                <w:vertAlign w:val="baseline"/>
                <w:lang w:eastAsia="zh-CN"/>
              </w:rPr>
              <w:t>编号</w:t>
            </w:r>
          </w:p>
        </w:tc>
        <w:tc>
          <w:tcPr>
            <w:tcW w:w="774" w:type="dxa"/>
            <w:vMerge w:val="restart"/>
            <w:shd w:val="clear" w:color="auto" w:fill="auto"/>
            <w:vAlign w:val="center"/>
          </w:tcPr>
          <w:p>
            <w:pPr>
              <w:pStyle w:val="17"/>
              <w:ind w:left="0" w:leftChars="0" w:firstLine="0" w:firstLineChars="0"/>
              <w:jc w:val="center"/>
              <w:rPr>
                <w:rFonts w:hint="eastAsia" w:ascii="Times New Roman" w:hAnsi="Times New Roman" w:eastAsia="宋体"/>
                <w:b/>
                <w:bCs/>
                <w:color w:val="auto"/>
                <w:sz w:val="21"/>
                <w:szCs w:val="21"/>
                <w:highlight w:val="none"/>
                <w:vertAlign w:val="baseline"/>
                <w:lang w:eastAsia="zh-CN"/>
              </w:rPr>
            </w:pPr>
            <w:r>
              <w:rPr>
                <w:rFonts w:hint="eastAsia" w:ascii="Times New Roman" w:hAnsi="Times New Roman"/>
                <w:b/>
                <w:bCs/>
                <w:color w:val="auto"/>
                <w:sz w:val="21"/>
                <w:szCs w:val="21"/>
                <w:highlight w:val="none"/>
                <w:vertAlign w:val="baseline"/>
                <w:lang w:eastAsia="zh-CN"/>
              </w:rPr>
              <w:t>名称</w:t>
            </w:r>
          </w:p>
        </w:tc>
        <w:tc>
          <w:tcPr>
            <w:tcW w:w="1545" w:type="dxa"/>
            <w:gridSpan w:val="2"/>
            <w:shd w:val="clear" w:color="auto" w:fill="auto"/>
            <w:vAlign w:val="center"/>
          </w:tcPr>
          <w:p>
            <w:pPr>
              <w:pStyle w:val="17"/>
              <w:ind w:left="0" w:leftChars="0" w:firstLine="0" w:firstLineChars="0"/>
              <w:jc w:val="center"/>
              <w:rPr>
                <w:rFonts w:hint="default" w:ascii="Times New Roman" w:hAnsi="Times New Roman" w:eastAsia="宋体"/>
                <w:b/>
                <w:bCs/>
                <w:color w:val="auto"/>
                <w:sz w:val="21"/>
                <w:szCs w:val="21"/>
                <w:highlight w:val="none"/>
                <w:vertAlign w:val="baseline"/>
                <w:lang w:val="en-US" w:eastAsia="zh-CN"/>
              </w:rPr>
            </w:pPr>
            <w:r>
              <w:rPr>
                <w:rFonts w:hint="eastAsia" w:ascii="Times New Roman" w:hAnsi="Times New Roman"/>
                <w:b/>
                <w:bCs/>
                <w:color w:val="auto"/>
                <w:sz w:val="21"/>
                <w:szCs w:val="21"/>
                <w:highlight w:val="none"/>
                <w:vertAlign w:val="baseline"/>
                <w:lang w:eastAsia="zh-CN"/>
              </w:rPr>
              <w:t>排气筒底部中心坐标</w:t>
            </w:r>
            <w:r>
              <w:rPr>
                <w:rFonts w:hint="eastAsia" w:ascii="Times New Roman" w:hAnsi="Times New Roman"/>
                <w:b/>
                <w:bCs/>
                <w:color w:val="auto"/>
                <w:sz w:val="21"/>
                <w:szCs w:val="21"/>
                <w:highlight w:val="none"/>
                <w:vertAlign w:val="baseline"/>
                <w:lang w:val="en-US" w:eastAsia="zh-CN"/>
              </w:rPr>
              <w:t>/m</w:t>
            </w:r>
          </w:p>
        </w:tc>
        <w:tc>
          <w:tcPr>
            <w:tcW w:w="774" w:type="dxa"/>
            <w:vMerge w:val="restart"/>
            <w:shd w:val="clear" w:color="auto" w:fill="auto"/>
            <w:vAlign w:val="center"/>
          </w:tcPr>
          <w:p>
            <w:pPr>
              <w:pStyle w:val="17"/>
              <w:ind w:left="0" w:leftChars="0" w:firstLine="0" w:firstLineChars="0"/>
              <w:jc w:val="center"/>
              <w:rPr>
                <w:rFonts w:hint="default" w:ascii="Times New Roman" w:hAnsi="Times New Roman" w:eastAsia="宋体"/>
                <w:b/>
                <w:bCs/>
                <w:color w:val="auto"/>
                <w:sz w:val="21"/>
                <w:szCs w:val="21"/>
                <w:highlight w:val="none"/>
                <w:vertAlign w:val="baseline"/>
                <w:lang w:val="en-US" w:eastAsia="zh-CN"/>
              </w:rPr>
            </w:pPr>
            <w:r>
              <w:rPr>
                <w:rFonts w:hint="eastAsia" w:ascii="Times New Roman" w:hAnsi="Times New Roman"/>
                <w:b/>
                <w:bCs/>
                <w:color w:val="auto"/>
                <w:sz w:val="21"/>
                <w:szCs w:val="21"/>
                <w:highlight w:val="none"/>
                <w:vertAlign w:val="baseline"/>
                <w:lang w:eastAsia="zh-CN"/>
              </w:rPr>
              <w:t>排气筒底部海拔高度</w:t>
            </w:r>
            <w:r>
              <w:rPr>
                <w:rFonts w:hint="eastAsia" w:ascii="Times New Roman" w:hAnsi="Times New Roman"/>
                <w:b/>
                <w:bCs/>
                <w:color w:val="auto"/>
                <w:sz w:val="21"/>
                <w:szCs w:val="21"/>
                <w:highlight w:val="none"/>
                <w:vertAlign w:val="baseline"/>
                <w:lang w:val="en-US" w:eastAsia="zh-CN"/>
              </w:rPr>
              <w:t>/m</w:t>
            </w:r>
          </w:p>
        </w:tc>
        <w:tc>
          <w:tcPr>
            <w:tcW w:w="773" w:type="dxa"/>
            <w:vMerge w:val="restart"/>
            <w:shd w:val="clear" w:color="auto" w:fill="auto"/>
            <w:vAlign w:val="center"/>
          </w:tcPr>
          <w:p>
            <w:pPr>
              <w:pStyle w:val="17"/>
              <w:ind w:left="0" w:leftChars="0" w:firstLine="0" w:firstLineChars="0"/>
              <w:jc w:val="center"/>
              <w:rPr>
                <w:rFonts w:hint="eastAsia" w:ascii="Times New Roman" w:hAnsi="Times New Roman" w:eastAsia="宋体"/>
                <w:b/>
                <w:bCs/>
                <w:color w:val="auto"/>
                <w:sz w:val="21"/>
                <w:szCs w:val="21"/>
                <w:highlight w:val="none"/>
                <w:vertAlign w:val="baseline"/>
                <w:lang w:eastAsia="zh-CN"/>
              </w:rPr>
            </w:pPr>
            <w:r>
              <w:rPr>
                <w:rFonts w:hint="eastAsia" w:ascii="Times New Roman" w:hAnsi="Times New Roman"/>
                <w:b/>
                <w:bCs/>
                <w:color w:val="auto"/>
                <w:sz w:val="21"/>
                <w:szCs w:val="21"/>
                <w:highlight w:val="none"/>
                <w:vertAlign w:val="baseline"/>
                <w:lang w:eastAsia="zh-CN"/>
              </w:rPr>
              <w:t>排气筒高度（</w:t>
            </w:r>
            <w:r>
              <w:rPr>
                <w:rFonts w:hint="eastAsia" w:ascii="Times New Roman" w:hAnsi="Times New Roman"/>
                <w:b/>
                <w:bCs/>
                <w:color w:val="auto"/>
                <w:sz w:val="21"/>
                <w:szCs w:val="21"/>
                <w:highlight w:val="none"/>
                <w:vertAlign w:val="baseline"/>
                <w:lang w:val="en-US" w:eastAsia="zh-CN"/>
              </w:rPr>
              <w:t>m</w:t>
            </w:r>
            <w:r>
              <w:rPr>
                <w:rFonts w:hint="eastAsia" w:ascii="Times New Roman" w:hAnsi="Times New Roman"/>
                <w:b/>
                <w:bCs/>
                <w:color w:val="auto"/>
                <w:sz w:val="21"/>
                <w:szCs w:val="21"/>
                <w:highlight w:val="none"/>
                <w:vertAlign w:val="baseline"/>
                <w:lang w:eastAsia="zh-CN"/>
              </w:rPr>
              <w:t>）</w:t>
            </w:r>
          </w:p>
        </w:tc>
        <w:tc>
          <w:tcPr>
            <w:tcW w:w="774" w:type="dxa"/>
            <w:vMerge w:val="restart"/>
            <w:shd w:val="clear" w:color="auto" w:fill="auto"/>
            <w:vAlign w:val="center"/>
          </w:tcPr>
          <w:p>
            <w:pPr>
              <w:pStyle w:val="17"/>
              <w:ind w:left="0" w:leftChars="0" w:firstLine="0" w:firstLineChars="0"/>
              <w:jc w:val="center"/>
              <w:rPr>
                <w:rFonts w:hint="eastAsia" w:ascii="Times New Roman" w:hAnsi="Times New Roman" w:eastAsia="宋体"/>
                <w:b/>
                <w:bCs/>
                <w:color w:val="auto"/>
                <w:sz w:val="21"/>
                <w:szCs w:val="21"/>
                <w:highlight w:val="none"/>
                <w:vertAlign w:val="baseline"/>
                <w:lang w:eastAsia="zh-CN"/>
              </w:rPr>
            </w:pPr>
            <w:r>
              <w:rPr>
                <w:rFonts w:hint="eastAsia" w:ascii="Times New Roman" w:hAnsi="Times New Roman"/>
                <w:b/>
                <w:bCs/>
                <w:color w:val="auto"/>
                <w:sz w:val="21"/>
                <w:szCs w:val="21"/>
                <w:highlight w:val="none"/>
                <w:vertAlign w:val="baseline"/>
                <w:lang w:eastAsia="zh-CN"/>
              </w:rPr>
              <w:t>排气筒内径（</w:t>
            </w:r>
            <w:r>
              <w:rPr>
                <w:rFonts w:hint="eastAsia" w:ascii="Times New Roman" w:hAnsi="Times New Roman"/>
                <w:b/>
                <w:bCs/>
                <w:color w:val="auto"/>
                <w:sz w:val="21"/>
                <w:szCs w:val="21"/>
                <w:highlight w:val="none"/>
                <w:vertAlign w:val="baseline"/>
                <w:lang w:val="en-US" w:eastAsia="zh-CN"/>
              </w:rPr>
              <w:t>m</w:t>
            </w:r>
            <w:r>
              <w:rPr>
                <w:rFonts w:hint="eastAsia" w:ascii="Times New Roman" w:hAnsi="Times New Roman"/>
                <w:b/>
                <w:bCs/>
                <w:color w:val="auto"/>
                <w:sz w:val="21"/>
                <w:szCs w:val="21"/>
                <w:highlight w:val="none"/>
                <w:vertAlign w:val="baseline"/>
                <w:lang w:eastAsia="zh-CN"/>
              </w:rPr>
              <w:t>）</w:t>
            </w:r>
          </w:p>
        </w:tc>
        <w:tc>
          <w:tcPr>
            <w:tcW w:w="774" w:type="dxa"/>
            <w:vMerge w:val="restart"/>
            <w:shd w:val="clear" w:color="auto" w:fill="auto"/>
            <w:vAlign w:val="center"/>
          </w:tcPr>
          <w:p>
            <w:pPr>
              <w:pStyle w:val="17"/>
              <w:ind w:left="0" w:leftChars="0" w:firstLine="0" w:firstLineChars="0"/>
              <w:jc w:val="center"/>
              <w:rPr>
                <w:rFonts w:hint="eastAsia" w:ascii="Times New Roman" w:hAnsi="Times New Roman" w:eastAsia="宋体"/>
                <w:b/>
                <w:bCs/>
                <w:color w:val="auto"/>
                <w:sz w:val="21"/>
                <w:szCs w:val="21"/>
                <w:highlight w:val="none"/>
                <w:vertAlign w:val="baseline"/>
                <w:lang w:eastAsia="zh-CN"/>
              </w:rPr>
            </w:pPr>
            <w:r>
              <w:rPr>
                <w:rFonts w:hint="eastAsia" w:ascii="Times New Roman" w:hAnsi="Times New Roman"/>
                <w:b/>
                <w:bCs/>
                <w:color w:val="auto"/>
                <w:sz w:val="21"/>
                <w:szCs w:val="21"/>
                <w:highlight w:val="none"/>
                <w:vertAlign w:val="baseline"/>
                <w:lang w:eastAsia="zh-CN"/>
              </w:rPr>
              <w:t>烟气流速（</w:t>
            </w:r>
            <w:r>
              <w:rPr>
                <w:rFonts w:hint="eastAsia" w:ascii="Times New Roman" w:hAnsi="Times New Roman"/>
                <w:b/>
                <w:bCs/>
                <w:color w:val="auto"/>
                <w:sz w:val="21"/>
                <w:szCs w:val="21"/>
                <w:highlight w:val="none"/>
                <w:vertAlign w:val="baseline"/>
                <w:lang w:val="en-US" w:eastAsia="zh-CN"/>
              </w:rPr>
              <w:t>m/s</w:t>
            </w:r>
            <w:r>
              <w:rPr>
                <w:rFonts w:hint="eastAsia" w:ascii="Times New Roman" w:hAnsi="Times New Roman"/>
                <w:b/>
                <w:bCs/>
                <w:color w:val="auto"/>
                <w:sz w:val="21"/>
                <w:szCs w:val="21"/>
                <w:highlight w:val="none"/>
                <w:vertAlign w:val="baseline"/>
                <w:lang w:eastAsia="zh-CN"/>
              </w:rPr>
              <w:t>）</w:t>
            </w:r>
          </w:p>
        </w:tc>
        <w:tc>
          <w:tcPr>
            <w:tcW w:w="773" w:type="dxa"/>
            <w:vMerge w:val="restart"/>
            <w:shd w:val="clear" w:color="auto" w:fill="auto"/>
            <w:vAlign w:val="center"/>
          </w:tcPr>
          <w:p>
            <w:pPr>
              <w:pStyle w:val="17"/>
              <w:ind w:left="0" w:leftChars="0" w:firstLine="0" w:firstLineChars="0"/>
              <w:jc w:val="center"/>
              <w:rPr>
                <w:rFonts w:hint="eastAsia" w:ascii="Times New Roman" w:hAnsi="Times New Roman"/>
                <w:b/>
                <w:bCs/>
                <w:color w:val="auto"/>
                <w:sz w:val="21"/>
                <w:szCs w:val="21"/>
                <w:highlight w:val="none"/>
                <w:vertAlign w:val="baseline"/>
                <w:lang w:eastAsia="zh-CN"/>
              </w:rPr>
            </w:pPr>
            <w:r>
              <w:rPr>
                <w:rFonts w:hint="eastAsia" w:ascii="Times New Roman" w:hAnsi="Times New Roman"/>
                <w:b/>
                <w:bCs/>
                <w:color w:val="auto"/>
                <w:sz w:val="21"/>
                <w:szCs w:val="21"/>
                <w:highlight w:val="none"/>
                <w:vertAlign w:val="baseline"/>
                <w:lang w:eastAsia="zh-CN"/>
              </w:rPr>
              <w:t>烟气</w:t>
            </w:r>
          </w:p>
          <w:p>
            <w:pPr>
              <w:pStyle w:val="17"/>
              <w:ind w:left="0" w:leftChars="0" w:firstLine="0" w:firstLineChars="0"/>
              <w:jc w:val="center"/>
              <w:rPr>
                <w:rFonts w:hint="eastAsia" w:ascii="Times New Roman" w:hAnsi="Times New Roman" w:eastAsia="宋体"/>
                <w:b/>
                <w:bCs/>
                <w:color w:val="auto"/>
                <w:sz w:val="21"/>
                <w:szCs w:val="21"/>
                <w:highlight w:val="none"/>
                <w:vertAlign w:val="baseline"/>
                <w:lang w:eastAsia="zh-CN"/>
              </w:rPr>
            </w:pPr>
            <w:r>
              <w:rPr>
                <w:rFonts w:hint="eastAsia" w:ascii="Times New Roman" w:hAnsi="Times New Roman"/>
                <w:b/>
                <w:bCs/>
                <w:color w:val="auto"/>
                <w:sz w:val="21"/>
                <w:szCs w:val="21"/>
                <w:highlight w:val="none"/>
                <w:vertAlign w:val="baseline"/>
                <w:lang w:eastAsia="zh-CN"/>
              </w:rPr>
              <w:t>温度（℃）</w:t>
            </w:r>
          </w:p>
        </w:tc>
        <w:tc>
          <w:tcPr>
            <w:tcW w:w="773" w:type="dxa"/>
            <w:vMerge w:val="restart"/>
            <w:shd w:val="clear" w:color="auto" w:fill="auto"/>
            <w:vAlign w:val="center"/>
          </w:tcPr>
          <w:p>
            <w:pPr>
              <w:pStyle w:val="17"/>
              <w:ind w:left="0" w:leftChars="0" w:firstLine="0" w:firstLineChars="0"/>
              <w:jc w:val="center"/>
              <w:rPr>
                <w:rFonts w:hint="default" w:ascii="Times New Roman" w:hAnsi="Times New Roman" w:eastAsia="宋体"/>
                <w:b/>
                <w:bCs/>
                <w:color w:val="auto"/>
                <w:sz w:val="21"/>
                <w:szCs w:val="21"/>
                <w:highlight w:val="none"/>
                <w:vertAlign w:val="baseline"/>
                <w:lang w:val="en-US" w:eastAsia="zh-CN"/>
              </w:rPr>
            </w:pPr>
            <w:r>
              <w:rPr>
                <w:rFonts w:hint="eastAsia" w:ascii="Times New Roman" w:hAnsi="Times New Roman"/>
                <w:b/>
                <w:bCs/>
                <w:color w:val="auto"/>
                <w:sz w:val="21"/>
                <w:szCs w:val="21"/>
                <w:highlight w:val="none"/>
                <w:vertAlign w:val="baseline"/>
                <w:lang w:eastAsia="zh-CN"/>
              </w:rPr>
              <w:t>年排放小时数</w:t>
            </w:r>
            <w:r>
              <w:rPr>
                <w:rFonts w:hint="eastAsia" w:ascii="Times New Roman" w:hAnsi="Times New Roman"/>
                <w:b/>
                <w:bCs/>
                <w:color w:val="auto"/>
                <w:sz w:val="21"/>
                <w:szCs w:val="21"/>
                <w:highlight w:val="none"/>
                <w:vertAlign w:val="baseline"/>
                <w:lang w:val="en-US" w:eastAsia="zh-CN"/>
              </w:rPr>
              <w:t>/h</w:t>
            </w:r>
          </w:p>
        </w:tc>
        <w:tc>
          <w:tcPr>
            <w:tcW w:w="775" w:type="dxa"/>
            <w:vMerge w:val="restart"/>
            <w:shd w:val="clear" w:color="auto" w:fill="auto"/>
            <w:vAlign w:val="center"/>
          </w:tcPr>
          <w:p>
            <w:pPr>
              <w:pStyle w:val="17"/>
              <w:ind w:left="0" w:leftChars="0" w:firstLine="0" w:firstLineChars="0"/>
              <w:jc w:val="center"/>
              <w:rPr>
                <w:rFonts w:hint="eastAsia" w:ascii="Times New Roman" w:hAnsi="Times New Roman" w:eastAsia="宋体"/>
                <w:b/>
                <w:bCs/>
                <w:color w:val="auto"/>
                <w:sz w:val="21"/>
                <w:szCs w:val="21"/>
                <w:highlight w:val="none"/>
                <w:vertAlign w:val="baseline"/>
                <w:lang w:eastAsia="zh-CN"/>
              </w:rPr>
            </w:pPr>
            <w:r>
              <w:rPr>
                <w:rFonts w:hint="eastAsia" w:ascii="Times New Roman" w:hAnsi="Times New Roman"/>
                <w:b/>
                <w:bCs/>
                <w:color w:val="auto"/>
                <w:sz w:val="21"/>
                <w:szCs w:val="21"/>
                <w:highlight w:val="none"/>
                <w:vertAlign w:val="baseline"/>
                <w:lang w:eastAsia="zh-CN"/>
              </w:rPr>
              <w:t>排放工况</w:t>
            </w:r>
          </w:p>
        </w:tc>
        <w:tc>
          <w:tcPr>
            <w:tcW w:w="773" w:type="dxa"/>
            <w:shd w:val="clear" w:color="auto" w:fill="auto"/>
            <w:vAlign w:val="center"/>
          </w:tcPr>
          <w:p>
            <w:pPr>
              <w:pStyle w:val="17"/>
              <w:ind w:left="0" w:leftChars="0" w:firstLine="0" w:firstLineChars="0"/>
              <w:jc w:val="center"/>
              <w:rPr>
                <w:rFonts w:hint="eastAsia" w:ascii="Times New Roman" w:hAnsi="Times New Roman" w:eastAsia="宋体"/>
                <w:b/>
                <w:bCs/>
                <w:color w:val="auto"/>
                <w:sz w:val="21"/>
                <w:szCs w:val="21"/>
                <w:highlight w:val="none"/>
                <w:vertAlign w:val="baseline"/>
                <w:lang w:eastAsia="zh-CN"/>
              </w:rPr>
            </w:pPr>
            <w:r>
              <w:rPr>
                <w:rFonts w:hint="eastAsia" w:ascii="Times New Roman" w:hAnsi="Times New Roman"/>
                <w:b/>
                <w:bCs/>
                <w:color w:val="auto"/>
                <w:sz w:val="21"/>
                <w:szCs w:val="21"/>
                <w:highlight w:val="none"/>
                <w:vertAlign w:val="baseline"/>
                <w:lang w:eastAsia="zh-CN"/>
              </w:rPr>
              <w:t>排放速率（</w:t>
            </w:r>
            <w:r>
              <w:rPr>
                <w:rFonts w:hint="eastAsia" w:ascii="Times New Roman" w:hAnsi="Times New Roman"/>
                <w:b/>
                <w:bCs/>
                <w:color w:val="auto"/>
                <w:sz w:val="21"/>
                <w:szCs w:val="21"/>
                <w:highlight w:val="none"/>
                <w:vertAlign w:val="baseline"/>
                <w:lang w:val="en-US" w:eastAsia="zh-CN"/>
              </w:rPr>
              <w:t>kg/h</w:t>
            </w:r>
            <w:r>
              <w:rPr>
                <w:rFonts w:hint="eastAsia" w:ascii="Times New Roman" w:hAnsi="Times New Roman"/>
                <w:b/>
                <w:bCs/>
                <w:color w:val="auto"/>
                <w:sz w:val="21"/>
                <w:szCs w:val="21"/>
                <w:highlight w:val="none"/>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772" w:type="dxa"/>
            <w:vMerge w:val="continue"/>
            <w:shd w:val="clear" w:color="auto" w:fill="BEBEBE" w:themeFill="background1" w:themeFillShade="BF"/>
            <w:vAlign w:val="center"/>
          </w:tcPr>
          <w:p>
            <w:pPr>
              <w:pStyle w:val="17"/>
              <w:ind w:left="0" w:leftChars="0" w:firstLine="0" w:firstLineChars="0"/>
              <w:jc w:val="center"/>
              <w:rPr>
                <w:rFonts w:hint="eastAsia" w:ascii="Times New Roman" w:hAnsi="Times New Roman"/>
                <w:b/>
                <w:bCs/>
                <w:color w:val="auto"/>
                <w:sz w:val="21"/>
                <w:szCs w:val="21"/>
                <w:highlight w:val="none"/>
                <w:vertAlign w:val="baseline"/>
              </w:rPr>
            </w:pPr>
          </w:p>
        </w:tc>
        <w:tc>
          <w:tcPr>
            <w:tcW w:w="774" w:type="dxa"/>
            <w:vMerge w:val="continue"/>
            <w:shd w:val="clear" w:color="auto" w:fill="BEBEBE" w:themeFill="background1" w:themeFillShade="BF"/>
            <w:vAlign w:val="center"/>
          </w:tcPr>
          <w:p>
            <w:pPr>
              <w:pStyle w:val="17"/>
              <w:ind w:left="0" w:leftChars="0" w:firstLine="0" w:firstLineChars="0"/>
              <w:jc w:val="center"/>
              <w:rPr>
                <w:rFonts w:hint="eastAsia" w:ascii="Times New Roman" w:hAnsi="Times New Roman"/>
                <w:b/>
                <w:bCs/>
                <w:color w:val="auto"/>
                <w:sz w:val="21"/>
                <w:szCs w:val="21"/>
                <w:highlight w:val="none"/>
                <w:vertAlign w:val="baseline"/>
              </w:rPr>
            </w:pPr>
          </w:p>
        </w:tc>
        <w:tc>
          <w:tcPr>
            <w:tcW w:w="772" w:type="dxa"/>
            <w:shd w:val="clear" w:color="auto" w:fill="auto"/>
            <w:vAlign w:val="center"/>
          </w:tcPr>
          <w:p>
            <w:pPr>
              <w:pStyle w:val="17"/>
              <w:ind w:left="0" w:leftChars="0" w:firstLine="0" w:firstLineChars="0"/>
              <w:jc w:val="center"/>
              <w:rPr>
                <w:rFonts w:hint="eastAsia" w:ascii="Times New Roman" w:hAnsi="Times New Roman" w:eastAsia="宋体"/>
                <w:b/>
                <w:bCs/>
                <w:color w:val="auto"/>
                <w:sz w:val="21"/>
                <w:szCs w:val="21"/>
                <w:highlight w:val="none"/>
                <w:vertAlign w:val="baseline"/>
                <w:lang w:val="en-US" w:eastAsia="zh-CN"/>
              </w:rPr>
            </w:pPr>
            <w:r>
              <w:rPr>
                <w:rFonts w:hint="eastAsia" w:ascii="Times New Roman" w:hAnsi="Times New Roman"/>
                <w:b/>
                <w:bCs/>
                <w:color w:val="auto"/>
                <w:sz w:val="21"/>
                <w:szCs w:val="21"/>
                <w:highlight w:val="none"/>
                <w:vertAlign w:val="baseline"/>
                <w:lang w:val="en-US" w:eastAsia="zh-CN"/>
              </w:rPr>
              <w:t>X</w:t>
            </w:r>
          </w:p>
        </w:tc>
        <w:tc>
          <w:tcPr>
            <w:tcW w:w="773" w:type="dxa"/>
            <w:shd w:val="clear" w:color="auto" w:fill="auto"/>
            <w:vAlign w:val="center"/>
          </w:tcPr>
          <w:p>
            <w:pPr>
              <w:pStyle w:val="17"/>
              <w:ind w:left="0" w:leftChars="0" w:firstLine="0" w:firstLineChars="0"/>
              <w:jc w:val="center"/>
              <w:rPr>
                <w:rFonts w:hint="eastAsia" w:ascii="Times New Roman" w:hAnsi="Times New Roman" w:eastAsia="宋体"/>
                <w:b/>
                <w:bCs/>
                <w:color w:val="auto"/>
                <w:sz w:val="21"/>
                <w:szCs w:val="21"/>
                <w:highlight w:val="none"/>
                <w:vertAlign w:val="baseline"/>
                <w:lang w:val="en-US" w:eastAsia="zh-CN"/>
              </w:rPr>
            </w:pPr>
            <w:r>
              <w:rPr>
                <w:rFonts w:hint="eastAsia" w:ascii="Times New Roman" w:hAnsi="Times New Roman"/>
                <w:b/>
                <w:bCs/>
                <w:color w:val="auto"/>
                <w:sz w:val="21"/>
                <w:szCs w:val="21"/>
                <w:highlight w:val="none"/>
                <w:vertAlign w:val="baseline"/>
                <w:lang w:val="en-US" w:eastAsia="zh-CN"/>
              </w:rPr>
              <w:t>Y</w:t>
            </w:r>
          </w:p>
        </w:tc>
        <w:tc>
          <w:tcPr>
            <w:tcW w:w="774" w:type="dxa"/>
            <w:vMerge w:val="continue"/>
            <w:shd w:val="clear" w:color="auto" w:fill="BEBEBE" w:themeFill="background1" w:themeFillShade="BF"/>
            <w:vAlign w:val="center"/>
          </w:tcPr>
          <w:p>
            <w:pPr>
              <w:pStyle w:val="17"/>
              <w:ind w:left="0" w:leftChars="0" w:firstLine="0" w:firstLineChars="0"/>
              <w:jc w:val="center"/>
              <w:rPr>
                <w:rFonts w:hint="eastAsia" w:ascii="Times New Roman" w:hAnsi="Times New Roman"/>
                <w:b/>
                <w:bCs/>
                <w:color w:val="auto"/>
                <w:sz w:val="21"/>
                <w:szCs w:val="21"/>
                <w:highlight w:val="none"/>
                <w:vertAlign w:val="baseline"/>
              </w:rPr>
            </w:pPr>
          </w:p>
        </w:tc>
        <w:tc>
          <w:tcPr>
            <w:tcW w:w="773" w:type="dxa"/>
            <w:vMerge w:val="continue"/>
            <w:shd w:val="clear" w:color="auto" w:fill="BEBEBE" w:themeFill="background1" w:themeFillShade="BF"/>
            <w:vAlign w:val="center"/>
          </w:tcPr>
          <w:p>
            <w:pPr>
              <w:pStyle w:val="17"/>
              <w:ind w:left="0" w:leftChars="0" w:firstLine="0" w:firstLineChars="0"/>
              <w:jc w:val="center"/>
              <w:rPr>
                <w:rFonts w:hint="eastAsia" w:ascii="Times New Roman" w:hAnsi="Times New Roman"/>
                <w:b/>
                <w:bCs/>
                <w:color w:val="auto"/>
                <w:sz w:val="21"/>
                <w:szCs w:val="21"/>
                <w:highlight w:val="none"/>
                <w:vertAlign w:val="baseline"/>
              </w:rPr>
            </w:pPr>
          </w:p>
        </w:tc>
        <w:tc>
          <w:tcPr>
            <w:tcW w:w="774" w:type="dxa"/>
            <w:vMerge w:val="continue"/>
            <w:shd w:val="clear" w:color="auto" w:fill="BEBEBE" w:themeFill="background1" w:themeFillShade="BF"/>
            <w:vAlign w:val="center"/>
          </w:tcPr>
          <w:p>
            <w:pPr>
              <w:pStyle w:val="17"/>
              <w:ind w:left="0" w:leftChars="0" w:firstLine="0" w:firstLineChars="0"/>
              <w:jc w:val="center"/>
              <w:rPr>
                <w:rFonts w:hint="eastAsia" w:ascii="Times New Roman" w:hAnsi="Times New Roman"/>
                <w:b/>
                <w:bCs/>
                <w:color w:val="auto"/>
                <w:sz w:val="21"/>
                <w:szCs w:val="21"/>
                <w:highlight w:val="none"/>
                <w:vertAlign w:val="baseline"/>
              </w:rPr>
            </w:pPr>
          </w:p>
        </w:tc>
        <w:tc>
          <w:tcPr>
            <w:tcW w:w="774" w:type="dxa"/>
            <w:vMerge w:val="continue"/>
            <w:shd w:val="clear" w:color="auto" w:fill="BEBEBE" w:themeFill="background1" w:themeFillShade="BF"/>
            <w:vAlign w:val="center"/>
          </w:tcPr>
          <w:p>
            <w:pPr>
              <w:pStyle w:val="17"/>
              <w:ind w:left="0" w:leftChars="0" w:firstLine="0" w:firstLineChars="0"/>
              <w:jc w:val="center"/>
              <w:rPr>
                <w:rFonts w:hint="eastAsia" w:ascii="Times New Roman" w:hAnsi="Times New Roman"/>
                <w:b/>
                <w:bCs/>
                <w:color w:val="auto"/>
                <w:sz w:val="21"/>
                <w:szCs w:val="21"/>
                <w:highlight w:val="none"/>
                <w:vertAlign w:val="baseline"/>
              </w:rPr>
            </w:pPr>
          </w:p>
        </w:tc>
        <w:tc>
          <w:tcPr>
            <w:tcW w:w="773" w:type="dxa"/>
            <w:vMerge w:val="continue"/>
            <w:shd w:val="clear" w:color="auto" w:fill="BEBEBE" w:themeFill="background1" w:themeFillShade="BF"/>
            <w:vAlign w:val="center"/>
          </w:tcPr>
          <w:p>
            <w:pPr>
              <w:pStyle w:val="17"/>
              <w:ind w:left="0" w:leftChars="0" w:firstLine="0" w:firstLineChars="0"/>
              <w:jc w:val="center"/>
              <w:rPr>
                <w:rFonts w:hint="eastAsia" w:ascii="Times New Roman" w:hAnsi="Times New Roman"/>
                <w:b/>
                <w:bCs/>
                <w:color w:val="auto"/>
                <w:sz w:val="21"/>
                <w:szCs w:val="21"/>
                <w:highlight w:val="none"/>
                <w:vertAlign w:val="baseline"/>
              </w:rPr>
            </w:pPr>
          </w:p>
        </w:tc>
        <w:tc>
          <w:tcPr>
            <w:tcW w:w="773" w:type="dxa"/>
            <w:vMerge w:val="continue"/>
            <w:shd w:val="clear" w:color="auto" w:fill="BEBEBE" w:themeFill="background1" w:themeFillShade="BF"/>
            <w:vAlign w:val="center"/>
          </w:tcPr>
          <w:p>
            <w:pPr>
              <w:pStyle w:val="17"/>
              <w:ind w:left="0" w:leftChars="0" w:firstLine="0" w:firstLineChars="0"/>
              <w:jc w:val="center"/>
              <w:rPr>
                <w:rFonts w:hint="eastAsia" w:ascii="Times New Roman" w:hAnsi="Times New Roman"/>
                <w:b/>
                <w:bCs/>
                <w:color w:val="auto"/>
                <w:sz w:val="21"/>
                <w:szCs w:val="21"/>
                <w:highlight w:val="none"/>
                <w:vertAlign w:val="baseline"/>
              </w:rPr>
            </w:pPr>
          </w:p>
        </w:tc>
        <w:tc>
          <w:tcPr>
            <w:tcW w:w="775" w:type="dxa"/>
            <w:vMerge w:val="continue"/>
            <w:shd w:val="clear" w:color="auto" w:fill="BEBEBE" w:themeFill="background1" w:themeFillShade="BF"/>
            <w:vAlign w:val="center"/>
          </w:tcPr>
          <w:p>
            <w:pPr>
              <w:pStyle w:val="17"/>
              <w:ind w:left="0" w:leftChars="0" w:firstLine="0" w:firstLineChars="0"/>
              <w:jc w:val="center"/>
              <w:rPr>
                <w:rFonts w:hint="eastAsia" w:ascii="Times New Roman" w:hAnsi="Times New Roman"/>
                <w:b/>
                <w:bCs/>
                <w:color w:val="auto"/>
                <w:sz w:val="21"/>
                <w:szCs w:val="21"/>
                <w:highlight w:val="none"/>
                <w:vertAlign w:val="baseline"/>
              </w:rPr>
            </w:pPr>
          </w:p>
        </w:tc>
        <w:tc>
          <w:tcPr>
            <w:tcW w:w="773" w:type="dxa"/>
            <w:shd w:val="clear" w:color="auto" w:fill="auto"/>
            <w:vAlign w:val="center"/>
          </w:tcPr>
          <w:p>
            <w:pPr>
              <w:pStyle w:val="17"/>
              <w:ind w:left="0" w:leftChars="0" w:firstLine="0" w:firstLineChars="0"/>
              <w:jc w:val="center"/>
              <w:rPr>
                <w:rFonts w:hint="default" w:ascii="Times New Roman" w:hAnsi="Times New Roman" w:eastAsia="宋体"/>
                <w:b/>
                <w:bCs/>
                <w:color w:val="auto"/>
                <w:sz w:val="21"/>
                <w:szCs w:val="21"/>
                <w:highlight w:val="none"/>
                <w:vertAlign w:val="baseline"/>
                <w:lang w:val="en-US" w:eastAsia="zh-CN"/>
              </w:rPr>
            </w:pPr>
            <w:r>
              <w:rPr>
                <w:rFonts w:hint="eastAsia" w:ascii="Times New Roman" w:hAnsi="Times New Roman"/>
                <w:b/>
                <w:bCs/>
                <w:color w:val="auto"/>
                <w:sz w:val="21"/>
                <w:szCs w:val="21"/>
                <w:highlight w:val="none"/>
                <w:vertAlign w:val="baseline"/>
                <w:lang w:val="en-US" w:eastAsia="zh-CN"/>
              </w:rPr>
              <w:t>PM</w:t>
            </w:r>
            <w:r>
              <w:rPr>
                <w:rFonts w:hint="eastAsia" w:ascii="Times New Roman" w:hAnsi="Times New Roman"/>
                <w:b/>
                <w:bCs/>
                <w:color w:val="auto"/>
                <w:sz w:val="21"/>
                <w:szCs w:val="21"/>
                <w:highlight w:val="none"/>
                <w:vertAlign w:val="subscript"/>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772" w:type="dxa"/>
            <w:vAlign w:val="center"/>
          </w:tcPr>
          <w:p>
            <w:pPr>
              <w:pStyle w:val="17"/>
              <w:ind w:firstLine="0" w:firstLineChars="0"/>
              <w:jc w:val="center"/>
              <w:rPr>
                <w:rFonts w:hint="default" w:ascii="Times New Roman" w:hAnsi="Times New Roman" w:eastAsia="宋体"/>
                <w:b w:val="0"/>
                <w:bCs w:val="0"/>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1#</w:t>
            </w:r>
          </w:p>
        </w:tc>
        <w:tc>
          <w:tcPr>
            <w:tcW w:w="774" w:type="dxa"/>
            <w:vAlign w:val="center"/>
          </w:tcPr>
          <w:p>
            <w:pPr>
              <w:pStyle w:val="17"/>
              <w:ind w:firstLine="0" w:firstLineChars="0"/>
              <w:jc w:val="center"/>
              <w:rPr>
                <w:rFonts w:hint="eastAsia" w:ascii="Times New Roman" w:hAnsi="Times New Roman"/>
                <w:b w:val="0"/>
                <w:bCs w:val="0"/>
                <w:color w:val="auto"/>
                <w:sz w:val="21"/>
                <w:szCs w:val="21"/>
                <w:highlight w:val="none"/>
                <w:vertAlign w:val="baseline"/>
              </w:rPr>
            </w:pPr>
            <w:r>
              <w:rPr>
                <w:rFonts w:hint="eastAsia" w:ascii="Times New Roman" w:hAnsi="Times New Roman"/>
                <w:color w:val="auto"/>
                <w:sz w:val="21"/>
                <w:szCs w:val="21"/>
                <w:highlight w:val="none"/>
              </w:rPr>
              <w:t>破碎</w:t>
            </w:r>
            <w:r>
              <w:rPr>
                <w:rFonts w:hint="eastAsia" w:ascii="Times New Roman" w:hAnsi="Times New Roman"/>
                <w:color w:val="auto"/>
                <w:sz w:val="21"/>
                <w:szCs w:val="21"/>
                <w:highlight w:val="none"/>
                <w:lang w:eastAsia="zh-CN"/>
              </w:rPr>
              <w:t>筛分</w:t>
            </w:r>
            <w:r>
              <w:rPr>
                <w:rFonts w:hint="eastAsia" w:ascii="Times New Roman" w:hAnsi="Times New Roman"/>
                <w:color w:val="auto"/>
                <w:sz w:val="21"/>
                <w:szCs w:val="21"/>
                <w:highlight w:val="none"/>
              </w:rPr>
              <w:t>车间</w:t>
            </w:r>
          </w:p>
        </w:tc>
        <w:tc>
          <w:tcPr>
            <w:tcW w:w="772" w:type="dxa"/>
            <w:vAlign w:val="center"/>
          </w:tcPr>
          <w:p>
            <w:pPr>
              <w:pStyle w:val="17"/>
              <w:ind w:left="0" w:leftChars="0" w:firstLine="0" w:firstLineChars="0"/>
              <w:jc w:val="center"/>
              <w:rPr>
                <w:rFonts w:hint="default" w:ascii="Times New Roman" w:hAnsi="Times New Roman" w:eastAsia="宋体"/>
                <w:b w:val="0"/>
                <w:bCs w:val="0"/>
                <w:color w:val="auto"/>
                <w:sz w:val="21"/>
                <w:szCs w:val="21"/>
                <w:highlight w:val="none"/>
                <w:vertAlign w:val="baseline"/>
                <w:lang w:val="en-US" w:eastAsia="zh-CN"/>
              </w:rPr>
            </w:pPr>
            <w:r>
              <w:rPr>
                <w:rFonts w:hint="eastAsia" w:ascii="Times New Roman" w:hAnsi="Times New Roman"/>
                <w:b w:val="0"/>
                <w:bCs w:val="0"/>
                <w:color w:val="auto"/>
                <w:sz w:val="21"/>
                <w:szCs w:val="21"/>
                <w:highlight w:val="none"/>
                <w:vertAlign w:val="baseline"/>
                <w:lang w:val="en-US" w:eastAsia="zh-CN"/>
              </w:rPr>
              <w:t>248</w:t>
            </w:r>
          </w:p>
        </w:tc>
        <w:tc>
          <w:tcPr>
            <w:tcW w:w="773" w:type="dxa"/>
            <w:vAlign w:val="center"/>
          </w:tcPr>
          <w:p>
            <w:pPr>
              <w:pStyle w:val="17"/>
              <w:ind w:left="0" w:leftChars="0" w:firstLine="0" w:firstLineChars="0"/>
              <w:jc w:val="center"/>
              <w:rPr>
                <w:rFonts w:hint="default" w:ascii="Times New Roman" w:hAnsi="Times New Roman" w:eastAsia="宋体"/>
                <w:b w:val="0"/>
                <w:bCs w:val="0"/>
                <w:color w:val="auto"/>
                <w:sz w:val="21"/>
                <w:szCs w:val="21"/>
                <w:highlight w:val="none"/>
                <w:vertAlign w:val="baseline"/>
                <w:lang w:val="en-US" w:eastAsia="zh-CN"/>
              </w:rPr>
            </w:pPr>
            <w:r>
              <w:rPr>
                <w:rFonts w:hint="eastAsia" w:ascii="Times New Roman" w:hAnsi="Times New Roman"/>
                <w:b w:val="0"/>
                <w:bCs w:val="0"/>
                <w:color w:val="auto"/>
                <w:sz w:val="21"/>
                <w:szCs w:val="21"/>
                <w:highlight w:val="none"/>
                <w:vertAlign w:val="baseline"/>
                <w:lang w:val="en-US" w:eastAsia="zh-CN"/>
              </w:rPr>
              <w:t>-125</w:t>
            </w:r>
          </w:p>
        </w:tc>
        <w:tc>
          <w:tcPr>
            <w:tcW w:w="774" w:type="dxa"/>
            <w:vAlign w:val="center"/>
          </w:tcPr>
          <w:p>
            <w:pPr>
              <w:pStyle w:val="17"/>
              <w:ind w:left="0" w:leftChars="0" w:firstLine="0" w:firstLineChars="0"/>
              <w:jc w:val="center"/>
              <w:rPr>
                <w:rFonts w:hint="default" w:ascii="Times New Roman" w:hAnsi="Times New Roman" w:eastAsia="宋体"/>
                <w:b w:val="0"/>
                <w:bCs w:val="0"/>
                <w:color w:val="auto"/>
                <w:sz w:val="21"/>
                <w:szCs w:val="21"/>
                <w:highlight w:val="none"/>
                <w:vertAlign w:val="baseline"/>
                <w:lang w:val="en-US" w:eastAsia="zh-CN"/>
              </w:rPr>
            </w:pPr>
            <w:r>
              <w:rPr>
                <w:rFonts w:hint="eastAsia" w:ascii="Times New Roman" w:hAnsi="Times New Roman"/>
                <w:b w:val="0"/>
                <w:bCs w:val="0"/>
                <w:color w:val="auto"/>
                <w:sz w:val="21"/>
                <w:szCs w:val="21"/>
                <w:highlight w:val="none"/>
                <w:vertAlign w:val="baseline"/>
                <w:lang w:val="en-US" w:eastAsia="zh-CN"/>
              </w:rPr>
              <w:t>1561</w:t>
            </w:r>
          </w:p>
        </w:tc>
        <w:tc>
          <w:tcPr>
            <w:tcW w:w="773" w:type="dxa"/>
            <w:vAlign w:val="center"/>
          </w:tcPr>
          <w:p>
            <w:pPr>
              <w:pStyle w:val="17"/>
              <w:ind w:left="0" w:leftChars="0" w:firstLine="0" w:firstLineChars="0"/>
              <w:jc w:val="center"/>
              <w:rPr>
                <w:rFonts w:hint="default" w:ascii="Times New Roman" w:hAnsi="Times New Roman" w:eastAsia="宋体"/>
                <w:b w:val="0"/>
                <w:bCs w:val="0"/>
                <w:color w:val="auto"/>
                <w:sz w:val="21"/>
                <w:szCs w:val="21"/>
                <w:highlight w:val="none"/>
                <w:vertAlign w:val="baseline"/>
                <w:lang w:val="en-US" w:eastAsia="zh-CN"/>
              </w:rPr>
            </w:pPr>
            <w:r>
              <w:rPr>
                <w:rFonts w:hint="eastAsia" w:ascii="Times New Roman" w:hAnsi="Times New Roman"/>
                <w:b w:val="0"/>
                <w:bCs w:val="0"/>
                <w:color w:val="auto"/>
                <w:sz w:val="21"/>
                <w:szCs w:val="21"/>
                <w:highlight w:val="none"/>
                <w:vertAlign w:val="baseline"/>
                <w:lang w:val="en-US" w:eastAsia="zh-CN"/>
              </w:rPr>
              <w:t>15</w:t>
            </w:r>
          </w:p>
        </w:tc>
        <w:tc>
          <w:tcPr>
            <w:tcW w:w="774" w:type="dxa"/>
            <w:vAlign w:val="center"/>
          </w:tcPr>
          <w:p>
            <w:pPr>
              <w:pStyle w:val="17"/>
              <w:ind w:left="0" w:leftChars="0" w:firstLine="0" w:firstLineChars="0"/>
              <w:jc w:val="center"/>
              <w:rPr>
                <w:rFonts w:hint="default" w:ascii="Times New Roman" w:hAnsi="Times New Roman" w:eastAsia="宋体"/>
                <w:b w:val="0"/>
                <w:bCs w:val="0"/>
                <w:color w:val="auto"/>
                <w:sz w:val="21"/>
                <w:szCs w:val="21"/>
                <w:highlight w:val="none"/>
                <w:vertAlign w:val="baseline"/>
                <w:lang w:val="en-US" w:eastAsia="zh-CN"/>
              </w:rPr>
            </w:pPr>
            <w:r>
              <w:rPr>
                <w:rFonts w:hint="eastAsia" w:ascii="Times New Roman" w:hAnsi="Times New Roman"/>
                <w:b w:val="0"/>
                <w:bCs w:val="0"/>
                <w:color w:val="auto"/>
                <w:sz w:val="21"/>
                <w:szCs w:val="21"/>
                <w:highlight w:val="none"/>
                <w:vertAlign w:val="baseline"/>
                <w:lang w:val="en-US" w:eastAsia="zh-CN"/>
              </w:rPr>
              <w:t>0.25</w:t>
            </w:r>
          </w:p>
        </w:tc>
        <w:tc>
          <w:tcPr>
            <w:tcW w:w="774" w:type="dxa"/>
            <w:vAlign w:val="center"/>
          </w:tcPr>
          <w:p>
            <w:pPr>
              <w:pStyle w:val="17"/>
              <w:ind w:left="0" w:leftChars="0" w:firstLine="0" w:firstLineChars="0"/>
              <w:jc w:val="center"/>
              <w:rPr>
                <w:rFonts w:hint="default" w:ascii="Times New Roman" w:hAnsi="Times New Roman" w:eastAsia="宋体"/>
                <w:b w:val="0"/>
                <w:bCs w:val="0"/>
                <w:color w:val="auto"/>
                <w:sz w:val="21"/>
                <w:szCs w:val="21"/>
                <w:highlight w:val="none"/>
                <w:vertAlign w:val="baseline"/>
                <w:lang w:val="en-US" w:eastAsia="zh-CN"/>
              </w:rPr>
            </w:pPr>
            <w:r>
              <w:rPr>
                <w:rFonts w:hint="eastAsia" w:ascii="Times New Roman" w:hAnsi="Times New Roman"/>
                <w:b w:val="0"/>
                <w:bCs w:val="0"/>
                <w:color w:val="auto"/>
                <w:sz w:val="21"/>
                <w:szCs w:val="21"/>
                <w:highlight w:val="none"/>
                <w:vertAlign w:val="baseline"/>
                <w:lang w:val="en-US" w:eastAsia="zh-CN"/>
              </w:rPr>
              <w:t>21.9</w:t>
            </w:r>
          </w:p>
        </w:tc>
        <w:tc>
          <w:tcPr>
            <w:tcW w:w="773" w:type="dxa"/>
            <w:vAlign w:val="center"/>
          </w:tcPr>
          <w:p>
            <w:pPr>
              <w:pStyle w:val="17"/>
              <w:ind w:left="0" w:leftChars="0" w:firstLine="0" w:firstLineChars="0"/>
              <w:jc w:val="center"/>
              <w:rPr>
                <w:rFonts w:hint="default" w:ascii="Times New Roman" w:hAnsi="Times New Roman" w:eastAsia="宋体"/>
                <w:b w:val="0"/>
                <w:bCs w:val="0"/>
                <w:color w:val="auto"/>
                <w:sz w:val="21"/>
                <w:szCs w:val="21"/>
                <w:highlight w:val="none"/>
                <w:vertAlign w:val="baseline"/>
                <w:lang w:val="en-US" w:eastAsia="zh-CN"/>
              </w:rPr>
            </w:pPr>
            <w:r>
              <w:rPr>
                <w:rFonts w:hint="eastAsia" w:ascii="Times New Roman" w:hAnsi="Times New Roman"/>
                <w:b w:val="0"/>
                <w:bCs w:val="0"/>
                <w:color w:val="auto"/>
                <w:sz w:val="21"/>
                <w:szCs w:val="21"/>
                <w:highlight w:val="none"/>
                <w:vertAlign w:val="baseline"/>
                <w:lang w:val="en-US" w:eastAsia="zh-CN"/>
              </w:rPr>
              <w:t>20</w:t>
            </w:r>
          </w:p>
        </w:tc>
        <w:tc>
          <w:tcPr>
            <w:tcW w:w="773" w:type="dxa"/>
            <w:vAlign w:val="center"/>
          </w:tcPr>
          <w:p>
            <w:pPr>
              <w:pStyle w:val="17"/>
              <w:ind w:left="0" w:leftChars="0" w:firstLine="0" w:firstLineChars="0"/>
              <w:jc w:val="center"/>
              <w:rPr>
                <w:rFonts w:hint="default" w:ascii="Times New Roman" w:hAnsi="Times New Roman" w:eastAsia="宋体"/>
                <w:b w:val="0"/>
                <w:bCs w:val="0"/>
                <w:color w:val="auto"/>
                <w:sz w:val="21"/>
                <w:szCs w:val="21"/>
                <w:highlight w:val="none"/>
                <w:vertAlign w:val="baseline"/>
                <w:lang w:val="en-US" w:eastAsia="zh-CN"/>
              </w:rPr>
            </w:pPr>
            <w:r>
              <w:rPr>
                <w:rFonts w:hint="eastAsia" w:ascii="Times New Roman" w:hAnsi="Times New Roman"/>
                <w:b w:val="0"/>
                <w:bCs w:val="0"/>
                <w:color w:val="auto"/>
                <w:sz w:val="21"/>
                <w:szCs w:val="21"/>
                <w:highlight w:val="none"/>
                <w:vertAlign w:val="baseline"/>
                <w:lang w:val="en-US" w:eastAsia="zh-CN"/>
              </w:rPr>
              <w:t>2400</w:t>
            </w:r>
          </w:p>
        </w:tc>
        <w:tc>
          <w:tcPr>
            <w:tcW w:w="775" w:type="dxa"/>
            <w:vAlign w:val="center"/>
          </w:tcPr>
          <w:p>
            <w:pPr>
              <w:pStyle w:val="17"/>
              <w:ind w:left="0" w:leftChars="0" w:firstLine="0" w:firstLineChars="0"/>
              <w:jc w:val="center"/>
              <w:rPr>
                <w:rFonts w:hint="eastAsia" w:ascii="Times New Roman" w:hAnsi="Times New Roman" w:eastAsia="宋体"/>
                <w:b w:val="0"/>
                <w:bCs w:val="0"/>
                <w:color w:val="auto"/>
                <w:sz w:val="21"/>
                <w:szCs w:val="21"/>
                <w:highlight w:val="none"/>
                <w:vertAlign w:val="baseline"/>
                <w:lang w:eastAsia="zh-CN"/>
              </w:rPr>
            </w:pPr>
            <w:r>
              <w:rPr>
                <w:rFonts w:hint="eastAsia" w:ascii="Times New Roman" w:hAnsi="Times New Roman"/>
                <w:b w:val="0"/>
                <w:bCs w:val="0"/>
                <w:color w:val="auto"/>
                <w:sz w:val="21"/>
                <w:szCs w:val="21"/>
                <w:highlight w:val="none"/>
                <w:vertAlign w:val="baseline"/>
                <w:lang w:eastAsia="zh-CN"/>
              </w:rPr>
              <w:t>正常</w:t>
            </w:r>
          </w:p>
        </w:tc>
        <w:tc>
          <w:tcPr>
            <w:tcW w:w="773" w:type="dxa"/>
            <w:vAlign w:val="center"/>
          </w:tcPr>
          <w:p>
            <w:pPr>
              <w:pStyle w:val="17"/>
              <w:ind w:firstLine="0" w:firstLineChars="0"/>
              <w:jc w:val="center"/>
              <w:rPr>
                <w:rFonts w:hint="default" w:ascii="Times New Roman" w:hAnsi="Times New Roman" w:eastAsia="宋体"/>
                <w:b w:val="0"/>
                <w:bCs w:val="0"/>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0.006</w:t>
            </w:r>
          </w:p>
        </w:tc>
      </w:tr>
    </w:tbl>
    <w:p>
      <w:pPr>
        <w:spacing w:line="360" w:lineRule="auto"/>
        <w:ind w:firstLine="482"/>
        <w:rPr>
          <w:rFonts w:hint="eastAsia" w:cs="宋体"/>
          <w:b/>
          <w:sz w:val="24"/>
          <w:highlight w:val="none"/>
        </w:rPr>
      </w:pPr>
      <w:r>
        <w:rPr>
          <w:rFonts w:hint="eastAsia" w:cs="宋体"/>
          <w:b/>
          <w:sz w:val="24"/>
          <w:highlight w:val="none"/>
        </w:rPr>
        <w:t>（3）估算模式参数设置</w:t>
      </w:r>
    </w:p>
    <w:p>
      <w:pPr>
        <w:spacing w:line="480" w:lineRule="exact"/>
        <w:ind w:firstLine="371" w:firstLineChars="176"/>
        <w:jc w:val="center"/>
        <w:rPr>
          <w:b/>
          <w:color w:val="auto"/>
          <w:sz w:val="21"/>
          <w:szCs w:val="21"/>
          <w:highlight w:val="none"/>
        </w:rPr>
      </w:pPr>
      <w:r>
        <w:rPr>
          <w:rFonts w:hint="eastAsia"/>
          <w:b/>
          <w:color w:val="auto"/>
          <w:sz w:val="21"/>
          <w:szCs w:val="21"/>
          <w:highlight w:val="none"/>
        </w:rPr>
        <w:t>表</w:t>
      </w:r>
      <w:r>
        <w:rPr>
          <w:rFonts w:hint="eastAsia"/>
          <w:b/>
          <w:color w:val="auto"/>
          <w:sz w:val="21"/>
          <w:szCs w:val="21"/>
          <w:highlight w:val="none"/>
          <w:lang w:val="en-US" w:eastAsia="zh-CN"/>
        </w:rPr>
        <w:t>6.2-3</w:t>
      </w:r>
      <w:r>
        <w:rPr>
          <w:rFonts w:hint="eastAsia"/>
          <w:b/>
          <w:color w:val="auto"/>
          <w:sz w:val="21"/>
          <w:szCs w:val="21"/>
          <w:highlight w:val="none"/>
        </w:rPr>
        <w:t xml:space="preserve"> </w:t>
      </w:r>
      <w:r>
        <w:rPr>
          <w:b/>
          <w:color w:val="auto"/>
          <w:sz w:val="21"/>
          <w:szCs w:val="21"/>
          <w:highlight w:val="none"/>
        </w:rPr>
        <w:t>估算模型参数表</w:t>
      </w:r>
    </w:p>
    <w:tbl>
      <w:tblPr>
        <w:tblStyle w:val="2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2"/>
        <w:gridCol w:w="2344"/>
        <w:gridCol w:w="4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4336" w:type="dxa"/>
            <w:gridSpan w:val="2"/>
            <w:noWrap w:val="0"/>
            <w:vAlign w:val="center"/>
          </w:tcPr>
          <w:p>
            <w:pPr>
              <w:tabs>
                <w:tab w:val="left" w:pos="540"/>
                <w:tab w:val="left" w:pos="851"/>
                <w:tab w:val="left" w:pos="994"/>
                <w:tab w:val="left" w:pos="1260"/>
                <w:tab w:val="left" w:pos="3108"/>
                <w:tab w:val="left" w:pos="3150"/>
              </w:tabs>
              <w:overflowPunct w:val="0"/>
              <w:adjustRightInd w:val="0"/>
              <w:snapToGrid w:val="0"/>
              <w:spacing w:line="340" w:lineRule="exact"/>
              <w:jc w:val="center"/>
              <w:rPr>
                <w:bCs/>
                <w:color w:val="auto"/>
                <w:sz w:val="21"/>
                <w:szCs w:val="21"/>
                <w:highlight w:val="none"/>
              </w:rPr>
            </w:pPr>
            <w:r>
              <w:rPr>
                <w:bCs/>
                <w:color w:val="auto"/>
                <w:sz w:val="21"/>
                <w:szCs w:val="21"/>
                <w:highlight w:val="none"/>
              </w:rPr>
              <w:t>参数</w:t>
            </w:r>
          </w:p>
        </w:tc>
        <w:tc>
          <w:tcPr>
            <w:tcW w:w="4186" w:type="dxa"/>
            <w:noWrap w:val="0"/>
            <w:vAlign w:val="center"/>
          </w:tcPr>
          <w:p>
            <w:pPr>
              <w:tabs>
                <w:tab w:val="left" w:pos="540"/>
                <w:tab w:val="left" w:pos="851"/>
                <w:tab w:val="left" w:pos="994"/>
                <w:tab w:val="left" w:pos="1260"/>
                <w:tab w:val="left" w:pos="3108"/>
                <w:tab w:val="left" w:pos="3150"/>
              </w:tabs>
              <w:overflowPunct w:val="0"/>
              <w:adjustRightInd w:val="0"/>
              <w:snapToGrid w:val="0"/>
              <w:spacing w:line="340" w:lineRule="exact"/>
              <w:jc w:val="center"/>
              <w:rPr>
                <w:bCs/>
                <w:color w:val="auto"/>
                <w:sz w:val="21"/>
                <w:szCs w:val="21"/>
                <w:highlight w:val="none"/>
              </w:rPr>
            </w:pPr>
            <w:r>
              <w:rPr>
                <w:bCs/>
                <w:color w:val="auto"/>
                <w:sz w:val="21"/>
                <w:szCs w:val="21"/>
                <w:highlight w:val="none"/>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992" w:type="dxa"/>
            <w:vMerge w:val="restart"/>
            <w:noWrap w:val="0"/>
            <w:vAlign w:val="center"/>
          </w:tcPr>
          <w:p>
            <w:pPr>
              <w:tabs>
                <w:tab w:val="left" w:pos="540"/>
                <w:tab w:val="left" w:pos="851"/>
                <w:tab w:val="left" w:pos="994"/>
                <w:tab w:val="left" w:pos="1260"/>
                <w:tab w:val="left" w:pos="3108"/>
                <w:tab w:val="left" w:pos="3150"/>
              </w:tabs>
              <w:overflowPunct w:val="0"/>
              <w:adjustRightInd w:val="0"/>
              <w:snapToGrid w:val="0"/>
              <w:spacing w:line="340" w:lineRule="exact"/>
              <w:jc w:val="center"/>
              <w:rPr>
                <w:bCs/>
                <w:color w:val="auto"/>
                <w:sz w:val="21"/>
                <w:szCs w:val="21"/>
                <w:highlight w:val="none"/>
              </w:rPr>
            </w:pPr>
            <w:r>
              <w:rPr>
                <w:bCs/>
                <w:color w:val="auto"/>
                <w:sz w:val="21"/>
                <w:szCs w:val="21"/>
                <w:highlight w:val="none"/>
              </w:rPr>
              <w:t>城市农村/选项</w:t>
            </w:r>
          </w:p>
        </w:tc>
        <w:tc>
          <w:tcPr>
            <w:tcW w:w="2344" w:type="dxa"/>
            <w:noWrap w:val="0"/>
            <w:vAlign w:val="center"/>
          </w:tcPr>
          <w:p>
            <w:pPr>
              <w:tabs>
                <w:tab w:val="left" w:pos="540"/>
                <w:tab w:val="left" w:pos="851"/>
                <w:tab w:val="left" w:pos="994"/>
                <w:tab w:val="left" w:pos="1260"/>
                <w:tab w:val="left" w:pos="3108"/>
                <w:tab w:val="left" w:pos="3150"/>
              </w:tabs>
              <w:overflowPunct w:val="0"/>
              <w:adjustRightInd w:val="0"/>
              <w:snapToGrid w:val="0"/>
              <w:spacing w:line="340" w:lineRule="exact"/>
              <w:jc w:val="center"/>
              <w:rPr>
                <w:bCs/>
                <w:color w:val="auto"/>
                <w:sz w:val="21"/>
                <w:szCs w:val="21"/>
                <w:highlight w:val="none"/>
              </w:rPr>
            </w:pPr>
            <w:r>
              <w:rPr>
                <w:bCs/>
                <w:color w:val="auto"/>
                <w:sz w:val="21"/>
                <w:szCs w:val="21"/>
                <w:highlight w:val="none"/>
              </w:rPr>
              <w:t>城市/农村</w:t>
            </w:r>
          </w:p>
        </w:tc>
        <w:tc>
          <w:tcPr>
            <w:tcW w:w="4186" w:type="dxa"/>
            <w:noWrap w:val="0"/>
            <w:vAlign w:val="center"/>
          </w:tcPr>
          <w:p>
            <w:pPr>
              <w:tabs>
                <w:tab w:val="left" w:pos="540"/>
                <w:tab w:val="left" w:pos="851"/>
                <w:tab w:val="left" w:pos="994"/>
                <w:tab w:val="left" w:pos="1260"/>
                <w:tab w:val="left" w:pos="3108"/>
                <w:tab w:val="left" w:pos="3150"/>
              </w:tabs>
              <w:overflowPunct w:val="0"/>
              <w:adjustRightInd w:val="0"/>
              <w:snapToGrid w:val="0"/>
              <w:spacing w:line="340" w:lineRule="exact"/>
              <w:jc w:val="center"/>
              <w:rPr>
                <w:bCs/>
                <w:color w:val="auto"/>
                <w:sz w:val="21"/>
                <w:szCs w:val="21"/>
                <w:highlight w:val="none"/>
              </w:rPr>
            </w:pPr>
            <w:r>
              <w:rPr>
                <w:bCs/>
                <w:color w:val="auto"/>
                <w:sz w:val="21"/>
                <w:szCs w:val="21"/>
                <w:highlight w:val="none"/>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992" w:type="dxa"/>
            <w:vMerge w:val="continue"/>
            <w:noWrap w:val="0"/>
            <w:vAlign w:val="center"/>
          </w:tcPr>
          <w:p>
            <w:pPr>
              <w:tabs>
                <w:tab w:val="left" w:pos="540"/>
                <w:tab w:val="left" w:pos="851"/>
                <w:tab w:val="left" w:pos="994"/>
                <w:tab w:val="left" w:pos="1260"/>
                <w:tab w:val="left" w:pos="3108"/>
                <w:tab w:val="left" w:pos="3150"/>
              </w:tabs>
              <w:overflowPunct w:val="0"/>
              <w:adjustRightInd w:val="0"/>
              <w:snapToGrid w:val="0"/>
              <w:spacing w:line="340" w:lineRule="exact"/>
              <w:jc w:val="center"/>
              <w:rPr>
                <w:bCs/>
                <w:color w:val="auto"/>
                <w:sz w:val="21"/>
                <w:szCs w:val="21"/>
                <w:highlight w:val="none"/>
              </w:rPr>
            </w:pPr>
          </w:p>
        </w:tc>
        <w:tc>
          <w:tcPr>
            <w:tcW w:w="2344" w:type="dxa"/>
            <w:noWrap w:val="0"/>
            <w:vAlign w:val="center"/>
          </w:tcPr>
          <w:p>
            <w:pPr>
              <w:tabs>
                <w:tab w:val="left" w:pos="540"/>
                <w:tab w:val="left" w:pos="851"/>
                <w:tab w:val="left" w:pos="994"/>
                <w:tab w:val="left" w:pos="1260"/>
                <w:tab w:val="left" w:pos="3108"/>
                <w:tab w:val="left" w:pos="3150"/>
              </w:tabs>
              <w:overflowPunct w:val="0"/>
              <w:adjustRightInd w:val="0"/>
              <w:snapToGrid w:val="0"/>
              <w:spacing w:line="340" w:lineRule="exact"/>
              <w:jc w:val="center"/>
              <w:rPr>
                <w:bCs/>
                <w:color w:val="auto"/>
                <w:sz w:val="21"/>
                <w:szCs w:val="21"/>
                <w:highlight w:val="none"/>
              </w:rPr>
            </w:pPr>
            <w:r>
              <w:rPr>
                <w:bCs/>
                <w:color w:val="auto"/>
                <w:sz w:val="21"/>
                <w:szCs w:val="21"/>
                <w:highlight w:val="none"/>
              </w:rPr>
              <w:t>人口数(城市人口数)</w:t>
            </w:r>
          </w:p>
        </w:tc>
        <w:tc>
          <w:tcPr>
            <w:tcW w:w="4186" w:type="dxa"/>
            <w:noWrap w:val="0"/>
            <w:vAlign w:val="center"/>
          </w:tcPr>
          <w:p>
            <w:pPr>
              <w:tabs>
                <w:tab w:val="left" w:pos="540"/>
                <w:tab w:val="left" w:pos="851"/>
                <w:tab w:val="left" w:pos="994"/>
                <w:tab w:val="left" w:pos="1260"/>
                <w:tab w:val="left" w:pos="3108"/>
                <w:tab w:val="left" w:pos="3150"/>
              </w:tabs>
              <w:overflowPunct w:val="0"/>
              <w:adjustRightInd w:val="0"/>
              <w:snapToGrid w:val="0"/>
              <w:spacing w:line="340" w:lineRule="exact"/>
              <w:jc w:val="center"/>
              <w:rPr>
                <w:bCs/>
                <w:color w:val="auto"/>
                <w:sz w:val="21"/>
                <w:szCs w:val="21"/>
                <w:highlight w:val="none"/>
              </w:rPr>
            </w:pPr>
            <w:r>
              <w:rPr>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4336" w:type="dxa"/>
            <w:gridSpan w:val="2"/>
            <w:noWrap w:val="0"/>
            <w:vAlign w:val="center"/>
          </w:tcPr>
          <w:p>
            <w:pPr>
              <w:tabs>
                <w:tab w:val="left" w:pos="540"/>
                <w:tab w:val="left" w:pos="851"/>
                <w:tab w:val="left" w:pos="994"/>
                <w:tab w:val="left" w:pos="1260"/>
                <w:tab w:val="left" w:pos="3108"/>
                <w:tab w:val="left" w:pos="3150"/>
              </w:tabs>
              <w:overflowPunct w:val="0"/>
              <w:adjustRightInd w:val="0"/>
              <w:snapToGrid w:val="0"/>
              <w:spacing w:line="340" w:lineRule="exact"/>
              <w:jc w:val="center"/>
              <w:rPr>
                <w:bCs/>
                <w:color w:val="auto"/>
                <w:sz w:val="21"/>
                <w:szCs w:val="21"/>
                <w:highlight w:val="none"/>
              </w:rPr>
            </w:pPr>
            <w:r>
              <w:rPr>
                <w:bCs/>
                <w:color w:val="auto"/>
                <w:sz w:val="21"/>
                <w:szCs w:val="21"/>
                <w:highlight w:val="none"/>
              </w:rPr>
              <w:t>最高环境温度</w:t>
            </w:r>
          </w:p>
        </w:tc>
        <w:tc>
          <w:tcPr>
            <w:tcW w:w="4186" w:type="dxa"/>
            <w:noWrap w:val="0"/>
            <w:vAlign w:val="center"/>
          </w:tcPr>
          <w:p>
            <w:pPr>
              <w:tabs>
                <w:tab w:val="left" w:pos="540"/>
                <w:tab w:val="left" w:pos="851"/>
                <w:tab w:val="left" w:pos="994"/>
                <w:tab w:val="left" w:pos="1260"/>
                <w:tab w:val="left" w:pos="3108"/>
                <w:tab w:val="left" w:pos="3150"/>
              </w:tabs>
              <w:overflowPunct w:val="0"/>
              <w:adjustRightInd w:val="0"/>
              <w:snapToGrid w:val="0"/>
              <w:spacing w:line="340" w:lineRule="exact"/>
              <w:jc w:val="center"/>
              <w:rPr>
                <w:bCs/>
                <w:color w:val="auto"/>
                <w:sz w:val="21"/>
                <w:szCs w:val="21"/>
                <w:highlight w:val="none"/>
              </w:rPr>
            </w:pPr>
            <w:r>
              <w:rPr>
                <w:rFonts w:hint="eastAsia"/>
                <w:bCs/>
                <w:color w:val="auto"/>
                <w:sz w:val="21"/>
                <w:szCs w:val="21"/>
                <w:highlight w:val="none"/>
                <w:lang w:val="en-US" w:eastAsia="zh-CN"/>
              </w:rPr>
              <w:t>33.2</w:t>
            </w:r>
            <w:r>
              <w:rPr>
                <w:bCs/>
                <w:color w:val="auto"/>
                <w:sz w:val="21"/>
                <w:szCs w:val="21"/>
                <w:highlight w:val="none"/>
              </w:rPr>
              <w:t xml:space="preserve"> °C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4336" w:type="dxa"/>
            <w:gridSpan w:val="2"/>
            <w:noWrap w:val="0"/>
            <w:vAlign w:val="center"/>
          </w:tcPr>
          <w:p>
            <w:pPr>
              <w:tabs>
                <w:tab w:val="left" w:pos="540"/>
                <w:tab w:val="left" w:pos="851"/>
                <w:tab w:val="left" w:pos="994"/>
                <w:tab w:val="left" w:pos="1260"/>
                <w:tab w:val="left" w:pos="3108"/>
                <w:tab w:val="left" w:pos="3150"/>
              </w:tabs>
              <w:overflowPunct w:val="0"/>
              <w:adjustRightInd w:val="0"/>
              <w:snapToGrid w:val="0"/>
              <w:spacing w:line="340" w:lineRule="exact"/>
              <w:jc w:val="center"/>
              <w:rPr>
                <w:bCs/>
                <w:color w:val="auto"/>
                <w:sz w:val="21"/>
                <w:szCs w:val="21"/>
                <w:highlight w:val="none"/>
              </w:rPr>
            </w:pPr>
            <w:r>
              <w:rPr>
                <w:bCs/>
                <w:color w:val="auto"/>
                <w:sz w:val="21"/>
                <w:szCs w:val="21"/>
                <w:highlight w:val="none"/>
              </w:rPr>
              <w:t>最低环境温度</w:t>
            </w:r>
          </w:p>
        </w:tc>
        <w:tc>
          <w:tcPr>
            <w:tcW w:w="4186" w:type="dxa"/>
            <w:noWrap w:val="0"/>
            <w:vAlign w:val="center"/>
          </w:tcPr>
          <w:p>
            <w:pPr>
              <w:tabs>
                <w:tab w:val="left" w:pos="540"/>
                <w:tab w:val="left" w:pos="851"/>
                <w:tab w:val="left" w:pos="994"/>
                <w:tab w:val="left" w:pos="1260"/>
                <w:tab w:val="left" w:pos="3108"/>
                <w:tab w:val="left" w:pos="3150"/>
              </w:tabs>
              <w:overflowPunct w:val="0"/>
              <w:adjustRightInd w:val="0"/>
              <w:snapToGrid w:val="0"/>
              <w:spacing w:line="340" w:lineRule="exact"/>
              <w:jc w:val="center"/>
              <w:rPr>
                <w:bCs/>
                <w:color w:val="auto"/>
                <w:sz w:val="21"/>
                <w:szCs w:val="21"/>
                <w:highlight w:val="none"/>
              </w:rPr>
            </w:pPr>
            <w:r>
              <w:rPr>
                <w:bCs/>
                <w:color w:val="auto"/>
                <w:sz w:val="21"/>
                <w:szCs w:val="21"/>
                <w:highlight w:val="none"/>
              </w:rPr>
              <w:t>-</w:t>
            </w:r>
            <w:r>
              <w:rPr>
                <w:rFonts w:hint="eastAsia"/>
                <w:bCs/>
                <w:color w:val="auto"/>
                <w:sz w:val="21"/>
                <w:szCs w:val="21"/>
                <w:highlight w:val="none"/>
                <w:lang w:val="en-US" w:eastAsia="zh-CN"/>
              </w:rPr>
              <w:t>7.8</w:t>
            </w:r>
            <w:r>
              <w:rPr>
                <w:bCs/>
                <w:color w:val="auto"/>
                <w:sz w:val="21"/>
                <w:szCs w:val="21"/>
                <w:highlight w:val="none"/>
              </w:rPr>
              <w:t xml:space="preserve"> °C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336" w:type="dxa"/>
            <w:gridSpan w:val="2"/>
            <w:noWrap w:val="0"/>
            <w:vAlign w:val="center"/>
          </w:tcPr>
          <w:p>
            <w:pPr>
              <w:tabs>
                <w:tab w:val="left" w:pos="540"/>
                <w:tab w:val="left" w:pos="851"/>
                <w:tab w:val="left" w:pos="994"/>
                <w:tab w:val="left" w:pos="1260"/>
                <w:tab w:val="left" w:pos="3108"/>
                <w:tab w:val="left" w:pos="3150"/>
              </w:tabs>
              <w:overflowPunct w:val="0"/>
              <w:adjustRightInd w:val="0"/>
              <w:snapToGrid w:val="0"/>
              <w:spacing w:line="340" w:lineRule="exact"/>
              <w:jc w:val="center"/>
              <w:rPr>
                <w:bCs/>
                <w:color w:val="auto"/>
                <w:sz w:val="21"/>
                <w:szCs w:val="21"/>
                <w:highlight w:val="none"/>
              </w:rPr>
            </w:pPr>
            <w:r>
              <w:rPr>
                <w:bCs/>
                <w:color w:val="auto"/>
                <w:sz w:val="21"/>
                <w:szCs w:val="21"/>
                <w:highlight w:val="none"/>
              </w:rPr>
              <w:t>土地利用类型</w:t>
            </w:r>
          </w:p>
        </w:tc>
        <w:tc>
          <w:tcPr>
            <w:tcW w:w="4186" w:type="dxa"/>
            <w:noWrap w:val="0"/>
            <w:vAlign w:val="center"/>
          </w:tcPr>
          <w:p>
            <w:pPr>
              <w:tabs>
                <w:tab w:val="left" w:pos="540"/>
                <w:tab w:val="left" w:pos="851"/>
                <w:tab w:val="left" w:pos="994"/>
                <w:tab w:val="left" w:pos="1260"/>
                <w:tab w:val="left" w:pos="3108"/>
                <w:tab w:val="left" w:pos="3150"/>
              </w:tabs>
              <w:overflowPunct w:val="0"/>
              <w:adjustRightInd w:val="0"/>
              <w:snapToGrid w:val="0"/>
              <w:spacing w:line="340" w:lineRule="exact"/>
              <w:jc w:val="center"/>
              <w:rPr>
                <w:rFonts w:hint="eastAsia" w:eastAsia="宋体"/>
                <w:bCs/>
                <w:color w:val="auto"/>
                <w:sz w:val="21"/>
                <w:szCs w:val="21"/>
                <w:highlight w:val="none"/>
                <w:lang w:eastAsia="zh-CN"/>
              </w:rPr>
            </w:pPr>
            <w:r>
              <w:rPr>
                <w:rFonts w:hint="eastAsia"/>
                <w:bCs/>
                <w:color w:val="auto"/>
                <w:sz w:val="21"/>
                <w:szCs w:val="21"/>
                <w:highlight w:val="none"/>
                <w:lang w:eastAsia="zh-CN"/>
              </w:rPr>
              <w:t>农田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4336" w:type="dxa"/>
            <w:gridSpan w:val="2"/>
            <w:noWrap w:val="0"/>
            <w:vAlign w:val="center"/>
          </w:tcPr>
          <w:p>
            <w:pPr>
              <w:tabs>
                <w:tab w:val="left" w:pos="540"/>
                <w:tab w:val="left" w:pos="851"/>
                <w:tab w:val="left" w:pos="994"/>
                <w:tab w:val="left" w:pos="1260"/>
                <w:tab w:val="left" w:pos="3108"/>
                <w:tab w:val="left" w:pos="3150"/>
              </w:tabs>
              <w:overflowPunct w:val="0"/>
              <w:adjustRightInd w:val="0"/>
              <w:snapToGrid w:val="0"/>
              <w:spacing w:line="340" w:lineRule="exact"/>
              <w:jc w:val="center"/>
              <w:rPr>
                <w:bCs/>
                <w:color w:val="auto"/>
                <w:sz w:val="21"/>
                <w:szCs w:val="21"/>
                <w:highlight w:val="none"/>
              </w:rPr>
            </w:pPr>
            <w:r>
              <w:rPr>
                <w:bCs/>
                <w:color w:val="auto"/>
                <w:sz w:val="21"/>
                <w:szCs w:val="21"/>
                <w:highlight w:val="none"/>
              </w:rPr>
              <w:t>区域湿度条件</w:t>
            </w:r>
          </w:p>
        </w:tc>
        <w:tc>
          <w:tcPr>
            <w:tcW w:w="4186" w:type="dxa"/>
            <w:noWrap w:val="0"/>
            <w:vAlign w:val="center"/>
          </w:tcPr>
          <w:p>
            <w:pPr>
              <w:tabs>
                <w:tab w:val="left" w:pos="540"/>
                <w:tab w:val="left" w:pos="851"/>
                <w:tab w:val="left" w:pos="994"/>
                <w:tab w:val="left" w:pos="1260"/>
                <w:tab w:val="left" w:pos="3108"/>
                <w:tab w:val="left" w:pos="3150"/>
              </w:tabs>
              <w:overflowPunct w:val="0"/>
              <w:adjustRightInd w:val="0"/>
              <w:snapToGrid w:val="0"/>
              <w:spacing w:line="340" w:lineRule="exact"/>
              <w:jc w:val="center"/>
              <w:rPr>
                <w:rFonts w:hint="eastAsia" w:eastAsia="宋体"/>
                <w:bCs/>
                <w:color w:val="auto"/>
                <w:sz w:val="21"/>
                <w:szCs w:val="21"/>
                <w:highlight w:val="none"/>
                <w:lang w:eastAsia="zh-CN"/>
              </w:rPr>
            </w:pPr>
            <w:r>
              <w:rPr>
                <w:rFonts w:hint="eastAsia"/>
                <w:bCs/>
                <w:color w:val="auto"/>
                <w:sz w:val="21"/>
                <w:szCs w:val="21"/>
                <w:highlight w:val="none"/>
                <w:lang w:eastAsia="zh-CN"/>
              </w:rPr>
              <w:t>湿润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992" w:type="dxa"/>
            <w:vMerge w:val="restart"/>
            <w:noWrap w:val="0"/>
            <w:vAlign w:val="center"/>
          </w:tcPr>
          <w:p>
            <w:pPr>
              <w:tabs>
                <w:tab w:val="left" w:pos="540"/>
                <w:tab w:val="left" w:pos="851"/>
                <w:tab w:val="left" w:pos="994"/>
                <w:tab w:val="left" w:pos="1260"/>
                <w:tab w:val="left" w:pos="3108"/>
                <w:tab w:val="left" w:pos="3150"/>
              </w:tabs>
              <w:overflowPunct w:val="0"/>
              <w:adjustRightInd w:val="0"/>
              <w:snapToGrid w:val="0"/>
              <w:spacing w:line="340" w:lineRule="exact"/>
              <w:jc w:val="center"/>
              <w:rPr>
                <w:bCs/>
                <w:color w:val="auto"/>
                <w:sz w:val="21"/>
                <w:szCs w:val="21"/>
                <w:highlight w:val="none"/>
              </w:rPr>
            </w:pPr>
            <w:r>
              <w:rPr>
                <w:bCs/>
                <w:color w:val="auto"/>
                <w:sz w:val="21"/>
                <w:szCs w:val="21"/>
                <w:highlight w:val="none"/>
              </w:rPr>
              <w:t>是否考虑地形</w:t>
            </w:r>
          </w:p>
        </w:tc>
        <w:tc>
          <w:tcPr>
            <w:tcW w:w="2344" w:type="dxa"/>
            <w:noWrap w:val="0"/>
            <w:vAlign w:val="center"/>
          </w:tcPr>
          <w:p>
            <w:pPr>
              <w:tabs>
                <w:tab w:val="left" w:pos="540"/>
                <w:tab w:val="left" w:pos="851"/>
                <w:tab w:val="left" w:pos="994"/>
                <w:tab w:val="left" w:pos="1260"/>
                <w:tab w:val="left" w:pos="3108"/>
                <w:tab w:val="left" w:pos="3150"/>
              </w:tabs>
              <w:overflowPunct w:val="0"/>
              <w:adjustRightInd w:val="0"/>
              <w:snapToGrid w:val="0"/>
              <w:spacing w:line="340" w:lineRule="exact"/>
              <w:jc w:val="center"/>
              <w:rPr>
                <w:bCs/>
                <w:color w:val="auto"/>
                <w:sz w:val="21"/>
                <w:szCs w:val="21"/>
                <w:highlight w:val="none"/>
              </w:rPr>
            </w:pPr>
            <w:r>
              <w:rPr>
                <w:bCs/>
                <w:color w:val="auto"/>
                <w:sz w:val="21"/>
                <w:szCs w:val="21"/>
                <w:highlight w:val="none"/>
              </w:rPr>
              <w:t>考虑地形</w:t>
            </w:r>
          </w:p>
        </w:tc>
        <w:tc>
          <w:tcPr>
            <w:tcW w:w="4186" w:type="dxa"/>
            <w:noWrap w:val="0"/>
            <w:vAlign w:val="center"/>
          </w:tcPr>
          <w:p>
            <w:pPr>
              <w:tabs>
                <w:tab w:val="left" w:pos="540"/>
                <w:tab w:val="left" w:pos="851"/>
                <w:tab w:val="left" w:pos="994"/>
                <w:tab w:val="left" w:pos="1260"/>
                <w:tab w:val="left" w:pos="3108"/>
                <w:tab w:val="left" w:pos="3150"/>
              </w:tabs>
              <w:overflowPunct w:val="0"/>
              <w:adjustRightInd w:val="0"/>
              <w:snapToGrid w:val="0"/>
              <w:spacing w:line="340" w:lineRule="exact"/>
              <w:jc w:val="center"/>
              <w:rPr>
                <w:bCs/>
                <w:color w:val="auto"/>
                <w:sz w:val="21"/>
                <w:szCs w:val="21"/>
                <w:highlight w:val="none"/>
              </w:rPr>
            </w:pPr>
            <w:r>
              <w:rPr>
                <w:bCs/>
                <w:color w:val="auto"/>
                <w:sz w:val="21"/>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992" w:type="dxa"/>
            <w:vMerge w:val="continue"/>
            <w:noWrap w:val="0"/>
            <w:vAlign w:val="center"/>
          </w:tcPr>
          <w:p>
            <w:pPr>
              <w:tabs>
                <w:tab w:val="left" w:pos="540"/>
                <w:tab w:val="left" w:pos="851"/>
                <w:tab w:val="left" w:pos="994"/>
                <w:tab w:val="left" w:pos="1260"/>
                <w:tab w:val="left" w:pos="3108"/>
                <w:tab w:val="left" w:pos="3150"/>
              </w:tabs>
              <w:overflowPunct w:val="0"/>
              <w:adjustRightInd w:val="0"/>
              <w:snapToGrid w:val="0"/>
              <w:spacing w:line="340" w:lineRule="exact"/>
              <w:jc w:val="center"/>
              <w:rPr>
                <w:bCs/>
                <w:color w:val="auto"/>
                <w:sz w:val="21"/>
                <w:szCs w:val="21"/>
                <w:highlight w:val="none"/>
              </w:rPr>
            </w:pPr>
          </w:p>
        </w:tc>
        <w:tc>
          <w:tcPr>
            <w:tcW w:w="2344" w:type="dxa"/>
            <w:noWrap w:val="0"/>
            <w:vAlign w:val="center"/>
          </w:tcPr>
          <w:p>
            <w:pPr>
              <w:tabs>
                <w:tab w:val="left" w:pos="540"/>
                <w:tab w:val="left" w:pos="851"/>
                <w:tab w:val="left" w:pos="994"/>
                <w:tab w:val="left" w:pos="1260"/>
                <w:tab w:val="left" w:pos="3108"/>
                <w:tab w:val="left" w:pos="3150"/>
              </w:tabs>
              <w:overflowPunct w:val="0"/>
              <w:adjustRightInd w:val="0"/>
              <w:snapToGrid w:val="0"/>
              <w:spacing w:line="340" w:lineRule="exact"/>
              <w:jc w:val="center"/>
              <w:rPr>
                <w:bCs/>
                <w:color w:val="auto"/>
                <w:sz w:val="21"/>
                <w:szCs w:val="21"/>
                <w:highlight w:val="none"/>
              </w:rPr>
            </w:pPr>
            <w:r>
              <w:rPr>
                <w:bCs/>
                <w:color w:val="auto"/>
                <w:sz w:val="21"/>
                <w:szCs w:val="21"/>
                <w:highlight w:val="none"/>
              </w:rPr>
              <w:t>地形数据分辨率(m)</w:t>
            </w:r>
          </w:p>
        </w:tc>
        <w:tc>
          <w:tcPr>
            <w:tcW w:w="4186" w:type="dxa"/>
            <w:noWrap w:val="0"/>
            <w:vAlign w:val="center"/>
          </w:tcPr>
          <w:p>
            <w:pPr>
              <w:tabs>
                <w:tab w:val="left" w:pos="540"/>
                <w:tab w:val="left" w:pos="851"/>
                <w:tab w:val="left" w:pos="994"/>
                <w:tab w:val="left" w:pos="1260"/>
                <w:tab w:val="left" w:pos="3108"/>
                <w:tab w:val="left" w:pos="3150"/>
              </w:tabs>
              <w:overflowPunct w:val="0"/>
              <w:adjustRightInd w:val="0"/>
              <w:snapToGrid w:val="0"/>
              <w:spacing w:line="340" w:lineRule="exact"/>
              <w:jc w:val="center"/>
              <w:rPr>
                <w:bCs/>
                <w:color w:val="auto"/>
                <w:sz w:val="21"/>
                <w:szCs w:val="21"/>
                <w:highlight w:val="none"/>
              </w:rPr>
            </w:pPr>
            <w:r>
              <w:rPr>
                <w:bCs/>
                <w:color w:val="auto"/>
                <w:sz w:val="21"/>
                <w:szCs w:val="21"/>
                <w:highlight w:val="none"/>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992" w:type="dxa"/>
            <w:vMerge w:val="restart"/>
            <w:noWrap w:val="0"/>
            <w:vAlign w:val="center"/>
          </w:tcPr>
          <w:p>
            <w:pPr>
              <w:tabs>
                <w:tab w:val="left" w:pos="540"/>
                <w:tab w:val="left" w:pos="851"/>
                <w:tab w:val="left" w:pos="994"/>
                <w:tab w:val="left" w:pos="1260"/>
                <w:tab w:val="left" w:pos="3108"/>
                <w:tab w:val="left" w:pos="3150"/>
              </w:tabs>
              <w:overflowPunct w:val="0"/>
              <w:adjustRightInd w:val="0"/>
              <w:snapToGrid w:val="0"/>
              <w:spacing w:line="340" w:lineRule="exact"/>
              <w:jc w:val="center"/>
              <w:rPr>
                <w:bCs/>
                <w:color w:val="auto"/>
                <w:sz w:val="21"/>
                <w:szCs w:val="21"/>
                <w:highlight w:val="none"/>
              </w:rPr>
            </w:pPr>
            <w:r>
              <w:rPr>
                <w:bCs/>
                <w:color w:val="auto"/>
                <w:sz w:val="21"/>
                <w:szCs w:val="21"/>
                <w:highlight w:val="none"/>
              </w:rPr>
              <w:t>是否考虑海岸线熏烟</w:t>
            </w:r>
          </w:p>
        </w:tc>
        <w:tc>
          <w:tcPr>
            <w:tcW w:w="2344" w:type="dxa"/>
            <w:noWrap w:val="0"/>
            <w:vAlign w:val="center"/>
          </w:tcPr>
          <w:p>
            <w:pPr>
              <w:tabs>
                <w:tab w:val="left" w:pos="540"/>
                <w:tab w:val="left" w:pos="851"/>
                <w:tab w:val="left" w:pos="994"/>
                <w:tab w:val="left" w:pos="1260"/>
                <w:tab w:val="left" w:pos="3108"/>
                <w:tab w:val="left" w:pos="3150"/>
              </w:tabs>
              <w:overflowPunct w:val="0"/>
              <w:adjustRightInd w:val="0"/>
              <w:snapToGrid w:val="0"/>
              <w:spacing w:line="340" w:lineRule="exact"/>
              <w:jc w:val="center"/>
              <w:rPr>
                <w:bCs/>
                <w:color w:val="auto"/>
                <w:sz w:val="21"/>
                <w:szCs w:val="21"/>
                <w:highlight w:val="none"/>
              </w:rPr>
            </w:pPr>
            <w:r>
              <w:rPr>
                <w:bCs/>
                <w:color w:val="auto"/>
                <w:sz w:val="21"/>
                <w:szCs w:val="21"/>
                <w:highlight w:val="none"/>
              </w:rPr>
              <w:t>考虑海岸线熏烟</w:t>
            </w:r>
          </w:p>
        </w:tc>
        <w:tc>
          <w:tcPr>
            <w:tcW w:w="4186" w:type="dxa"/>
            <w:noWrap w:val="0"/>
            <w:vAlign w:val="center"/>
          </w:tcPr>
          <w:p>
            <w:pPr>
              <w:tabs>
                <w:tab w:val="left" w:pos="540"/>
                <w:tab w:val="left" w:pos="851"/>
                <w:tab w:val="left" w:pos="994"/>
                <w:tab w:val="left" w:pos="1260"/>
                <w:tab w:val="left" w:pos="3108"/>
                <w:tab w:val="left" w:pos="3150"/>
              </w:tabs>
              <w:overflowPunct w:val="0"/>
              <w:adjustRightInd w:val="0"/>
              <w:snapToGrid w:val="0"/>
              <w:spacing w:line="340" w:lineRule="exact"/>
              <w:jc w:val="center"/>
              <w:rPr>
                <w:bCs/>
                <w:color w:val="auto"/>
                <w:sz w:val="21"/>
                <w:szCs w:val="21"/>
                <w:highlight w:val="none"/>
              </w:rPr>
            </w:pPr>
            <w:r>
              <w:rPr>
                <w:bCs/>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992" w:type="dxa"/>
            <w:vMerge w:val="continue"/>
            <w:noWrap w:val="0"/>
            <w:vAlign w:val="center"/>
          </w:tcPr>
          <w:p>
            <w:pPr>
              <w:tabs>
                <w:tab w:val="left" w:pos="540"/>
                <w:tab w:val="left" w:pos="851"/>
                <w:tab w:val="left" w:pos="994"/>
                <w:tab w:val="left" w:pos="1260"/>
                <w:tab w:val="left" w:pos="3108"/>
                <w:tab w:val="left" w:pos="3150"/>
              </w:tabs>
              <w:overflowPunct w:val="0"/>
              <w:adjustRightInd w:val="0"/>
              <w:snapToGrid w:val="0"/>
              <w:spacing w:line="340" w:lineRule="exact"/>
              <w:jc w:val="center"/>
              <w:rPr>
                <w:bCs/>
                <w:color w:val="auto"/>
                <w:sz w:val="21"/>
                <w:szCs w:val="21"/>
                <w:highlight w:val="none"/>
              </w:rPr>
            </w:pPr>
          </w:p>
        </w:tc>
        <w:tc>
          <w:tcPr>
            <w:tcW w:w="2344" w:type="dxa"/>
            <w:noWrap w:val="0"/>
            <w:vAlign w:val="center"/>
          </w:tcPr>
          <w:p>
            <w:pPr>
              <w:tabs>
                <w:tab w:val="left" w:pos="540"/>
                <w:tab w:val="left" w:pos="851"/>
                <w:tab w:val="left" w:pos="994"/>
                <w:tab w:val="left" w:pos="1260"/>
                <w:tab w:val="left" w:pos="3108"/>
                <w:tab w:val="left" w:pos="3150"/>
              </w:tabs>
              <w:overflowPunct w:val="0"/>
              <w:adjustRightInd w:val="0"/>
              <w:snapToGrid w:val="0"/>
              <w:spacing w:line="340" w:lineRule="exact"/>
              <w:jc w:val="center"/>
              <w:rPr>
                <w:bCs/>
                <w:color w:val="auto"/>
                <w:sz w:val="21"/>
                <w:szCs w:val="21"/>
                <w:highlight w:val="none"/>
              </w:rPr>
            </w:pPr>
            <w:r>
              <w:rPr>
                <w:bCs/>
                <w:color w:val="auto"/>
                <w:sz w:val="21"/>
                <w:szCs w:val="21"/>
                <w:highlight w:val="none"/>
              </w:rPr>
              <w:t>海岸线距离/m</w:t>
            </w:r>
          </w:p>
        </w:tc>
        <w:tc>
          <w:tcPr>
            <w:tcW w:w="4186" w:type="dxa"/>
            <w:noWrap w:val="0"/>
            <w:vAlign w:val="center"/>
          </w:tcPr>
          <w:p>
            <w:pPr>
              <w:tabs>
                <w:tab w:val="left" w:pos="540"/>
                <w:tab w:val="left" w:pos="851"/>
                <w:tab w:val="left" w:pos="994"/>
                <w:tab w:val="left" w:pos="1260"/>
                <w:tab w:val="left" w:pos="3108"/>
                <w:tab w:val="left" w:pos="3150"/>
              </w:tabs>
              <w:overflowPunct w:val="0"/>
              <w:adjustRightInd w:val="0"/>
              <w:snapToGrid w:val="0"/>
              <w:spacing w:line="340" w:lineRule="exact"/>
              <w:jc w:val="center"/>
              <w:rPr>
                <w:bCs/>
                <w:color w:val="auto"/>
                <w:sz w:val="21"/>
                <w:szCs w:val="21"/>
                <w:highlight w:val="none"/>
              </w:rPr>
            </w:pPr>
            <w:r>
              <w:rPr>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992" w:type="dxa"/>
            <w:vMerge w:val="continue"/>
            <w:noWrap w:val="0"/>
            <w:vAlign w:val="center"/>
          </w:tcPr>
          <w:p>
            <w:pPr>
              <w:tabs>
                <w:tab w:val="left" w:pos="540"/>
                <w:tab w:val="left" w:pos="851"/>
                <w:tab w:val="left" w:pos="994"/>
                <w:tab w:val="left" w:pos="1260"/>
                <w:tab w:val="left" w:pos="3108"/>
                <w:tab w:val="left" w:pos="3150"/>
              </w:tabs>
              <w:overflowPunct w:val="0"/>
              <w:adjustRightInd w:val="0"/>
              <w:snapToGrid w:val="0"/>
              <w:spacing w:line="340" w:lineRule="exact"/>
              <w:jc w:val="center"/>
              <w:rPr>
                <w:bCs/>
                <w:color w:val="auto"/>
                <w:sz w:val="21"/>
                <w:szCs w:val="21"/>
                <w:highlight w:val="none"/>
              </w:rPr>
            </w:pPr>
          </w:p>
        </w:tc>
        <w:tc>
          <w:tcPr>
            <w:tcW w:w="2344" w:type="dxa"/>
            <w:noWrap w:val="0"/>
            <w:vAlign w:val="center"/>
          </w:tcPr>
          <w:p>
            <w:pPr>
              <w:tabs>
                <w:tab w:val="left" w:pos="540"/>
                <w:tab w:val="left" w:pos="851"/>
                <w:tab w:val="left" w:pos="994"/>
                <w:tab w:val="left" w:pos="1260"/>
                <w:tab w:val="left" w:pos="3108"/>
                <w:tab w:val="left" w:pos="3150"/>
              </w:tabs>
              <w:overflowPunct w:val="0"/>
              <w:adjustRightInd w:val="0"/>
              <w:snapToGrid w:val="0"/>
              <w:spacing w:line="340" w:lineRule="exact"/>
              <w:jc w:val="center"/>
              <w:rPr>
                <w:bCs/>
                <w:color w:val="auto"/>
                <w:sz w:val="21"/>
                <w:szCs w:val="21"/>
                <w:highlight w:val="none"/>
              </w:rPr>
            </w:pPr>
            <w:r>
              <w:rPr>
                <w:bCs/>
                <w:color w:val="auto"/>
                <w:sz w:val="21"/>
                <w:szCs w:val="21"/>
                <w:highlight w:val="none"/>
              </w:rPr>
              <w:t>海岸线方向/</w:t>
            </w:r>
            <w:r>
              <w:rPr>
                <w:bCs/>
                <w:color w:val="auto"/>
                <w:sz w:val="21"/>
                <w:szCs w:val="21"/>
                <w:highlight w:val="none"/>
                <w:vertAlign w:val="superscript"/>
              </w:rPr>
              <w:t>o</w:t>
            </w:r>
          </w:p>
        </w:tc>
        <w:tc>
          <w:tcPr>
            <w:tcW w:w="4186" w:type="dxa"/>
            <w:noWrap w:val="0"/>
            <w:vAlign w:val="center"/>
          </w:tcPr>
          <w:p>
            <w:pPr>
              <w:tabs>
                <w:tab w:val="left" w:pos="540"/>
                <w:tab w:val="left" w:pos="851"/>
                <w:tab w:val="left" w:pos="994"/>
                <w:tab w:val="left" w:pos="1260"/>
                <w:tab w:val="left" w:pos="3108"/>
                <w:tab w:val="left" w:pos="3150"/>
              </w:tabs>
              <w:overflowPunct w:val="0"/>
              <w:adjustRightInd w:val="0"/>
              <w:snapToGrid w:val="0"/>
              <w:spacing w:line="340" w:lineRule="exact"/>
              <w:jc w:val="center"/>
              <w:rPr>
                <w:bCs/>
                <w:color w:val="auto"/>
                <w:sz w:val="21"/>
                <w:szCs w:val="21"/>
                <w:highlight w:val="none"/>
              </w:rPr>
            </w:pPr>
            <w:r>
              <w:rPr>
                <w:bCs/>
                <w:color w:val="auto"/>
                <w:sz w:val="21"/>
                <w:szCs w:val="21"/>
                <w:highlight w:val="none"/>
              </w:rPr>
              <w:t>/</w:t>
            </w:r>
          </w:p>
        </w:tc>
      </w:tr>
    </w:tbl>
    <w:p>
      <w:pPr>
        <w:pStyle w:val="164"/>
        <w:spacing w:line="360" w:lineRule="auto"/>
        <w:ind w:firstLine="480"/>
        <w:rPr>
          <w:rFonts w:hint="eastAsia" w:eastAsia="宋体"/>
          <w:b/>
          <w:bCs/>
          <w:highlight w:val="none"/>
          <w:lang w:eastAsia="zh-CN"/>
        </w:rPr>
      </w:pPr>
      <w:r>
        <w:rPr>
          <w:rFonts w:hint="eastAsia"/>
          <w:highlight w:val="none"/>
        </w:rPr>
        <w:t>.</w:t>
      </w:r>
      <w:r>
        <w:rPr>
          <w:rFonts w:hint="eastAsia"/>
          <w:b/>
          <w:bCs/>
          <w:highlight w:val="none"/>
          <w:lang w:eastAsia="zh-CN"/>
        </w:rPr>
        <w:t>（</w:t>
      </w:r>
      <w:r>
        <w:rPr>
          <w:rFonts w:hint="eastAsia"/>
          <w:b/>
          <w:bCs/>
          <w:highlight w:val="none"/>
          <w:lang w:val="en-US" w:eastAsia="zh-CN"/>
        </w:rPr>
        <w:t>4</w:t>
      </w:r>
      <w:r>
        <w:rPr>
          <w:rFonts w:hint="eastAsia"/>
          <w:b/>
          <w:bCs/>
          <w:highlight w:val="none"/>
          <w:lang w:eastAsia="zh-CN"/>
        </w:rPr>
        <w:t>）评价工作等级的确定</w:t>
      </w:r>
    </w:p>
    <w:p>
      <w:pPr>
        <w:spacing w:line="360" w:lineRule="auto"/>
        <w:ind w:firstLine="422" w:firstLineChars="176"/>
        <w:jc w:val="left"/>
        <w:rPr>
          <w:color w:val="auto"/>
          <w:sz w:val="24"/>
          <w:highlight w:val="none"/>
        </w:rPr>
      </w:pPr>
      <w:r>
        <w:rPr>
          <w:color w:val="auto"/>
          <w:sz w:val="24"/>
          <w:highlight w:val="none"/>
        </w:rPr>
        <w:t>依据《环境影响评价技术导则-大气环境》(HJ2.2-2018)中5.3节工作等级的确定方法，结合项目工程分析结果，选择正常排放的主要污染物及排放参数，采用附录A推荐模型中的AERSCREEN模式计算项目污染源的最大环境影响，然后按评价工作分级判据进行分级。</w:t>
      </w:r>
    </w:p>
    <w:p>
      <w:pPr>
        <w:pStyle w:val="115"/>
        <w:numPr>
          <w:ilvl w:val="1"/>
          <w:numId w:val="10"/>
        </w:numPr>
        <w:spacing w:line="480" w:lineRule="exact"/>
        <w:ind w:firstLineChars="0"/>
        <w:jc w:val="left"/>
        <w:rPr>
          <w:color w:val="auto"/>
          <w:sz w:val="24"/>
          <w:highlight w:val="none"/>
        </w:rPr>
      </w:pPr>
      <w:r>
        <w:rPr>
          <w:color w:val="auto"/>
          <w:sz w:val="24"/>
          <w:highlight w:val="none"/>
        </w:rPr>
        <w:t>P</w:t>
      </w:r>
      <w:r>
        <w:rPr>
          <w:color w:val="auto"/>
          <w:sz w:val="24"/>
          <w:highlight w:val="none"/>
          <w:vertAlign w:val="subscript"/>
        </w:rPr>
        <w:t>max</w:t>
      </w:r>
      <w:r>
        <w:rPr>
          <w:color w:val="auto"/>
          <w:sz w:val="24"/>
          <w:highlight w:val="none"/>
        </w:rPr>
        <w:t>及D</w:t>
      </w:r>
      <w:r>
        <w:rPr>
          <w:color w:val="auto"/>
          <w:sz w:val="24"/>
          <w:highlight w:val="none"/>
          <w:vertAlign w:val="subscript"/>
        </w:rPr>
        <w:t>10%</w:t>
      </w:r>
      <w:r>
        <w:rPr>
          <w:color w:val="auto"/>
          <w:sz w:val="24"/>
          <w:highlight w:val="none"/>
        </w:rPr>
        <w:t>的确定</w:t>
      </w:r>
    </w:p>
    <w:p>
      <w:pPr>
        <w:spacing w:line="480" w:lineRule="exact"/>
        <w:ind w:firstLine="422" w:firstLineChars="176"/>
        <w:jc w:val="left"/>
        <w:rPr>
          <w:color w:val="auto"/>
          <w:sz w:val="24"/>
          <w:highlight w:val="none"/>
        </w:rPr>
      </w:pPr>
      <w:r>
        <w:rPr>
          <w:color w:val="auto"/>
          <w:sz w:val="24"/>
          <w:highlight w:val="none"/>
        </w:rPr>
        <w:t>依据《环境影响评价技术导则 大气环境》(HJ2.2-20</w:t>
      </w:r>
      <w:r>
        <w:rPr>
          <w:rFonts w:hint="eastAsia"/>
          <w:color w:val="auto"/>
          <w:sz w:val="24"/>
          <w:highlight w:val="none"/>
        </w:rPr>
        <w:t>1</w:t>
      </w:r>
      <w:r>
        <w:rPr>
          <w:color w:val="auto"/>
          <w:sz w:val="24"/>
          <w:highlight w:val="none"/>
        </w:rPr>
        <w:t>8)中最大地面浓度占标率P</w:t>
      </w:r>
      <w:r>
        <w:rPr>
          <w:i/>
          <w:iCs/>
          <w:color w:val="auto"/>
          <w:sz w:val="24"/>
          <w:highlight w:val="none"/>
        </w:rPr>
        <w:t>i</w:t>
      </w:r>
      <w:r>
        <w:rPr>
          <w:color w:val="auto"/>
          <w:sz w:val="24"/>
          <w:highlight w:val="none"/>
        </w:rPr>
        <w:t>定义如下：</w:t>
      </w:r>
    </w:p>
    <w:p>
      <w:pPr>
        <w:spacing w:line="273" w:lineRule="auto"/>
        <w:ind w:firstLine="422" w:firstLineChars="176"/>
        <w:jc w:val="center"/>
        <w:rPr>
          <w:color w:val="auto"/>
          <w:sz w:val="24"/>
          <w:highlight w:val="none"/>
        </w:rPr>
      </w:pPr>
      <w:r>
        <w:rPr>
          <w:color w:val="auto"/>
          <w:highlight w:val="none"/>
        </w:rPr>
        <w:drawing>
          <wp:inline distT="0" distB="0" distL="114300" distR="114300">
            <wp:extent cx="1085850" cy="390525"/>
            <wp:effectExtent l="0" t="0" r="0" b="9525"/>
            <wp:docPr id="12" name="图片 6" descr="C:\Users\ADMINI~1\AppData\Local\Temp\ksohtml\wps9DA.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C:\Users\ADMINI~1\AppData\Local\Temp\ksohtml\wps9DA.tmp.jpg"/>
                    <pic:cNvPicPr>
                      <a:picLocks noChangeAspect="1"/>
                    </pic:cNvPicPr>
                  </pic:nvPicPr>
                  <pic:blipFill>
                    <a:blip r:embed="rId22"/>
                    <a:stretch>
                      <a:fillRect/>
                    </a:stretch>
                  </pic:blipFill>
                  <pic:spPr>
                    <a:xfrm>
                      <a:off x="0" y="0"/>
                      <a:ext cx="1085850" cy="390525"/>
                    </a:xfrm>
                    <a:prstGeom prst="rect">
                      <a:avLst/>
                    </a:prstGeom>
                    <a:noFill/>
                    <a:ln>
                      <a:noFill/>
                    </a:ln>
                  </pic:spPr>
                </pic:pic>
              </a:graphicData>
            </a:graphic>
          </wp:inline>
        </w:drawing>
      </w:r>
      <w:r>
        <w:rPr>
          <w:color w:val="auto"/>
          <w:sz w:val="24"/>
          <w:highlight w:val="none"/>
        </w:rPr>
        <w:t xml:space="preserve"> </w:t>
      </w:r>
    </w:p>
    <w:p>
      <w:pPr>
        <w:spacing w:line="480" w:lineRule="exact"/>
        <w:ind w:firstLine="422" w:firstLineChars="176"/>
        <w:jc w:val="left"/>
        <w:rPr>
          <w:color w:val="auto"/>
          <w:sz w:val="24"/>
          <w:highlight w:val="none"/>
        </w:rPr>
      </w:pPr>
      <w:r>
        <w:rPr>
          <w:color w:val="auto"/>
          <w:highlight w:val="none"/>
        </w:rPr>
        <w:drawing>
          <wp:inline distT="0" distB="0" distL="114300" distR="114300">
            <wp:extent cx="400050" cy="304800"/>
            <wp:effectExtent l="0" t="0" r="0" b="0"/>
            <wp:docPr id="13" name="图片 7" descr="C:\Users\ADMINI~1\AppData\Local\Temp\ksohtml\wps9DB.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C:\Users\ADMINI~1\AppData\Local\Temp\ksohtml\wps9DB.tmp.jpg"/>
                    <pic:cNvPicPr>
                      <a:picLocks noChangeAspect="1"/>
                    </pic:cNvPicPr>
                  </pic:nvPicPr>
                  <pic:blipFill>
                    <a:blip r:embed="rId23"/>
                    <a:stretch>
                      <a:fillRect/>
                    </a:stretch>
                  </pic:blipFill>
                  <pic:spPr>
                    <a:xfrm>
                      <a:off x="0" y="0"/>
                      <a:ext cx="400050" cy="304800"/>
                    </a:xfrm>
                    <a:prstGeom prst="rect">
                      <a:avLst/>
                    </a:prstGeom>
                    <a:noFill/>
                    <a:ln>
                      <a:noFill/>
                    </a:ln>
                  </pic:spPr>
                </pic:pic>
              </a:graphicData>
            </a:graphic>
          </wp:inline>
        </w:drawing>
      </w:r>
      <w:r>
        <w:rPr>
          <w:color w:val="auto"/>
          <w:sz w:val="24"/>
          <w:highlight w:val="none"/>
        </w:rPr>
        <w:t xml:space="preserve"> ——第i个污染物的最大地面空气质量浓度 占标率，%；</w:t>
      </w:r>
    </w:p>
    <w:p>
      <w:pPr>
        <w:spacing w:line="480" w:lineRule="exact"/>
        <w:ind w:firstLine="422" w:firstLineChars="176"/>
        <w:jc w:val="left"/>
        <w:rPr>
          <w:color w:val="auto"/>
          <w:sz w:val="24"/>
          <w:highlight w:val="none"/>
        </w:rPr>
      </w:pPr>
      <w:r>
        <w:rPr>
          <w:color w:val="auto"/>
          <w:highlight w:val="none"/>
        </w:rPr>
        <w:drawing>
          <wp:inline distT="0" distB="0" distL="114300" distR="114300">
            <wp:extent cx="390525" cy="304800"/>
            <wp:effectExtent l="0" t="0" r="9525" b="0"/>
            <wp:docPr id="15" name="图片 8" descr="C:\Users\ADMINI~1\AppData\Local\Temp\ksohtml\wps9DC.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C:\Users\ADMINI~1\AppData\Local\Temp\ksohtml\wps9DC.tmp.jpg"/>
                    <pic:cNvPicPr>
                      <a:picLocks noChangeAspect="1"/>
                    </pic:cNvPicPr>
                  </pic:nvPicPr>
                  <pic:blipFill>
                    <a:blip r:embed="rId24"/>
                    <a:stretch>
                      <a:fillRect/>
                    </a:stretch>
                  </pic:blipFill>
                  <pic:spPr>
                    <a:xfrm>
                      <a:off x="0" y="0"/>
                      <a:ext cx="390525" cy="304800"/>
                    </a:xfrm>
                    <a:prstGeom prst="rect">
                      <a:avLst/>
                    </a:prstGeom>
                    <a:noFill/>
                    <a:ln>
                      <a:noFill/>
                    </a:ln>
                  </pic:spPr>
                </pic:pic>
              </a:graphicData>
            </a:graphic>
          </wp:inline>
        </w:drawing>
      </w:r>
      <w:r>
        <w:rPr>
          <w:color w:val="auto"/>
          <w:sz w:val="24"/>
          <w:highlight w:val="none"/>
        </w:rPr>
        <w:t>——采用估算模型计算出的第i个污染物的最大1h地面空气质量浓度，μg/m</w:t>
      </w:r>
      <w:r>
        <w:rPr>
          <w:color w:val="auto"/>
          <w:sz w:val="24"/>
          <w:highlight w:val="none"/>
          <w:vertAlign w:val="superscript"/>
        </w:rPr>
        <w:t>3</w:t>
      </w:r>
      <w:r>
        <w:rPr>
          <w:color w:val="auto"/>
          <w:sz w:val="24"/>
          <w:highlight w:val="none"/>
        </w:rPr>
        <w:t>；</w:t>
      </w:r>
    </w:p>
    <w:p>
      <w:pPr>
        <w:spacing w:line="480" w:lineRule="exact"/>
        <w:ind w:firstLine="422" w:firstLineChars="176"/>
        <w:jc w:val="left"/>
        <w:rPr>
          <w:color w:val="auto"/>
          <w:sz w:val="24"/>
          <w:highlight w:val="none"/>
        </w:rPr>
      </w:pPr>
      <w:r>
        <w:rPr>
          <w:color w:val="auto"/>
          <w:highlight w:val="none"/>
        </w:rPr>
        <w:drawing>
          <wp:inline distT="0" distB="0" distL="114300" distR="114300">
            <wp:extent cx="457200" cy="304800"/>
            <wp:effectExtent l="0" t="0" r="0" b="0"/>
            <wp:docPr id="14" name="图片 9" descr="C:\Users\ADMINI~1\AppData\Local\Temp\ksohtml\wps9D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C:\Users\ADMINI~1\AppData\Local\Temp\ksohtml\wps9DD.tmp.jpg"/>
                    <pic:cNvPicPr>
                      <a:picLocks noChangeAspect="1"/>
                    </pic:cNvPicPr>
                  </pic:nvPicPr>
                  <pic:blipFill>
                    <a:blip r:embed="rId25"/>
                    <a:stretch>
                      <a:fillRect/>
                    </a:stretch>
                  </pic:blipFill>
                  <pic:spPr>
                    <a:xfrm>
                      <a:off x="0" y="0"/>
                      <a:ext cx="457200" cy="304800"/>
                    </a:xfrm>
                    <a:prstGeom prst="rect">
                      <a:avLst/>
                    </a:prstGeom>
                    <a:noFill/>
                    <a:ln>
                      <a:noFill/>
                    </a:ln>
                  </pic:spPr>
                </pic:pic>
              </a:graphicData>
            </a:graphic>
          </wp:inline>
        </w:drawing>
      </w:r>
      <w:r>
        <w:rPr>
          <w:color w:val="auto"/>
          <w:sz w:val="24"/>
          <w:highlight w:val="none"/>
        </w:rPr>
        <w:t>——第i个污染物的环境空气质量浓度标准，μg/m</w:t>
      </w:r>
      <w:r>
        <w:rPr>
          <w:color w:val="auto"/>
          <w:sz w:val="24"/>
          <w:highlight w:val="none"/>
          <w:vertAlign w:val="superscript"/>
        </w:rPr>
        <w:t>3</w:t>
      </w:r>
      <w:r>
        <w:rPr>
          <w:color w:val="auto"/>
          <w:sz w:val="24"/>
          <w:highlight w:val="none"/>
        </w:rPr>
        <w:t>。</w:t>
      </w:r>
    </w:p>
    <w:p>
      <w:pPr>
        <w:pStyle w:val="115"/>
        <w:numPr>
          <w:ilvl w:val="1"/>
          <w:numId w:val="10"/>
        </w:numPr>
        <w:spacing w:line="480" w:lineRule="exact"/>
        <w:ind w:firstLineChars="0"/>
        <w:jc w:val="left"/>
        <w:rPr>
          <w:color w:val="auto"/>
          <w:sz w:val="24"/>
          <w:highlight w:val="none"/>
        </w:rPr>
      </w:pPr>
      <w:r>
        <w:rPr>
          <w:color w:val="auto"/>
          <w:sz w:val="24"/>
          <w:highlight w:val="none"/>
        </w:rPr>
        <w:t>评价等级判别表</w:t>
      </w:r>
    </w:p>
    <w:p>
      <w:pPr>
        <w:spacing w:line="480" w:lineRule="exact"/>
        <w:ind w:firstLine="422" w:firstLineChars="176"/>
        <w:jc w:val="left"/>
        <w:rPr>
          <w:color w:val="auto"/>
          <w:sz w:val="24"/>
          <w:highlight w:val="none"/>
        </w:rPr>
      </w:pPr>
      <w:r>
        <w:rPr>
          <w:color w:val="auto"/>
          <w:sz w:val="24"/>
          <w:highlight w:val="none"/>
        </w:rPr>
        <w:t>评价等级按下表的分级判据进行划分</w:t>
      </w:r>
    </w:p>
    <w:p>
      <w:pPr>
        <w:spacing w:line="480" w:lineRule="exact"/>
        <w:ind w:firstLine="371" w:firstLineChars="176"/>
        <w:jc w:val="center"/>
        <w:rPr>
          <w:b/>
          <w:color w:val="auto"/>
          <w:sz w:val="21"/>
          <w:szCs w:val="21"/>
          <w:highlight w:val="none"/>
        </w:rPr>
      </w:pPr>
      <w:r>
        <w:rPr>
          <w:rFonts w:hint="eastAsia"/>
          <w:b/>
          <w:color w:val="auto"/>
          <w:sz w:val="21"/>
          <w:szCs w:val="21"/>
          <w:highlight w:val="none"/>
        </w:rPr>
        <w:t>表</w:t>
      </w:r>
      <w:r>
        <w:rPr>
          <w:rFonts w:hint="eastAsia"/>
          <w:b/>
          <w:color w:val="auto"/>
          <w:sz w:val="21"/>
          <w:szCs w:val="21"/>
          <w:highlight w:val="none"/>
          <w:lang w:val="en-US" w:eastAsia="zh-CN"/>
        </w:rPr>
        <w:t>6.2-4</w:t>
      </w:r>
      <w:r>
        <w:rPr>
          <w:b/>
          <w:color w:val="auto"/>
          <w:sz w:val="21"/>
          <w:szCs w:val="21"/>
          <w:highlight w:val="none"/>
        </w:rPr>
        <w:t>评价等级判别表</w:t>
      </w:r>
    </w:p>
    <w:tbl>
      <w:tblPr>
        <w:tblStyle w:val="29"/>
        <w:tblW w:w="8522" w:type="dxa"/>
        <w:jc w:val="center"/>
        <w:tblLayout w:type="fixed"/>
        <w:tblCellMar>
          <w:top w:w="0" w:type="dxa"/>
          <w:left w:w="108" w:type="dxa"/>
          <w:bottom w:w="0" w:type="dxa"/>
          <w:right w:w="108" w:type="dxa"/>
        </w:tblCellMar>
      </w:tblPr>
      <w:tblGrid>
        <w:gridCol w:w="4261"/>
        <w:gridCol w:w="4261"/>
      </w:tblGrid>
      <w:tr>
        <w:tblPrEx>
          <w:tblCellMar>
            <w:top w:w="0" w:type="dxa"/>
            <w:left w:w="108" w:type="dxa"/>
            <w:bottom w:w="0" w:type="dxa"/>
            <w:right w:w="108" w:type="dxa"/>
          </w:tblCellMar>
        </w:tblPrEx>
        <w:trPr>
          <w:trHeight w:val="421"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tabs>
                <w:tab w:val="left" w:pos="540"/>
                <w:tab w:val="left" w:pos="851"/>
                <w:tab w:val="left" w:pos="994"/>
                <w:tab w:val="left" w:pos="1260"/>
                <w:tab w:val="left" w:pos="3108"/>
                <w:tab w:val="left" w:pos="3150"/>
              </w:tabs>
              <w:overflowPunct w:val="0"/>
              <w:adjustRightInd w:val="0"/>
              <w:snapToGrid w:val="0"/>
              <w:spacing w:line="340" w:lineRule="exact"/>
              <w:jc w:val="center"/>
              <w:rPr>
                <w:bCs/>
                <w:color w:val="auto"/>
                <w:sz w:val="21"/>
                <w:szCs w:val="21"/>
                <w:highlight w:val="none"/>
              </w:rPr>
            </w:pPr>
            <w:r>
              <w:rPr>
                <w:bCs/>
                <w:color w:val="auto"/>
                <w:sz w:val="21"/>
                <w:szCs w:val="21"/>
                <w:highlight w:val="none"/>
              </w:rPr>
              <w:t>评价工作等级</w:t>
            </w:r>
          </w:p>
        </w:tc>
        <w:tc>
          <w:tcPr>
            <w:tcW w:w="4261" w:type="dxa"/>
            <w:tcBorders>
              <w:top w:val="single" w:color="auto" w:sz="4" w:space="0"/>
              <w:left w:val="nil"/>
              <w:bottom w:val="single" w:color="auto" w:sz="4" w:space="0"/>
              <w:right w:val="single" w:color="auto" w:sz="4" w:space="0"/>
            </w:tcBorders>
            <w:noWrap w:val="0"/>
            <w:vAlign w:val="center"/>
          </w:tcPr>
          <w:p>
            <w:pPr>
              <w:tabs>
                <w:tab w:val="left" w:pos="540"/>
                <w:tab w:val="left" w:pos="851"/>
                <w:tab w:val="left" w:pos="994"/>
                <w:tab w:val="left" w:pos="1260"/>
                <w:tab w:val="left" w:pos="3108"/>
                <w:tab w:val="left" w:pos="3150"/>
              </w:tabs>
              <w:overflowPunct w:val="0"/>
              <w:adjustRightInd w:val="0"/>
              <w:snapToGrid w:val="0"/>
              <w:spacing w:line="340" w:lineRule="exact"/>
              <w:jc w:val="center"/>
              <w:rPr>
                <w:bCs/>
                <w:color w:val="auto"/>
                <w:sz w:val="21"/>
                <w:szCs w:val="21"/>
                <w:highlight w:val="none"/>
              </w:rPr>
            </w:pPr>
            <w:r>
              <w:rPr>
                <w:bCs/>
                <w:color w:val="auto"/>
                <w:sz w:val="21"/>
                <w:szCs w:val="21"/>
                <w:highlight w:val="none"/>
              </w:rPr>
              <w:t>评价工作分级判据</w:t>
            </w:r>
          </w:p>
        </w:tc>
      </w:tr>
      <w:tr>
        <w:tblPrEx>
          <w:tblCellMar>
            <w:top w:w="0" w:type="dxa"/>
            <w:left w:w="108" w:type="dxa"/>
            <w:bottom w:w="0" w:type="dxa"/>
            <w:right w:w="108" w:type="dxa"/>
          </w:tblCellMar>
        </w:tblPrEx>
        <w:trPr>
          <w:trHeight w:val="401"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tabs>
                <w:tab w:val="left" w:pos="540"/>
                <w:tab w:val="left" w:pos="851"/>
                <w:tab w:val="left" w:pos="994"/>
                <w:tab w:val="left" w:pos="1260"/>
                <w:tab w:val="left" w:pos="3108"/>
                <w:tab w:val="left" w:pos="3150"/>
              </w:tabs>
              <w:overflowPunct w:val="0"/>
              <w:adjustRightInd w:val="0"/>
              <w:snapToGrid w:val="0"/>
              <w:spacing w:line="340" w:lineRule="exact"/>
              <w:jc w:val="center"/>
              <w:rPr>
                <w:bCs/>
                <w:color w:val="auto"/>
                <w:sz w:val="21"/>
                <w:szCs w:val="21"/>
                <w:highlight w:val="none"/>
              </w:rPr>
            </w:pPr>
            <w:r>
              <w:rPr>
                <w:bCs/>
                <w:color w:val="auto"/>
                <w:sz w:val="21"/>
                <w:szCs w:val="21"/>
                <w:highlight w:val="none"/>
              </w:rPr>
              <w:t>一级评价</w:t>
            </w:r>
          </w:p>
        </w:tc>
        <w:tc>
          <w:tcPr>
            <w:tcW w:w="4261" w:type="dxa"/>
            <w:tcBorders>
              <w:top w:val="single" w:color="auto" w:sz="4" w:space="0"/>
              <w:left w:val="nil"/>
              <w:bottom w:val="single" w:color="auto" w:sz="4" w:space="0"/>
              <w:right w:val="single" w:color="auto" w:sz="4" w:space="0"/>
            </w:tcBorders>
            <w:noWrap w:val="0"/>
            <w:vAlign w:val="center"/>
          </w:tcPr>
          <w:p>
            <w:pPr>
              <w:tabs>
                <w:tab w:val="left" w:pos="540"/>
                <w:tab w:val="left" w:pos="851"/>
                <w:tab w:val="left" w:pos="994"/>
                <w:tab w:val="left" w:pos="1260"/>
                <w:tab w:val="left" w:pos="3108"/>
                <w:tab w:val="left" w:pos="3150"/>
              </w:tabs>
              <w:overflowPunct w:val="0"/>
              <w:adjustRightInd w:val="0"/>
              <w:snapToGrid w:val="0"/>
              <w:spacing w:line="340" w:lineRule="exact"/>
              <w:jc w:val="center"/>
              <w:rPr>
                <w:bCs/>
                <w:color w:val="auto"/>
                <w:sz w:val="21"/>
                <w:szCs w:val="21"/>
                <w:highlight w:val="none"/>
              </w:rPr>
            </w:pPr>
            <w:r>
              <w:rPr>
                <w:bCs/>
                <w:color w:val="auto"/>
                <w:sz w:val="21"/>
                <w:szCs w:val="21"/>
                <w:highlight w:val="none"/>
              </w:rPr>
              <w:t>Pmax</w:t>
            </w:r>
            <w:r>
              <w:rPr>
                <w:rFonts w:hint="eastAsia"/>
                <w:bCs/>
                <w:color w:val="auto"/>
                <w:sz w:val="21"/>
                <w:szCs w:val="21"/>
                <w:highlight w:val="none"/>
              </w:rPr>
              <w:t>≧</w:t>
            </w:r>
            <w:r>
              <w:rPr>
                <w:bCs/>
                <w:color w:val="auto"/>
                <w:sz w:val="21"/>
                <w:szCs w:val="21"/>
                <w:highlight w:val="none"/>
              </w:rPr>
              <w:t>10%</w:t>
            </w:r>
          </w:p>
        </w:tc>
      </w:tr>
      <w:tr>
        <w:tblPrEx>
          <w:tblCellMar>
            <w:top w:w="0" w:type="dxa"/>
            <w:left w:w="108" w:type="dxa"/>
            <w:bottom w:w="0" w:type="dxa"/>
            <w:right w:w="108" w:type="dxa"/>
          </w:tblCellMar>
        </w:tblPrEx>
        <w:trPr>
          <w:trHeight w:val="421"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tabs>
                <w:tab w:val="left" w:pos="540"/>
                <w:tab w:val="left" w:pos="851"/>
                <w:tab w:val="left" w:pos="994"/>
                <w:tab w:val="left" w:pos="1260"/>
                <w:tab w:val="left" w:pos="3108"/>
                <w:tab w:val="left" w:pos="3150"/>
              </w:tabs>
              <w:overflowPunct w:val="0"/>
              <w:adjustRightInd w:val="0"/>
              <w:snapToGrid w:val="0"/>
              <w:spacing w:line="340" w:lineRule="exact"/>
              <w:jc w:val="center"/>
              <w:rPr>
                <w:bCs/>
                <w:color w:val="auto"/>
                <w:sz w:val="21"/>
                <w:szCs w:val="21"/>
                <w:highlight w:val="none"/>
              </w:rPr>
            </w:pPr>
            <w:r>
              <w:rPr>
                <w:bCs/>
                <w:color w:val="auto"/>
                <w:sz w:val="21"/>
                <w:szCs w:val="21"/>
                <w:highlight w:val="none"/>
              </w:rPr>
              <w:t>二级评价</w:t>
            </w:r>
          </w:p>
        </w:tc>
        <w:tc>
          <w:tcPr>
            <w:tcW w:w="4261" w:type="dxa"/>
            <w:tcBorders>
              <w:top w:val="single" w:color="auto" w:sz="4" w:space="0"/>
              <w:left w:val="nil"/>
              <w:bottom w:val="single" w:color="auto" w:sz="4" w:space="0"/>
              <w:right w:val="single" w:color="auto" w:sz="4" w:space="0"/>
            </w:tcBorders>
            <w:noWrap w:val="0"/>
            <w:vAlign w:val="center"/>
          </w:tcPr>
          <w:p>
            <w:pPr>
              <w:tabs>
                <w:tab w:val="left" w:pos="540"/>
                <w:tab w:val="left" w:pos="851"/>
                <w:tab w:val="left" w:pos="994"/>
                <w:tab w:val="left" w:pos="1260"/>
                <w:tab w:val="left" w:pos="3108"/>
                <w:tab w:val="left" w:pos="3150"/>
              </w:tabs>
              <w:overflowPunct w:val="0"/>
              <w:adjustRightInd w:val="0"/>
              <w:snapToGrid w:val="0"/>
              <w:spacing w:line="340" w:lineRule="exact"/>
              <w:jc w:val="center"/>
              <w:rPr>
                <w:bCs/>
                <w:color w:val="auto"/>
                <w:sz w:val="21"/>
                <w:szCs w:val="21"/>
                <w:highlight w:val="none"/>
              </w:rPr>
            </w:pPr>
            <w:r>
              <w:rPr>
                <w:bCs/>
                <w:color w:val="auto"/>
                <w:sz w:val="21"/>
                <w:szCs w:val="21"/>
                <w:highlight w:val="none"/>
              </w:rPr>
              <w:t>1%</w:t>
            </w:r>
            <w:r>
              <w:rPr>
                <w:rFonts w:hint="eastAsia"/>
                <w:bCs/>
                <w:color w:val="auto"/>
                <w:sz w:val="21"/>
                <w:szCs w:val="21"/>
                <w:highlight w:val="none"/>
              </w:rPr>
              <w:t>≦</w:t>
            </w:r>
            <w:r>
              <w:rPr>
                <w:bCs/>
                <w:color w:val="auto"/>
                <w:sz w:val="21"/>
                <w:szCs w:val="21"/>
                <w:highlight w:val="none"/>
              </w:rPr>
              <w:t>Pmax&lt;10%</w:t>
            </w:r>
          </w:p>
        </w:tc>
      </w:tr>
      <w:tr>
        <w:tblPrEx>
          <w:tblCellMar>
            <w:top w:w="0" w:type="dxa"/>
            <w:left w:w="108" w:type="dxa"/>
            <w:bottom w:w="0" w:type="dxa"/>
            <w:right w:w="108" w:type="dxa"/>
          </w:tblCellMar>
        </w:tblPrEx>
        <w:trPr>
          <w:trHeight w:val="421"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tabs>
                <w:tab w:val="left" w:pos="540"/>
                <w:tab w:val="left" w:pos="851"/>
                <w:tab w:val="left" w:pos="994"/>
                <w:tab w:val="left" w:pos="1260"/>
                <w:tab w:val="left" w:pos="3108"/>
                <w:tab w:val="left" w:pos="3150"/>
              </w:tabs>
              <w:overflowPunct w:val="0"/>
              <w:adjustRightInd w:val="0"/>
              <w:snapToGrid w:val="0"/>
              <w:spacing w:line="340" w:lineRule="exact"/>
              <w:jc w:val="center"/>
              <w:rPr>
                <w:bCs/>
                <w:color w:val="auto"/>
                <w:sz w:val="21"/>
                <w:szCs w:val="21"/>
                <w:highlight w:val="none"/>
              </w:rPr>
            </w:pPr>
            <w:r>
              <w:rPr>
                <w:bCs/>
                <w:color w:val="auto"/>
                <w:sz w:val="21"/>
                <w:szCs w:val="21"/>
                <w:highlight w:val="none"/>
              </w:rPr>
              <w:t>三级评价</w:t>
            </w:r>
          </w:p>
        </w:tc>
        <w:tc>
          <w:tcPr>
            <w:tcW w:w="4261" w:type="dxa"/>
            <w:tcBorders>
              <w:top w:val="single" w:color="auto" w:sz="4" w:space="0"/>
              <w:left w:val="nil"/>
              <w:bottom w:val="single" w:color="auto" w:sz="4" w:space="0"/>
              <w:right w:val="single" w:color="auto" w:sz="4" w:space="0"/>
            </w:tcBorders>
            <w:noWrap w:val="0"/>
            <w:vAlign w:val="center"/>
          </w:tcPr>
          <w:p>
            <w:pPr>
              <w:tabs>
                <w:tab w:val="left" w:pos="540"/>
                <w:tab w:val="left" w:pos="851"/>
                <w:tab w:val="left" w:pos="994"/>
                <w:tab w:val="left" w:pos="1260"/>
                <w:tab w:val="left" w:pos="3108"/>
                <w:tab w:val="left" w:pos="3150"/>
              </w:tabs>
              <w:overflowPunct w:val="0"/>
              <w:adjustRightInd w:val="0"/>
              <w:snapToGrid w:val="0"/>
              <w:spacing w:line="340" w:lineRule="exact"/>
              <w:jc w:val="center"/>
              <w:rPr>
                <w:bCs/>
                <w:color w:val="auto"/>
                <w:sz w:val="21"/>
                <w:szCs w:val="21"/>
                <w:highlight w:val="none"/>
              </w:rPr>
            </w:pPr>
            <w:r>
              <w:rPr>
                <w:bCs/>
                <w:color w:val="auto"/>
                <w:sz w:val="21"/>
                <w:szCs w:val="21"/>
                <w:highlight w:val="none"/>
              </w:rPr>
              <w:t>Pmax&lt;1%</w:t>
            </w:r>
          </w:p>
        </w:tc>
      </w:tr>
    </w:tbl>
    <w:p>
      <w:pPr>
        <w:pStyle w:val="164"/>
        <w:spacing w:line="360" w:lineRule="auto"/>
        <w:ind w:firstLine="482"/>
        <w:rPr>
          <w:rFonts w:hint="eastAsia"/>
          <w:b/>
          <w:highlight w:val="none"/>
        </w:rPr>
      </w:pPr>
      <w:r>
        <w:rPr>
          <w:rFonts w:hint="eastAsia"/>
          <w:b/>
          <w:highlight w:val="none"/>
        </w:rPr>
        <w:t>（</w:t>
      </w:r>
      <w:r>
        <w:rPr>
          <w:rFonts w:hint="eastAsia"/>
          <w:b/>
          <w:highlight w:val="none"/>
          <w:lang w:val="en-US" w:eastAsia="zh-CN"/>
        </w:rPr>
        <w:t>5</w:t>
      </w:r>
      <w:r>
        <w:rPr>
          <w:rFonts w:hint="eastAsia"/>
          <w:b/>
          <w:highlight w:val="none"/>
        </w:rPr>
        <w:t>）估算模式计算结果输出</w:t>
      </w:r>
    </w:p>
    <w:p>
      <w:pPr>
        <w:pStyle w:val="164"/>
        <w:spacing w:line="360" w:lineRule="auto"/>
        <w:ind w:firstLine="480"/>
        <w:rPr>
          <w:rFonts w:hint="eastAsia" w:eastAsia="宋体"/>
          <w:highlight w:val="none"/>
          <w:lang w:eastAsia="zh-CN"/>
        </w:rPr>
      </w:pPr>
      <w:r>
        <w:rPr>
          <w:rFonts w:hint="eastAsia"/>
          <w:highlight w:val="none"/>
        </w:rPr>
        <w:t>依据《环境影响评价技术导则</w:t>
      </w:r>
      <w:r>
        <w:rPr>
          <w:highlight w:val="none"/>
        </w:rPr>
        <w:t>-</w:t>
      </w:r>
      <w:r>
        <w:rPr>
          <w:rFonts w:hint="eastAsia"/>
          <w:highlight w:val="none"/>
        </w:rPr>
        <w:t>大气环境》</w:t>
      </w:r>
      <w:r>
        <w:rPr>
          <w:highlight w:val="none"/>
        </w:rPr>
        <w:t>(HJ2.2-2018)</w:t>
      </w:r>
      <w:r>
        <w:rPr>
          <w:rFonts w:hint="eastAsia"/>
          <w:highlight w:val="none"/>
        </w:rPr>
        <w:t>中</w:t>
      </w:r>
      <w:r>
        <w:rPr>
          <w:highlight w:val="none"/>
        </w:rPr>
        <w:t>5.3</w:t>
      </w:r>
      <w:r>
        <w:rPr>
          <w:rFonts w:hint="eastAsia"/>
          <w:highlight w:val="none"/>
        </w:rPr>
        <w:t>节工作等级的确定方法，预测结果如下表</w:t>
      </w:r>
      <w:r>
        <w:rPr>
          <w:rFonts w:hint="eastAsia"/>
          <w:highlight w:val="none"/>
          <w:lang w:eastAsia="zh-CN"/>
        </w:rPr>
        <w:t>。</w:t>
      </w:r>
    </w:p>
    <w:p>
      <w:pPr>
        <w:pStyle w:val="164"/>
        <w:spacing w:line="360" w:lineRule="auto"/>
        <w:ind w:firstLine="482"/>
        <w:jc w:val="center"/>
        <w:rPr>
          <w:rFonts w:hint="eastAsia"/>
          <w:b/>
          <w:highlight w:val="none"/>
        </w:rPr>
      </w:pPr>
      <w:r>
        <w:rPr>
          <w:rFonts w:hint="eastAsia"/>
          <w:b/>
          <w:sz w:val="21"/>
          <w:szCs w:val="21"/>
          <w:highlight w:val="none"/>
        </w:rPr>
        <w:t>表6.2-</w:t>
      </w:r>
      <w:r>
        <w:rPr>
          <w:rFonts w:hint="eastAsia"/>
          <w:b/>
          <w:sz w:val="21"/>
          <w:szCs w:val="21"/>
          <w:highlight w:val="none"/>
          <w:lang w:val="en-US" w:eastAsia="zh-CN"/>
        </w:rPr>
        <w:t>5</w:t>
      </w:r>
      <w:r>
        <w:rPr>
          <w:rFonts w:hint="eastAsia"/>
          <w:b/>
          <w:sz w:val="21"/>
          <w:szCs w:val="21"/>
          <w:highlight w:val="none"/>
        </w:rPr>
        <w:t xml:space="preserve">  无组织TSP排放下风向2500m范围内最大落地浓度</w:t>
      </w:r>
    </w:p>
    <w:tbl>
      <w:tblPr>
        <w:tblStyle w:val="29"/>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35"/>
        <w:gridCol w:w="3214"/>
        <w:gridCol w:w="2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035" w:type="dxa"/>
            <w:vMerge w:val="restart"/>
            <w:noWrap w:val="0"/>
            <w:vAlign w:val="center"/>
          </w:tcPr>
          <w:p>
            <w:pPr>
              <w:ind w:firstLine="0" w:firstLineChars="0"/>
              <w:jc w:val="center"/>
              <w:rPr>
                <w:rFonts w:hint="eastAsia" w:cs="宋体"/>
                <w:sz w:val="21"/>
                <w:szCs w:val="21"/>
                <w:highlight w:val="none"/>
              </w:rPr>
            </w:pPr>
            <w:r>
              <w:rPr>
                <w:rFonts w:hint="eastAsia" w:cs="宋体"/>
                <w:sz w:val="21"/>
                <w:szCs w:val="21"/>
                <w:highlight w:val="none"/>
              </w:rPr>
              <w:t>距源中心下风向</w:t>
            </w:r>
          </w:p>
          <w:p>
            <w:pPr>
              <w:ind w:firstLine="0" w:firstLineChars="0"/>
              <w:jc w:val="center"/>
              <w:rPr>
                <w:rFonts w:hint="eastAsia" w:cs="宋体"/>
                <w:sz w:val="21"/>
                <w:szCs w:val="21"/>
                <w:highlight w:val="none"/>
              </w:rPr>
            </w:pPr>
            <w:r>
              <w:rPr>
                <w:rFonts w:hint="eastAsia" w:cs="宋体"/>
                <w:sz w:val="21"/>
                <w:szCs w:val="21"/>
                <w:highlight w:val="none"/>
              </w:rPr>
              <w:t>距离D(m)</w:t>
            </w:r>
          </w:p>
        </w:tc>
        <w:tc>
          <w:tcPr>
            <w:tcW w:w="5493" w:type="dxa"/>
            <w:gridSpan w:val="2"/>
            <w:noWrap w:val="0"/>
            <w:vAlign w:val="center"/>
          </w:tcPr>
          <w:p>
            <w:pPr>
              <w:ind w:firstLine="420"/>
              <w:jc w:val="center"/>
              <w:rPr>
                <w:rFonts w:hint="eastAsia" w:cs="宋体"/>
                <w:sz w:val="21"/>
                <w:szCs w:val="21"/>
                <w:highlight w:val="none"/>
              </w:rPr>
            </w:pPr>
            <w:r>
              <w:rPr>
                <w:rFonts w:hint="eastAsia" w:cs="宋体"/>
                <w:sz w:val="21"/>
                <w:szCs w:val="21"/>
                <w:highlight w:val="none"/>
              </w:rPr>
              <w:t>无组织TSP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035" w:type="dxa"/>
            <w:vMerge w:val="continue"/>
            <w:noWrap w:val="0"/>
            <w:vAlign w:val="center"/>
          </w:tcPr>
          <w:p>
            <w:pPr>
              <w:ind w:firstLine="0" w:firstLineChars="0"/>
              <w:jc w:val="center"/>
              <w:rPr>
                <w:rFonts w:hint="eastAsia" w:cs="宋体"/>
                <w:sz w:val="21"/>
                <w:szCs w:val="21"/>
                <w:highlight w:val="none"/>
              </w:rPr>
            </w:pPr>
          </w:p>
        </w:tc>
        <w:tc>
          <w:tcPr>
            <w:tcW w:w="3214" w:type="dxa"/>
            <w:noWrap w:val="0"/>
            <w:vAlign w:val="center"/>
          </w:tcPr>
          <w:p>
            <w:pPr>
              <w:ind w:firstLine="0" w:firstLineChars="0"/>
              <w:jc w:val="center"/>
              <w:rPr>
                <w:rFonts w:hint="eastAsia" w:cs="宋体"/>
                <w:sz w:val="21"/>
                <w:szCs w:val="21"/>
                <w:highlight w:val="none"/>
              </w:rPr>
            </w:pPr>
            <w:r>
              <w:rPr>
                <w:rFonts w:hint="eastAsia" w:cs="宋体"/>
                <w:sz w:val="21"/>
                <w:szCs w:val="21"/>
                <w:highlight w:val="none"/>
              </w:rPr>
              <w:t>下风向预测浓度Ci(</w:t>
            </w:r>
            <w:r>
              <w:rPr>
                <w:rFonts w:hint="eastAsia" w:cs="宋体"/>
                <w:sz w:val="21"/>
                <w:szCs w:val="21"/>
                <w:highlight w:val="none"/>
                <w:lang w:val="en-US" w:eastAsia="zh-CN"/>
              </w:rPr>
              <w:t>u</w:t>
            </w:r>
            <w:r>
              <w:rPr>
                <w:rFonts w:hint="eastAsia" w:cs="宋体"/>
                <w:sz w:val="21"/>
                <w:szCs w:val="21"/>
                <w:highlight w:val="none"/>
              </w:rPr>
              <w:t>g/m</w:t>
            </w:r>
            <w:r>
              <w:rPr>
                <w:rFonts w:hint="eastAsia" w:cs="宋体"/>
                <w:sz w:val="21"/>
                <w:szCs w:val="21"/>
                <w:highlight w:val="none"/>
                <w:vertAlign w:val="superscript"/>
              </w:rPr>
              <w:t>3</w:t>
            </w:r>
            <w:r>
              <w:rPr>
                <w:rFonts w:hint="eastAsia" w:cs="宋体"/>
                <w:sz w:val="21"/>
                <w:szCs w:val="21"/>
                <w:highlight w:val="none"/>
              </w:rPr>
              <w:t>)</w:t>
            </w:r>
          </w:p>
        </w:tc>
        <w:tc>
          <w:tcPr>
            <w:tcW w:w="2279" w:type="dxa"/>
            <w:noWrap w:val="0"/>
            <w:vAlign w:val="center"/>
          </w:tcPr>
          <w:p>
            <w:pPr>
              <w:ind w:firstLine="0" w:firstLineChars="0"/>
              <w:jc w:val="center"/>
              <w:rPr>
                <w:rFonts w:hint="eastAsia" w:cs="宋体"/>
                <w:sz w:val="21"/>
                <w:szCs w:val="21"/>
                <w:highlight w:val="none"/>
              </w:rPr>
            </w:pPr>
            <w:r>
              <w:rPr>
                <w:rFonts w:hint="eastAsia" w:cs="宋体"/>
                <w:sz w:val="21"/>
                <w:szCs w:val="21"/>
                <w:highlight w:val="none"/>
              </w:rPr>
              <w:t>浓度占标率Pi(%)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035" w:type="dxa"/>
            <w:noWrap w:val="0"/>
            <w:vAlign w:val="top"/>
          </w:tcPr>
          <w:p>
            <w:pPr>
              <w:ind w:firstLine="420"/>
              <w:rPr>
                <w:rFonts w:hint="default" w:eastAsia="宋体" w:cs="宋体"/>
                <w:sz w:val="21"/>
                <w:szCs w:val="21"/>
                <w:highlight w:val="none"/>
                <w:lang w:val="en-US" w:eastAsia="zh-CN"/>
              </w:rPr>
            </w:pPr>
            <w:r>
              <w:rPr>
                <w:rFonts w:hint="eastAsia" w:cs="宋体"/>
                <w:sz w:val="21"/>
                <w:szCs w:val="21"/>
                <w:highlight w:val="none"/>
                <w:lang w:val="en-US" w:eastAsia="zh-CN"/>
              </w:rPr>
              <w:t>50</w:t>
            </w:r>
          </w:p>
        </w:tc>
        <w:tc>
          <w:tcPr>
            <w:tcW w:w="3214"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34.1460</w:t>
            </w:r>
          </w:p>
        </w:tc>
        <w:tc>
          <w:tcPr>
            <w:tcW w:w="2279"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3.7940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035" w:type="dxa"/>
            <w:noWrap w:val="0"/>
            <w:vAlign w:val="top"/>
          </w:tcPr>
          <w:p>
            <w:pPr>
              <w:ind w:firstLine="420"/>
              <w:rPr>
                <w:rFonts w:hint="eastAsia" w:cs="宋体"/>
                <w:sz w:val="21"/>
                <w:szCs w:val="21"/>
                <w:highlight w:val="none"/>
              </w:rPr>
            </w:pPr>
            <w:r>
              <w:rPr>
                <w:rFonts w:hint="eastAsia" w:cs="宋体"/>
                <w:sz w:val="21"/>
                <w:szCs w:val="21"/>
                <w:highlight w:val="none"/>
              </w:rPr>
              <w:t>100</w:t>
            </w:r>
          </w:p>
        </w:tc>
        <w:tc>
          <w:tcPr>
            <w:tcW w:w="3214"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39.7660</w:t>
            </w:r>
          </w:p>
        </w:tc>
        <w:tc>
          <w:tcPr>
            <w:tcW w:w="2279"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4.4184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035" w:type="dxa"/>
            <w:noWrap w:val="0"/>
            <w:vAlign w:val="top"/>
          </w:tcPr>
          <w:p>
            <w:pPr>
              <w:ind w:firstLine="420"/>
              <w:rPr>
                <w:rFonts w:hint="eastAsia" w:cs="宋体"/>
                <w:sz w:val="21"/>
                <w:szCs w:val="21"/>
                <w:highlight w:val="none"/>
              </w:rPr>
            </w:pPr>
            <w:r>
              <w:rPr>
                <w:rFonts w:hint="eastAsia" w:cs="宋体"/>
                <w:sz w:val="21"/>
                <w:szCs w:val="21"/>
                <w:highlight w:val="none"/>
              </w:rPr>
              <w:t>200</w:t>
            </w:r>
          </w:p>
        </w:tc>
        <w:tc>
          <w:tcPr>
            <w:tcW w:w="3214"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52.0550</w:t>
            </w:r>
          </w:p>
        </w:tc>
        <w:tc>
          <w:tcPr>
            <w:tcW w:w="2279"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5.7839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035" w:type="dxa"/>
            <w:noWrap w:val="0"/>
            <w:vAlign w:val="top"/>
          </w:tcPr>
          <w:p>
            <w:pPr>
              <w:ind w:firstLine="420"/>
              <w:rPr>
                <w:rFonts w:hint="eastAsia" w:cs="宋体"/>
                <w:sz w:val="21"/>
                <w:szCs w:val="21"/>
                <w:highlight w:val="none"/>
              </w:rPr>
            </w:pPr>
            <w:r>
              <w:rPr>
                <w:rFonts w:hint="eastAsia" w:cs="宋体"/>
                <w:sz w:val="21"/>
                <w:szCs w:val="21"/>
                <w:highlight w:val="none"/>
              </w:rPr>
              <w:t>300</w:t>
            </w:r>
          </w:p>
        </w:tc>
        <w:tc>
          <w:tcPr>
            <w:tcW w:w="3214"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60.5170</w:t>
            </w:r>
          </w:p>
        </w:tc>
        <w:tc>
          <w:tcPr>
            <w:tcW w:w="2279"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6.7241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035" w:type="dxa"/>
            <w:noWrap w:val="0"/>
            <w:vAlign w:val="top"/>
          </w:tcPr>
          <w:p>
            <w:pPr>
              <w:ind w:firstLine="420"/>
              <w:rPr>
                <w:rFonts w:hint="eastAsia" w:cs="宋体"/>
                <w:sz w:val="21"/>
                <w:szCs w:val="21"/>
                <w:highlight w:val="none"/>
              </w:rPr>
            </w:pPr>
            <w:r>
              <w:rPr>
                <w:rFonts w:hint="eastAsia" w:cs="宋体"/>
                <w:sz w:val="21"/>
                <w:szCs w:val="21"/>
                <w:highlight w:val="none"/>
              </w:rPr>
              <w:t>400</w:t>
            </w:r>
          </w:p>
        </w:tc>
        <w:tc>
          <w:tcPr>
            <w:tcW w:w="3214"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61.2400</w:t>
            </w:r>
          </w:p>
        </w:tc>
        <w:tc>
          <w:tcPr>
            <w:tcW w:w="2279"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6.8044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035" w:type="dxa"/>
            <w:tcBorders>
              <w:bottom w:val="single" w:color="auto" w:sz="4" w:space="0"/>
            </w:tcBorders>
            <w:noWrap w:val="0"/>
            <w:vAlign w:val="top"/>
          </w:tcPr>
          <w:p>
            <w:pPr>
              <w:ind w:firstLine="420"/>
              <w:rPr>
                <w:rFonts w:hint="eastAsia" w:cs="宋体"/>
                <w:sz w:val="21"/>
                <w:szCs w:val="21"/>
                <w:highlight w:val="none"/>
              </w:rPr>
            </w:pPr>
            <w:r>
              <w:rPr>
                <w:rFonts w:hint="eastAsia" w:cs="宋体"/>
                <w:sz w:val="21"/>
                <w:szCs w:val="21"/>
                <w:highlight w:val="none"/>
              </w:rPr>
              <w:t>500</w:t>
            </w:r>
          </w:p>
        </w:tc>
        <w:tc>
          <w:tcPr>
            <w:tcW w:w="3214" w:type="dxa"/>
            <w:tcBorders>
              <w:bottom w:val="single" w:color="auto" w:sz="4" w:space="0"/>
            </w:tcBorders>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58.4290</w:t>
            </w:r>
          </w:p>
        </w:tc>
        <w:tc>
          <w:tcPr>
            <w:tcW w:w="2279" w:type="dxa"/>
            <w:tcBorders>
              <w:bottom w:val="single" w:color="auto" w:sz="4" w:space="0"/>
            </w:tcBorders>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6.4921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035" w:type="dxa"/>
            <w:noWrap w:val="0"/>
            <w:vAlign w:val="top"/>
          </w:tcPr>
          <w:p>
            <w:pPr>
              <w:ind w:firstLine="420"/>
              <w:rPr>
                <w:rFonts w:hint="eastAsia" w:cs="宋体"/>
                <w:sz w:val="21"/>
                <w:szCs w:val="21"/>
                <w:highlight w:val="none"/>
              </w:rPr>
            </w:pPr>
            <w:r>
              <w:rPr>
                <w:rFonts w:hint="eastAsia" w:cs="宋体"/>
                <w:sz w:val="21"/>
                <w:szCs w:val="21"/>
                <w:highlight w:val="none"/>
              </w:rPr>
              <w:t>600</w:t>
            </w:r>
          </w:p>
        </w:tc>
        <w:tc>
          <w:tcPr>
            <w:tcW w:w="3214"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59.1460</w:t>
            </w:r>
          </w:p>
        </w:tc>
        <w:tc>
          <w:tcPr>
            <w:tcW w:w="2279"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6.5718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035" w:type="dxa"/>
            <w:noWrap w:val="0"/>
            <w:vAlign w:val="top"/>
          </w:tcPr>
          <w:p>
            <w:pPr>
              <w:ind w:firstLine="420"/>
              <w:rPr>
                <w:rFonts w:hint="eastAsia" w:cs="宋体"/>
                <w:sz w:val="21"/>
                <w:szCs w:val="21"/>
                <w:highlight w:val="none"/>
              </w:rPr>
            </w:pPr>
            <w:r>
              <w:rPr>
                <w:rFonts w:hint="eastAsia" w:cs="宋体"/>
                <w:sz w:val="21"/>
                <w:szCs w:val="21"/>
                <w:highlight w:val="none"/>
              </w:rPr>
              <w:t>700</w:t>
            </w:r>
          </w:p>
        </w:tc>
        <w:tc>
          <w:tcPr>
            <w:tcW w:w="3214"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59.1570</w:t>
            </w:r>
          </w:p>
        </w:tc>
        <w:tc>
          <w:tcPr>
            <w:tcW w:w="2279"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6.5730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035" w:type="dxa"/>
            <w:noWrap w:val="0"/>
            <w:vAlign w:val="top"/>
          </w:tcPr>
          <w:p>
            <w:pPr>
              <w:ind w:firstLine="420"/>
              <w:rPr>
                <w:rFonts w:hint="eastAsia" w:cs="宋体"/>
                <w:sz w:val="21"/>
                <w:szCs w:val="21"/>
                <w:highlight w:val="none"/>
              </w:rPr>
            </w:pPr>
            <w:r>
              <w:rPr>
                <w:rFonts w:hint="eastAsia" w:cs="宋体"/>
                <w:sz w:val="21"/>
                <w:szCs w:val="21"/>
                <w:highlight w:val="none"/>
              </w:rPr>
              <w:t>800</w:t>
            </w:r>
          </w:p>
        </w:tc>
        <w:tc>
          <w:tcPr>
            <w:tcW w:w="3214"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58.4740</w:t>
            </w:r>
          </w:p>
        </w:tc>
        <w:tc>
          <w:tcPr>
            <w:tcW w:w="2279"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6.4971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035" w:type="dxa"/>
            <w:noWrap w:val="0"/>
            <w:vAlign w:val="top"/>
          </w:tcPr>
          <w:p>
            <w:pPr>
              <w:ind w:firstLine="420"/>
              <w:rPr>
                <w:rFonts w:hint="eastAsia" w:cs="宋体"/>
                <w:sz w:val="21"/>
                <w:szCs w:val="21"/>
                <w:highlight w:val="none"/>
              </w:rPr>
            </w:pPr>
            <w:r>
              <w:rPr>
                <w:rFonts w:hint="eastAsia" w:cs="宋体"/>
                <w:sz w:val="21"/>
                <w:szCs w:val="21"/>
                <w:highlight w:val="none"/>
              </w:rPr>
              <w:t>900</w:t>
            </w:r>
          </w:p>
        </w:tc>
        <w:tc>
          <w:tcPr>
            <w:tcW w:w="3214"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57.3410</w:t>
            </w:r>
          </w:p>
        </w:tc>
        <w:tc>
          <w:tcPr>
            <w:tcW w:w="2279"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6.3712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035" w:type="dxa"/>
            <w:noWrap w:val="0"/>
            <w:vAlign w:val="top"/>
          </w:tcPr>
          <w:p>
            <w:pPr>
              <w:ind w:firstLine="420"/>
              <w:rPr>
                <w:rFonts w:hint="eastAsia" w:cs="宋体"/>
                <w:sz w:val="21"/>
                <w:szCs w:val="21"/>
                <w:highlight w:val="none"/>
              </w:rPr>
            </w:pPr>
            <w:r>
              <w:rPr>
                <w:rFonts w:hint="eastAsia" w:cs="宋体"/>
                <w:sz w:val="21"/>
                <w:szCs w:val="21"/>
                <w:highlight w:val="none"/>
              </w:rPr>
              <w:t>1000</w:t>
            </w:r>
          </w:p>
        </w:tc>
        <w:tc>
          <w:tcPr>
            <w:tcW w:w="3214"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55.9510</w:t>
            </w:r>
          </w:p>
        </w:tc>
        <w:tc>
          <w:tcPr>
            <w:tcW w:w="2279"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6.2168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035" w:type="dxa"/>
            <w:noWrap w:val="0"/>
            <w:vAlign w:val="top"/>
          </w:tcPr>
          <w:p>
            <w:pPr>
              <w:ind w:firstLine="420"/>
              <w:rPr>
                <w:rFonts w:hint="eastAsia" w:cs="宋体"/>
                <w:sz w:val="21"/>
                <w:szCs w:val="21"/>
                <w:highlight w:val="none"/>
              </w:rPr>
            </w:pPr>
            <w:r>
              <w:rPr>
                <w:rFonts w:hint="eastAsia" w:cs="宋体"/>
                <w:sz w:val="21"/>
                <w:szCs w:val="21"/>
                <w:highlight w:val="none"/>
              </w:rPr>
              <w:t>1200</w:t>
            </w:r>
          </w:p>
        </w:tc>
        <w:tc>
          <w:tcPr>
            <w:tcW w:w="3214"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52.7630</w:t>
            </w:r>
          </w:p>
        </w:tc>
        <w:tc>
          <w:tcPr>
            <w:tcW w:w="2279"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5.8626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035" w:type="dxa"/>
            <w:noWrap w:val="0"/>
            <w:vAlign w:val="top"/>
          </w:tcPr>
          <w:p>
            <w:pPr>
              <w:ind w:firstLine="420"/>
              <w:rPr>
                <w:rFonts w:hint="eastAsia" w:cs="宋体"/>
                <w:sz w:val="21"/>
                <w:szCs w:val="21"/>
                <w:highlight w:val="none"/>
              </w:rPr>
            </w:pPr>
            <w:r>
              <w:rPr>
                <w:rFonts w:hint="eastAsia" w:cs="宋体"/>
                <w:sz w:val="21"/>
                <w:szCs w:val="21"/>
                <w:highlight w:val="none"/>
              </w:rPr>
              <w:t>1400</w:t>
            </w:r>
          </w:p>
        </w:tc>
        <w:tc>
          <w:tcPr>
            <w:tcW w:w="3214"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51.3360</w:t>
            </w:r>
          </w:p>
        </w:tc>
        <w:tc>
          <w:tcPr>
            <w:tcW w:w="2279"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5.7040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035" w:type="dxa"/>
            <w:noWrap w:val="0"/>
            <w:vAlign w:val="top"/>
          </w:tcPr>
          <w:p>
            <w:pPr>
              <w:ind w:firstLine="420"/>
              <w:rPr>
                <w:rFonts w:hint="eastAsia" w:cs="宋体"/>
                <w:sz w:val="21"/>
                <w:szCs w:val="21"/>
                <w:highlight w:val="none"/>
              </w:rPr>
            </w:pPr>
            <w:r>
              <w:rPr>
                <w:rFonts w:hint="eastAsia" w:cs="宋体"/>
                <w:sz w:val="21"/>
                <w:szCs w:val="21"/>
                <w:highlight w:val="none"/>
              </w:rPr>
              <w:t>1600</w:t>
            </w:r>
          </w:p>
        </w:tc>
        <w:tc>
          <w:tcPr>
            <w:tcW w:w="3214"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49.6620</w:t>
            </w:r>
          </w:p>
        </w:tc>
        <w:tc>
          <w:tcPr>
            <w:tcW w:w="2279"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5.5180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035" w:type="dxa"/>
            <w:noWrap w:val="0"/>
            <w:vAlign w:val="top"/>
          </w:tcPr>
          <w:p>
            <w:pPr>
              <w:ind w:firstLine="420"/>
              <w:rPr>
                <w:rFonts w:hint="eastAsia" w:cs="宋体"/>
                <w:sz w:val="21"/>
                <w:szCs w:val="21"/>
                <w:highlight w:val="none"/>
              </w:rPr>
            </w:pPr>
            <w:r>
              <w:rPr>
                <w:rFonts w:hint="eastAsia" w:cs="宋体"/>
                <w:sz w:val="21"/>
                <w:szCs w:val="21"/>
                <w:highlight w:val="none"/>
              </w:rPr>
              <w:t>1800</w:t>
            </w:r>
          </w:p>
        </w:tc>
        <w:tc>
          <w:tcPr>
            <w:tcW w:w="3214"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47.7920</w:t>
            </w:r>
          </w:p>
        </w:tc>
        <w:tc>
          <w:tcPr>
            <w:tcW w:w="2279"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5.3102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035" w:type="dxa"/>
            <w:noWrap w:val="0"/>
            <w:vAlign w:val="top"/>
          </w:tcPr>
          <w:p>
            <w:pPr>
              <w:ind w:firstLine="420"/>
              <w:rPr>
                <w:rFonts w:hint="eastAsia" w:cs="宋体"/>
                <w:sz w:val="21"/>
                <w:szCs w:val="21"/>
                <w:highlight w:val="none"/>
              </w:rPr>
            </w:pPr>
            <w:r>
              <w:rPr>
                <w:rFonts w:hint="eastAsia" w:cs="宋体"/>
                <w:sz w:val="21"/>
                <w:szCs w:val="21"/>
                <w:highlight w:val="none"/>
              </w:rPr>
              <w:t>2000</w:t>
            </w:r>
          </w:p>
        </w:tc>
        <w:tc>
          <w:tcPr>
            <w:tcW w:w="3214"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45.8940</w:t>
            </w:r>
          </w:p>
        </w:tc>
        <w:tc>
          <w:tcPr>
            <w:tcW w:w="2279"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5.0993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035" w:type="dxa"/>
            <w:noWrap w:val="0"/>
            <w:vAlign w:val="top"/>
          </w:tcPr>
          <w:p>
            <w:pPr>
              <w:ind w:firstLine="420"/>
              <w:rPr>
                <w:rFonts w:hint="default" w:eastAsia="宋体" w:cs="宋体"/>
                <w:sz w:val="21"/>
                <w:szCs w:val="21"/>
                <w:highlight w:val="none"/>
                <w:lang w:val="en-US" w:eastAsia="zh-CN"/>
              </w:rPr>
            </w:pPr>
            <w:r>
              <w:rPr>
                <w:rFonts w:hint="eastAsia" w:cs="宋体"/>
                <w:sz w:val="21"/>
                <w:szCs w:val="21"/>
                <w:highlight w:val="none"/>
                <w:lang w:val="en-US" w:eastAsia="zh-CN"/>
              </w:rPr>
              <w:t>2500</w:t>
            </w:r>
          </w:p>
        </w:tc>
        <w:tc>
          <w:tcPr>
            <w:tcW w:w="3214"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41.2580</w:t>
            </w:r>
          </w:p>
        </w:tc>
        <w:tc>
          <w:tcPr>
            <w:tcW w:w="2279"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4.5842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035" w:type="dxa"/>
            <w:noWrap w:val="0"/>
            <w:vAlign w:val="top"/>
          </w:tcPr>
          <w:p>
            <w:pPr>
              <w:ind w:firstLine="420"/>
              <w:rPr>
                <w:rFonts w:hint="default" w:eastAsia="宋体" w:cs="宋体"/>
                <w:sz w:val="21"/>
                <w:szCs w:val="21"/>
                <w:highlight w:val="none"/>
                <w:lang w:val="en-US" w:eastAsia="zh-CN"/>
              </w:rPr>
            </w:pPr>
            <w:r>
              <w:rPr>
                <w:rFonts w:hint="eastAsia" w:cs="宋体"/>
                <w:sz w:val="21"/>
                <w:szCs w:val="21"/>
                <w:highlight w:val="none"/>
                <w:lang w:val="en-US" w:eastAsia="zh-CN"/>
              </w:rPr>
              <w:t>3000</w:t>
            </w:r>
          </w:p>
        </w:tc>
        <w:tc>
          <w:tcPr>
            <w:tcW w:w="3214"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37.1510</w:t>
            </w:r>
          </w:p>
        </w:tc>
        <w:tc>
          <w:tcPr>
            <w:tcW w:w="2279"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4.1279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035" w:type="dxa"/>
            <w:noWrap w:val="0"/>
            <w:vAlign w:val="top"/>
          </w:tcPr>
          <w:p>
            <w:pPr>
              <w:ind w:firstLine="420"/>
              <w:rPr>
                <w:rFonts w:hint="default" w:eastAsia="宋体" w:cs="宋体"/>
                <w:sz w:val="21"/>
                <w:szCs w:val="21"/>
                <w:highlight w:val="none"/>
                <w:lang w:val="en-US" w:eastAsia="zh-CN"/>
              </w:rPr>
            </w:pPr>
            <w:r>
              <w:rPr>
                <w:rFonts w:hint="eastAsia" w:cs="宋体"/>
                <w:sz w:val="21"/>
                <w:szCs w:val="21"/>
                <w:highlight w:val="none"/>
                <w:lang w:val="en-US" w:eastAsia="zh-CN"/>
              </w:rPr>
              <w:t>3500</w:t>
            </w:r>
          </w:p>
        </w:tc>
        <w:tc>
          <w:tcPr>
            <w:tcW w:w="3214"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33.5960</w:t>
            </w:r>
          </w:p>
        </w:tc>
        <w:tc>
          <w:tcPr>
            <w:tcW w:w="2279"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3.7329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035" w:type="dxa"/>
            <w:noWrap w:val="0"/>
            <w:vAlign w:val="top"/>
          </w:tcPr>
          <w:p>
            <w:pPr>
              <w:ind w:firstLine="420"/>
              <w:rPr>
                <w:rFonts w:hint="default" w:eastAsia="宋体" w:cs="宋体"/>
                <w:sz w:val="21"/>
                <w:szCs w:val="21"/>
                <w:highlight w:val="none"/>
                <w:lang w:val="en-US" w:eastAsia="zh-CN"/>
              </w:rPr>
            </w:pPr>
            <w:r>
              <w:rPr>
                <w:rFonts w:hint="eastAsia" w:cs="宋体"/>
                <w:sz w:val="21"/>
                <w:szCs w:val="21"/>
                <w:highlight w:val="none"/>
                <w:lang w:val="en-US" w:eastAsia="zh-CN"/>
              </w:rPr>
              <w:t>4000</w:t>
            </w:r>
          </w:p>
        </w:tc>
        <w:tc>
          <w:tcPr>
            <w:tcW w:w="3214"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30.8350</w:t>
            </w:r>
          </w:p>
        </w:tc>
        <w:tc>
          <w:tcPr>
            <w:tcW w:w="2279"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3.4261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035" w:type="dxa"/>
            <w:noWrap w:val="0"/>
            <w:vAlign w:val="top"/>
          </w:tcPr>
          <w:p>
            <w:pPr>
              <w:ind w:firstLine="420"/>
              <w:rPr>
                <w:rFonts w:hint="default" w:eastAsia="宋体" w:cs="宋体"/>
                <w:sz w:val="21"/>
                <w:szCs w:val="21"/>
                <w:highlight w:val="none"/>
                <w:lang w:val="en-US" w:eastAsia="zh-CN"/>
              </w:rPr>
            </w:pPr>
            <w:r>
              <w:rPr>
                <w:rFonts w:hint="eastAsia" w:cs="宋体"/>
                <w:sz w:val="21"/>
                <w:szCs w:val="21"/>
                <w:highlight w:val="none"/>
                <w:lang w:val="en-US" w:eastAsia="zh-CN"/>
              </w:rPr>
              <w:t>4500</w:t>
            </w:r>
          </w:p>
        </w:tc>
        <w:tc>
          <w:tcPr>
            <w:tcW w:w="3214"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28.4960</w:t>
            </w:r>
          </w:p>
        </w:tc>
        <w:tc>
          <w:tcPr>
            <w:tcW w:w="2279"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3.1662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3035" w:type="dxa"/>
            <w:noWrap w:val="0"/>
            <w:vAlign w:val="top"/>
          </w:tcPr>
          <w:p>
            <w:pPr>
              <w:ind w:firstLine="420"/>
              <w:rPr>
                <w:rFonts w:hint="default" w:eastAsia="宋体" w:cs="宋体"/>
                <w:sz w:val="21"/>
                <w:szCs w:val="21"/>
                <w:highlight w:val="none"/>
                <w:lang w:val="en-US" w:eastAsia="zh-CN"/>
              </w:rPr>
            </w:pPr>
            <w:r>
              <w:rPr>
                <w:rFonts w:hint="eastAsia" w:cs="宋体"/>
                <w:sz w:val="21"/>
                <w:szCs w:val="21"/>
                <w:highlight w:val="none"/>
                <w:lang w:val="en-US" w:eastAsia="zh-CN"/>
              </w:rPr>
              <w:t>5000</w:t>
            </w:r>
          </w:p>
        </w:tc>
        <w:tc>
          <w:tcPr>
            <w:tcW w:w="3214"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26.4450</w:t>
            </w:r>
          </w:p>
        </w:tc>
        <w:tc>
          <w:tcPr>
            <w:tcW w:w="2279"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2.9383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3035" w:type="dxa"/>
            <w:noWrap w:val="0"/>
            <w:vAlign w:val="top"/>
          </w:tcPr>
          <w:p>
            <w:pPr>
              <w:ind w:firstLine="420"/>
              <w:rPr>
                <w:rFonts w:hint="default" w:eastAsia="宋体" w:cs="宋体"/>
                <w:sz w:val="21"/>
                <w:szCs w:val="21"/>
                <w:highlight w:val="none"/>
                <w:lang w:val="en-US" w:eastAsia="zh-CN"/>
              </w:rPr>
            </w:pPr>
            <w:r>
              <w:rPr>
                <w:rFonts w:hint="eastAsia" w:cs="宋体"/>
                <w:sz w:val="21"/>
                <w:szCs w:val="21"/>
                <w:highlight w:val="none"/>
                <w:lang w:val="en-US" w:eastAsia="zh-CN"/>
              </w:rPr>
              <w:t>10000</w:t>
            </w:r>
          </w:p>
        </w:tc>
        <w:tc>
          <w:tcPr>
            <w:tcW w:w="3214"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16.6000</w:t>
            </w:r>
          </w:p>
        </w:tc>
        <w:tc>
          <w:tcPr>
            <w:tcW w:w="2279"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1.8444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3035" w:type="dxa"/>
            <w:noWrap w:val="0"/>
            <w:vAlign w:val="top"/>
          </w:tcPr>
          <w:p>
            <w:pPr>
              <w:ind w:firstLine="420"/>
              <w:rPr>
                <w:rFonts w:hint="default" w:eastAsia="宋体" w:cs="宋体"/>
                <w:sz w:val="21"/>
                <w:szCs w:val="21"/>
                <w:highlight w:val="none"/>
                <w:lang w:val="en-US" w:eastAsia="zh-CN"/>
              </w:rPr>
            </w:pPr>
            <w:r>
              <w:rPr>
                <w:rFonts w:hint="eastAsia" w:cs="宋体"/>
                <w:sz w:val="21"/>
                <w:szCs w:val="21"/>
                <w:highlight w:val="none"/>
                <w:lang w:val="en-US" w:eastAsia="zh-CN"/>
              </w:rPr>
              <w:t>11000</w:t>
            </w:r>
          </w:p>
        </w:tc>
        <w:tc>
          <w:tcPr>
            <w:tcW w:w="3214"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15.4400</w:t>
            </w:r>
          </w:p>
        </w:tc>
        <w:tc>
          <w:tcPr>
            <w:tcW w:w="2279"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1.7156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3035" w:type="dxa"/>
            <w:noWrap w:val="0"/>
            <w:vAlign w:val="top"/>
          </w:tcPr>
          <w:p>
            <w:pPr>
              <w:ind w:firstLine="420"/>
              <w:rPr>
                <w:rFonts w:hint="default" w:eastAsia="宋体" w:cs="宋体"/>
                <w:sz w:val="21"/>
                <w:szCs w:val="21"/>
                <w:highlight w:val="none"/>
                <w:lang w:val="en-US" w:eastAsia="zh-CN"/>
              </w:rPr>
            </w:pPr>
            <w:r>
              <w:rPr>
                <w:rFonts w:hint="eastAsia" w:cs="宋体"/>
                <w:sz w:val="21"/>
                <w:szCs w:val="21"/>
                <w:highlight w:val="none"/>
                <w:lang w:val="en-US" w:eastAsia="zh-CN"/>
              </w:rPr>
              <w:t>12000</w:t>
            </w:r>
          </w:p>
        </w:tc>
        <w:tc>
          <w:tcPr>
            <w:tcW w:w="3214"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14.4570</w:t>
            </w:r>
          </w:p>
        </w:tc>
        <w:tc>
          <w:tcPr>
            <w:tcW w:w="2279"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1.6063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3035" w:type="dxa"/>
            <w:noWrap w:val="0"/>
            <w:vAlign w:val="top"/>
          </w:tcPr>
          <w:p>
            <w:pPr>
              <w:ind w:firstLine="420"/>
              <w:rPr>
                <w:rFonts w:hint="default" w:eastAsia="宋体" w:cs="宋体"/>
                <w:sz w:val="21"/>
                <w:szCs w:val="21"/>
                <w:highlight w:val="none"/>
                <w:lang w:val="en-US" w:eastAsia="zh-CN"/>
              </w:rPr>
            </w:pPr>
            <w:r>
              <w:rPr>
                <w:rFonts w:hint="eastAsia" w:cs="宋体"/>
                <w:sz w:val="21"/>
                <w:szCs w:val="21"/>
                <w:highlight w:val="none"/>
                <w:lang w:val="en-US" w:eastAsia="zh-CN"/>
              </w:rPr>
              <w:t>13000</w:t>
            </w:r>
          </w:p>
        </w:tc>
        <w:tc>
          <w:tcPr>
            <w:tcW w:w="3214"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13.6100</w:t>
            </w:r>
          </w:p>
        </w:tc>
        <w:tc>
          <w:tcPr>
            <w:tcW w:w="2279"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1.5122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3035" w:type="dxa"/>
            <w:noWrap w:val="0"/>
            <w:vAlign w:val="top"/>
          </w:tcPr>
          <w:p>
            <w:pPr>
              <w:ind w:firstLine="420"/>
              <w:rPr>
                <w:rFonts w:hint="default" w:eastAsia="宋体" w:cs="宋体"/>
                <w:sz w:val="21"/>
                <w:szCs w:val="21"/>
                <w:highlight w:val="none"/>
                <w:lang w:val="en-US" w:eastAsia="zh-CN"/>
              </w:rPr>
            </w:pPr>
            <w:r>
              <w:rPr>
                <w:rFonts w:hint="eastAsia" w:cs="宋体"/>
                <w:sz w:val="21"/>
                <w:szCs w:val="21"/>
                <w:highlight w:val="none"/>
                <w:lang w:val="en-US" w:eastAsia="zh-CN"/>
              </w:rPr>
              <w:t>14000</w:t>
            </w:r>
          </w:p>
        </w:tc>
        <w:tc>
          <w:tcPr>
            <w:tcW w:w="3214"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12.8690</w:t>
            </w:r>
          </w:p>
        </w:tc>
        <w:tc>
          <w:tcPr>
            <w:tcW w:w="2279"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1.4299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3035" w:type="dxa"/>
            <w:noWrap w:val="0"/>
            <w:vAlign w:val="top"/>
          </w:tcPr>
          <w:p>
            <w:pPr>
              <w:ind w:firstLine="420"/>
              <w:rPr>
                <w:rFonts w:hint="default" w:eastAsia="宋体" w:cs="宋体"/>
                <w:sz w:val="21"/>
                <w:szCs w:val="21"/>
                <w:highlight w:val="none"/>
                <w:lang w:val="en-US" w:eastAsia="zh-CN"/>
              </w:rPr>
            </w:pPr>
            <w:r>
              <w:rPr>
                <w:rFonts w:hint="eastAsia" w:cs="宋体"/>
                <w:sz w:val="21"/>
                <w:szCs w:val="21"/>
                <w:highlight w:val="none"/>
                <w:lang w:val="en-US" w:eastAsia="zh-CN"/>
              </w:rPr>
              <w:t>15000</w:t>
            </w:r>
          </w:p>
        </w:tc>
        <w:tc>
          <w:tcPr>
            <w:tcW w:w="3214"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12.2110</w:t>
            </w:r>
          </w:p>
        </w:tc>
        <w:tc>
          <w:tcPr>
            <w:tcW w:w="2279"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1.3568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3035" w:type="dxa"/>
            <w:noWrap w:val="0"/>
            <w:vAlign w:val="top"/>
          </w:tcPr>
          <w:p>
            <w:pPr>
              <w:ind w:firstLine="420"/>
              <w:rPr>
                <w:rFonts w:hint="default" w:eastAsia="宋体" w:cs="宋体"/>
                <w:sz w:val="21"/>
                <w:szCs w:val="21"/>
                <w:highlight w:val="none"/>
                <w:lang w:val="en-US" w:eastAsia="zh-CN"/>
              </w:rPr>
            </w:pPr>
            <w:r>
              <w:rPr>
                <w:rFonts w:hint="eastAsia" w:cs="宋体"/>
                <w:sz w:val="21"/>
                <w:szCs w:val="21"/>
                <w:highlight w:val="none"/>
                <w:lang w:val="en-US" w:eastAsia="zh-CN"/>
              </w:rPr>
              <w:t>20000</w:t>
            </w:r>
          </w:p>
        </w:tc>
        <w:tc>
          <w:tcPr>
            <w:tcW w:w="3214"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9.7261</w:t>
            </w:r>
          </w:p>
        </w:tc>
        <w:tc>
          <w:tcPr>
            <w:tcW w:w="2279"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1.0807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3035" w:type="dxa"/>
            <w:noWrap w:val="0"/>
            <w:vAlign w:val="top"/>
          </w:tcPr>
          <w:p>
            <w:pPr>
              <w:ind w:firstLine="420"/>
              <w:rPr>
                <w:rFonts w:hint="default" w:eastAsia="宋体" w:cs="宋体"/>
                <w:sz w:val="21"/>
                <w:szCs w:val="21"/>
                <w:highlight w:val="none"/>
                <w:lang w:val="en-US" w:eastAsia="zh-CN"/>
              </w:rPr>
            </w:pPr>
            <w:r>
              <w:rPr>
                <w:rFonts w:hint="eastAsia" w:cs="宋体"/>
                <w:sz w:val="21"/>
                <w:szCs w:val="21"/>
                <w:highlight w:val="none"/>
                <w:lang w:val="en-US" w:eastAsia="zh-CN"/>
              </w:rPr>
              <w:t>25000</w:t>
            </w:r>
          </w:p>
        </w:tc>
        <w:tc>
          <w:tcPr>
            <w:tcW w:w="3214"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8.0329</w:t>
            </w:r>
          </w:p>
        </w:tc>
        <w:tc>
          <w:tcPr>
            <w:tcW w:w="2279"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0.8925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035" w:type="dxa"/>
            <w:noWrap w:val="0"/>
            <w:vAlign w:val="center"/>
          </w:tcPr>
          <w:p>
            <w:pPr>
              <w:ind w:firstLine="0" w:firstLineChars="0"/>
              <w:jc w:val="center"/>
              <w:rPr>
                <w:rFonts w:hint="eastAsia" w:cs="宋体"/>
                <w:sz w:val="21"/>
                <w:szCs w:val="21"/>
                <w:highlight w:val="none"/>
              </w:rPr>
            </w:pPr>
            <w:r>
              <w:rPr>
                <w:rFonts w:hint="eastAsia" w:cs="宋体"/>
                <w:sz w:val="21"/>
                <w:szCs w:val="21"/>
                <w:highlight w:val="none"/>
              </w:rPr>
              <w:t>下风向最大落地浓度</w:t>
            </w:r>
          </w:p>
        </w:tc>
        <w:tc>
          <w:tcPr>
            <w:tcW w:w="3214"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61.5710</w:t>
            </w:r>
          </w:p>
        </w:tc>
        <w:tc>
          <w:tcPr>
            <w:tcW w:w="2279"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6.8412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035" w:type="dxa"/>
            <w:noWrap w:val="0"/>
            <w:vAlign w:val="center"/>
          </w:tcPr>
          <w:p>
            <w:pPr>
              <w:ind w:firstLine="0" w:firstLineChars="0"/>
              <w:jc w:val="center"/>
              <w:rPr>
                <w:rFonts w:hint="eastAsia" w:cs="宋体"/>
                <w:sz w:val="21"/>
                <w:szCs w:val="21"/>
                <w:highlight w:val="none"/>
              </w:rPr>
            </w:pPr>
            <w:r>
              <w:rPr>
                <w:rFonts w:hint="eastAsia" w:cs="宋体"/>
                <w:sz w:val="21"/>
                <w:szCs w:val="21"/>
                <w:highlight w:val="none"/>
              </w:rPr>
              <w:t>距污染源中心距离（m）</w:t>
            </w:r>
          </w:p>
        </w:tc>
        <w:tc>
          <w:tcPr>
            <w:tcW w:w="5493" w:type="dxa"/>
            <w:gridSpan w:val="2"/>
            <w:noWrap w:val="0"/>
            <w:vAlign w:val="center"/>
          </w:tcPr>
          <w:p>
            <w:pPr>
              <w:ind w:firstLine="0" w:firstLineChars="0"/>
              <w:jc w:val="center"/>
              <w:rPr>
                <w:rFonts w:hint="default" w:eastAsia="宋体" w:cs="宋体"/>
                <w:sz w:val="21"/>
                <w:szCs w:val="21"/>
                <w:highlight w:val="none"/>
                <w:lang w:val="en-US" w:eastAsia="zh-CN"/>
              </w:rPr>
            </w:pPr>
            <w:r>
              <w:rPr>
                <w:rFonts w:hint="eastAsia" w:cs="宋体"/>
                <w:sz w:val="21"/>
                <w:szCs w:val="21"/>
                <w:highlight w:val="none"/>
                <w:lang w:val="en-US" w:eastAsia="zh-CN"/>
              </w:rPr>
              <w:t>363</w:t>
            </w:r>
          </w:p>
        </w:tc>
      </w:tr>
    </w:tbl>
    <w:p>
      <w:pPr>
        <w:pStyle w:val="164"/>
        <w:spacing w:line="360" w:lineRule="auto"/>
        <w:ind w:firstLine="482"/>
        <w:rPr>
          <w:rFonts w:hint="eastAsia"/>
          <w:highlight w:val="none"/>
          <w:lang w:eastAsia="zh-CN"/>
        </w:rPr>
      </w:pPr>
      <w:r>
        <w:rPr>
          <w:rFonts w:hint="eastAsia"/>
          <w:highlight w:val="none"/>
        </w:rPr>
        <w:t>无组织面源颗粒物最大落地浓度</w:t>
      </w:r>
      <w:r>
        <w:rPr>
          <w:rFonts w:hint="eastAsia" w:cs="宋体"/>
          <w:sz w:val="24"/>
          <w:szCs w:val="24"/>
          <w:highlight w:val="none"/>
          <w:lang w:eastAsia="zh-CN"/>
        </w:rPr>
        <w:t>61.5710</w:t>
      </w:r>
      <w:r>
        <w:rPr>
          <w:rFonts w:hint="eastAsia"/>
          <w:sz w:val="24"/>
          <w:szCs w:val="24"/>
          <w:highlight w:val="none"/>
          <w:lang w:val="en-US" w:eastAsia="zh-CN"/>
        </w:rPr>
        <w:t>u</w:t>
      </w:r>
      <w:r>
        <w:rPr>
          <w:rFonts w:hint="eastAsia"/>
          <w:sz w:val="24"/>
          <w:szCs w:val="24"/>
          <w:highlight w:val="none"/>
        </w:rPr>
        <w:t>g/m</w:t>
      </w:r>
      <w:r>
        <w:rPr>
          <w:rFonts w:hint="eastAsia"/>
          <w:sz w:val="24"/>
          <w:szCs w:val="24"/>
          <w:highlight w:val="none"/>
          <w:vertAlign w:val="superscript"/>
        </w:rPr>
        <w:t>3</w:t>
      </w:r>
      <w:r>
        <w:rPr>
          <w:rFonts w:hint="eastAsia"/>
          <w:highlight w:val="none"/>
        </w:rPr>
        <w:t>，</w:t>
      </w:r>
      <w:r>
        <w:rPr>
          <w:rFonts w:hint="eastAsia"/>
          <w:highlight w:val="none"/>
          <w:lang w:eastAsia="zh-CN"/>
        </w:rPr>
        <w:t>占标率为</w:t>
      </w:r>
      <w:r>
        <w:rPr>
          <w:rFonts w:hint="eastAsia"/>
          <w:highlight w:val="none"/>
          <w:lang w:val="en-US" w:eastAsia="zh-CN"/>
        </w:rPr>
        <w:t>6.8412%＜10%。</w:t>
      </w:r>
      <w:r>
        <w:rPr>
          <w:rFonts w:hint="eastAsia"/>
          <w:highlight w:val="none"/>
        </w:rPr>
        <w:t>矿山开采区和运输道路一侧设置专用洒水车，进行洒水降尘；经采取以上措施后，可降低项目运营期间无组织粉尘产生量。根据表</w:t>
      </w:r>
      <w:r>
        <w:rPr>
          <w:rFonts w:hint="eastAsia"/>
          <w:highlight w:val="none"/>
          <w:lang w:val="en-US" w:eastAsia="zh-CN"/>
        </w:rPr>
        <w:t>6.2-2</w:t>
      </w:r>
      <w:r>
        <w:rPr>
          <w:rFonts w:hint="eastAsia"/>
          <w:highlight w:val="none"/>
        </w:rPr>
        <w:t>可知，项目无组织TSP排放下风向最大落地浓度距污染源中心距离为521m，浓度为</w:t>
      </w:r>
      <w:r>
        <w:rPr>
          <w:rFonts w:hint="eastAsia"/>
          <w:highlight w:val="none"/>
          <w:lang w:eastAsia="zh-CN"/>
        </w:rPr>
        <w:t>61.5710</w:t>
      </w:r>
      <w:r>
        <w:rPr>
          <w:rFonts w:hint="eastAsia"/>
          <w:highlight w:val="none"/>
        </w:rPr>
        <w:t>mg/m</w:t>
      </w:r>
      <w:r>
        <w:rPr>
          <w:rFonts w:hint="eastAsia"/>
          <w:highlight w:val="none"/>
          <w:vertAlign w:val="superscript"/>
        </w:rPr>
        <w:t>3</w:t>
      </w:r>
      <w:r>
        <w:rPr>
          <w:rFonts w:hint="eastAsia"/>
          <w:highlight w:val="none"/>
        </w:rPr>
        <w:t>，占标率为</w:t>
      </w:r>
      <w:r>
        <w:rPr>
          <w:rFonts w:hint="eastAsia"/>
          <w:highlight w:val="none"/>
          <w:lang w:eastAsia="zh-CN"/>
        </w:rPr>
        <w:t>6.8412%</w:t>
      </w:r>
      <w:r>
        <w:rPr>
          <w:rFonts w:hint="eastAsia"/>
          <w:highlight w:val="none"/>
        </w:rPr>
        <w:t>能满足</w:t>
      </w:r>
      <w:r>
        <w:rPr>
          <w:rFonts w:hint="eastAsia"/>
          <w:bCs/>
          <w:highlight w:val="none"/>
        </w:rPr>
        <w:t>《环境空气质量标准》（GB3095-2012）二级标准要求24小时平均值浓度限值</w:t>
      </w:r>
      <w:r>
        <w:rPr>
          <w:rFonts w:hint="eastAsia"/>
          <w:highlight w:val="none"/>
        </w:rPr>
        <w:t>，对外环境影响较小</w:t>
      </w:r>
      <w:r>
        <w:rPr>
          <w:rFonts w:hint="eastAsia"/>
          <w:highlight w:val="none"/>
          <w:lang w:eastAsia="zh-CN"/>
        </w:rPr>
        <w:t>。</w:t>
      </w:r>
    </w:p>
    <w:p>
      <w:pPr>
        <w:pStyle w:val="164"/>
        <w:spacing w:line="360" w:lineRule="auto"/>
        <w:ind w:firstLine="482"/>
        <w:rPr>
          <w:rFonts w:hint="eastAsia"/>
          <w:highlight w:val="none"/>
          <w:lang w:val="en-US" w:eastAsia="zh-CN"/>
        </w:rPr>
      </w:pPr>
      <w:r>
        <w:rPr>
          <w:rFonts w:hint="eastAsia"/>
          <w:highlight w:val="none"/>
          <w:lang w:eastAsia="zh-CN"/>
        </w:rPr>
        <w:t>项目有组织粉尘预测结果见下表。</w:t>
      </w:r>
    </w:p>
    <w:p>
      <w:pPr>
        <w:spacing w:before="156" w:beforeLines="50" w:line="360" w:lineRule="auto"/>
        <w:jc w:val="center"/>
        <w:rPr>
          <w:sz w:val="21"/>
          <w:szCs w:val="21"/>
          <w:highlight w:val="none"/>
        </w:rPr>
      </w:pPr>
      <w:r>
        <w:rPr>
          <w:b/>
          <w:bCs/>
          <w:sz w:val="21"/>
          <w:szCs w:val="21"/>
          <w:highlight w:val="none"/>
        </w:rPr>
        <w:t>表</w:t>
      </w:r>
      <w:r>
        <w:rPr>
          <w:rFonts w:hint="eastAsia"/>
          <w:b/>
          <w:bCs/>
          <w:sz w:val="21"/>
          <w:szCs w:val="21"/>
          <w:highlight w:val="none"/>
          <w:lang w:val="en-US" w:eastAsia="zh-CN"/>
        </w:rPr>
        <w:t>6.2-6</w:t>
      </w:r>
      <w:r>
        <w:rPr>
          <w:b/>
          <w:bCs/>
          <w:sz w:val="21"/>
          <w:szCs w:val="21"/>
          <w:highlight w:val="none"/>
        </w:rPr>
        <w:t xml:space="preserve"> </w:t>
      </w:r>
      <w:r>
        <w:rPr>
          <w:rFonts w:hint="eastAsia"/>
          <w:b/>
          <w:bCs/>
          <w:sz w:val="21"/>
          <w:szCs w:val="21"/>
          <w:highlight w:val="none"/>
        </w:rPr>
        <w:t xml:space="preserve"> 有组织废气预测结果</w:t>
      </w:r>
    </w:p>
    <w:tbl>
      <w:tblPr>
        <w:tblStyle w:val="30"/>
        <w:tblW w:w="92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2855"/>
        <w:gridCol w:w="3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3240" w:type="dxa"/>
            <w:vMerge w:val="restart"/>
            <w:noWrap w:val="0"/>
            <w:vAlign w:val="center"/>
          </w:tcPr>
          <w:p>
            <w:pPr>
              <w:jc w:val="center"/>
              <w:rPr>
                <w:sz w:val="21"/>
                <w:szCs w:val="21"/>
                <w:highlight w:val="none"/>
              </w:rPr>
            </w:pPr>
            <w:r>
              <w:rPr>
                <w:sz w:val="21"/>
                <w:szCs w:val="21"/>
                <w:highlight w:val="none"/>
              </w:rPr>
              <w:t>下方向距离(m)</w:t>
            </w:r>
          </w:p>
        </w:tc>
        <w:tc>
          <w:tcPr>
            <w:tcW w:w="6053" w:type="dxa"/>
            <w:gridSpan w:val="2"/>
            <w:noWrap w:val="0"/>
            <w:vAlign w:val="center"/>
          </w:tcPr>
          <w:p>
            <w:pPr>
              <w:jc w:val="center"/>
              <w:rPr>
                <w:sz w:val="21"/>
                <w:szCs w:val="21"/>
                <w:highlight w:val="none"/>
              </w:rPr>
            </w:pPr>
            <w:r>
              <w:rPr>
                <w:sz w:val="21"/>
                <w:szCs w:val="21"/>
                <w:highlight w:val="none"/>
              </w:rPr>
              <w:t>点源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3240" w:type="dxa"/>
            <w:vMerge w:val="continue"/>
            <w:noWrap w:val="0"/>
            <w:vAlign w:val="center"/>
          </w:tcPr>
          <w:p>
            <w:pPr>
              <w:jc w:val="center"/>
              <w:rPr>
                <w:rFonts w:ascii="Times New Roman" w:hAnsi="Times New Roman" w:cs="Times New Roman"/>
                <w:sz w:val="21"/>
                <w:szCs w:val="21"/>
                <w:highlight w:val="none"/>
              </w:rPr>
            </w:pPr>
          </w:p>
        </w:tc>
        <w:tc>
          <w:tcPr>
            <w:tcW w:w="2855" w:type="dxa"/>
            <w:noWrap w:val="0"/>
            <w:vAlign w:val="center"/>
          </w:tcPr>
          <w:p>
            <w:pPr>
              <w:jc w:val="center"/>
              <w:rPr>
                <w:sz w:val="21"/>
                <w:szCs w:val="21"/>
                <w:highlight w:val="none"/>
              </w:rPr>
            </w:pPr>
            <w:r>
              <w:rPr>
                <w:sz w:val="21"/>
                <w:szCs w:val="21"/>
                <w:highlight w:val="none"/>
              </w:rPr>
              <w:t>PM10浓度（ug/m</w:t>
            </w:r>
            <w:r>
              <w:rPr>
                <w:sz w:val="21"/>
                <w:szCs w:val="21"/>
                <w:highlight w:val="none"/>
                <w:vertAlign w:val="superscript"/>
              </w:rPr>
              <w:t>3</w:t>
            </w:r>
            <w:r>
              <w:rPr>
                <w:sz w:val="21"/>
                <w:szCs w:val="21"/>
                <w:highlight w:val="none"/>
              </w:rPr>
              <w:t>）</w:t>
            </w:r>
          </w:p>
        </w:tc>
        <w:tc>
          <w:tcPr>
            <w:tcW w:w="3198" w:type="dxa"/>
            <w:noWrap w:val="0"/>
            <w:vAlign w:val="center"/>
          </w:tcPr>
          <w:p>
            <w:pPr>
              <w:jc w:val="center"/>
              <w:rPr>
                <w:sz w:val="21"/>
                <w:szCs w:val="21"/>
                <w:highlight w:val="none"/>
              </w:rPr>
            </w:pPr>
            <w:r>
              <w:rPr>
                <w:sz w:val="21"/>
                <w:szCs w:val="21"/>
                <w:highlight w:val="none"/>
              </w:rPr>
              <w:t>PM10占标率（%）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240" w:type="dxa"/>
            <w:noWrap w:val="0"/>
            <w:vAlign w:val="center"/>
          </w:tcPr>
          <w:p>
            <w:pPr>
              <w:jc w:val="center"/>
              <w:rPr>
                <w:sz w:val="21"/>
                <w:szCs w:val="21"/>
                <w:highlight w:val="none"/>
              </w:rPr>
            </w:pPr>
            <w:r>
              <w:rPr>
                <w:sz w:val="21"/>
                <w:szCs w:val="21"/>
                <w:highlight w:val="none"/>
              </w:rPr>
              <w:t>50.0</w:t>
            </w:r>
          </w:p>
        </w:tc>
        <w:tc>
          <w:tcPr>
            <w:tcW w:w="2855"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0.8451</w:t>
            </w:r>
          </w:p>
        </w:tc>
        <w:tc>
          <w:tcPr>
            <w:tcW w:w="3198"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0.1878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240" w:type="dxa"/>
            <w:noWrap w:val="0"/>
            <w:vAlign w:val="center"/>
          </w:tcPr>
          <w:p>
            <w:pPr>
              <w:jc w:val="center"/>
              <w:rPr>
                <w:sz w:val="21"/>
                <w:szCs w:val="21"/>
                <w:highlight w:val="none"/>
              </w:rPr>
            </w:pPr>
            <w:r>
              <w:rPr>
                <w:sz w:val="21"/>
                <w:szCs w:val="21"/>
                <w:highlight w:val="none"/>
              </w:rPr>
              <w:t>100.0</w:t>
            </w:r>
          </w:p>
        </w:tc>
        <w:tc>
          <w:tcPr>
            <w:tcW w:w="2855"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13.5400</w:t>
            </w:r>
          </w:p>
        </w:tc>
        <w:tc>
          <w:tcPr>
            <w:tcW w:w="3198"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3.0089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240" w:type="dxa"/>
            <w:noWrap w:val="0"/>
            <w:vAlign w:val="center"/>
          </w:tcPr>
          <w:p>
            <w:pPr>
              <w:jc w:val="center"/>
              <w:rPr>
                <w:sz w:val="21"/>
                <w:szCs w:val="21"/>
                <w:highlight w:val="none"/>
              </w:rPr>
            </w:pPr>
            <w:r>
              <w:rPr>
                <w:sz w:val="21"/>
                <w:szCs w:val="21"/>
                <w:highlight w:val="none"/>
              </w:rPr>
              <w:t>200.0</w:t>
            </w:r>
          </w:p>
        </w:tc>
        <w:tc>
          <w:tcPr>
            <w:tcW w:w="2855"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2.9859</w:t>
            </w:r>
          </w:p>
        </w:tc>
        <w:tc>
          <w:tcPr>
            <w:tcW w:w="3198"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0.6635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240" w:type="dxa"/>
            <w:noWrap w:val="0"/>
            <w:vAlign w:val="center"/>
          </w:tcPr>
          <w:p>
            <w:pPr>
              <w:jc w:val="center"/>
              <w:rPr>
                <w:sz w:val="21"/>
                <w:szCs w:val="21"/>
                <w:highlight w:val="none"/>
              </w:rPr>
            </w:pPr>
            <w:r>
              <w:rPr>
                <w:sz w:val="21"/>
                <w:szCs w:val="21"/>
                <w:highlight w:val="none"/>
              </w:rPr>
              <w:t>300.0</w:t>
            </w:r>
          </w:p>
        </w:tc>
        <w:tc>
          <w:tcPr>
            <w:tcW w:w="2855"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5.2171</w:t>
            </w:r>
          </w:p>
        </w:tc>
        <w:tc>
          <w:tcPr>
            <w:tcW w:w="3198"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1.1594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240" w:type="dxa"/>
            <w:noWrap w:val="0"/>
            <w:vAlign w:val="center"/>
          </w:tcPr>
          <w:p>
            <w:pPr>
              <w:jc w:val="center"/>
              <w:rPr>
                <w:sz w:val="21"/>
                <w:szCs w:val="21"/>
                <w:highlight w:val="none"/>
              </w:rPr>
            </w:pPr>
            <w:r>
              <w:rPr>
                <w:sz w:val="21"/>
                <w:szCs w:val="21"/>
                <w:highlight w:val="none"/>
              </w:rPr>
              <w:t>400.0</w:t>
            </w:r>
          </w:p>
        </w:tc>
        <w:tc>
          <w:tcPr>
            <w:tcW w:w="2855"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2.6504</w:t>
            </w:r>
          </w:p>
        </w:tc>
        <w:tc>
          <w:tcPr>
            <w:tcW w:w="3198"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0.5890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240" w:type="dxa"/>
            <w:noWrap w:val="0"/>
            <w:vAlign w:val="center"/>
          </w:tcPr>
          <w:p>
            <w:pPr>
              <w:jc w:val="center"/>
              <w:rPr>
                <w:sz w:val="21"/>
                <w:szCs w:val="21"/>
                <w:highlight w:val="none"/>
              </w:rPr>
            </w:pPr>
            <w:r>
              <w:rPr>
                <w:rFonts w:hint="eastAsia"/>
                <w:sz w:val="21"/>
                <w:szCs w:val="21"/>
                <w:highlight w:val="none"/>
                <w:lang w:val="en-US" w:eastAsia="zh-CN"/>
              </w:rPr>
              <w:t>5</w:t>
            </w:r>
            <w:r>
              <w:rPr>
                <w:sz w:val="21"/>
                <w:szCs w:val="21"/>
                <w:highlight w:val="none"/>
              </w:rPr>
              <w:t>00.0</w:t>
            </w:r>
          </w:p>
        </w:tc>
        <w:tc>
          <w:tcPr>
            <w:tcW w:w="2855"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3.1267</w:t>
            </w:r>
          </w:p>
        </w:tc>
        <w:tc>
          <w:tcPr>
            <w:tcW w:w="3198"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0.6948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240" w:type="dxa"/>
            <w:noWrap w:val="0"/>
            <w:vAlign w:val="center"/>
          </w:tcPr>
          <w:p>
            <w:pPr>
              <w:jc w:val="center"/>
              <w:rPr>
                <w:sz w:val="21"/>
                <w:szCs w:val="21"/>
                <w:highlight w:val="none"/>
              </w:rPr>
            </w:pPr>
            <w:r>
              <w:rPr>
                <w:rFonts w:hint="eastAsia"/>
                <w:sz w:val="21"/>
                <w:szCs w:val="21"/>
                <w:highlight w:val="none"/>
                <w:lang w:val="en-US" w:eastAsia="zh-CN"/>
              </w:rPr>
              <w:t>6</w:t>
            </w:r>
            <w:r>
              <w:rPr>
                <w:sz w:val="21"/>
                <w:szCs w:val="21"/>
                <w:highlight w:val="none"/>
              </w:rPr>
              <w:t>00.0</w:t>
            </w:r>
          </w:p>
        </w:tc>
        <w:tc>
          <w:tcPr>
            <w:tcW w:w="2855"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2.2693</w:t>
            </w:r>
          </w:p>
        </w:tc>
        <w:tc>
          <w:tcPr>
            <w:tcW w:w="3198"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0.5043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240" w:type="dxa"/>
            <w:noWrap w:val="0"/>
            <w:vAlign w:val="center"/>
          </w:tcPr>
          <w:p>
            <w:pPr>
              <w:jc w:val="center"/>
              <w:rPr>
                <w:sz w:val="21"/>
                <w:szCs w:val="21"/>
                <w:highlight w:val="none"/>
              </w:rPr>
            </w:pPr>
            <w:r>
              <w:rPr>
                <w:rFonts w:hint="eastAsia"/>
                <w:sz w:val="21"/>
                <w:szCs w:val="21"/>
                <w:highlight w:val="none"/>
                <w:lang w:val="en-US" w:eastAsia="zh-CN"/>
              </w:rPr>
              <w:t>7</w:t>
            </w:r>
            <w:r>
              <w:rPr>
                <w:sz w:val="21"/>
                <w:szCs w:val="21"/>
                <w:highlight w:val="none"/>
              </w:rPr>
              <w:t>00.0</w:t>
            </w:r>
          </w:p>
        </w:tc>
        <w:tc>
          <w:tcPr>
            <w:tcW w:w="2855"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2.7592</w:t>
            </w:r>
          </w:p>
        </w:tc>
        <w:tc>
          <w:tcPr>
            <w:tcW w:w="3198"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0.6132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240" w:type="dxa"/>
            <w:noWrap w:val="0"/>
            <w:vAlign w:val="center"/>
          </w:tcPr>
          <w:p>
            <w:pPr>
              <w:jc w:val="center"/>
              <w:rPr>
                <w:sz w:val="21"/>
                <w:szCs w:val="21"/>
                <w:highlight w:val="none"/>
              </w:rPr>
            </w:pPr>
            <w:r>
              <w:rPr>
                <w:rFonts w:hint="eastAsia"/>
                <w:sz w:val="21"/>
                <w:szCs w:val="21"/>
                <w:highlight w:val="none"/>
                <w:lang w:val="en-US" w:eastAsia="zh-CN"/>
              </w:rPr>
              <w:t>8</w:t>
            </w:r>
            <w:r>
              <w:rPr>
                <w:sz w:val="21"/>
                <w:szCs w:val="21"/>
                <w:highlight w:val="none"/>
              </w:rPr>
              <w:t>00.0</w:t>
            </w:r>
          </w:p>
        </w:tc>
        <w:tc>
          <w:tcPr>
            <w:tcW w:w="2855"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1.8650</w:t>
            </w:r>
          </w:p>
        </w:tc>
        <w:tc>
          <w:tcPr>
            <w:tcW w:w="3198"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0.4144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240" w:type="dxa"/>
            <w:noWrap w:val="0"/>
            <w:vAlign w:val="center"/>
          </w:tcPr>
          <w:p>
            <w:pPr>
              <w:jc w:val="center"/>
              <w:rPr>
                <w:sz w:val="21"/>
                <w:szCs w:val="21"/>
                <w:highlight w:val="none"/>
              </w:rPr>
            </w:pPr>
            <w:r>
              <w:rPr>
                <w:rFonts w:hint="eastAsia"/>
                <w:sz w:val="21"/>
                <w:szCs w:val="21"/>
                <w:highlight w:val="none"/>
                <w:lang w:val="en-US" w:eastAsia="zh-CN"/>
              </w:rPr>
              <w:t>9</w:t>
            </w:r>
            <w:r>
              <w:rPr>
                <w:sz w:val="21"/>
                <w:szCs w:val="21"/>
                <w:highlight w:val="none"/>
              </w:rPr>
              <w:t>00.0</w:t>
            </w:r>
          </w:p>
        </w:tc>
        <w:tc>
          <w:tcPr>
            <w:tcW w:w="2855"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1.7068</w:t>
            </w:r>
          </w:p>
        </w:tc>
        <w:tc>
          <w:tcPr>
            <w:tcW w:w="3198"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0.3793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240" w:type="dxa"/>
            <w:noWrap w:val="0"/>
            <w:vAlign w:val="center"/>
          </w:tcPr>
          <w:p>
            <w:pPr>
              <w:jc w:val="center"/>
              <w:rPr>
                <w:sz w:val="21"/>
                <w:szCs w:val="21"/>
                <w:highlight w:val="none"/>
              </w:rPr>
            </w:pPr>
            <w:r>
              <w:rPr>
                <w:rFonts w:hint="eastAsia"/>
                <w:sz w:val="21"/>
                <w:szCs w:val="21"/>
                <w:highlight w:val="none"/>
                <w:lang w:val="en-US" w:eastAsia="zh-CN"/>
              </w:rPr>
              <w:t>10</w:t>
            </w:r>
            <w:r>
              <w:rPr>
                <w:sz w:val="21"/>
                <w:szCs w:val="21"/>
                <w:highlight w:val="none"/>
              </w:rPr>
              <w:t>00.0</w:t>
            </w:r>
          </w:p>
        </w:tc>
        <w:tc>
          <w:tcPr>
            <w:tcW w:w="2855"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1.8030</w:t>
            </w:r>
          </w:p>
        </w:tc>
        <w:tc>
          <w:tcPr>
            <w:tcW w:w="3198"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0.4007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240" w:type="dxa"/>
            <w:noWrap w:val="0"/>
            <w:vAlign w:val="center"/>
          </w:tcPr>
          <w:p>
            <w:pPr>
              <w:jc w:val="center"/>
              <w:rPr>
                <w:rFonts w:hint="default"/>
                <w:sz w:val="21"/>
                <w:szCs w:val="21"/>
                <w:highlight w:val="none"/>
                <w:lang w:val="en-US" w:eastAsia="zh-CN"/>
              </w:rPr>
            </w:pPr>
            <w:r>
              <w:rPr>
                <w:rFonts w:hint="eastAsia"/>
                <w:sz w:val="21"/>
                <w:szCs w:val="21"/>
                <w:highlight w:val="none"/>
                <w:lang w:val="en-US" w:eastAsia="zh-CN"/>
              </w:rPr>
              <w:t>1200.0</w:t>
            </w:r>
          </w:p>
        </w:tc>
        <w:tc>
          <w:tcPr>
            <w:tcW w:w="2855"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1.4302</w:t>
            </w:r>
          </w:p>
        </w:tc>
        <w:tc>
          <w:tcPr>
            <w:tcW w:w="3198"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0.3178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240" w:type="dxa"/>
            <w:noWrap w:val="0"/>
            <w:vAlign w:val="center"/>
          </w:tcPr>
          <w:p>
            <w:pPr>
              <w:jc w:val="center"/>
              <w:rPr>
                <w:sz w:val="21"/>
                <w:szCs w:val="21"/>
                <w:highlight w:val="none"/>
              </w:rPr>
            </w:pPr>
            <w:r>
              <w:rPr>
                <w:sz w:val="21"/>
                <w:szCs w:val="21"/>
                <w:highlight w:val="none"/>
              </w:rPr>
              <w:t>1400.0</w:t>
            </w:r>
          </w:p>
        </w:tc>
        <w:tc>
          <w:tcPr>
            <w:tcW w:w="2855"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0.6343</w:t>
            </w:r>
          </w:p>
        </w:tc>
        <w:tc>
          <w:tcPr>
            <w:tcW w:w="3198"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0.1410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240" w:type="dxa"/>
            <w:noWrap w:val="0"/>
            <w:vAlign w:val="center"/>
          </w:tcPr>
          <w:p>
            <w:pPr>
              <w:jc w:val="center"/>
              <w:rPr>
                <w:sz w:val="21"/>
                <w:szCs w:val="21"/>
                <w:highlight w:val="none"/>
              </w:rPr>
            </w:pPr>
            <w:r>
              <w:rPr>
                <w:sz w:val="21"/>
                <w:szCs w:val="21"/>
                <w:highlight w:val="none"/>
              </w:rPr>
              <w:t>1600.0</w:t>
            </w:r>
          </w:p>
        </w:tc>
        <w:tc>
          <w:tcPr>
            <w:tcW w:w="2855"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0.8473</w:t>
            </w:r>
          </w:p>
        </w:tc>
        <w:tc>
          <w:tcPr>
            <w:tcW w:w="3198"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0.1883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240" w:type="dxa"/>
            <w:noWrap w:val="0"/>
            <w:vAlign w:val="center"/>
          </w:tcPr>
          <w:p>
            <w:pPr>
              <w:jc w:val="center"/>
              <w:rPr>
                <w:sz w:val="21"/>
                <w:szCs w:val="21"/>
                <w:highlight w:val="none"/>
              </w:rPr>
            </w:pPr>
            <w:r>
              <w:rPr>
                <w:sz w:val="21"/>
                <w:szCs w:val="21"/>
                <w:highlight w:val="none"/>
              </w:rPr>
              <w:t>1800.0</w:t>
            </w:r>
          </w:p>
        </w:tc>
        <w:tc>
          <w:tcPr>
            <w:tcW w:w="2855"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0.4994</w:t>
            </w:r>
          </w:p>
        </w:tc>
        <w:tc>
          <w:tcPr>
            <w:tcW w:w="3198"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0.1110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240" w:type="dxa"/>
            <w:noWrap w:val="0"/>
            <w:vAlign w:val="center"/>
          </w:tcPr>
          <w:p>
            <w:pPr>
              <w:jc w:val="center"/>
              <w:rPr>
                <w:sz w:val="21"/>
                <w:szCs w:val="21"/>
                <w:highlight w:val="none"/>
              </w:rPr>
            </w:pPr>
            <w:r>
              <w:rPr>
                <w:sz w:val="21"/>
                <w:szCs w:val="21"/>
                <w:highlight w:val="none"/>
              </w:rPr>
              <w:t>2000.0</w:t>
            </w:r>
          </w:p>
        </w:tc>
        <w:tc>
          <w:tcPr>
            <w:tcW w:w="2855"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0.7591</w:t>
            </w:r>
          </w:p>
        </w:tc>
        <w:tc>
          <w:tcPr>
            <w:tcW w:w="3198"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0.1687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240" w:type="dxa"/>
            <w:noWrap w:val="0"/>
            <w:vAlign w:val="center"/>
          </w:tcPr>
          <w:p>
            <w:pPr>
              <w:jc w:val="center"/>
              <w:rPr>
                <w:sz w:val="21"/>
                <w:szCs w:val="21"/>
                <w:highlight w:val="none"/>
              </w:rPr>
            </w:pPr>
            <w:r>
              <w:rPr>
                <w:sz w:val="21"/>
                <w:szCs w:val="21"/>
                <w:highlight w:val="none"/>
              </w:rPr>
              <w:t>2500.0</w:t>
            </w:r>
          </w:p>
        </w:tc>
        <w:tc>
          <w:tcPr>
            <w:tcW w:w="2855"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0.5127</w:t>
            </w:r>
          </w:p>
        </w:tc>
        <w:tc>
          <w:tcPr>
            <w:tcW w:w="3198"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0.1139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240" w:type="dxa"/>
            <w:noWrap w:val="0"/>
            <w:vAlign w:val="center"/>
          </w:tcPr>
          <w:p>
            <w:pPr>
              <w:jc w:val="center"/>
              <w:rPr>
                <w:sz w:val="21"/>
                <w:szCs w:val="21"/>
                <w:highlight w:val="none"/>
              </w:rPr>
            </w:pPr>
            <w:r>
              <w:rPr>
                <w:sz w:val="21"/>
                <w:szCs w:val="21"/>
                <w:highlight w:val="none"/>
              </w:rPr>
              <w:t>3000.0</w:t>
            </w:r>
          </w:p>
        </w:tc>
        <w:tc>
          <w:tcPr>
            <w:tcW w:w="2855"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0.4460</w:t>
            </w:r>
          </w:p>
        </w:tc>
        <w:tc>
          <w:tcPr>
            <w:tcW w:w="3198"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0.0991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240" w:type="dxa"/>
            <w:noWrap w:val="0"/>
            <w:vAlign w:val="center"/>
          </w:tcPr>
          <w:p>
            <w:pPr>
              <w:jc w:val="center"/>
              <w:rPr>
                <w:sz w:val="21"/>
                <w:szCs w:val="21"/>
                <w:highlight w:val="none"/>
              </w:rPr>
            </w:pPr>
            <w:r>
              <w:rPr>
                <w:sz w:val="21"/>
                <w:szCs w:val="21"/>
                <w:highlight w:val="none"/>
              </w:rPr>
              <w:t>3500.0</w:t>
            </w:r>
          </w:p>
        </w:tc>
        <w:tc>
          <w:tcPr>
            <w:tcW w:w="2855"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0.3677</w:t>
            </w:r>
          </w:p>
        </w:tc>
        <w:tc>
          <w:tcPr>
            <w:tcW w:w="3198"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0.0817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240" w:type="dxa"/>
            <w:noWrap w:val="0"/>
            <w:vAlign w:val="center"/>
          </w:tcPr>
          <w:p>
            <w:pPr>
              <w:jc w:val="center"/>
              <w:rPr>
                <w:sz w:val="21"/>
                <w:szCs w:val="21"/>
                <w:highlight w:val="none"/>
              </w:rPr>
            </w:pPr>
            <w:r>
              <w:rPr>
                <w:sz w:val="21"/>
                <w:szCs w:val="21"/>
                <w:highlight w:val="none"/>
              </w:rPr>
              <w:t>4000.0</w:t>
            </w:r>
          </w:p>
        </w:tc>
        <w:tc>
          <w:tcPr>
            <w:tcW w:w="2855"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0.3084</w:t>
            </w:r>
          </w:p>
        </w:tc>
        <w:tc>
          <w:tcPr>
            <w:tcW w:w="3198"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0.0685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240" w:type="dxa"/>
            <w:noWrap w:val="0"/>
            <w:vAlign w:val="center"/>
          </w:tcPr>
          <w:p>
            <w:pPr>
              <w:jc w:val="center"/>
              <w:rPr>
                <w:sz w:val="21"/>
                <w:szCs w:val="21"/>
                <w:highlight w:val="none"/>
              </w:rPr>
            </w:pPr>
            <w:r>
              <w:rPr>
                <w:sz w:val="21"/>
                <w:szCs w:val="21"/>
                <w:highlight w:val="none"/>
              </w:rPr>
              <w:t>4500.0</w:t>
            </w:r>
          </w:p>
        </w:tc>
        <w:tc>
          <w:tcPr>
            <w:tcW w:w="2855"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0.2181</w:t>
            </w:r>
          </w:p>
        </w:tc>
        <w:tc>
          <w:tcPr>
            <w:tcW w:w="3198"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0.0485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240" w:type="dxa"/>
            <w:noWrap w:val="0"/>
            <w:vAlign w:val="center"/>
          </w:tcPr>
          <w:p>
            <w:pPr>
              <w:jc w:val="center"/>
              <w:rPr>
                <w:sz w:val="21"/>
                <w:szCs w:val="21"/>
                <w:highlight w:val="none"/>
              </w:rPr>
            </w:pPr>
            <w:r>
              <w:rPr>
                <w:sz w:val="21"/>
                <w:szCs w:val="21"/>
                <w:highlight w:val="none"/>
              </w:rPr>
              <w:t>5000.0</w:t>
            </w:r>
          </w:p>
        </w:tc>
        <w:tc>
          <w:tcPr>
            <w:tcW w:w="2855"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0.2085</w:t>
            </w:r>
          </w:p>
        </w:tc>
        <w:tc>
          <w:tcPr>
            <w:tcW w:w="3198"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0.0463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240" w:type="dxa"/>
            <w:noWrap w:val="0"/>
            <w:vAlign w:val="center"/>
          </w:tcPr>
          <w:p>
            <w:pPr>
              <w:jc w:val="center"/>
              <w:rPr>
                <w:sz w:val="21"/>
                <w:szCs w:val="21"/>
                <w:highlight w:val="none"/>
              </w:rPr>
            </w:pPr>
            <w:r>
              <w:rPr>
                <w:sz w:val="21"/>
                <w:szCs w:val="21"/>
                <w:highlight w:val="none"/>
              </w:rPr>
              <w:t>10000.0</w:t>
            </w:r>
          </w:p>
        </w:tc>
        <w:tc>
          <w:tcPr>
            <w:tcW w:w="2855"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0.0591</w:t>
            </w:r>
          </w:p>
        </w:tc>
        <w:tc>
          <w:tcPr>
            <w:tcW w:w="3198"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0.0131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240" w:type="dxa"/>
            <w:noWrap w:val="0"/>
            <w:vAlign w:val="center"/>
          </w:tcPr>
          <w:p>
            <w:pPr>
              <w:jc w:val="center"/>
              <w:rPr>
                <w:sz w:val="21"/>
                <w:szCs w:val="21"/>
                <w:highlight w:val="none"/>
              </w:rPr>
            </w:pPr>
            <w:r>
              <w:rPr>
                <w:sz w:val="21"/>
                <w:szCs w:val="21"/>
                <w:highlight w:val="none"/>
              </w:rPr>
              <w:t>11000.0</w:t>
            </w:r>
          </w:p>
        </w:tc>
        <w:tc>
          <w:tcPr>
            <w:tcW w:w="2855"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0.0778</w:t>
            </w:r>
          </w:p>
        </w:tc>
        <w:tc>
          <w:tcPr>
            <w:tcW w:w="3198"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0.0173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240" w:type="dxa"/>
            <w:noWrap w:val="0"/>
            <w:vAlign w:val="center"/>
          </w:tcPr>
          <w:p>
            <w:pPr>
              <w:jc w:val="center"/>
              <w:rPr>
                <w:sz w:val="21"/>
                <w:szCs w:val="21"/>
                <w:highlight w:val="none"/>
              </w:rPr>
            </w:pPr>
            <w:r>
              <w:rPr>
                <w:sz w:val="21"/>
                <w:szCs w:val="21"/>
                <w:highlight w:val="none"/>
              </w:rPr>
              <w:t>12000.0</w:t>
            </w:r>
          </w:p>
        </w:tc>
        <w:tc>
          <w:tcPr>
            <w:tcW w:w="2855"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0.0537</w:t>
            </w:r>
          </w:p>
        </w:tc>
        <w:tc>
          <w:tcPr>
            <w:tcW w:w="3198"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0.0119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240" w:type="dxa"/>
            <w:noWrap w:val="0"/>
            <w:vAlign w:val="center"/>
          </w:tcPr>
          <w:p>
            <w:pPr>
              <w:jc w:val="center"/>
              <w:rPr>
                <w:sz w:val="21"/>
                <w:szCs w:val="21"/>
                <w:highlight w:val="none"/>
              </w:rPr>
            </w:pPr>
            <w:r>
              <w:rPr>
                <w:sz w:val="21"/>
                <w:szCs w:val="21"/>
                <w:highlight w:val="none"/>
              </w:rPr>
              <w:t>13000.0</w:t>
            </w:r>
          </w:p>
        </w:tc>
        <w:tc>
          <w:tcPr>
            <w:tcW w:w="2855"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0.0644</w:t>
            </w:r>
          </w:p>
        </w:tc>
        <w:tc>
          <w:tcPr>
            <w:tcW w:w="3198"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0.0143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240" w:type="dxa"/>
            <w:noWrap w:val="0"/>
            <w:vAlign w:val="center"/>
          </w:tcPr>
          <w:p>
            <w:pPr>
              <w:jc w:val="center"/>
              <w:rPr>
                <w:sz w:val="21"/>
                <w:szCs w:val="21"/>
                <w:highlight w:val="none"/>
              </w:rPr>
            </w:pPr>
            <w:r>
              <w:rPr>
                <w:sz w:val="21"/>
                <w:szCs w:val="21"/>
                <w:highlight w:val="none"/>
              </w:rPr>
              <w:t>14000.0</w:t>
            </w:r>
          </w:p>
        </w:tc>
        <w:tc>
          <w:tcPr>
            <w:tcW w:w="2855"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0.0598</w:t>
            </w:r>
          </w:p>
        </w:tc>
        <w:tc>
          <w:tcPr>
            <w:tcW w:w="3198"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0.0133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240" w:type="dxa"/>
            <w:noWrap w:val="0"/>
            <w:vAlign w:val="center"/>
          </w:tcPr>
          <w:p>
            <w:pPr>
              <w:jc w:val="center"/>
              <w:rPr>
                <w:sz w:val="21"/>
                <w:szCs w:val="21"/>
                <w:highlight w:val="none"/>
              </w:rPr>
            </w:pPr>
            <w:r>
              <w:rPr>
                <w:sz w:val="21"/>
                <w:szCs w:val="21"/>
                <w:highlight w:val="none"/>
              </w:rPr>
              <w:t>15000.0</w:t>
            </w:r>
          </w:p>
        </w:tc>
        <w:tc>
          <w:tcPr>
            <w:tcW w:w="2855"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0.0404</w:t>
            </w:r>
          </w:p>
        </w:tc>
        <w:tc>
          <w:tcPr>
            <w:tcW w:w="3198"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0.0090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240" w:type="dxa"/>
            <w:noWrap w:val="0"/>
            <w:vAlign w:val="center"/>
          </w:tcPr>
          <w:p>
            <w:pPr>
              <w:jc w:val="center"/>
              <w:rPr>
                <w:sz w:val="21"/>
                <w:szCs w:val="21"/>
                <w:highlight w:val="none"/>
              </w:rPr>
            </w:pPr>
            <w:r>
              <w:rPr>
                <w:sz w:val="21"/>
                <w:szCs w:val="21"/>
                <w:highlight w:val="none"/>
              </w:rPr>
              <w:t>20000.0</w:t>
            </w:r>
          </w:p>
        </w:tc>
        <w:tc>
          <w:tcPr>
            <w:tcW w:w="2855"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0.0216</w:t>
            </w:r>
          </w:p>
        </w:tc>
        <w:tc>
          <w:tcPr>
            <w:tcW w:w="3198"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0.0048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240" w:type="dxa"/>
            <w:noWrap w:val="0"/>
            <w:vAlign w:val="center"/>
          </w:tcPr>
          <w:p>
            <w:pPr>
              <w:jc w:val="center"/>
              <w:rPr>
                <w:sz w:val="21"/>
                <w:szCs w:val="21"/>
                <w:highlight w:val="none"/>
              </w:rPr>
            </w:pPr>
            <w:r>
              <w:rPr>
                <w:sz w:val="21"/>
                <w:szCs w:val="21"/>
                <w:highlight w:val="none"/>
              </w:rPr>
              <w:t>25000.0</w:t>
            </w:r>
          </w:p>
        </w:tc>
        <w:tc>
          <w:tcPr>
            <w:tcW w:w="2855"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0.0280</w:t>
            </w:r>
          </w:p>
        </w:tc>
        <w:tc>
          <w:tcPr>
            <w:tcW w:w="3198"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0.0062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240" w:type="dxa"/>
            <w:noWrap w:val="0"/>
            <w:vAlign w:val="center"/>
          </w:tcPr>
          <w:p>
            <w:pPr>
              <w:jc w:val="center"/>
              <w:rPr>
                <w:sz w:val="21"/>
                <w:szCs w:val="21"/>
                <w:highlight w:val="none"/>
              </w:rPr>
            </w:pPr>
            <w:r>
              <w:rPr>
                <w:sz w:val="21"/>
                <w:szCs w:val="21"/>
                <w:highlight w:val="none"/>
              </w:rPr>
              <w:t>下风向最大浓度</w:t>
            </w:r>
          </w:p>
        </w:tc>
        <w:tc>
          <w:tcPr>
            <w:tcW w:w="2855" w:type="dxa"/>
            <w:noWrap w:val="0"/>
            <w:vAlign w:val="center"/>
          </w:tcPr>
          <w:p>
            <w:pPr>
              <w:ind w:firstLine="420" w:firstLineChars="200"/>
              <w:jc w:val="center"/>
              <w:rPr>
                <w:rFonts w:hint="default" w:ascii="Times New Roman" w:hAnsi="Times New Roman" w:cs="Times New Roman"/>
                <w:sz w:val="21"/>
                <w:szCs w:val="21"/>
                <w:highlight w:val="none"/>
              </w:rPr>
            </w:pPr>
            <w:r>
              <w:rPr>
                <w:rFonts w:hint="default" w:ascii="Times New Roman" w:hAnsi="Times New Roman" w:eastAsia="宋体" w:cs="Times New Roman"/>
                <w:b w:val="0"/>
                <w:sz w:val="21"/>
                <w:szCs w:val="21"/>
              </w:rPr>
              <w:t>18.7780</w:t>
            </w:r>
          </w:p>
        </w:tc>
        <w:tc>
          <w:tcPr>
            <w:tcW w:w="3198" w:type="dxa"/>
            <w:noWrap w:val="0"/>
            <w:vAlign w:val="center"/>
          </w:tcPr>
          <w:p>
            <w:pPr>
              <w:ind w:firstLine="420" w:firstLineChars="200"/>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b w:val="0"/>
                <w:sz w:val="21"/>
                <w:szCs w:val="21"/>
              </w:rPr>
              <w:t>4.1729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240" w:type="dxa"/>
            <w:noWrap w:val="0"/>
            <w:vAlign w:val="center"/>
          </w:tcPr>
          <w:p>
            <w:pPr>
              <w:jc w:val="center"/>
              <w:rPr>
                <w:sz w:val="21"/>
                <w:szCs w:val="21"/>
                <w:highlight w:val="none"/>
              </w:rPr>
            </w:pPr>
            <w:r>
              <w:rPr>
                <w:sz w:val="21"/>
                <w:szCs w:val="21"/>
                <w:highlight w:val="none"/>
              </w:rPr>
              <w:t>下风向最大浓度出现距离</w:t>
            </w:r>
          </w:p>
        </w:tc>
        <w:tc>
          <w:tcPr>
            <w:tcW w:w="2855" w:type="dxa"/>
            <w:noWrap w:val="0"/>
            <w:vAlign w:val="center"/>
          </w:tcPr>
          <w:p>
            <w:pPr>
              <w:jc w:val="center"/>
              <w:rPr>
                <w:rFonts w:hint="default" w:eastAsia="宋体"/>
                <w:sz w:val="21"/>
                <w:szCs w:val="21"/>
                <w:highlight w:val="none"/>
                <w:lang w:val="en-US" w:eastAsia="zh-CN"/>
              </w:rPr>
            </w:pPr>
            <w:r>
              <w:rPr>
                <w:rFonts w:hint="eastAsia"/>
                <w:sz w:val="21"/>
                <w:szCs w:val="21"/>
                <w:highlight w:val="none"/>
                <w:lang w:val="en-US" w:eastAsia="zh-CN"/>
              </w:rPr>
              <w:t>152m</w:t>
            </w:r>
          </w:p>
        </w:tc>
        <w:tc>
          <w:tcPr>
            <w:tcW w:w="3198" w:type="dxa"/>
            <w:noWrap w:val="0"/>
            <w:vAlign w:val="center"/>
          </w:tcPr>
          <w:p>
            <w:pPr>
              <w:jc w:val="center"/>
              <w:rPr>
                <w:rFonts w:hint="default" w:eastAsia="宋体"/>
                <w:sz w:val="21"/>
                <w:szCs w:val="21"/>
                <w:highlight w:val="none"/>
                <w:lang w:val="en-US" w:eastAsia="zh-CN"/>
              </w:rPr>
            </w:pPr>
            <w:r>
              <w:rPr>
                <w:rFonts w:hint="eastAsia"/>
                <w:sz w:val="21"/>
                <w:szCs w:val="21"/>
                <w:highlight w:val="none"/>
                <w:lang w:val="en-US" w:eastAsia="zh-CN"/>
              </w:rPr>
              <w:t>152m</w:t>
            </w:r>
          </w:p>
        </w:tc>
      </w:tr>
    </w:tbl>
    <w:p>
      <w:pPr>
        <w:pStyle w:val="17"/>
        <w:ind w:firstLine="480"/>
        <w:rPr>
          <w:rFonts w:hint="default" w:ascii="Times New Roman" w:hAnsi="Times New Roman" w:eastAsia="宋体" w:cs="Times New Roman"/>
          <w:color w:val="auto"/>
          <w:kern w:val="0"/>
          <w:sz w:val="24"/>
          <w:szCs w:val="24"/>
          <w:highlight w:val="none"/>
          <w:lang w:val="en-US" w:eastAsia="zh-CN" w:bidi="ar"/>
        </w:rPr>
      </w:pPr>
      <w:r>
        <w:rPr>
          <w:rFonts w:hint="eastAsia"/>
          <w:highlight w:val="none"/>
          <w:lang w:eastAsia="zh-CN"/>
        </w:rPr>
        <w:t>有</w:t>
      </w:r>
      <w:r>
        <w:rPr>
          <w:rFonts w:hint="eastAsia"/>
          <w:highlight w:val="none"/>
        </w:rPr>
        <w:t>组织</w:t>
      </w:r>
      <w:r>
        <w:rPr>
          <w:rFonts w:hint="eastAsia"/>
          <w:highlight w:val="none"/>
          <w:lang w:eastAsia="zh-CN"/>
        </w:rPr>
        <w:t>粉尘</w:t>
      </w:r>
      <w:r>
        <w:rPr>
          <w:rFonts w:hint="eastAsia"/>
          <w:highlight w:val="none"/>
        </w:rPr>
        <w:t>最大落地浓度</w:t>
      </w:r>
      <w:r>
        <w:rPr>
          <w:rFonts w:hint="eastAsia" w:cs="宋体"/>
          <w:sz w:val="24"/>
          <w:szCs w:val="24"/>
          <w:highlight w:val="none"/>
          <w:lang w:val="en-US" w:eastAsia="zh-CN"/>
        </w:rPr>
        <w:t>18.7780</w:t>
      </w:r>
      <w:r>
        <w:rPr>
          <w:rFonts w:hint="eastAsia"/>
          <w:sz w:val="24"/>
          <w:szCs w:val="24"/>
          <w:highlight w:val="none"/>
          <w:lang w:val="en-US" w:eastAsia="zh-CN"/>
        </w:rPr>
        <w:t>u</w:t>
      </w:r>
      <w:r>
        <w:rPr>
          <w:rFonts w:hint="eastAsia"/>
          <w:sz w:val="24"/>
          <w:szCs w:val="24"/>
          <w:highlight w:val="none"/>
        </w:rPr>
        <w:t>g/m</w:t>
      </w:r>
      <w:r>
        <w:rPr>
          <w:rFonts w:hint="eastAsia"/>
          <w:sz w:val="24"/>
          <w:szCs w:val="24"/>
          <w:highlight w:val="none"/>
          <w:vertAlign w:val="superscript"/>
        </w:rPr>
        <w:t>3</w:t>
      </w:r>
      <w:r>
        <w:rPr>
          <w:rFonts w:hint="eastAsia"/>
          <w:highlight w:val="none"/>
        </w:rPr>
        <w:t>，</w:t>
      </w:r>
      <w:r>
        <w:rPr>
          <w:rFonts w:hint="eastAsia"/>
          <w:highlight w:val="none"/>
          <w:lang w:eastAsia="zh-CN"/>
        </w:rPr>
        <w:t>占标率为</w:t>
      </w:r>
      <w:r>
        <w:rPr>
          <w:rFonts w:hint="eastAsia"/>
          <w:highlight w:val="none"/>
          <w:lang w:val="en-US" w:eastAsia="zh-CN"/>
        </w:rPr>
        <w:t>4.1729%＜10%，</w:t>
      </w:r>
      <w:r>
        <w:rPr>
          <w:rFonts w:hint="eastAsia" w:cs="Times New Roman"/>
          <w:highlight w:val="none"/>
        </w:rPr>
        <w:t>判定本项目大气影响评价等级为二级</w:t>
      </w:r>
      <w:r>
        <w:rPr>
          <w:rFonts w:hint="eastAsia" w:cs="Times New Roman"/>
          <w:highlight w:val="none"/>
          <w:lang w:eastAsia="zh-CN"/>
        </w:rPr>
        <w:t>。本项目破碎车间排气筒排放粉尘</w:t>
      </w:r>
      <w:r>
        <w:rPr>
          <w:rFonts w:hint="eastAsia" w:cs="Times New Roman"/>
          <w:highlight w:val="none"/>
        </w:rPr>
        <w:t>最大落地浓度满足</w:t>
      </w:r>
      <w:r>
        <w:rPr>
          <w:rFonts w:cs="Times New Roman"/>
          <w:highlight w:val="none"/>
        </w:rPr>
        <w:t>《环境空气质量标准》（GB3095-</w:t>
      </w:r>
      <w:r>
        <w:rPr>
          <w:rFonts w:hint="eastAsia" w:cs="Times New Roman"/>
          <w:highlight w:val="none"/>
        </w:rPr>
        <w:t>2012</w:t>
      </w:r>
      <w:r>
        <w:rPr>
          <w:rFonts w:cs="Times New Roman"/>
          <w:highlight w:val="none"/>
        </w:rPr>
        <w:t>）二级标准</w:t>
      </w:r>
      <w:r>
        <w:rPr>
          <w:rFonts w:hint="eastAsia" w:cs="Times New Roman"/>
          <w:highlight w:val="none"/>
        </w:rPr>
        <w:t>限值的要求</w:t>
      </w:r>
      <w:r>
        <w:rPr>
          <w:rFonts w:hint="eastAsia" w:cs="Times New Roman"/>
          <w:highlight w:val="none"/>
          <w:lang w:eastAsia="zh-CN"/>
        </w:rPr>
        <w:t>，对环境影响不大</w:t>
      </w:r>
      <w:r>
        <w:rPr>
          <w:rFonts w:hint="eastAsia" w:ascii="Times New Roman" w:hAnsi="Times New Roman"/>
          <w:color w:val="auto"/>
          <w:highlight w:val="none"/>
        </w:rPr>
        <w:t>。</w:t>
      </w:r>
    </w:p>
    <w:p>
      <w:pPr>
        <w:pStyle w:val="17"/>
        <w:rPr>
          <w:rFonts w:hint="default" w:ascii="Times New Roman" w:hAnsi="Times New Roman" w:eastAsia="宋体" w:cs="Times New Roman"/>
          <w:b/>
          <w:bCs/>
          <w:color w:val="auto"/>
          <w:highlight w:val="none"/>
          <w:lang w:eastAsia="zh-CN"/>
        </w:rPr>
      </w:pPr>
      <w:r>
        <w:rPr>
          <w:rFonts w:hint="default" w:ascii="Times New Roman" w:hAnsi="Times New Roman" w:cs="Times New Roman"/>
          <w:b/>
          <w:bCs/>
          <w:color w:val="auto"/>
          <w:highlight w:val="none"/>
          <w:lang w:eastAsia="zh-CN"/>
        </w:rPr>
        <w:t>（</w:t>
      </w:r>
      <w:r>
        <w:rPr>
          <w:rFonts w:hint="eastAsia" w:ascii="Times New Roman" w:hAnsi="Times New Roman" w:cs="Times New Roman"/>
          <w:b/>
          <w:bCs/>
          <w:color w:val="auto"/>
          <w:highlight w:val="none"/>
          <w:lang w:val="en-US" w:eastAsia="zh-CN"/>
        </w:rPr>
        <w:t>6</w:t>
      </w:r>
      <w:r>
        <w:rPr>
          <w:rFonts w:hint="default" w:ascii="Times New Roman" w:hAnsi="Times New Roman" w:cs="Times New Roman"/>
          <w:b/>
          <w:bCs/>
          <w:color w:val="auto"/>
          <w:highlight w:val="none"/>
          <w:lang w:eastAsia="zh-CN"/>
        </w:rPr>
        <w:t>）大气环境防护距离</w:t>
      </w:r>
    </w:p>
    <w:p>
      <w:pPr>
        <w:pStyle w:val="17"/>
        <w:ind w:firstLine="480"/>
        <w:rPr>
          <w:rFonts w:hint="eastAsia" w:ascii="Times New Roman" w:hAnsi="Times New Roman" w:eastAsia="宋体"/>
          <w:color w:val="auto"/>
          <w:highlight w:val="none"/>
          <w:lang w:eastAsia="zh-CN"/>
        </w:rPr>
      </w:pPr>
      <w:r>
        <w:rPr>
          <w:rFonts w:hint="eastAsia" w:ascii="Times New Roman" w:hAnsi="Times New Roman"/>
          <w:color w:val="auto"/>
          <w:highlight w:val="none"/>
          <w:lang w:eastAsia="zh-CN"/>
        </w:rPr>
        <w:t>本项目污染物短期浓度贡献值最大</w:t>
      </w:r>
      <w:r>
        <w:rPr>
          <w:rFonts w:ascii="Times New Roman" w:hAnsi="Times New Roman"/>
          <w:color w:val="auto"/>
          <w:highlight w:val="none"/>
        </w:rPr>
        <w:t>占标率</w:t>
      </w:r>
      <w:r>
        <w:rPr>
          <w:rFonts w:hint="eastAsia" w:ascii="Times New Roman" w:hAnsi="Times New Roman"/>
          <w:color w:val="auto"/>
          <w:highlight w:val="none"/>
          <w:lang w:eastAsia="zh-CN"/>
        </w:rPr>
        <w:t>均小于</w:t>
      </w:r>
      <w:r>
        <w:rPr>
          <w:rFonts w:hint="eastAsia" w:ascii="Times New Roman" w:hAnsi="Times New Roman"/>
          <w:color w:val="auto"/>
          <w:highlight w:val="none"/>
          <w:lang w:val="en-US" w:eastAsia="zh-CN"/>
        </w:rPr>
        <w:t>10</w:t>
      </w:r>
      <w:r>
        <w:rPr>
          <w:rFonts w:ascii="Times New Roman" w:hAnsi="Times New Roman"/>
          <w:color w:val="auto"/>
          <w:highlight w:val="none"/>
        </w:rPr>
        <w:t>％</w:t>
      </w:r>
      <w:r>
        <w:rPr>
          <w:rFonts w:hint="eastAsia" w:ascii="Times New Roman" w:hAnsi="Times New Roman"/>
          <w:color w:val="auto"/>
          <w:highlight w:val="none"/>
        </w:rPr>
        <w:t>，能满足</w:t>
      </w:r>
      <w:r>
        <w:rPr>
          <w:rFonts w:ascii="Times New Roman" w:hAnsi="Times New Roman"/>
          <w:color w:val="auto"/>
          <w:highlight w:val="none"/>
        </w:rPr>
        <w:t>《环境空气质量标准》（GB3095-2012）中二级标准</w:t>
      </w:r>
      <w:r>
        <w:rPr>
          <w:rFonts w:hint="eastAsia" w:ascii="Times New Roman" w:hAnsi="Times New Roman"/>
          <w:color w:val="auto"/>
          <w:highlight w:val="none"/>
        </w:rPr>
        <w:t>要求，</w:t>
      </w:r>
      <w:r>
        <w:rPr>
          <w:rFonts w:hint="eastAsia" w:ascii="Times New Roman" w:hAnsi="Times New Roman"/>
          <w:color w:val="auto"/>
          <w:highlight w:val="none"/>
          <w:lang w:eastAsia="zh-CN"/>
        </w:rPr>
        <w:t>厂界外无超标点，</w:t>
      </w:r>
      <w:r>
        <w:rPr>
          <w:rFonts w:hint="eastAsia" w:ascii="Times New Roman" w:hAnsi="Times New Roman"/>
          <w:color w:val="auto"/>
          <w:highlight w:val="none"/>
        </w:rPr>
        <w:t>故无需设置大气环境防护距离</w:t>
      </w:r>
      <w:r>
        <w:rPr>
          <w:rFonts w:hint="eastAsia" w:ascii="Times New Roman" w:hAnsi="Times New Roman"/>
          <w:color w:val="auto"/>
          <w:highlight w:val="none"/>
          <w:lang w:eastAsia="zh-CN"/>
        </w:rPr>
        <w:t>。</w:t>
      </w:r>
    </w:p>
    <w:p>
      <w:pPr>
        <w:pStyle w:val="164"/>
        <w:spacing w:line="360" w:lineRule="auto"/>
        <w:ind w:firstLine="482"/>
        <w:rPr>
          <w:rFonts w:hint="eastAsia"/>
          <w:b/>
          <w:highlight w:val="none"/>
        </w:rPr>
      </w:pPr>
      <w:r>
        <w:rPr>
          <w:rFonts w:hint="eastAsia"/>
          <w:b/>
          <w:highlight w:val="none"/>
        </w:rPr>
        <w:t>（</w:t>
      </w:r>
      <w:r>
        <w:rPr>
          <w:rFonts w:hint="eastAsia"/>
          <w:b/>
          <w:highlight w:val="none"/>
          <w:lang w:val="en-US" w:eastAsia="zh-CN"/>
        </w:rPr>
        <w:t>7</w:t>
      </w:r>
      <w:r>
        <w:rPr>
          <w:rFonts w:hint="eastAsia"/>
          <w:b/>
          <w:highlight w:val="none"/>
        </w:rPr>
        <w:t>）卫生防护距离计算</w:t>
      </w:r>
    </w:p>
    <w:p>
      <w:pPr>
        <w:spacing w:line="360" w:lineRule="auto"/>
        <w:ind w:firstLine="480"/>
        <w:rPr>
          <w:rFonts w:hint="eastAsia" w:cs="宋体"/>
          <w:sz w:val="24"/>
          <w:szCs w:val="24"/>
          <w:highlight w:val="none"/>
        </w:rPr>
      </w:pPr>
      <w:r>
        <w:rPr>
          <w:rFonts w:hint="eastAsia" w:cs="宋体"/>
          <w:sz w:val="24"/>
          <w:szCs w:val="24"/>
          <w:highlight w:val="none"/>
        </w:rPr>
        <w:t>为了能够更好说明问题，本次环评再增加计算卫生防护距离。本次环评卫生防护距离的计算采用《制定地方大气污染物排放标准的技术方法》(GB/T13201-91)，中确定的方法，利用原国家环境保护总局推荐的EIAA26模式计算，确定拟建工程的卫生防护距离。具体预测模式如下</w:t>
      </w:r>
    </w:p>
    <w:p>
      <w:pPr>
        <w:spacing w:line="360" w:lineRule="auto"/>
        <w:ind w:firstLine="0" w:firstLineChars="0"/>
        <w:rPr>
          <w:rFonts w:hint="eastAsia" w:cs="宋体"/>
          <w:sz w:val="24"/>
          <w:szCs w:val="24"/>
          <w:highlight w:val="none"/>
        </w:rPr>
      </w:pPr>
      <w:r>
        <w:rPr>
          <w:rFonts w:hint="eastAsia" w:cs="宋体"/>
          <w:sz w:val="24"/>
          <w:szCs w:val="24"/>
          <w:highlight w:val="none"/>
        </w:rPr>
        <w:drawing>
          <wp:inline distT="0" distB="0" distL="114300" distR="114300">
            <wp:extent cx="5952490" cy="1733550"/>
            <wp:effectExtent l="0" t="0" r="10160" b="0"/>
            <wp:docPr id="17" name="图片 10" descr="KJK5_{%ZVMZ[6TRQ9U1RE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KJK5_{%ZVMZ[6TRQ9U1REBM"/>
                    <pic:cNvPicPr>
                      <a:picLocks noChangeAspect="1"/>
                    </pic:cNvPicPr>
                  </pic:nvPicPr>
                  <pic:blipFill>
                    <a:blip r:embed="rId26"/>
                    <a:stretch>
                      <a:fillRect/>
                    </a:stretch>
                  </pic:blipFill>
                  <pic:spPr>
                    <a:xfrm>
                      <a:off x="0" y="0"/>
                      <a:ext cx="5952490" cy="1733550"/>
                    </a:xfrm>
                    <a:prstGeom prst="rect">
                      <a:avLst/>
                    </a:prstGeom>
                    <a:noFill/>
                    <a:ln>
                      <a:noFill/>
                    </a:ln>
                  </pic:spPr>
                </pic:pic>
              </a:graphicData>
            </a:graphic>
          </wp:inline>
        </w:drawing>
      </w:r>
    </w:p>
    <w:p>
      <w:pPr>
        <w:spacing w:line="360" w:lineRule="auto"/>
        <w:ind w:firstLine="422"/>
        <w:jc w:val="center"/>
        <w:rPr>
          <w:rFonts w:hint="eastAsia" w:cs="宋体"/>
          <w:sz w:val="24"/>
          <w:szCs w:val="24"/>
          <w:highlight w:val="none"/>
        </w:rPr>
      </w:pPr>
      <w:r>
        <w:rPr>
          <w:rFonts w:hint="eastAsia" w:cs="宋体"/>
          <w:b/>
          <w:sz w:val="21"/>
          <w:szCs w:val="21"/>
          <w:highlight w:val="none"/>
        </w:rPr>
        <w:t>表6.2-</w:t>
      </w:r>
      <w:r>
        <w:rPr>
          <w:rFonts w:hint="eastAsia" w:cs="宋体"/>
          <w:b/>
          <w:sz w:val="21"/>
          <w:szCs w:val="21"/>
          <w:highlight w:val="none"/>
          <w:lang w:val="en-US" w:eastAsia="zh-CN"/>
        </w:rPr>
        <w:t>7</w:t>
      </w:r>
      <w:r>
        <w:rPr>
          <w:rFonts w:hint="eastAsia" w:cs="宋体"/>
          <w:b/>
          <w:sz w:val="21"/>
          <w:szCs w:val="21"/>
          <w:highlight w:val="none"/>
        </w:rPr>
        <w:t xml:space="preserve">    卫生防护距离计算系数一览表</w:t>
      </w:r>
    </w:p>
    <w:p>
      <w:pPr>
        <w:widowControl/>
        <w:ind w:firstLine="0" w:firstLineChars="0"/>
        <w:jc w:val="distribute"/>
        <w:rPr>
          <w:rFonts w:hint="eastAsia" w:cs="宋体"/>
          <w:kern w:val="0"/>
          <w:sz w:val="24"/>
          <w:szCs w:val="24"/>
          <w:highlight w:val="none"/>
        </w:rPr>
      </w:pPr>
      <w:r>
        <w:rPr>
          <w:rFonts w:hint="eastAsia" w:cs="宋体"/>
          <w:kern w:val="0"/>
          <w:sz w:val="24"/>
          <w:szCs w:val="24"/>
          <w:highlight w:val="none"/>
        </w:rPr>
        <w:fldChar w:fldCharType="begin"/>
      </w:r>
      <w:r>
        <w:rPr>
          <w:rFonts w:hint="eastAsia" w:cs="宋体"/>
          <w:kern w:val="0"/>
          <w:sz w:val="24"/>
          <w:szCs w:val="24"/>
          <w:highlight w:val="none"/>
        </w:rPr>
        <w:instrText xml:space="preserve"> INCLUDEPICTURE "C:\\Users\\Administrator\\AppData\\Roaming\\Tencent\\Users\\1018592854\\QQ\\WinTemp\\RichOle\\8WNKV_{86L79B_5Q$F`$)9S.png" \* MERGEFORMATINET </w:instrText>
      </w:r>
      <w:r>
        <w:rPr>
          <w:rFonts w:hint="eastAsia" w:cs="宋体"/>
          <w:kern w:val="0"/>
          <w:sz w:val="24"/>
          <w:szCs w:val="24"/>
          <w:highlight w:val="none"/>
        </w:rPr>
        <w:fldChar w:fldCharType="separate"/>
      </w:r>
      <w:r>
        <w:rPr>
          <w:rFonts w:hint="eastAsia" w:cs="宋体"/>
          <w:kern w:val="0"/>
          <w:sz w:val="24"/>
          <w:szCs w:val="24"/>
          <w:highlight w:val="none"/>
        </w:rPr>
        <w:drawing>
          <wp:inline distT="0" distB="0" distL="114300" distR="114300">
            <wp:extent cx="5705475" cy="2589530"/>
            <wp:effectExtent l="0" t="0" r="9525" b="1270"/>
            <wp:docPr id="18" name="图片 11" descr="8WNKV_{86L79B_5Q$F`$)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descr="8WNKV_{86L79B_5Q$F`$)9S"/>
                    <pic:cNvPicPr>
                      <a:picLocks noChangeAspect="1"/>
                    </pic:cNvPicPr>
                  </pic:nvPicPr>
                  <pic:blipFill>
                    <a:blip r:embed="rId27"/>
                    <a:stretch>
                      <a:fillRect/>
                    </a:stretch>
                  </pic:blipFill>
                  <pic:spPr>
                    <a:xfrm>
                      <a:off x="0" y="0"/>
                      <a:ext cx="5705475" cy="2589530"/>
                    </a:xfrm>
                    <a:prstGeom prst="rect">
                      <a:avLst/>
                    </a:prstGeom>
                    <a:noFill/>
                    <a:ln>
                      <a:noFill/>
                    </a:ln>
                  </pic:spPr>
                </pic:pic>
              </a:graphicData>
            </a:graphic>
          </wp:inline>
        </w:drawing>
      </w:r>
      <w:r>
        <w:rPr>
          <w:rFonts w:hint="eastAsia" w:cs="宋体"/>
          <w:kern w:val="0"/>
          <w:sz w:val="24"/>
          <w:szCs w:val="24"/>
          <w:highlight w:val="none"/>
        </w:rPr>
        <w:fldChar w:fldCharType="end"/>
      </w:r>
    </w:p>
    <w:p>
      <w:pPr>
        <w:widowControl/>
        <w:ind w:firstLine="480"/>
        <w:jc w:val="left"/>
        <w:rPr>
          <w:rFonts w:hint="eastAsia" w:eastAsia="宋体" w:cs="宋体"/>
          <w:highlight w:val="none"/>
          <w:lang w:eastAsia="zh-CN"/>
        </w:rPr>
      </w:pPr>
      <w:r>
        <w:rPr>
          <w:rFonts w:hint="eastAsia" w:eastAsia="宋体" w:cs="宋体"/>
          <w:highlight w:val="none"/>
          <w:lang w:eastAsia="zh-CN"/>
        </w:rPr>
        <w:drawing>
          <wp:inline distT="0" distB="0" distL="114300" distR="114300">
            <wp:extent cx="5269230" cy="2369185"/>
            <wp:effectExtent l="0" t="0" r="7620" b="12065"/>
            <wp:docPr id="16" name="图片 12" descr="卫生防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卫生防护"/>
                    <pic:cNvPicPr>
                      <a:picLocks noChangeAspect="1"/>
                    </pic:cNvPicPr>
                  </pic:nvPicPr>
                  <pic:blipFill>
                    <a:blip r:embed="rId28"/>
                    <a:stretch>
                      <a:fillRect/>
                    </a:stretch>
                  </pic:blipFill>
                  <pic:spPr>
                    <a:xfrm>
                      <a:off x="0" y="0"/>
                      <a:ext cx="5269230" cy="2369185"/>
                    </a:xfrm>
                    <a:prstGeom prst="rect">
                      <a:avLst/>
                    </a:prstGeom>
                    <a:noFill/>
                    <a:ln>
                      <a:noFill/>
                    </a:ln>
                  </pic:spPr>
                </pic:pic>
              </a:graphicData>
            </a:graphic>
          </wp:inline>
        </w:drawing>
      </w:r>
    </w:p>
    <w:p>
      <w:pPr>
        <w:pStyle w:val="164"/>
        <w:spacing w:line="360" w:lineRule="auto"/>
        <w:ind w:firstLine="482"/>
        <w:jc w:val="center"/>
        <w:rPr>
          <w:rFonts w:hint="eastAsia"/>
          <w:b/>
          <w:highlight w:val="none"/>
        </w:rPr>
      </w:pPr>
      <w:r>
        <w:rPr>
          <w:rFonts w:hint="eastAsia"/>
          <w:b/>
          <w:highlight w:val="none"/>
        </w:rPr>
        <w:t>图6.2-</w:t>
      </w:r>
      <w:r>
        <w:rPr>
          <w:rFonts w:hint="eastAsia"/>
          <w:b/>
          <w:highlight w:val="none"/>
          <w:lang w:val="en-US" w:eastAsia="zh-CN"/>
        </w:rPr>
        <w:t>1</w:t>
      </w:r>
      <w:r>
        <w:rPr>
          <w:rFonts w:hint="eastAsia"/>
          <w:b/>
          <w:highlight w:val="none"/>
        </w:rPr>
        <w:t xml:space="preserve">  卫生环境防护距离计算结果</w:t>
      </w:r>
    </w:p>
    <w:p>
      <w:pPr>
        <w:pStyle w:val="17"/>
        <w:ind w:firstLine="480"/>
        <w:rPr>
          <w:rFonts w:hint="eastAsia" w:ascii="Times New Roman" w:hAnsi="Times New Roman"/>
          <w:color w:val="auto"/>
          <w:highlight w:val="none"/>
        </w:rPr>
      </w:pPr>
      <w:r>
        <w:rPr>
          <w:rFonts w:hint="eastAsia"/>
          <w:szCs w:val="24"/>
          <w:highlight w:val="none"/>
        </w:rPr>
        <w:t>根据计算，项目无组织排放TSP的卫生防护距离为4.965m，提级后取值50m。根据实际调查，厂界至最近敏感点</w:t>
      </w:r>
      <w:r>
        <w:rPr>
          <w:rFonts w:hint="eastAsia"/>
          <w:szCs w:val="24"/>
          <w:highlight w:val="none"/>
          <w:lang w:eastAsia="zh-CN"/>
        </w:rPr>
        <w:t>卡子村</w:t>
      </w:r>
      <w:r>
        <w:rPr>
          <w:rFonts w:hint="eastAsia"/>
          <w:szCs w:val="24"/>
          <w:highlight w:val="none"/>
        </w:rPr>
        <w:t>距离为</w:t>
      </w:r>
      <w:r>
        <w:rPr>
          <w:rFonts w:hint="eastAsia"/>
          <w:szCs w:val="24"/>
          <w:highlight w:val="none"/>
          <w:lang w:val="en-US" w:eastAsia="zh-CN"/>
        </w:rPr>
        <w:t>860</w:t>
      </w:r>
      <w:r>
        <w:rPr>
          <w:rFonts w:hint="eastAsia"/>
          <w:szCs w:val="24"/>
          <w:highlight w:val="none"/>
        </w:rPr>
        <w:t>m，能够满足本项目卫生防护距离的相关要求，因此卫生防护距离内无村庄、学校等敏感保护目标，能够满足卫生防护距离的要求，当地政府部门应加强卫生防护距离范围内用地规划控制不得新建住宅、学校等敏感建筑</w:t>
      </w:r>
      <w:r>
        <w:rPr>
          <w:rFonts w:hint="eastAsia" w:ascii="Times New Roman" w:hAnsi="Times New Roman"/>
          <w:color w:val="auto"/>
          <w:highlight w:val="none"/>
        </w:rPr>
        <w:t>。</w:t>
      </w:r>
    </w:p>
    <w:p>
      <w:pPr>
        <w:pStyle w:val="17"/>
        <w:rPr>
          <w:rFonts w:hint="eastAsia" w:ascii="Times New Roman" w:hAnsi="Times New Roman" w:cs="Times New Roman"/>
          <w:b/>
          <w:bCs/>
          <w:color w:val="auto"/>
          <w:kern w:val="0"/>
          <w:sz w:val="24"/>
          <w:highlight w:val="none"/>
          <w:lang w:val="en-US" w:eastAsia="zh-CN"/>
        </w:rPr>
      </w:pPr>
      <w:r>
        <w:rPr>
          <w:rFonts w:hint="eastAsia" w:ascii="Times New Roman" w:hAnsi="Times New Roman" w:cs="Times New Roman"/>
          <w:b/>
          <w:bCs/>
          <w:color w:val="auto"/>
          <w:kern w:val="0"/>
          <w:sz w:val="24"/>
          <w:highlight w:val="none"/>
          <w:lang w:val="en-US" w:eastAsia="zh-CN"/>
        </w:rPr>
        <w:t>（8）污染物排污量核算</w:t>
      </w:r>
    </w:p>
    <w:p>
      <w:pPr>
        <w:pStyle w:val="17"/>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1）有组织排放核算</w:t>
      </w:r>
    </w:p>
    <w:p>
      <w:pPr>
        <w:pStyle w:val="17"/>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项目有组织排放量核算情况见表6.2-8。</w:t>
      </w:r>
    </w:p>
    <w:p>
      <w:pPr>
        <w:pStyle w:val="17"/>
        <w:jc w:val="center"/>
        <w:rPr>
          <w:rFonts w:hint="default" w:ascii="Times New Roman" w:hAnsi="Times New Roman" w:eastAsia="宋体"/>
          <w:b/>
          <w:bCs/>
          <w:color w:val="auto"/>
          <w:sz w:val="21"/>
          <w:szCs w:val="21"/>
          <w:highlight w:val="none"/>
          <w:lang w:val="en-US" w:eastAsia="zh-CN"/>
        </w:rPr>
      </w:pPr>
      <w:r>
        <w:rPr>
          <w:rFonts w:hint="eastAsia" w:ascii="Times New Roman" w:hAnsi="Times New Roman"/>
          <w:b/>
          <w:bCs/>
          <w:color w:val="auto"/>
          <w:sz w:val="21"/>
          <w:szCs w:val="21"/>
          <w:highlight w:val="none"/>
          <w:lang w:eastAsia="zh-CN"/>
        </w:rPr>
        <w:t>表</w:t>
      </w:r>
      <w:r>
        <w:rPr>
          <w:rFonts w:hint="eastAsia" w:ascii="Times New Roman" w:hAnsi="Times New Roman"/>
          <w:b/>
          <w:bCs/>
          <w:color w:val="auto"/>
          <w:sz w:val="21"/>
          <w:szCs w:val="21"/>
          <w:highlight w:val="none"/>
          <w:lang w:val="en-US" w:eastAsia="zh-CN"/>
        </w:rPr>
        <w:t>6.2-8  大气污染物有组织排放量核算表</w:t>
      </w:r>
    </w:p>
    <w:tbl>
      <w:tblPr>
        <w:tblStyle w:val="3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1033"/>
        <w:gridCol w:w="2630"/>
        <w:gridCol w:w="2256"/>
        <w:gridCol w:w="2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4" w:type="dxa"/>
            <w:vAlign w:val="center"/>
          </w:tcPr>
          <w:p>
            <w:pPr>
              <w:pStyle w:val="17"/>
              <w:ind w:left="0" w:leftChars="0" w:firstLine="0" w:firstLineChars="0"/>
              <w:jc w:val="center"/>
              <w:rPr>
                <w:rFonts w:hint="eastAsia" w:ascii="Times New Roman" w:hAnsi="Times New Roman" w:eastAsia="宋体"/>
                <w:color w:val="auto"/>
                <w:sz w:val="21"/>
                <w:szCs w:val="21"/>
                <w:highlight w:val="none"/>
                <w:vertAlign w:val="baseline"/>
                <w:lang w:eastAsia="zh-CN"/>
              </w:rPr>
            </w:pPr>
            <w:r>
              <w:rPr>
                <w:rFonts w:hint="eastAsia" w:ascii="Times New Roman" w:hAnsi="Times New Roman"/>
                <w:color w:val="auto"/>
                <w:sz w:val="21"/>
                <w:szCs w:val="21"/>
                <w:highlight w:val="none"/>
                <w:vertAlign w:val="baseline"/>
                <w:lang w:eastAsia="zh-CN"/>
              </w:rPr>
              <w:t>排放口编号</w:t>
            </w:r>
          </w:p>
        </w:tc>
        <w:tc>
          <w:tcPr>
            <w:tcW w:w="1033" w:type="dxa"/>
            <w:vAlign w:val="center"/>
          </w:tcPr>
          <w:p>
            <w:pPr>
              <w:pStyle w:val="17"/>
              <w:ind w:left="0" w:leftChars="0" w:firstLine="0" w:firstLineChars="0"/>
              <w:jc w:val="center"/>
              <w:rPr>
                <w:rFonts w:hint="eastAsia" w:ascii="Times New Roman" w:hAnsi="Times New Roman" w:eastAsia="宋体"/>
                <w:color w:val="auto"/>
                <w:sz w:val="21"/>
                <w:szCs w:val="21"/>
                <w:highlight w:val="none"/>
                <w:vertAlign w:val="baseline"/>
                <w:lang w:eastAsia="zh-CN"/>
              </w:rPr>
            </w:pPr>
            <w:r>
              <w:rPr>
                <w:rFonts w:hint="eastAsia" w:ascii="Times New Roman" w:hAnsi="Times New Roman"/>
                <w:color w:val="auto"/>
                <w:sz w:val="21"/>
                <w:szCs w:val="21"/>
                <w:highlight w:val="none"/>
                <w:vertAlign w:val="baseline"/>
                <w:lang w:eastAsia="zh-CN"/>
              </w:rPr>
              <w:t>污染物</w:t>
            </w:r>
          </w:p>
        </w:tc>
        <w:tc>
          <w:tcPr>
            <w:tcW w:w="2630" w:type="dxa"/>
            <w:vAlign w:val="center"/>
          </w:tcPr>
          <w:p>
            <w:pPr>
              <w:pStyle w:val="17"/>
              <w:ind w:left="0" w:leftChars="0" w:firstLine="0" w:firstLineChars="0"/>
              <w:jc w:val="center"/>
              <w:rPr>
                <w:rFonts w:hint="eastAsia" w:ascii="Times New Roman" w:hAnsi="Times New Roman" w:eastAsia="宋体"/>
                <w:color w:val="auto"/>
                <w:sz w:val="21"/>
                <w:szCs w:val="21"/>
                <w:highlight w:val="none"/>
                <w:vertAlign w:val="baseline"/>
                <w:lang w:eastAsia="zh-CN"/>
              </w:rPr>
            </w:pPr>
            <w:r>
              <w:rPr>
                <w:rFonts w:hint="eastAsia" w:ascii="Times New Roman" w:hAnsi="Times New Roman"/>
                <w:color w:val="auto"/>
                <w:sz w:val="21"/>
                <w:szCs w:val="21"/>
                <w:highlight w:val="none"/>
                <w:vertAlign w:val="baseline"/>
                <w:lang w:eastAsia="zh-CN"/>
              </w:rPr>
              <w:t>核算排放浓度（</w:t>
            </w:r>
            <w:r>
              <w:rPr>
                <w:rFonts w:hint="eastAsia" w:ascii="Times New Roman" w:hAnsi="Times New Roman"/>
                <w:color w:val="auto"/>
                <w:sz w:val="21"/>
                <w:szCs w:val="21"/>
                <w:highlight w:val="none"/>
                <w:vertAlign w:val="baseline"/>
                <w:lang w:val="en-US" w:eastAsia="zh-CN"/>
              </w:rPr>
              <w:t>mg/m</w:t>
            </w:r>
            <w:r>
              <w:rPr>
                <w:rFonts w:hint="eastAsia" w:ascii="Times New Roman" w:hAnsi="Times New Roman"/>
                <w:color w:val="auto"/>
                <w:sz w:val="21"/>
                <w:szCs w:val="21"/>
                <w:highlight w:val="none"/>
                <w:vertAlign w:val="superscript"/>
                <w:lang w:val="en-US" w:eastAsia="zh-CN"/>
              </w:rPr>
              <w:t>3</w:t>
            </w:r>
            <w:r>
              <w:rPr>
                <w:rFonts w:hint="eastAsia" w:ascii="Times New Roman" w:hAnsi="Times New Roman"/>
                <w:color w:val="auto"/>
                <w:sz w:val="21"/>
                <w:szCs w:val="21"/>
                <w:highlight w:val="none"/>
                <w:vertAlign w:val="baseline"/>
                <w:lang w:eastAsia="zh-CN"/>
              </w:rPr>
              <w:t>）</w:t>
            </w:r>
          </w:p>
        </w:tc>
        <w:tc>
          <w:tcPr>
            <w:tcW w:w="2256" w:type="dxa"/>
            <w:vAlign w:val="center"/>
          </w:tcPr>
          <w:p>
            <w:pPr>
              <w:pStyle w:val="17"/>
              <w:ind w:left="0" w:leftChars="0" w:firstLine="0" w:firstLineChars="0"/>
              <w:jc w:val="center"/>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核算排放速率（kg/h）</w:t>
            </w:r>
          </w:p>
        </w:tc>
        <w:tc>
          <w:tcPr>
            <w:tcW w:w="2033" w:type="dxa"/>
            <w:vAlign w:val="center"/>
          </w:tcPr>
          <w:p>
            <w:pPr>
              <w:pStyle w:val="17"/>
              <w:ind w:left="0" w:leftChars="0" w:firstLine="0" w:firstLineChars="0"/>
              <w:jc w:val="center"/>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4" w:type="dxa"/>
            <w:vAlign w:val="center"/>
          </w:tcPr>
          <w:p>
            <w:pPr>
              <w:pStyle w:val="17"/>
              <w:ind w:left="0" w:leftChars="0" w:firstLine="0" w:firstLineChars="0"/>
              <w:jc w:val="center"/>
              <w:rPr>
                <w:rFonts w:hint="eastAsia" w:ascii="Times New Roman" w:hAnsi="Times New Roman" w:eastAsia="宋体"/>
                <w:color w:val="auto"/>
                <w:sz w:val="21"/>
                <w:szCs w:val="21"/>
                <w:highlight w:val="none"/>
                <w:vertAlign w:val="baseline"/>
                <w:lang w:eastAsia="zh-CN"/>
              </w:rPr>
            </w:pPr>
            <w:r>
              <w:rPr>
                <w:rFonts w:hint="eastAsia" w:ascii="Times New Roman" w:hAnsi="Times New Roman"/>
                <w:color w:val="auto"/>
                <w:sz w:val="21"/>
                <w:szCs w:val="21"/>
                <w:highlight w:val="none"/>
                <w:vertAlign w:val="baseline"/>
                <w:lang w:eastAsia="zh-CN"/>
              </w:rPr>
              <w:t>破碎加工场排气筒</w:t>
            </w:r>
          </w:p>
        </w:tc>
        <w:tc>
          <w:tcPr>
            <w:tcW w:w="1033" w:type="dxa"/>
            <w:vAlign w:val="center"/>
          </w:tcPr>
          <w:p>
            <w:pPr>
              <w:pStyle w:val="17"/>
              <w:ind w:left="0" w:leftChars="0" w:firstLine="0" w:firstLineChars="0"/>
              <w:jc w:val="center"/>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PM</w:t>
            </w:r>
            <w:r>
              <w:rPr>
                <w:rFonts w:hint="eastAsia" w:ascii="Times New Roman" w:hAnsi="Times New Roman"/>
                <w:color w:val="auto"/>
                <w:sz w:val="21"/>
                <w:szCs w:val="21"/>
                <w:highlight w:val="none"/>
                <w:vertAlign w:val="subscript"/>
                <w:lang w:val="en-US" w:eastAsia="zh-CN"/>
              </w:rPr>
              <w:t>10</w:t>
            </w:r>
          </w:p>
        </w:tc>
        <w:tc>
          <w:tcPr>
            <w:tcW w:w="2630" w:type="dxa"/>
            <w:vAlign w:val="center"/>
          </w:tcPr>
          <w:p>
            <w:pPr>
              <w:pStyle w:val="17"/>
              <w:ind w:left="0" w:leftChars="0" w:firstLine="0" w:firstLineChars="0"/>
              <w:jc w:val="center"/>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0.625</w:t>
            </w:r>
          </w:p>
        </w:tc>
        <w:tc>
          <w:tcPr>
            <w:tcW w:w="2256" w:type="dxa"/>
            <w:vAlign w:val="center"/>
          </w:tcPr>
          <w:p>
            <w:pPr>
              <w:pStyle w:val="17"/>
              <w:ind w:left="0" w:leftChars="0" w:firstLine="0" w:firstLineChars="0"/>
              <w:jc w:val="center"/>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0.006</w:t>
            </w:r>
          </w:p>
        </w:tc>
        <w:tc>
          <w:tcPr>
            <w:tcW w:w="2033" w:type="dxa"/>
            <w:vAlign w:val="center"/>
          </w:tcPr>
          <w:p>
            <w:pPr>
              <w:pStyle w:val="17"/>
              <w:ind w:left="0" w:leftChars="0" w:firstLine="0" w:firstLineChars="0"/>
              <w:jc w:val="center"/>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0.0157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4" w:type="dxa"/>
            <w:vAlign w:val="center"/>
          </w:tcPr>
          <w:p>
            <w:pPr>
              <w:pStyle w:val="17"/>
              <w:ind w:left="0" w:leftChars="0" w:firstLine="0" w:firstLineChars="0"/>
              <w:jc w:val="center"/>
              <w:rPr>
                <w:rFonts w:hint="eastAsia" w:ascii="Times New Roman" w:hAnsi="Times New Roman" w:eastAsia="宋体"/>
                <w:color w:val="auto"/>
                <w:sz w:val="21"/>
                <w:szCs w:val="21"/>
                <w:highlight w:val="none"/>
                <w:vertAlign w:val="baseline"/>
                <w:lang w:eastAsia="zh-CN"/>
              </w:rPr>
            </w:pPr>
            <w:r>
              <w:rPr>
                <w:rFonts w:hint="eastAsia" w:ascii="Times New Roman" w:hAnsi="Times New Roman"/>
                <w:color w:val="auto"/>
                <w:sz w:val="21"/>
                <w:szCs w:val="21"/>
                <w:highlight w:val="none"/>
                <w:vertAlign w:val="baseline"/>
                <w:lang w:eastAsia="zh-CN"/>
              </w:rPr>
              <w:t>合计</w:t>
            </w:r>
          </w:p>
        </w:tc>
        <w:tc>
          <w:tcPr>
            <w:tcW w:w="1033" w:type="dxa"/>
            <w:vAlign w:val="center"/>
          </w:tcPr>
          <w:p>
            <w:pPr>
              <w:pStyle w:val="17"/>
              <w:ind w:left="0" w:leftChars="0" w:firstLine="0" w:firstLineChars="0"/>
              <w:jc w:val="center"/>
              <w:rPr>
                <w:rFonts w:hint="eastAsia" w:ascii="Times New Roman" w:hAnsi="Times New Roman"/>
                <w:color w:val="auto"/>
                <w:sz w:val="21"/>
                <w:szCs w:val="21"/>
                <w:highlight w:val="none"/>
                <w:vertAlign w:val="baseline"/>
              </w:rPr>
            </w:pPr>
            <w:r>
              <w:rPr>
                <w:rFonts w:hint="eastAsia" w:ascii="Times New Roman" w:hAnsi="Times New Roman"/>
                <w:color w:val="auto"/>
                <w:sz w:val="21"/>
                <w:szCs w:val="21"/>
                <w:highlight w:val="none"/>
                <w:vertAlign w:val="baseline"/>
                <w:lang w:val="en-US" w:eastAsia="zh-CN"/>
              </w:rPr>
              <w:t>PM</w:t>
            </w:r>
            <w:r>
              <w:rPr>
                <w:rFonts w:hint="eastAsia" w:ascii="Times New Roman" w:hAnsi="Times New Roman"/>
                <w:color w:val="auto"/>
                <w:sz w:val="21"/>
                <w:szCs w:val="21"/>
                <w:highlight w:val="none"/>
                <w:vertAlign w:val="subscript"/>
                <w:lang w:val="en-US" w:eastAsia="zh-CN"/>
              </w:rPr>
              <w:t>10</w:t>
            </w:r>
          </w:p>
        </w:tc>
        <w:tc>
          <w:tcPr>
            <w:tcW w:w="2630" w:type="dxa"/>
            <w:vAlign w:val="center"/>
          </w:tcPr>
          <w:p>
            <w:pPr>
              <w:pStyle w:val="17"/>
              <w:ind w:left="0" w:leftChars="0" w:firstLine="0" w:firstLineChars="0"/>
              <w:jc w:val="center"/>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w:t>
            </w:r>
          </w:p>
        </w:tc>
        <w:tc>
          <w:tcPr>
            <w:tcW w:w="2256" w:type="dxa"/>
            <w:vAlign w:val="center"/>
          </w:tcPr>
          <w:p>
            <w:pPr>
              <w:pStyle w:val="17"/>
              <w:ind w:left="0" w:leftChars="0" w:firstLine="0" w:firstLineChars="0"/>
              <w:jc w:val="center"/>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w:t>
            </w:r>
          </w:p>
        </w:tc>
        <w:tc>
          <w:tcPr>
            <w:tcW w:w="2033" w:type="dxa"/>
            <w:vAlign w:val="center"/>
          </w:tcPr>
          <w:p>
            <w:pPr>
              <w:pStyle w:val="17"/>
              <w:ind w:left="0" w:leftChars="0" w:firstLine="0" w:firstLineChars="0"/>
              <w:jc w:val="center"/>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0.0157</w:t>
            </w:r>
          </w:p>
        </w:tc>
      </w:tr>
    </w:tbl>
    <w:p>
      <w:pPr>
        <w:pStyle w:val="17"/>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2）无组织排放核算</w:t>
      </w:r>
    </w:p>
    <w:p>
      <w:pPr>
        <w:pStyle w:val="17"/>
        <w:rPr>
          <w:rFonts w:hint="eastAsia" w:ascii="Times New Roman" w:hAnsi="Times New Roman"/>
          <w:color w:val="auto"/>
          <w:highlight w:val="none"/>
          <w:lang w:val="en-US" w:eastAsia="zh-CN"/>
        </w:rPr>
      </w:pPr>
      <w:r>
        <w:rPr>
          <w:rFonts w:hint="eastAsia" w:ascii="Times New Roman" w:hAnsi="Times New Roman"/>
          <w:color w:val="auto"/>
          <w:highlight w:val="none"/>
          <w:lang w:eastAsia="zh-CN"/>
        </w:rPr>
        <w:t>项目无组织排放量核算情况见表</w:t>
      </w:r>
      <w:r>
        <w:rPr>
          <w:rFonts w:hint="eastAsia" w:ascii="Times New Roman" w:hAnsi="Times New Roman"/>
          <w:color w:val="auto"/>
          <w:highlight w:val="none"/>
          <w:lang w:val="en-US" w:eastAsia="zh-CN"/>
        </w:rPr>
        <w:t>6.2-9。</w:t>
      </w:r>
    </w:p>
    <w:p>
      <w:pPr>
        <w:pStyle w:val="17"/>
        <w:jc w:val="center"/>
        <w:rPr>
          <w:rFonts w:hint="eastAsia" w:ascii="Times New Roman" w:hAnsi="Times New Roman"/>
          <w:color w:val="auto"/>
          <w:highlight w:val="none"/>
          <w:lang w:val="en-US" w:eastAsia="zh-CN"/>
        </w:rPr>
      </w:pPr>
      <w:r>
        <w:rPr>
          <w:rFonts w:hint="eastAsia" w:ascii="Times New Roman" w:hAnsi="Times New Roman"/>
          <w:b/>
          <w:bCs/>
          <w:color w:val="auto"/>
          <w:sz w:val="21"/>
          <w:szCs w:val="21"/>
          <w:highlight w:val="none"/>
          <w:lang w:eastAsia="zh-CN"/>
        </w:rPr>
        <w:t>表</w:t>
      </w:r>
      <w:r>
        <w:rPr>
          <w:rFonts w:hint="eastAsia" w:ascii="Times New Roman" w:hAnsi="Times New Roman"/>
          <w:b/>
          <w:bCs/>
          <w:color w:val="auto"/>
          <w:sz w:val="21"/>
          <w:szCs w:val="21"/>
          <w:highlight w:val="none"/>
          <w:lang w:val="en-US" w:eastAsia="zh-CN"/>
        </w:rPr>
        <w:t>6.2-9  大气污染物无组织排放量核算表</w:t>
      </w:r>
    </w:p>
    <w:tbl>
      <w:tblPr>
        <w:tblStyle w:val="29"/>
        <w:tblW w:w="89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1748"/>
        <w:gridCol w:w="5"/>
        <w:gridCol w:w="710"/>
        <w:gridCol w:w="3495"/>
        <w:gridCol w:w="1321"/>
        <w:gridCol w:w="1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2376" w:type="dxa"/>
            <w:gridSpan w:val="2"/>
            <w:shd w:val="clear" w:color="auto" w:fill="auto"/>
            <w:vAlign w:val="center"/>
          </w:tcPr>
          <w:p>
            <w:pPr>
              <w:pStyle w:val="17"/>
              <w:ind w:firstLine="0" w:firstLineChars="0"/>
              <w:jc w:val="center"/>
              <w:rPr>
                <w:rFonts w:hint="eastAsia" w:ascii="Times New Roman" w:hAnsi="Times New Roman" w:eastAsia="宋体"/>
                <w:b/>
                <w:bCs/>
                <w:color w:val="auto"/>
                <w:sz w:val="21"/>
                <w:szCs w:val="21"/>
                <w:highlight w:val="none"/>
                <w:lang w:eastAsia="zh-CN"/>
              </w:rPr>
            </w:pPr>
            <w:r>
              <w:rPr>
                <w:rFonts w:hint="eastAsia" w:ascii="Times New Roman" w:hAnsi="Times New Roman"/>
                <w:b/>
                <w:bCs/>
                <w:color w:val="auto"/>
                <w:sz w:val="21"/>
                <w:szCs w:val="21"/>
                <w:highlight w:val="none"/>
                <w:lang w:eastAsia="zh-CN"/>
              </w:rPr>
              <w:t>产污环节</w:t>
            </w:r>
          </w:p>
        </w:tc>
        <w:tc>
          <w:tcPr>
            <w:tcW w:w="715" w:type="dxa"/>
            <w:gridSpan w:val="2"/>
            <w:shd w:val="clear" w:color="auto" w:fill="auto"/>
            <w:vAlign w:val="center"/>
          </w:tcPr>
          <w:p>
            <w:pPr>
              <w:pStyle w:val="17"/>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污染</w:t>
            </w:r>
            <w:r>
              <w:rPr>
                <w:rFonts w:hint="eastAsia" w:ascii="Times New Roman" w:hAnsi="Times New Roman"/>
                <w:b/>
                <w:bCs/>
                <w:color w:val="auto"/>
                <w:sz w:val="21"/>
                <w:szCs w:val="21"/>
                <w:highlight w:val="none"/>
              </w:rPr>
              <w:t>物</w:t>
            </w:r>
          </w:p>
        </w:tc>
        <w:tc>
          <w:tcPr>
            <w:tcW w:w="3495" w:type="dxa"/>
            <w:shd w:val="clear" w:color="auto" w:fill="auto"/>
            <w:vAlign w:val="center"/>
          </w:tcPr>
          <w:p>
            <w:pPr>
              <w:pStyle w:val="17"/>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处置措施</w:t>
            </w:r>
          </w:p>
        </w:tc>
        <w:tc>
          <w:tcPr>
            <w:tcW w:w="1321" w:type="dxa"/>
            <w:shd w:val="clear" w:color="auto" w:fill="auto"/>
            <w:vAlign w:val="center"/>
          </w:tcPr>
          <w:p>
            <w:pPr>
              <w:pStyle w:val="17"/>
              <w:ind w:firstLine="0" w:firstLineChars="0"/>
              <w:jc w:val="center"/>
              <w:rPr>
                <w:rFonts w:hint="eastAsia" w:ascii="Times New Roman" w:hAnsi="Times New Roman" w:eastAsia="宋体"/>
                <w:b/>
                <w:bCs/>
                <w:color w:val="auto"/>
                <w:sz w:val="21"/>
                <w:szCs w:val="21"/>
                <w:highlight w:val="none"/>
                <w:lang w:eastAsia="zh-CN"/>
              </w:rPr>
            </w:pPr>
            <w:r>
              <w:rPr>
                <w:rFonts w:hint="eastAsia" w:ascii="Times New Roman" w:hAnsi="Times New Roman"/>
                <w:b/>
                <w:bCs/>
                <w:color w:val="auto"/>
                <w:sz w:val="21"/>
                <w:szCs w:val="21"/>
                <w:highlight w:val="none"/>
                <w:lang w:eastAsia="zh-CN"/>
              </w:rPr>
              <w:t>国家排放标准及限值</w:t>
            </w:r>
          </w:p>
        </w:tc>
        <w:tc>
          <w:tcPr>
            <w:tcW w:w="1013" w:type="dxa"/>
            <w:shd w:val="clear" w:color="auto" w:fill="auto"/>
            <w:vAlign w:val="center"/>
          </w:tcPr>
          <w:p>
            <w:pPr>
              <w:pStyle w:val="17"/>
              <w:ind w:firstLine="0" w:firstLineChars="0"/>
              <w:jc w:val="center"/>
              <w:rPr>
                <w:rFonts w:hint="eastAsia" w:ascii="Times New Roman" w:hAnsi="Times New Roman" w:eastAsia="宋体"/>
                <w:b/>
                <w:bCs/>
                <w:color w:val="auto"/>
                <w:sz w:val="21"/>
                <w:szCs w:val="21"/>
                <w:highlight w:val="none"/>
                <w:lang w:eastAsia="zh-CN"/>
              </w:rPr>
            </w:pPr>
            <w:r>
              <w:rPr>
                <w:rFonts w:hint="eastAsia" w:ascii="Times New Roman" w:hAnsi="Times New Roman"/>
                <w:b/>
                <w:bCs/>
                <w:color w:val="auto"/>
                <w:sz w:val="21"/>
                <w:szCs w:val="21"/>
                <w:highlight w:val="none"/>
                <w:lang w:eastAsia="zh-CN"/>
              </w:rPr>
              <w:t>年排放量（</w:t>
            </w:r>
            <w:r>
              <w:rPr>
                <w:rFonts w:hint="eastAsia" w:ascii="Times New Roman" w:hAnsi="Times New Roman"/>
                <w:b/>
                <w:bCs/>
                <w:color w:val="auto"/>
                <w:sz w:val="21"/>
                <w:szCs w:val="21"/>
                <w:highlight w:val="none"/>
                <w:lang w:val="en-US" w:eastAsia="zh-CN"/>
              </w:rPr>
              <w:t>t/a</w:t>
            </w:r>
            <w:r>
              <w:rPr>
                <w:rFonts w:hint="eastAsia" w:ascii="Times New Roman" w:hAnsi="Times New Roman"/>
                <w:b/>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28" w:type="dxa"/>
            <w:vMerge w:val="restart"/>
            <w:shd w:val="clear" w:color="auto" w:fill="auto"/>
            <w:vAlign w:val="center"/>
          </w:tcPr>
          <w:p>
            <w:pPr>
              <w:pStyle w:val="17"/>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采区</w:t>
            </w:r>
          </w:p>
        </w:tc>
        <w:tc>
          <w:tcPr>
            <w:tcW w:w="1748"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eastAsia="zh-CN"/>
              </w:rPr>
              <w:t>凿岩</w:t>
            </w:r>
            <w:r>
              <w:rPr>
                <w:rFonts w:ascii="Times New Roman" w:hAnsi="Times New Roman"/>
                <w:color w:val="auto"/>
                <w:sz w:val="21"/>
                <w:szCs w:val="21"/>
                <w:highlight w:val="none"/>
              </w:rPr>
              <w:t>钻孔</w:t>
            </w:r>
          </w:p>
        </w:tc>
        <w:tc>
          <w:tcPr>
            <w:tcW w:w="715" w:type="dxa"/>
            <w:gridSpan w:val="2"/>
            <w:vMerge w:val="restart"/>
            <w:shd w:val="clear" w:color="auto" w:fill="auto"/>
            <w:vAlign w:val="center"/>
          </w:tcPr>
          <w:p>
            <w:pPr>
              <w:pStyle w:val="17"/>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粉尘</w:t>
            </w:r>
          </w:p>
        </w:tc>
        <w:tc>
          <w:tcPr>
            <w:tcW w:w="3495"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湿式凿岩钻孔</w:t>
            </w:r>
          </w:p>
        </w:tc>
        <w:tc>
          <w:tcPr>
            <w:tcW w:w="1321" w:type="dxa"/>
            <w:vMerge w:val="restart"/>
            <w:shd w:val="clear" w:color="auto" w:fill="auto"/>
            <w:vAlign w:val="center"/>
          </w:tcPr>
          <w:p>
            <w:pPr>
              <w:pStyle w:val="17"/>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eastAsia="zh-CN"/>
              </w:rPr>
              <w:t>《大气污染物综合排放标准》（</w:t>
            </w:r>
            <w:r>
              <w:rPr>
                <w:rFonts w:hint="eastAsia" w:ascii="Times New Roman" w:hAnsi="Times New Roman"/>
                <w:color w:val="auto"/>
                <w:sz w:val="21"/>
                <w:szCs w:val="21"/>
                <w:highlight w:val="none"/>
                <w:lang w:val="en-US" w:eastAsia="zh-CN"/>
              </w:rPr>
              <w:t>GB16297-1996</w:t>
            </w:r>
            <w:r>
              <w:rPr>
                <w:rFonts w:hint="eastAsia" w:ascii="Times New Roman" w:hAnsi="Times New Roman"/>
                <w:color w:val="auto"/>
                <w:sz w:val="21"/>
                <w:szCs w:val="21"/>
                <w:highlight w:val="none"/>
                <w:lang w:eastAsia="zh-CN"/>
              </w:rPr>
              <w:t>），浓度限值</w:t>
            </w:r>
            <w:r>
              <w:rPr>
                <w:rFonts w:hint="eastAsia" w:ascii="Times New Roman" w:hAnsi="Times New Roman"/>
                <w:color w:val="auto"/>
                <w:sz w:val="21"/>
                <w:szCs w:val="21"/>
                <w:highlight w:val="none"/>
                <w:lang w:val="en-US" w:eastAsia="zh-CN"/>
              </w:rPr>
              <w:t>1.0mg/m</w:t>
            </w:r>
            <w:r>
              <w:rPr>
                <w:rFonts w:hint="eastAsia" w:ascii="Times New Roman" w:hAnsi="Times New Roman"/>
                <w:color w:val="auto"/>
                <w:sz w:val="21"/>
                <w:szCs w:val="21"/>
                <w:highlight w:val="none"/>
                <w:vertAlign w:val="superscript"/>
                <w:lang w:val="en-US" w:eastAsia="zh-CN"/>
              </w:rPr>
              <w:t>3</w:t>
            </w:r>
          </w:p>
        </w:tc>
        <w:tc>
          <w:tcPr>
            <w:tcW w:w="1013"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0.24</w:t>
            </w:r>
            <w:r>
              <w:rPr>
                <w:rFonts w:hint="eastAsia" w:ascii="Times New Roman" w:hAnsi="Times New Roman"/>
                <w:color w:val="auto"/>
                <w:sz w:val="21"/>
                <w:szCs w:val="21"/>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28" w:type="dxa"/>
            <w:vMerge w:val="continue"/>
            <w:shd w:val="clear" w:color="auto" w:fill="auto"/>
            <w:vAlign w:val="center"/>
          </w:tcPr>
          <w:p>
            <w:pPr>
              <w:pStyle w:val="17"/>
              <w:ind w:firstLine="0" w:firstLineChars="0"/>
              <w:jc w:val="center"/>
              <w:rPr>
                <w:rFonts w:ascii="Times New Roman" w:hAnsi="Times New Roman"/>
                <w:color w:val="auto"/>
                <w:sz w:val="21"/>
                <w:szCs w:val="21"/>
                <w:highlight w:val="none"/>
              </w:rPr>
            </w:pPr>
          </w:p>
        </w:tc>
        <w:tc>
          <w:tcPr>
            <w:tcW w:w="1748"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爆破</w:t>
            </w:r>
          </w:p>
        </w:tc>
        <w:tc>
          <w:tcPr>
            <w:tcW w:w="715" w:type="dxa"/>
            <w:gridSpan w:val="2"/>
            <w:vMerge w:val="continue"/>
            <w:shd w:val="clear" w:color="auto" w:fill="auto"/>
            <w:vAlign w:val="center"/>
          </w:tcPr>
          <w:p>
            <w:pPr>
              <w:pStyle w:val="17"/>
              <w:ind w:firstLine="0" w:firstLineChars="0"/>
              <w:jc w:val="center"/>
              <w:rPr>
                <w:rFonts w:ascii="Times New Roman" w:hAnsi="Times New Roman"/>
                <w:color w:val="auto"/>
                <w:sz w:val="21"/>
                <w:szCs w:val="21"/>
                <w:highlight w:val="none"/>
              </w:rPr>
            </w:pPr>
          </w:p>
        </w:tc>
        <w:tc>
          <w:tcPr>
            <w:tcW w:w="3495" w:type="dxa"/>
            <w:vMerge w:val="restart"/>
            <w:shd w:val="clear" w:color="auto" w:fill="auto"/>
            <w:vAlign w:val="center"/>
          </w:tcPr>
          <w:p>
            <w:pPr>
              <w:pStyle w:val="17"/>
              <w:ind w:firstLine="0" w:firstLineChars="0"/>
              <w:jc w:val="center"/>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rPr>
              <w:t>洒水降尘</w:t>
            </w:r>
          </w:p>
        </w:tc>
        <w:tc>
          <w:tcPr>
            <w:tcW w:w="1321" w:type="dxa"/>
            <w:vMerge w:val="continue"/>
            <w:shd w:val="clear" w:color="auto" w:fill="auto"/>
            <w:vAlign w:val="center"/>
          </w:tcPr>
          <w:p>
            <w:pPr>
              <w:pStyle w:val="17"/>
              <w:ind w:firstLine="0" w:firstLineChars="0"/>
              <w:jc w:val="center"/>
              <w:rPr>
                <w:rFonts w:ascii="Times New Roman" w:hAnsi="Times New Roman"/>
                <w:color w:val="auto"/>
                <w:sz w:val="21"/>
                <w:szCs w:val="21"/>
                <w:highlight w:val="none"/>
              </w:rPr>
            </w:pPr>
          </w:p>
        </w:tc>
        <w:tc>
          <w:tcPr>
            <w:tcW w:w="1013"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0.07</w:t>
            </w:r>
            <w:r>
              <w:rPr>
                <w:rFonts w:hint="eastAsia" w:ascii="Times New Roman" w:hAnsi="Times New Roman"/>
                <w:color w:val="auto"/>
                <w:sz w:val="21"/>
                <w:szCs w:val="21"/>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28" w:type="dxa"/>
            <w:vMerge w:val="continue"/>
            <w:shd w:val="clear" w:color="auto" w:fill="auto"/>
            <w:vAlign w:val="center"/>
          </w:tcPr>
          <w:p>
            <w:pPr>
              <w:pStyle w:val="17"/>
              <w:ind w:firstLine="0" w:firstLineChars="0"/>
              <w:jc w:val="center"/>
              <w:rPr>
                <w:rFonts w:ascii="Times New Roman" w:hAnsi="Times New Roman"/>
                <w:color w:val="auto"/>
                <w:sz w:val="21"/>
                <w:szCs w:val="21"/>
                <w:highlight w:val="none"/>
              </w:rPr>
            </w:pPr>
          </w:p>
        </w:tc>
        <w:tc>
          <w:tcPr>
            <w:tcW w:w="1748" w:type="dxa"/>
            <w:shd w:val="clear" w:color="auto" w:fill="auto"/>
            <w:vAlign w:val="center"/>
          </w:tcPr>
          <w:p>
            <w:pPr>
              <w:pStyle w:val="17"/>
              <w:ind w:firstLine="0" w:firstLineChars="0"/>
              <w:jc w:val="center"/>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lang w:eastAsia="zh-CN"/>
              </w:rPr>
              <w:t>二次解石</w:t>
            </w:r>
          </w:p>
        </w:tc>
        <w:tc>
          <w:tcPr>
            <w:tcW w:w="715" w:type="dxa"/>
            <w:gridSpan w:val="2"/>
            <w:vMerge w:val="continue"/>
            <w:shd w:val="clear" w:color="auto" w:fill="auto"/>
            <w:vAlign w:val="center"/>
          </w:tcPr>
          <w:p>
            <w:pPr>
              <w:pStyle w:val="17"/>
              <w:ind w:firstLine="0" w:firstLineChars="0"/>
              <w:jc w:val="center"/>
              <w:rPr>
                <w:rFonts w:ascii="Times New Roman" w:hAnsi="Times New Roman"/>
                <w:color w:val="auto"/>
                <w:sz w:val="21"/>
                <w:szCs w:val="21"/>
                <w:highlight w:val="none"/>
              </w:rPr>
            </w:pPr>
          </w:p>
        </w:tc>
        <w:tc>
          <w:tcPr>
            <w:tcW w:w="3495" w:type="dxa"/>
            <w:vMerge w:val="continue"/>
            <w:shd w:val="clear" w:color="auto" w:fill="auto"/>
            <w:vAlign w:val="center"/>
          </w:tcPr>
          <w:p>
            <w:pPr>
              <w:pStyle w:val="17"/>
              <w:ind w:firstLine="0" w:firstLineChars="0"/>
              <w:jc w:val="center"/>
              <w:rPr>
                <w:rFonts w:ascii="Times New Roman" w:hAnsi="Times New Roman"/>
                <w:color w:val="auto"/>
                <w:sz w:val="21"/>
                <w:szCs w:val="21"/>
                <w:highlight w:val="none"/>
              </w:rPr>
            </w:pPr>
          </w:p>
        </w:tc>
        <w:tc>
          <w:tcPr>
            <w:tcW w:w="1321" w:type="dxa"/>
            <w:vMerge w:val="continue"/>
            <w:shd w:val="clear" w:color="auto" w:fill="auto"/>
            <w:vAlign w:val="center"/>
          </w:tcPr>
          <w:p>
            <w:pPr>
              <w:pStyle w:val="17"/>
              <w:ind w:firstLine="0" w:firstLineChars="0"/>
              <w:jc w:val="center"/>
              <w:rPr>
                <w:rFonts w:ascii="Times New Roman" w:hAnsi="Times New Roman"/>
                <w:color w:val="auto"/>
                <w:sz w:val="21"/>
                <w:szCs w:val="21"/>
                <w:highlight w:val="none"/>
              </w:rPr>
            </w:pPr>
          </w:p>
        </w:tc>
        <w:tc>
          <w:tcPr>
            <w:tcW w:w="1013"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0.048</w:t>
            </w:r>
            <w:r>
              <w:rPr>
                <w:rFonts w:hint="eastAsia" w:ascii="Times New Roman" w:hAnsi="Times New Roman"/>
                <w:color w:val="auto"/>
                <w:sz w:val="21"/>
                <w:szCs w:val="21"/>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28" w:type="dxa"/>
            <w:vMerge w:val="continue"/>
            <w:shd w:val="clear" w:color="auto" w:fill="auto"/>
            <w:vAlign w:val="center"/>
          </w:tcPr>
          <w:p>
            <w:pPr>
              <w:pStyle w:val="17"/>
              <w:ind w:firstLine="0" w:firstLineChars="0"/>
              <w:jc w:val="center"/>
              <w:rPr>
                <w:rFonts w:ascii="Times New Roman" w:hAnsi="Times New Roman"/>
                <w:color w:val="auto"/>
                <w:sz w:val="21"/>
                <w:szCs w:val="21"/>
                <w:highlight w:val="none"/>
              </w:rPr>
            </w:pPr>
          </w:p>
        </w:tc>
        <w:tc>
          <w:tcPr>
            <w:tcW w:w="1748" w:type="dxa"/>
            <w:shd w:val="clear" w:color="auto" w:fill="auto"/>
            <w:vAlign w:val="center"/>
          </w:tcPr>
          <w:p>
            <w:pPr>
              <w:pStyle w:val="17"/>
              <w:ind w:firstLine="0" w:firstLineChars="0"/>
              <w:jc w:val="center"/>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lang w:eastAsia="zh-CN"/>
              </w:rPr>
              <w:t>矿石铲装</w:t>
            </w:r>
          </w:p>
        </w:tc>
        <w:tc>
          <w:tcPr>
            <w:tcW w:w="715" w:type="dxa"/>
            <w:gridSpan w:val="2"/>
            <w:vMerge w:val="continue"/>
            <w:shd w:val="clear" w:color="auto" w:fill="auto"/>
            <w:vAlign w:val="center"/>
          </w:tcPr>
          <w:p>
            <w:pPr>
              <w:pStyle w:val="17"/>
              <w:ind w:firstLine="0" w:firstLineChars="0"/>
              <w:jc w:val="center"/>
              <w:rPr>
                <w:rFonts w:ascii="Times New Roman" w:hAnsi="Times New Roman"/>
                <w:color w:val="auto"/>
                <w:sz w:val="21"/>
                <w:szCs w:val="21"/>
                <w:highlight w:val="none"/>
              </w:rPr>
            </w:pPr>
          </w:p>
        </w:tc>
        <w:tc>
          <w:tcPr>
            <w:tcW w:w="3495" w:type="dxa"/>
            <w:vMerge w:val="continue"/>
            <w:shd w:val="clear" w:color="auto" w:fill="auto"/>
            <w:vAlign w:val="center"/>
          </w:tcPr>
          <w:p>
            <w:pPr>
              <w:pStyle w:val="17"/>
              <w:ind w:firstLine="0" w:firstLineChars="0"/>
              <w:jc w:val="center"/>
              <w:rPr>
                <w:rFonts w:ascii="Times New Roman" w:hAnsi="Times New Roman"/>
                <w:color w:val="auto"/>
                <w:sz w:val="21"/>
                <w:szCs w:val="21"/>
                <w:highlight w:val="none"/>
              </w:rPr>
            </w:pPr>
          </w:p>
        </w:tc>
        <w:tc>
          <w:tcPr>
            <w:tcW w:w="1321" w:type="dxa"/>
            <w:vMerge w:val="continue"/>
            <w:shd w:val="clear" w:color="auto" w:fill="auto"/>
            <w:vAlign w:val="center"/>
          </w:tcPr>
          <w:p>
            <w:pPr>
              <w:pStyle w:val="17"/>
              <w:ind w:firstLine="0" w:firstLineChars="0"/>
              <w:jc w:val="center"/>
              <w:rPr>
                <w:rFonts w:ascii="Times New Roman" w:hAnsi="Times New Roman"/>
                <w:color w:val="auto"/>
                <w:sz w:val="21"/>
                <w:szCs w:val="21"/>
                <w:highlight w:val="none"/>
              </w:rPr>
            </w:pPr>
          </w:p>
        </w:tc>
        <w:tc>
          <w:tcPr>
            <w:tcW w:w="1013"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0.15</w:t>
            </w:r>
            <w:r>
              <w:rPr>
                <w:rFonts w:hint="eastAsia" w:ascii="Times New Roman" w:hAnsi="Times New Roman"/>
                <w:color w:val="auto"/>
                <w:sz w:val="21"/>
                <w:szCs w:val="21"/>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628" w:type="dxa"/>
            <w:vMerge w:val="restart"/>
            <w:shd w:val="clear" w:color="auto" w:fill="auto"/>
            <w:vAlign w:val="center"/>
          </w:tcPr>
          <w:p>
            <w:pPr>
              <w:pStyle w:val="17"/>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工业</w:t>
            </w:r>
          </w:p>
          <w:p>
            <w:pPr>
              <w:pStyle w:val="17"/>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场地</w:t>
            </w:r>
          </w:p>
        </w:tc>
        <w:tc>
          <w:tcPr>
            <w:tcW w:w="1748" w:type="dxa"/>
            <w:shd w:val="clear" w:color="auto" w:fill="auto"/>
            <w:vAlign w:val="center"/>
          </w:tcPr>
          <w:p>
            <w:pPr>
              <w:pStyle w:val="17"/>
              <w:ind w:firstLine="0" w:firstLineChars="0"/>
              <w:jc w:val="center"/>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lang w:eastAsia="zh-CN"/>
              </w:rPr>
              <w:t>原料、成品堆场</w:t>
            </w:r>
          </w:p>
        </w:tc>
        <w:tc>
          <w:tcPr>
            <w:tcW w:w="715" w:type="dxa"/>
            <w:gridSpan w:val="2"/>
            <w:vMerge w:val="restart"/>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粉尘</w:t>
            </w:r>
          </w:p>
        </w:tc>
        <w:tc>
          <w:tcPr>
            <w:tcW w:w="3495" w:type="dxa"/>
            <w:shd w:val="clear" w:color="auto" w:fill="auto"/>
            <w:vAlign w:val="center"/>
          </w:tcPr>
          <w:p>
            <w:pPr>
              <w:pStyle w:val="17"/>
              <w:ind w:firstLine="0" w:firstLineChars="0"/>
              <w:jc w:val="center"/>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yellow"/>
                <w:lang w:eastAsia="zh-CN"/>
              </w:rPr>
              <w:t>堆场设置3面围挡，并设置洒水降尘设施</w:t>
            </w:r>
          </w:p>
        </w:tc>
        <w:tc>
          <w:tcPr>
            <w:tcW w:w="1321" w:type="dxa"/>
            <w:vMerge w:val="continue"/>
            <w:shd w:val="clear" w:color="auto" w:fill="auto"/>
            <w:vAlign w:val="center"/>
          </w:tcPr>
          <w:p>
            <w:pPr>
              <w:pStyle w:val="17"/>
              <w:ind w:firstLine="0" w:firstLineChars="0"/>
              <w:jc w:val="center"/>
              <w:rPr>
                <w:rFonts w:ascii="Times New Roman" w:hAnsi="Times New Roman"/>
                <w:color w:val="auto"/>
                <w:sz w:val="21"/>
                <w:szCs w:val="21"/>
                <w:highlight w:val="none"/>
              </w:rPr>
            </w:pPr>
          </w:p>
        </w:tc>
        <w:tc>
          <w:tcPr>
            <w:tcW w:w="1013" w:type="dxa"/>
            <w:shd w:val="clear" w:color="auto" w:fill="auto"/>
            <w:vAlign w:val="center"/>
          </w:tcPr>
          <w:p>
            <w:pPr>
              <w:pStyle w:val="17"/>
              <w:ind w:firstLine="0" w:firstLineChars="0"/>
              <w:jc w:val="center"/>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lang w:val="en-US" w:eastAsia="zh-CN"/>
              </w:rPr>
              <w:t>0.013</w:t>
            </w:r>
            <w:r>
              <w:rPr>
                <w:rFonts w:hint="eastAsia" w:ascii="Times New Roman" w:hAnsi="Times New Roman"/>
                <w:color w:val="auto"/>
                <w:sz w:val="21"/>
                <w:szCs w:val="21"/>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28" w:type="dxa"/>
            <w:vMerge w:val="continue"/>
            <w:shd w:val="clear" w:color="auto" w:fill="auto"/>
            <w:vAlign w:val="center"/>
          </w:tcPr>
          <w:p>
            <w:pPr>
              <w:pStyle w:val="17"/>
              <w:ind w:firstLine="0" w:firstLineChars="0"/>
              <w:jc w:val="center"/>
              <w:rPr>
                <w:rFonts w:ascii="Times New Roman" w:hAnsi="Times New Roman"/>
                <w:color w:val="auto"/>
                <w:sz w:val="21"/>
                <w:szCs w:val="21"/>
                <w:highlight w:val="none"/>
              </w:rPr>
            </w:pPr>
          </w:p>
        </w:tc>
        <w:tc>
          <w:tcPr>
            <w:tcW w:w="1748" w:type="dxa"/>
            <w:shd w:val="clear" w:color="auto" w:fill="auto"/>
            <w:vAlign w:val="center"/>
          </w:tcPr>
          <w:p>
            <w:pPr>
              <w:pStyle w:val="17"/>
              <w:ind w:firstLine="0" w:firstLineChars="0"/>
              <w:jc w:val="center"/>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lang w:eastAsia="zh-CN"/>
              </w:rPr>
              <w:t>给料</w:t>
            </w:r>
          </w:p>
        </w:tc>
        <w:tc>
          <w:tcPr>
            <w:tcW w:w="715" w:type="dxa"/>
            <w:gridSpan w:val="2"/>
            <w:vMerge w:val="continue"/>
            <w:shd w:val="clear" w:color="auto" w:fill="auto"/>
            <w:vAlign w:val="center"/>
          </w:tcPr>
          <w:p>
            <w:pPr>
              <w:pStyle w:val="17"/>
              <w:ind w:firstLine="0" w:firstLineChars="0"/>
              <w:jc w:val="center"/>
              <w:rPr>
                <w:rFonts w:ascii="Times New Roman" w:hAnsi="Times New Roman"/>
                <w:color w:val="auto"/>
                <w:sz w:val="21"/>
                <w:szCs w:val="21"/>
                <w:highlight w:val="none"/>
              </w:rPr>
            </w:pPr>
          </w:p>
        </w:tc>
        <w:tc>
          <w:tcPr>
            <w:tcW w:w="3495"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进料口处增加喷水设施</w:t>
            </w:r>
          </w:p>
        </w:tc>
        <w:tc>
          <w:tcPr>
            <w:tcW w:w="1321" w:type="dxa"/>
            <w:vMerge w:val="continue"/>
            <w:shd w:val="clear" w:color="auto" w:fill="auto"/>
            <w:vAlign w:val="center"/>
          </w:tcPr>
          <w:p>
            <w:pPr>
              <w:pStyle w:val="17"/>
              <w:ind w:firstLine="0" w:firstLineChars="0"/>
              <w:jc w:val="center"/>
              <w:rPr>
                <w:rFonts w:ascii="Times New Roman" w:hAnsi="Times New Roman"/>
                <w:color w:val="auto"/>
                <w:sz w:val="21"/>
                <w:szCs w:val="21"/>
                <w:highlight w:val="none"/>
              </w:rPr>
            </w:pPr>
          </w:p>
        </w:tc>
        <w:tc>
          <w:tcPr>
            <w:tcW w:w="1013" w:type="dxa"/>
            <w:shd w:val="clear" w:color="auto" w:fill="auto"/>
            <w:vAlign w:val="center"/>
          </w:tcPr>
          <w:p>
            <w:pPr>
              <w:pStyle w:val="17"/>
              <w:ind w:firstLine="0" w:firstLineChars="0"/>
              <w:jc w:val="center"/>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lang w:val="en-US" w:eastAsia="zh-CN"/>
              </w:rPr>
              <w:t>0.045</w:t>
            </w:r>
            <w:r>
              <w:rPr>
                <w:rFonts w:hint="eastAsia" w:ascii="Times New Roman" w:hAnsi="Times New Roman"/>
                <w:color w:val="auto"/>
                <w:sz w:val="21"/>
                <w:szCs w:val="21"/>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628" w:type="dxa"/>
            <w:vMerge w:val="continue"/>
            <w:shd w:val="clear" w:color="auto" w:fill="auto"/>
            <w:vAlign w:val="center"/>
          </w:tcPr>
          <w:p>
            <w:pPr>
              <w:pStyle w:val="17"/>
              <w:ind w:firstLine="0" w:firstLineChars="0"/>
              <w:jc w:val="center"/>
              <w:rPr>
                <w:color w:val="auto"/>
                <w:highlight w:val="none"/>
              </w:rPr>
            </w:pPr>
          </w:p>
        </w:tc>
        <w:tc>
          <w:tcPr>
            <w:tcW w:w="1748" w:type="dxa"/>
            <w:shd w:val="clear" w:color="auto" w:fill="auto"/>
            <w:vAlign w:val="center"/>
          </w:tcPr>
          <w:p>
            <w:pPr>
              <w:pStyle w:val="17"/>
              <w:ind w:firstLine="0" w:firstLineChars="0"/>
              <w:jc w:val="center"/>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lang w:eastAsia="zh-CN"/>
              </w:rPr>
              <w:t>粗碎及筛分</w:t>
            </w:r>
          </w:p>
        </w:tc>
        <w:tc>
          <w:tcPr>
            <w:tcW w:w="715" w:type="dxa"/>
            <w:gridSpan w:val="2"/>
            <w:vMerge w:val="continue"/>
            <w:shd w:val="clear" w:color="auto" w:fill="auto"/>
            <w:vAlign w:val="center"/>
          </w:tcPr>
          <w:p>
            <w:pPr>
              <w:pStyle w:val="17"/>
              <w:ind w:firstLine="0" w:firstLineChars="0"/>
              <w:jc w:val="center"/>
              <w:rPr>
                <w:color w:val="auto"/>
                <w:highlight w:val="none"/>
              </w:rPr>
            </w:pPr>
          </w:p>
        </w:tc>
        <w:tc>
          <w:tcPr>
            <w:tcW w:w="3495" w:type="dxa"/>
            <w:vMerge w:val="restart"/>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封闭围挡+洒水降尘+集气罩+袋式除尘（集气效率90%，除尘率99.9%）+15m高排气筒</w:t>
            </w:r>
          </w:p>
        </w:tc>
        <w:tc>
          <w:tcPr>
            <w:tcW w:w="1321" w:type="dxa"/>
            <w:vMerge w:val="continue"/>
            <w:shd w:val="clear" w:color="auto" w:fill="auto"/>
            <w:vAlign w:val="center"/>
          </w:tcPr>
          <w:p>
            <w:pPr>
              <w:pStyle w:val="17"/>
              <w:ind w:firstLine="0" w:firstLineChars="0"/>
              <w:jc w:val="center"/>
              <w:rPr>
                <w:rFonts w:ascii="Times New Roman" w:hAnsi="Times New Roman"/>
                <w:color w:val="auto"/>
                <w:sz w:val="21"/>
                <w:szCs w:val="21"/>
                <w:highlight w:val="none"/>
              </w:rPr>
            </w:pPr>
          </w:p>
        </w:tc>
        <w:tc>
          <w:tcPr>
            <w:tcW w:w="1013" w:type="dxa"/>
            <w:shd w:val="clear" w:color="auto" w:fill="auto"/>
            <w:vAlign w:val="center"/>
          </w:tcPr>
          <w:p>
            <w:pPr>
              <w:pStyle w:val="17"/>
              <w:ind w:firstLine="0" w:firstLineChars="0"/>
              <w:jc w:val="center"/>
              <w:rPr>
                <w:rFonts w:hint="eastAsia" w:eastAsia="宋体"/>
                <w:color w:val="auto"/>
                <w:sz w:val="21"/>
                <w:szCs w:val="21"/>
                <w:highlight w:val="none"/>
                <w:lang w:eastAsia="zh-CN"/>
              </w:rPr>
            </w:pPr>
            <w:r>
              <w:rPr>
                <w:rFonts w:hint="eastAsia" w:ascii="Times New Roman" w:hAnsi="Times New Roman"/>
                <w:color w:val="auto"/>
                <w:sz w:val="21"/>
                <w:szCs w:val="21"/>
                <w:highlight w:val="none"/>
                <w:lang w:val="en-US" w:eastAsia="zh-CN"/>
              </w:rPr>
              <w:t>0.03</w:t>
            </w:r>
            <w:r>
              <w:rPr>
                <w:rFonts w:hint="eastAsia" w:ascii="Times New Roman" w:hAnsi="Times New Roman"/>
                <w:color w:val="auto"/>
                <w:sz w:val="21"/>
                <w:szCs w:val="21"/>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628" w:type="dxa"/>
            <w:vMerge w:val="continue"/>
            <w:shd w:val="clear" w:color="auto" w:fill="auto"/>
            <w:vAlign w:val="center"/>
          </w:tcPr>
          <w:p>
            <w:pPr>
              <w:pStyle w:val="17"/>
              <w:ind w:firstLine="0" w:firstLineChars="0"/>
              <w:jc w:val="center"/>
              <w:rPr>
                <w:color w:val="auto"/>
                <w:highlight w:val="none"/>
              </w:rPr>
            </w:pPr>
          </w:p>
        </w:tc>
        <w:tc>
          <w:tcPr>
            <w:tcW w:w="1748" w:type="dxa"/>
            <w:shd w:val="clear" w:color="auto" w:fill="auto"/>
            <w:vAlign w:val="center"/>
          </w:tcPr>
          <w:p>
            <w:pPr>
              <w:pStyle w:val="17"/>
              <w:ind w:firstLine="0" w:firstLineChars="0"/>
              <w:jc w:val="center"/>
              <w:rPr>
                <w:rFonts w:hint="eastAsia" w:ascii="Times New Roman" w:hAnsi="Times New Roman"/>
                <w:color w:val="auto"/>
                <w:sz w:val="21"/>
                <w:szCs w:val="21"/>
                <w:highlight w:val="none"/>
                <w:lang w:eastAsia="zh-CN"/>
              </w:rPr>
            </w:pPr>
            <w:r>
              <w:rPr>
                <w:rFonts w:hint="eastAsia" w:ascii="Times New Roman" w:hAnsi="Times New Roman"/>
                <w:color w:val="auto"/>
                <w:sz w:val="21"/>
                <w:szCs w:val="21"/>
                <w:highlight w:val="none"/>
                <w:lang w:eastAsia="zh-CN"/>
              </w:rPr>
              <w:t>细碎及筛分</w:t>
            </w:r>
          </w:p>
        </w:tc>
        <w:tc>
          <w:tcPr>
            <w:tcW w:w="715" w:type="dxa"/>
            <w:gridSpan w:val="2"/>
            <w:vMerge w:val="continue"/>
            <w:shd w:val="clear" w:color="auto" w:fill="auto"/>
            <w:vAlign w:val="center"/>
          </w:tcPr>
          <w:p>
            <w:pPr>
              <w:pStyle w:val="17"/>
              <w:ind w:firstLine="0" w:firstLineChars="0"/>
              <w:jc w:val="center"/>
              <w:rPr>
                <w:color w:val="auto"/>
                <w:highlight w:val="none"/>
              </w:rPr>
            </w:pPr>
          </w:p>
        </w:tc>
        <w:tc>
          <w:tcPr>
            <w:tcW w:w="3495" w:type="dxa"/>
            <w:vMerge w:val="continue"/>
            <w:shd w:val="clear" w:color="auto" w:fill="auto"/>
            <w:vAlign w:val="center"/>
          </w:tcPr>
          <w:p>
            <w:pPr>
              <w:pStyle w:val="17"/>
              <w:ind w:firstLine="0" w:firstLineChars="0"/>
              <w:jc w:val="center"/>
              <w:rPr>
                <w:rFonts w:ascii="Times New Roman" w:hAnsi="Times New Roman"/>
                <w:color w:val="auto"/>
                <w:sz w:val="21"/>
                <w:szCs w:val="21"/>
                <w:highlight w:val="none"/>
              </w:rPr>
            </w:pPr>
          </w:p>
        </w:tc>
        <w:tc>
          <w:tcPr>
            <w:tcW w:w="1321" w:type="dxa"/>
            <w:vMerge w:val="continue"/>
            <w:shd w:val="clear" w:color="auto" w:fill="auto"/>
            <w:vAlign w:val="center"/>
          </w:tcPr>
          <w:p>
            <w:pPr>
              <w:pStyle w:val="17"/>
              <w:ind w:firstLine="0" w:firstLineChars="0"/>
              <w:jc w:val="center"/>
              <w:rPr>
                <w:rFonts w:hint="default" w:ascii="Times New Roman" w:hAnsi="Times New Roman"/>
                <w:color w:val="auto"/>
                <w:sz w:val="21"/>
                <w:szCs w:val="21"/>
                <w:highlight w:val="none"/>
                <w:lang w:val="en-US" w:eastAsia="zh-CN"/>
              </w:rPr>
            </w:pPr>
          </w:p>
        </w:tc>
        <w:tc>
          <w:tcPr>
            <w:tcW w:w="1013" w:type="dxa"/>
            <w:shd w:val="clear" w:color="auto" w:fill="auto"/>
            <w:vAlign w:val="center"/>
          </w:tcPr>
          <w:p>
            <w:pPr>
              <w:pStyle w:val="17"/>
              <w:ind w:firstLine="0" w:firstLineChars="0"/>
              <w:jc w:val="center"/>
              <w:rPr>
                <w:rFonts w:hint="eastAsia" w:eastAsia="宋体"/>
                <w:color w:val="auto"/>
                <w:sz w:val="21"/>
                <w:szCs w:val="21"/>
                <w:highlight w:val="none"/>
                <w:lang w:eastAsia="zh-CN"/>
              </w:rPr>
            </w:pPr>
            <w:r>
              <w:rPr>
                <w:rFonts w:hint="eastAsia" w:ascii="Times New Roman" w:hAnsi="Times New Roman"/>
                <w:color w:val="auto"/>
                <w:sz w:val="21"/>
                <w:szCs w:val="21"/>
                <w:highlight w:val="none"/>
                <w:lang w:val="en-US" w:eastAsia="zh-CN"/>
              </w:rPr>
              <w:t>0.15t/a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628" w:type="dxa"/>
            <w:vMerge w:val="continue"/>
            <w:shd w:val="clear" w:color="auto" w:fill="auto"/>
            <w:vAlign w:val="center"/>
          </w:tcPr>
          <w:p>
            <w:pPr>
              <w:pStyle w:val="17"/>
              <w:ind w:firstLine="0" w:firstLineChars="0"/>
              <w:jc w:val="center"/>
              <w:rPr>
                <w:color w:val="auto"/>
                <w:highlight w:val="none"/>
              </w:rPr>
            </w:pPr>
          </w:p>
        </w:tc>
        <w:tc>
          <w:tcPr>
            <w:tcW w:w="1748" w:type="dxa"/>
            <w:shd w:val="clear" w:color="auto" w:fill="auto"/>
            <w:vAlign w:val="center"/>
          </w:tcPr>
          <w:p>
            <w:pPr>
              <w:pStyle w:val="17"/>
              <w:ind w:firstLine="0" w:firstLineChars="0"/>
              <w:jc w:val="center"/>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lang w:eastAsia="zh-CN"/>
              </w:rPr>
              <w:t>皮带输送</w:t>
            </w:r>
          </w:p>
        </w:tc>
        <w:tc>
          <w:tcPr>
            <w:tcW w:w="715" w:type="dxa"/>
            <w:gridSpan w:val="2"/>
            <w:vMerge w:val="continue"/>
            <w:shd w:val="clear" w:color="auto" w:fill="auto"/>
            <w:vAlign w:val="center"/>
          </w:tcPr>
          <w:p>
            <w:pPr>
              <w:pStyle w:val="17"/>
              <w:ind w:firstLine="0" w:firstLineChars="0"/>
              <w:jc w:val="center"/>
              <w:rPr>
                <w:color w:val="auto"/>
                <w:highlight w:val="none"/>
              </w:rPr>
            </w:pPr>
          </w:p>
        </w:tc>
        <w:tc>
          <w:tcPr>
            <w:tcW w:w="3495"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原料转运和运输采取密闭传送措施</w:t>
            </w:r>
          </w:p>
        </w:tc>
        <w:tc>
          <w:tcPr>
            <w:tcW w:w="1321" w:type="dxa"/>
            <w:vMerge w:val="continue"/>
            <w:shd w:val="clear" w:color="auto" w:fill="auto"/>
            <w:vAlign w:val="center"/>
          </w:tcPr>
          <w:p>
            <w:pPr>
              <w:pStyle w:val="17"/>
              <w:ind w:firstLine="0" w:firstLineChars="0"/>
              <w:jc w:val="center"/>
              <w:rPr>
                <w:rFonts w:hint="default" w:ascii="Times New Roman" w:hAnsi="Times New Roman"/>
                <w:color w:val="auto"/>
                <w:sz w:val="21"/>
                <w:szCs w:val="21"/>
                <w:highlight w:val="none"/>
                <w:lang w:val="en-US" w:eastAsia="zh-CN"/>
              </w:rPr>
            </w:pPr>
          </w:p>
        </w:tc>
        <w:tc>
          <w:tcPr>
            <w:tcW w:w="1013" w:type="dxa"/>
            <w:shd w:val="clear" w:color="auto" w:fill="auto"/>
            <w:vAlign w:val="center"/>
          </w:tcPr>
          <w:p>
            <w:pPr>
              <w:pStyle w:val="17"/>
              <w:ind w:firstLine="0" w:firstLineChars="0"/>
              <w:jc w:val="center"/>
              <w:rPr>
                <w:rFonts w:hint="eastAsia" w:eastAsia="宋体"/>
                <w:color w:val="auto"/>
                <w:sz w:val="21"/>
                <w:szCs w:val="21"/>
                <w:highlight w:val="none"/>
                <w:lang w:eastAsia="zh-CN"/>
              </w:rPr>
            </w:pPr>
            <w:r>
              <w:rPr>
                <w:rFonts w:hint="eastAsia" w:ascii="Times New Roman" w:hAnsi="Times New Roman"/>
                <w:color w:val="auto"/>
                <w:sz w:val="21"/>
                <w:szCs w:val="21"/>
                <w:highlight w:val="none"/>
                <w:lang w:val="en-US" w:eastAsia="zh-CN"/>
              </w:rPr>
              <w:t>0.15t/a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376" w:type="dxa"/>
            <w:gridSpan w:val="2"/>
            <w:shd w:val="clear" w:color="auto" w:fill="auto"/>
            <w:vAlign w:val="center"/>
          </w:tcPr>
          <w:p>
            <w:pPr>
              <w:pStyle w:val="17"/>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道路运输</w:t>
            </w:r>
          </w:p>
        </w:tc>
        <w:tc>
          <w:tcPr>
            <w:tcW w:w="715" w:type="dxa"/>
            <w:gridSpan w:val="2"/>
            <w:shd w:val="clear" w:color="auto" w:fill="auto"/>
            <w:vAlign w:val="center"/>
          </w:tcPr>
          <w:p>
            <w:pPr>
              <w:pStyle w:val="17"/>
              <w:ind w:firstLine="0" w:firstLineChars="0"/>
              <w:jc w:val="center"/>
              <w:rPr>
                <w:rFonts w:hint="eastAsia" w:eastAsia="宋体"/>
                <w:color w:val="auto"/>
                <w:highlight w:val="none"/>
                <w:lang w:eastAsia="zh-CN"/>
              </w:rPr>
            </w:pPr>
            <w:r>
              <w:rPr>
                <w:rFonts w:hint="eastAsia"/>
                <w:color w:val="auto"/>
                <w:highlight w:val="none"/>
                <w:lang w:eastAsia="zh-CN"/>
              </w:rPr>
              <w:t>粉尘</w:t>
            </w:r>
          </w:p>
        </w:tc>
        <w:tc>
          <w:tcPr>
            <w:tcW w:w="3495" w:type="dxa"/>
            <w:shd w:val="clear" w:color="auto" w:fill="auto"/>
            <w:vAlign w:val="center"/>
          </w:tcPr>
          <w:p>
            <w:pPr>
              <w:pStyle w:val="17"/>
              <w:ind w:firstLine="0" w:firstLineChars="0"/>
              <w:jc w:val="center"/>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lang w:eastAsia="zh-CN"/>
              </w:rPr>
              <w:t>洒水降尘</w:t>
            </w:r>
          </w:p>
        </w:tc>
        <w:tc>
          <w:tcPr>
            <w:tcW w:w="1321" w:type="dxa"/>
            <w:vMerge w:val="continue"/>
            <w:shd w:val="clear" w:color="auto" w:fill="auto"/>
            <w:vAlign w:val="center"/>
          </w:tcPr>
          <w:p>
            <w:pPr>
              <w:pStyle w:val="17"/>
              <w:ind w:firstLine="0" w:firstLineChars="0"/>
              <w:jc w:val="center"/>
              <w:rPr>
                <w:rFonts w:hint="default" w:ascii="Times New Roman" w:hAnsi="Times New Roman"/>
                <w:color w:val="auto"/>
                <w:sz w:val="21"/>
                <w:szCs w:val="21"/>
                <w:highlight w:val="none"/>
                <w:lang w:val="en-US" w:eastAsia="zh-CN"/>
              </w:rPr>
            </w:pPr>
          </w:p>
        </w:tc>
        <w:tc>
          <w:tcPr>
            <w:tcW w:w="1013" w:type="dxa"/>
            <w:shd w:val="clear" w:color="auto" w:fill="auto"/>
            <w:vAlign w:val="center"/>
          </w:tcPr>
          <w:p>
            <w:pPr>
              <w:pStyle w:val="17"/>
              <w:ind w:firstLine="0" w:firstLineChars="0"/>
              <w:jc w:val="center"/>
              <w:rPr>
                <w:rFonts w:hint="eastAsia" w:eastAsia="宋体"/>
                <w:color w:val="auto"/>
                <w:sz w:val="21"/>
                <w:szCs w:val="21"/>
                <w:highlight w:val="none"/>
                <w:lang w:eastAsia="zh-CN"/>
              </w:rPr>
            </w:pPr>
            <w:r>
              <w:rPr>
                <w:rFonts w:hint="eastAsia" w:ascii="Times New Roman" w:hAnsi="Times New Roman"/>
                <w:color w:val="auto"/>
                <w:sz w:val="21"/>
                <w:szCs w:val="21"/>
                <w:highlight w:val="none"/>
                <w:lang w:val="en-US" w:eastAsia="zh-CN"/>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376" w:type="dxa"/>
            <w:gridSpan w:val="2"/>
            <w:shd w:val="clear" w:color="auto" w:fill="auto"/>
            <w:vAlign w:val="center"/>
          </w:tcPr>
          <w:p>
            <w:pPr>
              <w:pStyle w:val="17"/>
              <w:ind w:firstLine="0" w:firstLineChars="0"/>
              <w:jc w:val="center"/>
              <w:rPr>
                <w:rFonts w:hint="eastAsia" w:ascii="Times New Roman" w:hAnsi="Times New Roman"/>
                <w:color w:val="auto"/>
                <w:sz w:val="21"/>
                <w:szCs w:val="21"/>
                <w:highlight w:val="none"/>
                <w:lang w:eastAsia="zh-CN"/>
              </w:rPr>
            </w:pPr>
            <w:r>
              <w:rPr>
                <w:rFonts w:hint="eastAsia" w:ascii="Times New Roman" w:hAnsi="Times New Roman"/>
                <w:color w:val="auto"/>
                <w:sz w:val="21"/>
                <w:szCs w:val="21"/>
                <w:highlight w:val="none"/>
                <w:lang w:eastAsia="zh-CN"/>
              </w:rPr>
              <w:t>排土场</w:t>
            </w:r>
          </w:p>
        </w:tc>
        <w:tc>
          <w:tcPr>
            <w:tcW w:w="715" w:type="dxa"/>
            <w:gridSpan w:val="2"/>
            <w:shd w:val="clear" w:color="auto" w:fill="auto"/>
            <w:vAlign w:val="center"/>
          </w:tcPr>
          <w:p>
            <w:pPr>
              <w:pStyle w:val="17"/>
              <w:ind w:firstLine="0" w:firstLineChars="0"/>
              <w:jc w:val="center"/>
              <w:rPr>
                <w:rFonts w:hint="eastAsia" w:eastAsia="宋体"/>
                <w:color w:val="auto"/>
                <w:highlight w:val="none"/>
                <w:lang w:eastAsia="zh-CN"/>
              </w:rPr>
            </w:pPr>
            <w:r>
              <w:rPr>
                <w:rFonts w:hint="eastAsia"/>
                <w:color w:val="auto"/>
                <w:highlight w:val="none"/>
                <w:lang w:eastAsia="zh-CN"/>
              </w:rPr>
              <w:t>粉尘</w:t>
            </w:r>
          </w:p>
        </w:tc>
        <w:tc>
          <w:tcPr>
            <w:tcW w:w="3495" w:type="dxa"/>
            <w:shd w:val="clear" w:color="auto" w:fill="auto"/>
            <w:vAlign w:val="center"/>
          </w:tcPr>
          <w:p>
            <w:pPr>
              <w:pStyle w:val="17"/>
              <w:ind w:firstLine="0" w:firstLineChars="0"/>
              <w:jc w:val="center"/>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yellow"/>
                <w:lang w:eastAsia="zh-CN"/>
              </w:rPr>
              <w:t>洒水降尘、防尘网覆盖</w:t>
            </w:r>
          </w:p>
        </w:tc>
        <w:tc>
          <w:tcPr>
            <w:tcW w:w="1321" w:type="dxa"/>
            <w:vMerge w:val="continue"/>
            <w:shd w:val="clear" w:color="auto" w:fill="auto"/>
            <w:vAlign w:val="center"/>
          </w:tcPr>
          <w:p>
            <w:pPr>
              <w:pStyle w:val="17"/>
              <w:ind w:firstLine="0" w:firstLineChars="0"/>
              <w:jc w:val="center"/>
              <w:rPr>
                <w:rFonts w:hint="default" w:ascii="Times New Roman" w:hAnsi="Times New Roman"/>
                <w:color w:val="auto"/>
                <w:sz w:val="21"/>
                <w:szCs w:val="21"/>
                <w:highlight w:val="none"/>
                <w:lang w:val="en-US" w:eastAsia="zh-CN"/>
              </w:rPr>
            </w:pPr>
          </w:p>
        </w:tc>
        <w:tc>
          <w:tcPr>
            <w:tcW w:w="1013" w:type="dxa"/>
            <w:shd w:val="clear" w:color="auto" w:fill="auto"/>
            <w:vAlign w:val="center"/>
          </w:tcPr>
          <w:p>
            <w:pPr>
              <w:pStyle w:val="17"/>
              <w:ind w:firstLine="0" w:firstLineChars="0"/>
              <w:jc w:val="center"/>
              <w:rPr>
                <w:rFonts w:hint="eastAsia" w:eastAsia="宋体"/>
                <w:color w:val="auto"/>
                <w:sz w:val="21"/>
                <w:szCs w:val="21"/>
                <w:highlight w:val="none"/>
                <w:lang w:eastAsia="zh-CN"/>
              </w:rPr>
            </w:pPr>
            <w:r>
              <w:rPr>
                <w:rFonts w:hint="eastAsia" w:ascii="Times New Roman" w:hAnsi="Times New Roman"/>
                <w:color w:val="auto"/>
                <w:sz w:val="21"/>
                <w:szCs w:val="21"/>
                <w:highlight w:val="none"/>
                <w:lang w:val="en-US" w:eastAsia="zh-CN"/>
              </w:rPr>
              <w:t>0.0135t/a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2381" w:type="dxa"/>
            <w:gridSpan w:val="3"/>
            <w:shd w:val="clear" w:color="auto" w:fill="auto"/>
            <w:vAlign w:val="center"/>
          </w:tcPr>
          <w:p>
            <w:pPr>
              <w:pStyle w:val="17"/>
              <w:ind w:firstLine="0" w:firstLineChars="0"/>
              <w:jc w:val="center"/>
              <w:rPr>
                <w:rFonts w:hint="default" w:ascii="Times New Roman" w:hAnsi="Times New Roman" w:eastAsia="宋体"/>
                <w:b/>
                <w:bCs/>
                <w:color w:val="auto"/>
                <w:sz w:val="21"/>
                <w:szCs w:val="21"/>
                <w:highlight w:val="none"/>
                <w:lang w:val="en-US" w:eastAsia="zh-CN"/>
              </w:rPr>
            </w:pPr>
            <w:r>
              <w:rPr>
                <w:rFonts w:hint="eastAsia" w:ascii="Times New Roman" w:hAnsi="Times New Roman"/>
                <w:b/>
                <w:bCs/>
                <w:color w:val="auto"/>
                <w:sz w:val="21"/>
                <w:szCs w:val="21"/>
                <w:highlight w:val="none"/>
                <w:lang w:val="en-US" w:eastAsia="zh-CN"/>
              </w:rPr>
              <w:t>无组织排放总计</w:t>
            </w:r>
          </w:p>
        </w:tc>
        <w:tc>
          <w:tcPr>
            <w:tcW w:w="4205" w:type="dxa"/>
            <w:gridSpan w:val="2"/>
            <w:shd w:val="clear" w:color="auto" w:fill="auto"/>
            <w:vAlign w:val="center"/>
          </w:tcPr>
          <w:p>
            <w:pPr>
              <w:pStyle w:val="17"/>
              <w:ind w:firstLine="0" w:firstLineChars="0"/>
              <w:jc w:val="center"/>
              <w:rPr>
                <w:rFonts w:hint="eastAsia" w:ascii="Times New Roman" w:hAnsi="Times New Roman"/>
                <w:b/>
                <w:bCs/>
                <w:color w:val="auto"/>
                <w:sz w:val="21"/>
                <w:szCs w:val="21"/>
                <w:highlight w:val="none"/>
                <w:lang w:val="en-US" w:eastAsia="zh-CN"/>
              </w:rPr>
            </w:pPr>
            <w:r>
              <w:rPr>
                <w:rFonts w:hint="eastAsia" w:ascii="Times New Roman" w:hAnsi="Times New Roman"/>
                <w:b/>
                <w:bCs/>
                <w:color w:val="auto"/>
                <w:sz w:val="21"/>
                <w:szCs w:val="21"/>
                <w:highlight w:val="none"/>
                <w:lang w:val="en-US" w:eastAsia="zh-CN"/>
              </w:rPr>
              <w:t>颗粒物</w:t>
            </w:r>
          </w:p>
        </w:tc>
        <w:tc>
          <w:tcPr>
            <w:tcW w:w="1321" w:type="dxa"/>
            <w:vMerge w:val="continue"/>
            <w:shd w:val="clear" w:color="auto" w:fill="auto"/>
            <w:vAlign w:val="center"/>
          </w:tcPr>
          <w:p>
            <w:pPr>
              <w:pStyle w:val="17"/>
              <w:ind w:firstLine="0" w:firstLineChars="0"/>
              <w:jc w:val="center"/>
              <w:rPr>
                <w:rFonts w:ascii="Times New Roman" w:hAnsi="Times New Roman"/>
                <w:b/>
                <w:bCs/>
                <w:color w:val="auto"/>
                <w:sz w:val="21"/>
                <w:szCs w:val="21"/>
                <w:highlight w:val="none"/>
              </w:rPr>
            </w:pPr>
          </w:p>
        </w:tc>
        <w:tc>
          <w:tcPr>
            <w:tcW w:w="1013" w:type="dxa"/>
            <w:shd w:val="clear" w:color="auto" w:fill="auto"/>
            <w:vAlign w:val="center"/>
          </w:tcPr>
          <w:p>
            <w:pPr>
              <w:pStyle w:val="17"/>
              <w:ind w:firstLine="0" w:firstLineChars="0"/>
              <w:jc w:val="center"/>
              <w:rPr>
                <w:rFonts w:hint="default" w:eastAsia="宋体"/>
                <w:color w:val="auto"/>
                <w:sz w:val="21"/>
                <w:szCs w:val="21"/>
                <w:highlight w:val="none"/>
                <w:lang w:val="en-US" w:eastAsia="zh-CN"/>
              </w:rPr>
            </w:pPr>
            <w:r>
              <w:rPr>
                <w:rFonts w:hint="eastAsia" w:ascii="Times New Roman" w:hAnsi="Times New Roman"/>
                <w:b/>
                <w:bCs/>
                <w:color w:val="auto"/>
                <w:sz w:val="21"/>
                <w:szCs w:val="21"/>
                <w:highlight w:val="none"/>
                <w:lang w:val="en-US" w:eastAsia="zh-CN"/>
              </w:rPr>
              <w:t>1.25</w:t>
            </w:r>
            <w:r>
              <w:rPr>
                <w:rFonts w:hint="eastAsia" w:ascii="Times New Roman" w:hAnsi="Times New Roman"/>
                <w:b/>
                <w:bCs/>
                <w:color w:val="auto"/>
                <w:sz w:val="21"/>
                <w:szCs w:val="21"/>
                <w:highlight w:val="none"/>
              </w:rPr>
              <w:t>t/a</w:t>
            </w:r>
          </w:p>
        </w:tc>
      </w:tr>
    </w:tbl>
    <w:p>
      <w:pPr>
        <w:pStyle w:val="17"/>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3）项目大气污染物年排放量核算</w:t>
      </w:r>
    </w:p>
    <w:p>
      <w:pPr>
        <w:pStyle w:val="17"/>
        <w:rPr>
          <w:rFonts w:hint="eastAsia" w:ascii="Times New Roman" w:hAnsi="Times New Roman"/>
          <w:color w:val="auto"/>
          <w:highlight w:val="none"/>
          <w:lang w:eastAsia="zh-CN"/>
        </w:rPr>
      </w:pPr>
      <w:r>
        <w:rPr>
          <w:rFonts w:hint="eastAsia" w:ascii="Times New Roman" w:hAnsi="Times New Roman"/>
          <w:color w:val="auto"/>
          <w:highlight w:val="none"/>
          <w:lang w:eastAsia="zh-CN"/>
        </w:rPr>
        <w:t>本项目大气污染物年排放量包括项目各有组织排放源和无组织排放源排放量之和，排放量核算表见表</w:t>
      </w:r>
      <w:r>
        <w:rPr>
          <w:rFonts w:hint="eastAsia" w:ascii="Times New Roman" w:hAnsi="Times New Roman"/>
          <w:color w:val="auto"/>
          <w:highlight w:val="none"/>
          <w:lang w:val="en-US" w:eastAsia="zh-CN"/>
        </w:rPr>
        <w:t>6.2-10</w:t>
      </w:r>
      <w:r>
        <w:rPr>
          <w:rFonts w:hint="eastAsia" w:ascii="Times New Roman" w:hAnsi="Times New Roman"/>
          <w:color w:val="auto"/>
          <w:highlight w:val="none"/>
          <w:lang w:eastAsia="zh-CN"/>
        </w:rPr>
        <w:t>。</w:t>
      </w:r>
    </w:p>
    <w:p>
      <w:pPr>
        <w:pStyle w:val="17"/>
        <w:jc w:val="center"/>
        <w:rPr>
          <w:rFonts w:hint="default" w:ascii="Times New Roman" w:hAnsi="Times New Roman"/>
          <w:b/>
          <w:bCs/>
          <w:color w:val="auto"/>
          <w:sz w:val="21"/>
          <w:szCs w:val="21"/>
          <w:highlight w:val="none"/>
          <w:lang w:val="en-US" w:eastAsia="zh-CN"/>
        </w:rPr>
      </w:pPr>
      <w:r>
        <w:rPr>
          <w:rFonts w:hint="eastAsia" w:ascii="Times New Roman" w:hAnsi="Times New Roman"/>
          <w:b/>
          <w:bCs/>
          <w:color w:val="auto"/>
          <w:sz w:val="21"/>
          <w:szCs w:val="21"/>
          <w:highlight w:val="none"/>
          <w:lang w:eastAsia="zh-CN"/>
        </w:rPr>
        <w:t>表</w:t>
      </w:r>
      <w:r>
        <w:rPr>
          <w:rFonts w:hint="eastAsia" w:ascii="Times New Roman" w:hAnsi="Times New Roman"/>
          <w:b/>
          <w:bCs/>
          <w:color w:val="auto"/>
          <w:sz w:val="21"/>
          <w:szCs w:val="21"/>
          <w:highlight w:val="none"/>
          <w:lang w:val="en-US" w:eastAsia="zh-CN"/>
        </w:rPr>
        <w:t>6.2-10  大气污染物年排放量核算表</w:t>
      </w:r>
    </w:p>
    <w:tbl>
      <w:tblPr>
        <w:tblStyle w:val="30"/>
        <w:tblW w:w="92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7"/>
        <w:gridCol w:w="3098"/>
        <w:gridCol w:w="3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7" w:type="dxa"/>
            <w:vAlign w:val="center"/>
          </w:tcPr>
          <w:p>
            <w:pPr>
              <w:pStyle w:val="17"/>
              <w:ind w:left="0" w:leftChars="0" w:firstLine="0" w:firstLineChars="0"/>
              <w:jc w:val="center"/>
              <w:rPr>
                <w:rFonts w:hint="eastAsia" w:ascii="Times New Roman" w:hAnsi="Times New Roman"/>
                <w:color w:val="auto"/>
                <w:sz w:val="21"/>
                <w:szCs w:val="21"/>
                <w:highlight w:val="none"/>
                <w:vertAlign w:val="baseline"/>
                <w:lang w:eastAsia="zh-CN"/>
              </w:rPr>
            </w:pPr>
            <w:r>
              <w:rPr>
                <w:rFonts w:hint="eastAsia" w:ascii="Times New Roman" w:hAnsi="Times New Roman"/>
                <w:color w:val="auto"/>
                <w:sz w:val="21"/>
                <w:szCs w:val="21"/>
                <w:highlight w:val="none"/>
                <w:vertAlign w:val="baseline"/>
                <w:lang w:eastAsia="zh-CN"/>
              </w:rPr>
              <w:t>序号</w:t>
            </w:r>
          </w:p>
        </w:tc>
        <w:tc>
          <w:tcPr>
            <w:tcW w:w="3098" w:type="dxa"/>
            <w:vAlign w:val="center"/>
          </w:tcPr>
          <w:p>
            <w:pPr>
              <w:pStyle w:val="17"/>
              <w:ind w:left="0" w:leftChars="0" w:firstLine="0" w:firstLineChars="0"/>
              <w:jc w:val="center"/>
              <w:rPr>
                <w:rFonts w:hint="eastAsia" w:ascii="Times New Roman" w:hAnsi="Times New Roman"/>
                <w:color w:val="auto"/>
                <w:sz w:val="21"/>
                <w:szCs w:val="21"/>
                <w:highlight w:val="none"/>
                <w:vertAlign w:val="baseline"/>
                <w:lang w:eastAsia="zh-CN"/>
              </w:rPr>
            </w:pPr>
            <w:r>
              <w:rPr>
                <w:rFonts w:hint="eastAsia" w:ascii="Times New Roman" w:hAnsi="Times New Roman"/>
                <w:color w:val="auto"/>
                <w:sz w:val="21"/>
                <w:szCs w:val="21"/>
                <w:highlight w:val="none"/>
                <w:vertAlign w:val="baseline"/>
                <w:lang w:eastAsia="zh-CN"/>
              </w:rPr>
              <w:t>污染物</w:t>
            </w:r>
          </w:p>
        </w:tc>
        <w:tc>
          <w:tcPr>
            <w:tcW w:w="3098" w:type="dxa"/>
            <w:vAlign w:val="center"/>
          </w:tcPr>
          <w:p>
            <w:pPr>
              <w:pStyle w:val="17"/>
              <w:ind w:left="0" w:leftChars="0" w:firstLine="0" w:firstLineChars="0"/>
              <w:jc w:val="center"/>
              <w:rPr>
                <w:rFonts w:hint="default" w:ascii="Times New Roman" w:hAnsi="Times New Roman"/>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eastAsia="zh-CN"/>
              </w:rPr>
              <w:t>年排放量</w:t>
            </w:r>
            <w:r>
              <w:rPr>
                <w:rFonts w:hint="eastAsia" w:ascii="Times New Roman" w:hAnsi="Times New Roman"/>
                <w:color w:val="auto"/>
                <w:sz w:val="21"/>
                <w:szCs w:val="21"/>
                <w:highlight w:val="none"/>
                <w:vertAlign w:val="baseline"/>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7" w:type="dxa"/>
            <w:vAlign w:val="center"/>
          </w:tcPr>
          <w:p>
            <w:pPr>
              <w:pStyle w:val="17"/>
              <w:ind w:left="0" w:leftChars="0" w:firstLine="0" w:firstLineChars="0"/>
              <w:jc w:val="center"/>
              <w:rPr>
                <w:rFonts w:hint="default" w:ascii="Times New Roman" w:hAnsi="Times New Roman"/>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1</w:t>
            </w:r>
          </w:p>
        </w:tc>
        <w:tc>
          <w:tcPr>
            <w:tcW w:w="3098" w:type="dxa"/>
            <w:vAlign w:val="center"/>
          </w:tcPr>
          <w:p>
            <w:pPr>
              <w:pStyle w:val="17"/>
              <w:ind w:left="0" w:leftChars="0" w:firstLine="0" w:firstLineChars="0"/>
              <w:jc w:val="center"/>
              <w:rPr>
                <w:rFonts w:hint="default" w:ascii="Times New Roman" w:hAnsi="Times New Roman"/>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颗粒物</w:t>
            </w:r>
          </w:p>
        </w:tc>
        <w:tc>
          <w:tcPr>
            <w:tcW w:w="3098" w:type="dxa"/>
            <w:vAlign w:val="center"/>
          </w:tcPr>
          <w:p>
            <w:pPr>
              <w:pStyle w:val="17"/>
              <w:ind w:left="0" w:leftChars="0" w:firstLine="0" w:firstLineChars="0"/>
              <w:jc w:val="center"/>
              <w:rPr>
                <w:rFonts w:hint="default" w:ascii="Times New Roman" w:hAnsi="Times New Roman"/>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1.2657</w:t>
            </w:r>
          </w:p>
        </w:tc>
      </w:tr>
    </w:tbl>
    <w:p>
      <w:pPr>
        <w:pStyle w:val="17"/>
        <w:rPr>
          <w:rFonts w:hint="default" w:ascii="Times New Roman" w:hAnsi="Times New Roman"/>
          <w:b/>
          <w:bCs/>
          <w:color w:val="auto"/>
          <w:highlight w:val="none"/>
          <w:lang w:val="en-US" w:eastAsia="zh-CN"/>
        </w:rPr>
      </w:pPr>
      <w:r>
        <w:rPr>
          <w:rFonts w:hint="eastAsia" w:ascii="Times New Roman" w:hAnsi="Times New Roman"/>
          <w:b/>
          <w:bCs/>
          <w:color w:val="auto"/>
          <w:highlight w:val="none"/>
          <w:lang w:val="en-US" w:eastAsia="zh-CN"/>
        </w:rPr>
        <w:t>2、外部道路运输影响分析</w:t>
      </w:r>
    </w:p>
    <w:p>
      <w:pPr>
        <w:pStyle w:val="17"/>
        <w:rPr>
          <w:rFonts w:hint="eastAsia" w:ascii="Times New Roman" w:hAnsi="Times New Roman"/>
          <w:color w:val="auto"/>
          <w:highlight w:val="none"/>
          <w:lang w:eastAsia="zh-CN"/>
        </w:rPr>
      </w:pPr>
      <w:r>
        <w:rPr>
          <w:rFonts w:hint="eastAsia" w:ascii="Times New Roman" w:hAnsi="Times New Roman"/>
          <w:color w:val="auto"/>
          <w:highlight w:val="none"/>
          <w:lang w:eastAsia="zh-CN"/>
        </w:rPr>
        <w:t>项目矿山开采加工的石料采用汽车通过矿区公路向外运输，道路运输的过程中会产生粉尘，粉尘产生量与道路情况、风速、车速、车况等因素有关。该项目由于运输量较大，因此为了防止外部运输对沿途居民的影响，项目出厂区的运输车辆均要进行加盖篷布、汽车轮胎过水；在日常工作中，建设单位建立环保管理机构，对外部运输的车辆进行检查，防治砂石泼洒，对运输道路进行维护和清扫，保证运输道路的清洁度，加强对运输车辆的管理，保证运输车辆低速、匀速行驶。采取以上措施后，道路运输粉尘对环境影响不大。</w:t>
      </w:r>
    </w:p>
    <w:p>
      <w:pPr>
        <w:pStyle w:val="17"/>
        <w:rPr>
          <w:rFonts w:hint="default" w:ascii="Times New Roman" w:hAnsi="Times New Roman"/>
          <w:color w:val="auto"/>
          <w:highlight w:val="none"/>
          <w:lang w:val="en-US" w:eastAsia="zh-CN"/>
        </w:rPr>
      </w:pPr>
      <w:r>
        <w:rPr>
          <w:rFonts w:hint="eastAsia" w:ascii="Times New Roman" w:hAnsi="Times New Roman"/>
          <w:b/>
          <w:bCs/>
          <w:color w:val="auto"/>
          <w:highlight w:val="none"/>
          <w:lang w:val="en-US" w:eastAsia="zh-CN"/>
        </w:rPr>
        <w:t>3、爆破废气环境影响分析</w:t>
      </w:r>
    </w:p>
    <w:p>
      <w:pPr>
        <w:pStyle w:val="17"/>
        <w:rPr>
          <w:rFonts w:hint="eastAsia" w:ascii="Times New Roman" w:hAnsi="Times New Roman"/>
          <w:color w:val="auto"/>
          <w:highlight w:val="none"/>
          <w:lang w:eastAsia="zh-CN"/>
        </w:rPr>
      </w:pPr>
      <w:r>
        <w:rPr>
          <w:rFonts w:hint="eastAsia" w:ascii="Times New Roman" w:hAnsi="Times New Roman"/>
          <w:color w:val="auto"/>
          <w:highlight w:val="none"/>
          <w:lang w:eastAsia="zh-CN"/>
        </w:rPr>
        <w:t>根据工程分析可知，该项目在开采过程中，需要采用炸药微差爆破工艺，爆破工作由民爆部门负责组织实施，爆破过程会产生一定量的废气，废气除少量的扬尘外，还有炸药爆炸过程产生的 NOx、CO等废气，呈无组织排放；产生量较小。项目爆破所在区域为农村地区、大气环境容量大、作业范围相对较大、周围扩散较好，废气在大气环境中自然扩散降解后，对评价区域空气质量影响不大。</w:t>
      </w:r>
    </w:p>
    <w:p>
      <w:pPr>
        <w:pStyle w:val="17"/>
        <w:rPr>
          <w:rFonts w:hint="default" w:ascii="Times New Roman" w:hAnsi="Times New Roman"/>
          <w:color w:val="auto"/>
          <w:highlight w:val="none"/>
          <w:lang w:val="en-US" w:eastAsia="zh-CN"/>
        </w:rPr>
      </w:pPr>
      <w:r>
        <w:rPr>
          <w:rFonts w:hint="eastAsia" w:ascii="Times New Roman" w:hAnsi="Times New Roman"/>
          <w:b/>
          <w:bCs/>
          <w:color w:val="auto"/>
          <w:highlight w:val="none"/>
          <w:lang w:val="en-US" w:eastAsia="zh-CN"/>
        </w:rPr>
        <w:t>4、设备废气和汽车尾气影响分析</w:t>
      </w:r>
    </w:p>
    <w:p>
      <w:pPr>
        <w:pStyle w:val="17"/>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color w:val="auto"/>
          <w:highlight w:val="none"/>
          <w:lang w:eastAsia="zh-CN"/>
        </w:rPr>
        <w:t>生产设备运行和运输车辆产生的尾气，也是影响大气环境的污染物之一。施工机械和运输车辆使用汽油或柴油作能源，外排尾气中主要是燃油烟气，其成分包括非甲烷总烃、CO和NO</w:t>
      </w:r>
      <w:r>
        <w:rPr>
          <w:rFonts w:hint="eastAsia" w:ascii="Times New Roman" w:hAnsi="Times New Roman"/>
          <w:color w:val="auto"/>
          <w:highlight w:val="none"/>
          <w:vertAlign w:val="subscript"/>
          <w:lang w:eastAsia="zh-CN"/>
        </w:rPr>
        <w:t>X</w:t>
      </w:r>
      <w:r>
        <w:rPr>
          <w:rFonts w:hint="eastAsia" w:ascii="Times New Roman" w:hAnsi="Times New Roman"/>
          <w:color w:val="auto"/>
          <w:highlight w:val="none"/>
          <w:lang w:eastAsia="zh-CN"/>
        </w:rPr>
        <w:t>。该项目开采规模较小，使用施工机械和运输车辆较少，燃油外排废气量不大，且所在区域为农村地区、大气环境容量大、作业范围相对较大、周围扩散较好，废气在大气环境中自然扩散降解后，对评价区域空气质量影响不大。为减少柴油废气的排放对大气环境造成的影响，项目需采用含硫量低的轻质柴油，选择达标排放的车辆，注意运输车辆的保养。</w:t>
      </w:r>
    </w:p>
    <w:p>
      <w:pPr>
        <w:keepNext w:val="0"/>
        <w:keepLines w:val="0"/>
        <w:widowControl/>
        <w:suppressLineNumbers w:val="0"/>
        <w:jc w:val="left"/>
        <w:rPr>
          <w:rFonts w:hint="default" w:ascii="Times New Roman" w:hAnsi="Times New Roman" w:eastAsia="宋体" w:cs="Times New Roman"/>
          <w:b/>
          <w:bCs/>
          <w:color w:val="auto"/>
          <w:kern w:val="0"/>
          <w:sz w:val="24"/>
          <w:szCs w:val="24"/>
          <w:highlight w:val="none"/>
          <w:lang w:val="en-US" w:eastAsia="zh-CN" w:bidi="ar"/>
        </w:rPr>
      </w:pPr>
      <w:r>
        <w:rPr>
          <w:rFonts w:hint="eastAsia" w:cs="Times New Roman"/>
          <w:b/>
          <w:bCs/>
          <w:color w:val="auto"/>
          <w:kern w:val="0"/>
          <w:sz w:val="24"/>
          <w:szCs w:val="24"/>
          <w:highlight w:val="none"/>
          <w:lang w:val="en-US" w:eastAsia="zh-CN" w:bidi="ar"/>
        </w:rPr>
        <w:t>大气环境影响</w:t>
      </w:r>
      <w:r>
        <w:rPr>
          <w:rFonts w:hint="default" w:ascii="Times New Roman" w:hAnsi="Times New Roman" w:eastAsia="宋体" w:cs="Times New Roman"/>
          <w:b/>
          <w:bCs/>
          <w:color w:val="auto"/>
          <w:kern w:val="0"/>
          <w:sz w:val="24"/>
          <w:szCs w:val="24"/>
          <w:highlight w:val="none"/>
          <w:lang w:val="en-US" w:eastAsia="zh-CN" w:bidi="ar"/>
        </w:rPr>
        <w:t>结论</w:t>
      </w:r>
      <w:r>
        <w:rPr>
          <w:rFonts w:hint="eastAsia" w:cs="Times New Roman"/>
          <w:b/>
          <w:bCs/>
          <w:color w:val="auto"/>
          <w:kern w:val="0"/>
          <w:sz w:val="24"/>
          <w:szCs w:val="24"/>
          <w:highlight w:val="none"/>
          <w:lang w:val="en-US" w:eastAsia="zh-CN" w:bidi="ar"/>
        </w:rPr>
        <w:t>：</w:t>
      </w:r>
    </w:p>
    <w:p>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综上所述，项目所在区域属于达标区，</w:t>
      </w:r>
      <w:r>
        <w:rPr>
          <w:rFonts w:hint="eastAsia" w:ascii="宋体" w:hAnsi="宋体" w:cs="宋体"/>
          <w:color w:val="auto"/>
          <w:kern w:val="0"/>
          <w:sz w:val="24"/>
          <w:szCs w:val="24"/>
          <w:highlight w:val="none"/>
          <w:lang w:val="en-US" w:eastAsia="zh-CN" w:bidi="ar"/>
        </w:rPr>
        <w:t>本项目外排</w:t>
      </w:r>
      <w:r>
        <w:rPr>
          <w:rFonts w:hint="eastAsia" w:ascii="宋体" w:hAnsi="宋体" w:eastAsia="宋体" w:cs="宋体"/>
          <w:color w:val="auto"/>
          <w:kern w:val="0"/>
          <w:sz w:val="24"/>
          <w:szCs w:val="24"/>
          <w:highlight w:val="none"/>
          <w:lang w:val="en-US" w:eastAsia="zh-CN" w:bidi="ar"/>
        </w:rPr>
        <w:t>污染物短期浓度贡献值的最大浓度占标率均</w:t>
      </w:r>
      <w:r>
        <w:rPr>
          <w:rFonts w:hint="default" w:ascii="TimesNewRomanPSMT" w:hAnsi="TimesNewRomanPSMT" w:eastAsia="TimesNewRomanPSMT" w:cs="TimesNewRomanPSMT"/>
          <w:color w:val="auto"/>
          <w:kern w:val="0"/>
          <w:sz w:val="24"/>
          <w:szCs w:val="24"/>
          <w:highlight w:val="none"/>
          <w:lang w:val="en-US" w:eastAsia="zh-CN" w:bidi="ar"/>
        </w:rPr>
        <w:t>≤10%</w:t>
      </w:r>
      <w:r>
        <w:rPr>
          <w:rFonts w:hint="eastAsia" w:ascii="TimesNewRomanPSMT" w:hAnsi="TimesNewRomanPSMT" w:eastAsia="TimesNewRomanPSMT" w:cs="TimesNewRomanPSMT"/>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大气环境影响可以接受</w:t>
      </w:r>
      <w:r>
        <w:rPr>
          <w:rFonts w:hint="eastAsia" w:ascii="宋体" w:hAnsi="宋体" w:cs="宋体"/>
          <w:color w:val="auto"/>
          <w:kern w:val="0"/>
          <w:sz w:val="24"/>
          <w:szCs w:val="24"/>
          <w:highlight w:val="none"/>
          <w:lang w:val="en-US" w:eastAsia="zh-CN" w:bidi="ar"/>
        </w:rPr>
        <w:t>。</w:t>
      </w:r>
    </w:p>
    <w:p>
      <w:pPr>
        <w:keepNext w:val="0"/>
        <w:keepLines w:val="0"/>
        <w:widowControl/>
        <w:suppressLineNumbers w:val="0"/>
        <w:ind w:left="0" w:leftChars="0" w:firstLine="0" w:firstLineChars="0"/>
        <w:jc w:val="left"/>
        <w:rPr>
          <w:rFonts w:hint="eastAsia" w:ascii="宋体" w:hAnsi="宋体" w:eastAsia="宋体" w:cs="宋体"/>
          <w:color w:val="auto"/>
          <w:kern w:val="0"/>
          <w:sz w:val="24"/>
          <w:szCs w:val="24"/>
          <w:highlight w:val="none"/>
          <w:lang w:val="en-US" w:eastAsia="zh-CN" w:bidi="ar"/>
        </w:rPr>
      </w:pPr>
      <w:r>
        <w:rPr>
          <w:rFonts w:hint="eastAsia" w:ascii="Times New Roman" w:hAnsi="Times New Roman" w:eastAsia="宋体" w:cs="Times New Roman"/>
          <w:b/>
          <w:kern w:val="0"/>
          <w:sz w:val="28"/>
          <w:szCs w:val="27"/>
          <w:highlight w:val="none"/>
          <w:lang w:val="en-US" w:eastAsia="zh-CN" w:bidi="ar-SA"/>
        </w:rPr>
        <w:t>6</w:t>
      </w:r>
      <w:r>
        <w:rPr>
          <w:rFonts w:hint="default" w:ascii="Times New Roman" w:hAnsi="Times New Roman" w:eastAsia="宋体" w:cs="Times New Roman"/>
          <w:b/>
          <w:kern w:val="0"/>
          <w:sz w:val="28"/>
          <w:szCs w:val="27"/>
          <w:highlight w:val="none"/>
          <w:lang w:val="en-US" w:eastAsia="zh-CN" w:bidi="ar-SA"/>
        </w:rPr>
        <w:t>.2.</w:t>
      </w:r>
      <w:r>
        <w:rPr>
          <w:rFonts w:hint="eastAsia" w:ascii="Times New Roman" w:hAnsi="Times New Roman" w:eastAsia="宋体" w:cs="Times New Roman"/>
          <w:b/>
          <w:kern w:val="0"/>
          <w:sz w:val="28"/>
          <w:szCs w:val="27"/>
          <w:highlight w:val="none"/>
          <w:lang w:val="en-US" w:eastAsia="zh-CN" w:bidi="ar-SA"/>
        </w:rPr>
        <w:t>2</w:t>
      </w:r>
      <w:r>
        <w:rPr>
          <w:rFonts w:hint="default" w:ascii="Times New Roman" w:hAnsi="Times New Roman" w:eastAsia="宋体" w:cs="Times New Roman"/>
          <w:b/>
          <w:kern w:val="0"/>
          <w:sz w:val="28"/>
          <w:szCs w:val="27"/>
          <w:highlight w:val="none"/>
          <w:lang w:val="en-US" w:eastAsia="zh-CN" w:bidi="ar-SA"/>
        </w:rPr>
        <w:t>运营期</w:t>
      </w:r>
      <w:r>
        <w:rPr>
          <w:rFonts w:hint="eastAsia" w:ascii="Times New Roman" w:hAnsi="Times New Roman" w:eastAsia="宋体" w:cs="Times New Roman"/>
          <w:b/>
          <w:kern w:val="0"/>
          <w:sz w:val="28"/>
          <w:szCs w:val="27"/>
          <w:highlight w:val="none"/>
          <w:lang w:val="en-US" w:eastAsia="zh-CN" w:bidi="ar-SA"/>
        </w:rPr>
        <w:t>地表水</w:t>
      </w:r>
      <w:r>
        <w:rPr>
          <w:rFonts w:hint="default" w:ascii="Times New Roman" w:hAnsi="Times New Roman" w:eastAsia="宋体" w:cs="Times New Roman"/>
          <w:b/>
          <w:kern w:val="0"/>
          <w:sz w:val="28"/>
          <w:szCs w:val="27"/>
          <w:highlight w:val="none"/>
          <w:lang w:val="en-US" w:eastAsia="zh-CN" w:bidi="ar-SA"/>
        </w:rPr>
        <w:t>环境影响分析</w:t>
      </w:r>
    </w:p>
    <w:p>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在除尘过程中，用水全部进入石料，并在外界环境的因素影响下以各种方式蒸发、损失，项目除尘用水无废水产生，用水亦无循环量。项目投入运行之后， 废水主要源于露天采场及破碎场初期雨水</w:t>
      </w:r>
      <w:r>
        <w:rPr>
          <w:rFonts w:hint="eastAsia" w:ascii="宋体" w:hAnsi="宋体" w:cs="宋体"/>
          <w:color w:val="auto"/>
          <w:kern w:val="0"/>
          <w:sz w:val="24"/>
          <w:szCs w:val="24"/>
          <w:highlight w:val="none"/>
          <w:lang w:val="en-US" w:eastAsia="zh-CN" w:bidi="ar"/>
        </w:rPr>
        <w:t>和</w:t>
      </w:r>
      <w:r>
        <w:rPr>
          <w:rFonts w:hint="eastAsia" w:ascii="宋体" w:hAnsi="宋体" w:eastAsia="宋体" w:cs="宋体"/>
          <w:color w:val="auto"/>
          <w:kern w:val="0"/>
          <w:sz w:val="24"/>
          <w:szCs w:val="24"/>
          <w:highlight w:val="none"/>
          <w:lang w:val="en-US" w:eastAsia="zh-CN" w:bidi="ar"/>
        </w:rPr>
        <w:t>生活污水</w:t>
      </w:r>
      <w:r>
        <w:rPr>
          <w:rFonts w:hint="eastAsia" w:ascii="宋体" w:hAnsi="宋体" w:cs="宋体"/>
          <w:color w:val="auto"/>
          <w:kern w:val="0"/>
          <w:sz w:val="24"/>
          <w:szCs w:val="24"/>
          <w:highlight w:val="none"/>
          <w:lang w:val="en-US" w:eastAsia="zh-CN" w:bidi="ar"/>
        </w:rPr>
        <w:t>。</w:t>
      </w:r>
    </w:p>
    <w:p>
      <w:pPr>
        <w:ind w:firstLine="482"/>
        <w:rPr>
          <w:color w:val="auto"/>
          <w:highlight w:val="none"/>
        </w:rPr>
      </w:pPr>
      <w:r>
        <w:rPr>
          <w:rFonts w:hint="eastAsia"/>
          <w:b/>
          <w:bCs/>
          <w:color w:val="auto"/>
          <w:highlight w:val="none"/>
        </w:rPr>
        <w:t>生产废水：</w:t>
      </w:r>
      <w:r>
        <w:rPr>
          <w:rFonts w:hint="eastAsia"/>
          <w:color w:val="auto"/>
          <w:highlight w:val="none"/>
        </w:rPr>
        <w:t>本项生产用水在使用过程中全部蒸发损耗，无外排废水。</w:t>
      </w:r>
    </w:p>
    <w:p>
      <w:pPr>
        <w:ind w:firstLine="482"/>
        <w:rPr>
          <w:rFonts w:hint="eastAsia" w:ascii="宋体" w:hAnsi="宋体" w:cs="宋体"/>
          <w:color w:val="auto"/>
          <w:kern w:val="0"/>
          <w:highlight w:val="none"/>
        </w:rPr>
      </w:pPr>
      <w:r>
        <w:rPr>
          <w:rFonts w:hint="eastAsia"/>
          <w:b/>
          <w:bCs/>
          <w:color w:val="auto"/>
          <w:highlight w:val="none"/>
        </w:rPr>
        <w:t>生活废水：</w:t>
      </w:r>
      <w:r>
        <w:rPr>
          <w:rFonts w:hint="eastAsia"/>
          <w:color w:val="auto"/>
          <w:highlight w:val="none"/>
        </w:rPr>
        <w:t>本项目</w:t>
      </w:r>
      <w:r>
        <w:rPr>
          <w:rFonts w:hint="eastAsia"/>
          <w:color w:val="auto"/>
          <w:highlight w:val="none"/>
          <w:lang w:eastAsia="zh-CN"/>
        </w:rPr>
        <w:t>办公生活区设置旱厕，生活废水主要为洗手等清洗废水，经沉淀池收集沉淀后，用于矿区洒水降尘</w:t>
      </w:r>
      <w:r>
        <w:rPr>
          <w:rFonts w:hint="eastAsia"/>
          <w:color w:val="auto"/>
          <w:highlight w:val="none"/>
        </w:rPr>
        <w:t>不外排。</w:t>
      </w:r>
    </w:p>
    <w:p>
      <w:pPr>
        <w:ind w:firstLine="482"/>
        <w:rPr>
          <w:rFonts w:hint="eastAsia" w:ascii="宋体" w:hAnsi="宋体" w:cs="宋体"/>
          <w:color w:val="auto"/>
          <w:kern w:val="0"/>
          <w:highlight w:val="none"/>
        </w:rPr>
      </w:pPr>
      <w:r>
        <w:rPr>
          <w:rFonts w:hint="eastAsia" w:ascii="宋体" w:hAnsi="宋体" w:cs="宋体"/>
          <w:b/>
          <w:bCs/>
          <w:color w:val="auto"/>
          <w:kern w:val="0"/>
          <w:highlight w:val="none"/>
          <w:lang w:eastAsia="zh-CN"/>
        </w:rPr>
        <w:t>降雨径流：</w:t>
      </w:r>
      <w:r>
        <w:rPr>
          <w:rFonts w:hint="default" w:ascii="Times New Roman" w:hAnsi="Times New Roman" w:cs="Times New Roman"/>
          <w:color w:val="auto"/>
          <w:kern w:val="0"/>
          <w:highlight w:val="none"/>
          <w:lang w:eastAsia="zh-CN"/>
        </w:rPr>
        <w:t>本项目降雨</w:t>
      </w:r>
      <w:r>
        <w:rPr>
          <w:rFonts w:hint="eastAsia" w:cs="Times New Roman"/>
          <w:color w:val="auto"/>
          <w:kern w:val="0"/>
          <w:highlight w:val="none"/>
          <w:lang w:eastAsia="zh-CN"/>
        </w:rPr>
        <w:t>径流</w:t>
      </w:r>
      <w:r>
        <w:rPr>
          <w:rFonts w:hint="default" w:ascii="Times New Roman" w:hAnsi="Times New Roman" w:cs="Times New Roman"/>
          <w:color w:val="auto"/>
          <w:kern w:val="0"/>
          <w:highlight w:val="none"/>
          <w:lang w:eastAsia="zh-CN"/>
        </w:rPr>
        <w:t>收集进入矿区内设置的</w:t>
      </w:r>
      <w:r>
        <w:rPr>
          <w:rFonts w:hint="eastAsia" w:cs="Times New Roman"/>
          <w:color w:val="auto"/>
          <w:kern w:val="0"/>
          <w:highlight w:val="none"/>
          <w:lang w:val="en-US" w:eastAsia="zh-CN"/>
        </w:rPr>
        <w:t>沉淀池</w:t>
      </w:r>
      <w:r>
        <w:rPr>
          <w:rFonts w:hint="default" w:ascii="Times New Roman" w:hAnsi="Times New Roman" w:cs="Times New Roman"/>
          <w:color w:val="auto"/>
          <w:kern w:val="0"/>
          <w:highlight w:val="none"/>
          <w:lang w:val="en-US" w:eastAsia="zh-CN"/>
        </w:rPr>
        <w:t>，经沉淀后回用于矿区洒水降尘，不外排。</w:t>
      </w:r>
    </w:p>
    <w:p>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r>
        <w:rPr>
          <w:rFonts w:hint="eastAsia"/>
          <w:b w:val="0"/>
          <w:bCs w:val="0"/>
          <w:color w:val="auto"/>
          <w:highlight w:val="none"/>
          <w:lang w:eastAsia="zh-CN"/>
        </w:rPr>
        <w:t>综上，本项目运营期产生的废水均作为回水利用，不外排到外环境中，根据</w:t>
      </w:r>
      <w:r>
        <w:rPr>
          <w:rFonts w:hint="eastAsia" w:cs="Times New Roman"/>
          <w:color w:val="auto"/>
          <w:sz w:val="24"/>
          <w:highlight w:val="none"/>
          <w:lang w:val="en-US" w:eastAsia="zh-CN"/>
        </w:rPr>
        <w:t>《环境影响评价技术导则  地表水环境》（HJ2.3-2018）表1注10，本项目地表水评价等级为三级B，仅分析依托处理设施可行性分析和不外排可行性分析</w:t>
      </w:r>
      <w:r>
        <w:rPr>
          <w:rFonts w:hint="eastAsia" w:ascii="宋体" w:hAnsi="宋体" w:cs="宋体"/>
          <w:color w:val="auto"/>
          <w:kern w:val="0"/>
          <w:sz w:val="24"/>
          <w:szCs w:val="24"/>
          <w:highlight w:val="none"/>
          <w:lang w:val="en-US" w:eastAsia="zh-CN" w:bidi="ar"/>
        </w:rPr>
        <w:t>。</w:t>
      </w:r>
    </w:p>
    <w:p>
      <w:pPr>
        <w:keepNext w:val="0"/>
        <w:keepLines w:val="0"/>
        <w:widowControl/>
        <w:suppressLineNumbers w:val="0"/>
        <w:jc w:val="left"/>
        <w:rPr>
          <w:rFonts w:hint="default" w:ascii="宋体" w:hAnsi="宋体" w:eastAsia="宋体" w:cs="宋体"/>
          <w:color w:val="auto"/>
          <w:kern w:val="0"/>
          <w:sz w:val="24"/>
          <w:szCs w:val="24"/>
          <w:highlight w:val="none"/>
          <w:lang w:val="en-US" w:eastAsia="zh-CN" w:bidi="ar"/>
        </w:rPr>
      </w:pPr>
      <w:r>
        <w:rPr>
          <w:rFonts w:hint="eastAsia" w:ascii="宋体" w:hAnsi="宋体" w:cs="宋体"/>
          <w:b/>
          <w:bCs/>
          <w:color w:val="auto"/>
          <w:kern w:val="0"/>
          <w:sz w:val="24"/>
          <w:szCs w:val="24"/>
          <w:highlight w:val="none"/>
          <w:lang w:val="en-US" w:eastAsia="zh-CN" w:bidi="ar"/>
        </w:rPr>
        <w:t>1、初期雨水影响分析</w:t>
      </w:r>
    </w:p>
    <w:p>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项目产生的初期雨水主要是针对项目破碎场、采矿区等，由于项目生产作业过程中，采矿区地表附着粉尘，同时加工区的建筑物以及工业场地均会有粉尘、颗粒污染物吸附沉降在其表面，受到降雨的冲涮后，将随降雨形成的径流进入雨水中，综合表现为</w:t>
      </w:r>
      <w:r>
        <w:rPr>
          <w:rFonts w:hint="eastAsia" w:ascii="宋体" w:hAnsi="宋体" w:cs="宋体"/>
          <w:color w:val="auto"/>
          <w:kern w:val="0"/>
          <w:sz w:val="24"/>
          <w:szCs w:val="24"/>
          <w:highlight w:val="none"/>
          <w:lang w:val="en-US" w:eastAsia="zh-CN" w:bidi="ar"/>
        </w:rPr>
        <w:t>悬浮物</w:t>
      </w:r>
      <w:r>
        <w:rPr>
          <w:rFonts w:hint="eastAsia" w:ascii="宋体" w:hAnsi="宋体" w:eastAsia="宋体" w:cs="宋体"/>
          <w:color w:val="auto"/>
          <w:kern w:val="0"/>
          <w:sz w:val="24"/>
          <w:szCs w:val="24"/>
          <w:highlight w:val="none"/>
          <w:lang w:val="en-US" w:eastAsia="zh-CN" w:bidi="ar"/>
        </w:rPr>
        <w:t>影响，浓度为500mg/L。</w:t>
      </w:r>
    </w:p>
    <w:p>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根据工程分析，露天采场前30min最大降雨量3.07m³/次；破碎场前30min最大降雨量</w:t>
      </w:r>
      <w:r>
        <w:rPr>
          <w:rFonts w:hint="eastAsia" w:ascii="宋体" w:hAnsi="宋体" w:cs="宋体"/>
          <w:color w:val="auto"/>
          <w:kern w:val="0"/>
          <w:sz w:val="24"/>
          <w:szCs w:val="24"/>
          <w:highlight w:val="none"/>
          <w:lang w:val="en-US" w:eastAsia="zh-CN" w:bidi="ar"/>
        </w:rPr>
        <w:t>7.7</w:t>
      </w:r>
      <w:r>
        <w:rPr>
          <w:rFonts w:hint="eastAsia" w:ascii="宋体" w:hAnsi="宋体" w:eastAsia="宋体" w:cs="宋体"/>
          <w:color w:val="auto"/>
          <w:kern w:val="0"/>
          <w:sz w:val="24"/>
          <w:szCs w:val="24"/>
          <w:highlight w:val="none"/>
          <w:lang w:val="en-US" w:eastAsia="zh-CN" w:bidi="ar"/>
        </w:rPr>
        <w:t>m³/次。露天采场平台内侧设置截排水沟，将初期雨水引至1#初期雨水沉淀池进行沉淀处理；破碎场四周设置截排水沟，将初期雨水汇集至2#初期雨水沉淀池进行处理；1#初期雨水沉淀池位于露天采场东南面20m处，容积为</w:t>
      </w:r>
      <w:r>
        <w:rPr>
          <w:rFonts w:hint="eastAsia" w:ascii="宋体" w:hAnsi="宋体" w:cs="宋体"/>
          <w:color w:val="auto"/>
          <w:kern w:val="0"/>
          <w:sz w:val="24"/>
          <w:szCs w:val="24"/>
          <w:highlight w:val="none"/>
          <w:lang w:val="en-US" w:eastAsia="zh-CN" w:bidi="ar"/>
        </w:rPr>
        <w:t>30</w:t>
      </w:r>
      <w:r>
        <w:rPr>
          <w:rFonts w:hint="eastAsia" w:ascii="宋体" w:hAnsi="宋体" w:eastAsia="宋体" w:cs="宋体"/>
          <w:color w:val="auto"/>
          <w:kern w:val="0"/>
          <w:sz w:val="24"/>
          <w:szCs w:val="24"/>
          <w:highlight w:val="none"/>
          <w:lang w:val="en-US" w:eastAsia="zh-CN" w:bidi="ar"/>
        </w:rPr>
        <w:t>m</w:t>
      </w:r>
      <w:r>
        <w:rPr>
          <w:rFonts w:hint="eastAsia" w:ascii="宋体" w:hAnsi="宋体" w:eastAsia="宋体" w:cs="宋体"/>
          <w:color w:val="auto"/>
          <w:kern w:val="0"/>
          <w:sz w:val="24"/>
          <w:szCs w:val="24"/>
          <w:highlight w:val="none"/>
          <w:vertAlign w:val="superscript"/>
          <w:lang w:val="en-US" w:eastAsia="zh-CN" w:bidi="ar"/>
        </w:rPr>
        <w:t>3</w:t>
      </w:r>
      <w:r>
        <w:rPr>
          <w:rFonts w:hint="eastAsia" w:ascii="宋体" w:hAnsi="宋体" w:eastAsia="宋体" w:cs="宋体"/>
          <w:color w:val="auto"/>
          <w:kern w:val="0"/>
          <w:sz w:val="24"/>
          <w:szCs w:val="24"/>
          <w:highlight w:val="none"/>
          <w:lang w:val="en-US" w:eastAsia="zh-CN" w:bidi="ar"/>
        </w:rPr>
        <w:t>，2#初期雨水沉淀池位于破碎场</w:t>
      </w:r>
      <w:r>
        <w:rPr>
          <w:rFonts w:hint="eastAsia" w:ascii="宋体" w:hAnsi="宋体" w:cs="宋体"/>
          <w:color w:val="auto"/>
          <w:kern w:val="0"/>
          <w:sz w:val="24"/>
          <w:szCs w:val="24"/>
          <w:highlight w:val="none"/>
          <w:lang w:val="en-US" w:eastAsia="zh-CN" w:bidi="ar"/>
        </w:rPr>
        <w:t>东南</w:t>
      </w:r>
      <w:r>
        <w:rPr>
          <w:rFonts w:hint="eastAsia" w:ascii="宋体" w:hAnsi="宋体" w:eastAsia="宋体" w:cs="宋体"/>
          <w:color w:val="auto"/>
          <w:kern w:val="0"/>
          <w:sz w:val="24"/>
          <w:szCs w:val="24"/>
          <w:highlight w:val="none"/>
          <w:lang w:val="en-US" w:eastAsia="zh-CN" w:bidi="ar"/>
        </w:rPr>
        <w:t>面，容积为</w:t>
      </w:r>
      <w:r>
        <w:rPr>
          <w:rFonts w:hint="eastAsia" w:ascii="宋体" w:hAnsi="宋体" w:cs="宋体"/>
          <w:color w:val="auto"/>
          <w:kern w:val="0"/>
          <w:sz w:val="24"/>
          <w:szCs w:val="24"/>
          <w:highlight w:val="none"/>
          <w:lang w:val="en-US" w:eastAsia="zh-CN" w:bidi="ar"/>
        </w:rPr>
        <w:t>160</w:t>
      </w:r>
      <w:r>
        <w:rPr>
          <w:rFonts w:hint="eastAsia" w:ascii="宋体" w:hAnsi="宋体" w:eastAsia="宋体" w:cs="宋体"/>
          <w:color w:val="auto"/>
          <w:kern w:val="0"/>
          <w:sz w:val="24"/>
          <w:szCs w:val="24"/>
          <w:highlight w:val="none"/>
          <w:lang w:val="en-US" w:eastAsia="zh-CN" w:bidi="ar"/>
        </w:rPr>
        <w:t>m</w:t>
      </w:r>
      <w:r>
        <w:rPr>
          <w:rFonts w:hint="eastAsia" w:ascii="宋体" w:hAnsi="宋体" w:eastAsia="宋体" w:cs="宋体"/>
          <w:color w:val="auto"/>
          <w:kern w:val="0"/>
          <w:sz w:val="24"/>
          <w:szCs w:val="24"/>
          <w:highlight w:val="none"/>
          <w:vertAlign w:val="superscript"/>
          <w:lang w:val="en-US" w:eastAsia="zh-CN" w:bidi="ar"/>
        </w:rPr>
        <w:t>3</w:t>
      </w:r>
      <w:r>
        <w:rPr>
          <w:rFonts w:hint="eastAsia" w:ascii="宋体" w:hAnsi="宋体" w:eastAsia="宋体" w:cs="宋体"/>
          <w:color w:val="auto"/>
          <w:kern w:val="0"/>
          <w:sz w:val="24"/>
          <w:szCs w:val="24"/>
          <w:highlight w:val="none"/>
          <w:lang w:val="en-US" w:eastAsia="zh-CN" w:bidi="ar"/>
        </w:rPr>
        <w:t>；池体均采用砖混结构，底部和四周为水泥抹面；露天采场、破碎场初期雨水均汇相应雨水沉淀池进行处理，经收集沉淀处理后回用于堆场、矿山道路降尘，对周边水环境影响不大</w:t>
      </w:r>
      <w:r>
        <w:rPr>
          <w:rFonts w:hint="eastAsia" w:ascii="宋体" w:hAnsi="宋体" w:cs="宋体"/>
          <w:color w:val="auto"/>
          <w:kern w:val="0"/>
          <w:sz w:val="24"/>
          <w:szCs w:val="24"/>
          <w:highlight w:val="none"/>
          <w:lang w:val="en-US" w:eastAsia="zh-CN" w:bidi="ar"/>
        </w:rPr>
        <w:t>。</w:t>
      </w:r>
    </w:p>
    <w:p>
      <w:pPr>
        <w:keepNext w:val="0"/>
        <w:keepLines w:val="0"/>
        <w:widowControl/>
        <w:suppressLineNumbers w:val="0"/>
        <w:jc w:val="left"/>
        <w:rPr>
          <w:rFonts w:hint="default" w:ascii="宋体" w:hAnsi="宋体" w:eastAsia="宋体" w:cs="宋体"/>
          <w:b/>
          <w:bCs/>
          <w:color w:val="auto"/>
          <w:kern w:val="0"/>
          <w:sz w:val="24"/>
          <w:szCs w:val="24"/>
          <w:highlight w:val="none"/>
          <w:lang w:val="en-US" w:eastAsia="zh-CN" w:bidi="ar"/>
        </w:rPr>
      </w:pPr>
      <w:r>
        <w:rPr>
          <w:rFonts w:hint="eastAsia" w:ascii="宋体" w:hAnsi="宋体" w:cs="宋体"/>
          <w:b/>
          <w:bCs/>
          <w:color w:val="auto"/>
          <w:kern w:val="0"/>
          <w:sz w:val="24"/>
          <w:szCs w:val="24"/>
          <w:highlight w:val="none"/>
          <w:lang w:val="en-US" w:eastAsia="zh-CN" w:bidi="ar"/>
        </w:rPr>
        <w:t>2、生活污水影响分析</w:t>
      </w:r>
    </w:p>
    <w:p>
      <w:pPr>
        <w:keepNext w:val="0"/>
        <w:keepLines w:val="0"/>
        <w:widowControl/>
        <w:suppressLineNumbers w:val="0"/>
        <w:jc w:val="left"/>
        <w:rPr>
          <w:rFonts w:hint="eastAsia" w:ascii="Times New Roman" w:hAnsi="Times New Roman" w:eastAsia="宋体"/>
          <w:highlight w:val="none"/>
          <w:lang w:eastAsia="zh-CN"/>
        </w:rPr>
      </w:pPr>
      <w:r>
        <w:rPr>
          <w:rFonts w:ascii="Times New Roman" w:hAnsi="Times New Roman" w:eastAsia="宋体"/>
          <w:highlight w:val="none"/>
        </w:rPr>
        <w:t>项目运营期生活污水产生量为0.48m</w:t>
      </w:r>
      <w:r>
        <w:rPr>
          <w:rFonts w:ascii="Times New Roman" w:hAnsi="Times New Roman" w:eastAsia="宋体"/>
          <w:position w:val="8"/>
          <w:sz w:val="15"/>
          <w:highlight w:val="none"/>
        </w:rPr>
        <w:t>3</w:t>
      </w:r>
      <w:r>
        <w:rPr>
          <w:rFonts w:ascii="Times New Roman" w:hAnsi="Times New Roman" w:eastAsia="宋体"/>
          <w:highlight w:val="none"/>
        </w:rPr>
        <w:t>/d，经沉淀池（1个，容积为5m</w:t>
      </w:r>
      <w:r>
        <w:rPr>
          <w:rFonts w:ascii="Times New Roman" w:hAnsi="Times New Roman" w:eastAsia="宋体"/>
          <w:position w:val="8"/>
          <w:sz w:val="15"/>
          <w:highlight w:val="none"/>
        </w:rPr>
        <w:t>3</w:t>
      </w:r>
      <w:r>
        <w:rPr>
          <w:rFonts w:ascii="Times New Roman" w:hAnsi="Times New Roman" w:eastAsia="宋体"/>
          <w:highlight w:val="none"/>
        </w:rPr>
        <w:t>）处理后回用于场区洒水降尘，因此项目的生活污水不会对周边水环境产生影响</w:t>
      </w:r>
      <w:r>
        <w:rPr>
          <w:rFonts w:hint="eastAsia"/>
          <w:highlight w:val="none"/>
          <w:lang w:eastAsia="zh-CN"/>
        </w:rPr>
        <w:t>。</w:t>
      </w:r>
    </w:p>
    <w:p>
      <w:pPr>
        <w:pStyle w:val="5"/>
        <w:rPr>
          <w:rFonts w:hint="default"/>
          <w:color w:val="auto"/>
          <w:highlight w:val="none"/>
          <w:lang w:val="en-US" w:eastAsia="zh-CN"/>
        </w:rPr>
      </w:pPr>
      <w:bookmarkStart w:id="420" w:name="_Toc3080"/>
      <w:r>
        <w:rPr>
          <w:rFonts w:hint="eastAsia"/>
          <w:color w:val="auto"/>
          <w:highlight w:val="none"/>
          <w:lang w:val="en-US" w:eastAsia="zh-CN"/>
        </w:rPr>
        <w:t>6.2.3运营期地下水环境影响分析</w:t>
      </w:r>
      <w:bookmarkEnd w:id="420"/>
    </w:p>
    <w:p>
      <w:pPr>
        <w:pStyle w:val="6"/>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（1）评价等级</w:t>
      </w:r>
    </w:p>
    <w:p>
      <w:pPr>
        <w:pStyle w:val="17"/>
        <w:ind w:firstLine="480"/>
        <w:rPr>
          <w:rFonts w:hint="default" w:ascii="Times New Roman" w:hAnsi="Times New Roman" w:cs="Times New Roman"/>
          <w:color w:val="auto"/>
          <w:kern w:val="0"/>
          <w:highlight w:val="none"/>
        </w:rPr>
      </w:pPr>
      <w:r>
        <w:rPr>
          <w:color w:val="auto"/>
          <w:kern w:val="0"/>
          <w:highlight w:val="none"/>
        </w:rPr>
        <w:t>本</w:t>
      </w:r>
      <w:r>
        <w:rPr>
          <w:rFonts w:hint="default" w:ascii="Times New Roman" w:hAnsi="Times New Roman" w:cs="Times New Roman"/>
          <w:color w:val="auto"/>
          <w:kern w:val="0"/>
          <w:highlight w:val="none"/>
        </w:rPr>
        <w:t>项目行业类别属非金属矿采选及制品制造-土砂石开采，查询 HJ610-2016《环境影响评价技术导则 地下水环境》附录 A，判定本项目地下水环境影响评价类别为Ⅳ类。根据 HJ610-2016《环境影响评价技术导则 地下水环境》4.1 章节，Ⅳ类建设项目不开展地下水环境影响评价。</w:t>
      </w:r>
    </w:p>
    <w:p>
      <w:pPr>
        <w:pStyle w:val="17"/>
        <w:ind w:firstLine="480"/>
        <w:rPr>
          <w:rFonts w:hint="eastAsia" w:ascii="Times New Roman" w:hAnsi="Times New Roman" w:eastAsia="宋体" w:cs="Times New Roman"/>
          <w:b/>
          <w:bCs/>
          <w:color w:val="auto"/>
          <w:highlight w:val="none"/>
          <w:lang w:val="en-US" w:eastAsia="zh-CN"/>
        </w:rPr>
      </w:pPr>
      <w:r>
        <w:rPr>
          <w:rFonts w:hint="eastAsia" w:ascii="Times New Roman" w:hAnsi="Times New Roman" w:cs="Times New Roman"/>
          <w:color w:val="auto"/>
          <w:kern w:val="0"/>
          <w:highlight w:val="none"/>
          <w:lang w:eastAsia="zh-CN"/>
        </w:rPr>
        <w:t>本次评价仅进行定性分析说明</w:t>
      </w:r>
    </w:p>
    <w:p>
      <w:pPr>
        <w:pStyle w:val="6"/>
        <w:bidi w:val="0"/>
        <w:rPr>
          <w:rFonts w:hint="eastAsia" w:ascii="Times New Roman" w:hAnsi="Times New Roman"/>
          <w:b/>
          <w:bCs/>
          <w:color w:val="auto"/>
          <w:highlight w:val="none"/>
          <w:lang w:val="en-US" w:eastAsia="zh-CN"/>
        </w:rPr>
      </w:pPr>
      <w:r>
        <w:rPr>
          <w:rFonts w:hint="eastAsia" w:cs="Times New Roman"/>
          <w:color w:val="auto"/>
          <w:highlight w:val="none"/>
          <w:lang w:val="en-US" w:eastAsia="zh-CN"/>
        </w:rPr>
        <w:t>（2）</w:t>
      </w:r>
      <w:r>
        <w:rPr>
          <w:rFonts w:hint="eastAsia" w:ascii="Times New Roman" w:hAnsi="Times New Roman" w:cs="Times New Roman"/>
          <w:color w:val="auto"/>
          <w:highlight w:val="none"/>
          <w:lang w:val="en-US" w:eastAsia="zh-CN"/>
        </w:rPr>
        <w:t>影响分析</w:t>
      </w:r>
    </w:p>
    <w:p>
      <w:pPr>
        <w:pStyle w:val="17"/>
        <w:ind w:firstLine="480"/>
        <w:rPr>
          <w:rFonts w:hint="eastAsia" w:ascii="Times New Roman" w:hAnsi="Times New Roman"/>
          <w:b/>
          <w:bCs/>
          <w:color w:val="auto"/>
          <w:highlight w:val="none"/>
        </w:rPr>
      </w:pPr>
      <w:r>
        <w:rPr>
          <w:rFonts w:hint="eastAsia" w:ascii="Times New Roman" w:hAnsi="Times New Roman"/>
          <w:b/>
          <w:bCs/>
          <w:color w:val="auto"/>
          <w:highlight w:val="none"/>
          <w:lang w:val="en-US" w:eastAsia="zh-CN"/>
        </w:rPr>
        <w:t>1、</w:t>
      </w:r>
      <w:r>
        <w:rPr>
          <w:rFonts w:hint="eastAsia" w:ascii="Times New Roman" w:hAnsi="Times New Roman"/>
          <w:b/>
          <w:bCs/>
          <w:color w:val="auto"/>
          <w:highlight w:val="none"/>
        </w:rPr>
        <w:t>区域含隔水层划分及其特征</w:t>
      </w:r>
    </w:p>
    <w:p>
      <w:pPr>
        <w:pStyle w:val="24"/>
        <w:keepNext w:val="0"/>
        <w:keepLines w:val="0"/>
        <w:pageBreakBefore w:val="0"/>
        <w:widowControl/>
        <w:kinsoku/>
        <w:wordWrap/>
        <w:overflowPunct/>
        <w:topLinePunct w:val="0"/>
        <w:autoSpaceDE/>
        <w:autoSpaceDN/>
        <w:bidi w:val="0"/>
        <w:adjustRightInd/>
        <w:snapToGrid/>
        <w:spacing w:after="120" w:line="360" w:lineRule="auto"/>
        <w:ind w:left="0" w:leftChars="0" w:right="0" w:rightChars="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矿区</w:t>
      </w:r>
      <w:r>
        <w:rPr>
          <w:rFonts w:hint="eastAsia" w:ascii="宋体" w:hAnsi="宋体" w:eastAsia="宋体" w:cs="宋体"/>
          <w:color w:val="auto"/>
          <w:sz w:val="24"/>
          <w:szCs w:val="24"/>
          <w:highlight w:val="none"/>
        </w:rPr>
        <w:t>属</w:t>
      </w:r>
      <w:r>
        <w:rPr>
          <w:rFonts w:hint="eastAsia" w:ascii="宋体" w:hAnsi="宋体" w:cs="宋体"/>
          <w:color w:val="auto"/>
          <w:sz w:val="24"/>
          <w:szCs w:val="24"/>
          <w:highlight w:val="none"/>
          <w:lang w:eastAsia="zh-CN"/>
        </w:rPr>
        <w:t>珠江</w:t>
      </w:r>
      <w:r>
        <w:rPr>
          <w:rFonts w:hint="eastAsia" w:ascii="宋体" w:hAnsi="宋体" w:eastAsia="宋体" w:cs="宋体"/>
          <w:color w:val="auto"/>
          <w:sz w:val="24"/>
          <w:szCs w:val="24"/>
          <w:highlight w:val="none"/>
        </w:rPr>
        <w:t>水系</w:t>
      </w:r>
      <w:r>
        <w:rPr>
          <w:rFonts w:hint="eastAsia" w:ascii="宋体" w:hAnsi="宋体" w:eastAsia="宋体" w:cs="宋体"/>
          <w:sz w:val="24"/>
          <w:szCs w:val="24"/>
          <w:highlight w:val="none"/>
        </w:rPr>
        <w:t>水系，由于区域分布有第四系，加之构造发育，基底岩性为灰岩。因此矿区地下水以岩溶裂隙水为主，松散岩组孔隙水次之</w:t>
      </w:r>
      <w:r>
        <w:rPr>
          <w:rFonts w:hint="eastAsia" w:ascii="宋体" w:hAnsi="宋体" w:cs="宋体"/>
          <w:sz w:val="24"/>
          <w:szCs w:val="24"/>
          <w:highlight w:val="none"/>
          <w:lang w:eastAsia="zh-CN"/>
        </w:rPr>
        <w:t>。</w:t>
      </w:r>
    </w:p>
    <w:p>
      <w:pPr>
        <w:keepNext w:val="0"/>
        <w:keepLines w:val="0"/>
        <w:pageBreakBefore w:val="0"/>
        <w:kinsoku/>
        <w:wordWrap/>
        <w:overflowPunct/>
        <w:topLinePunct w:val="0"/>
        <w:autoSpaceDE/>
        <w:autoSpaceDN/>
        <w:bidi w:val="0"/>
        <w:adjustRightInd/>
        <w:snapToGrid/>
        <w:spacing w:line="360" w:lineRule="auto"/>
        <w:ind w:firstLine="448" w:firstLineChars="187"/>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①</w:t>
      </w:r>
      <w:r>
        <w:rPr>
          <w:rFonts w:hint="eastAsia" w:ascii="宋体" w:hAnsi="宋体" w:eastAsia="宋体" w:cs="宋体"/>
          <w:sz w:val="24"/>
          <w:szCs w:val="24"/>
          <w:highlight w:val="none"/>
        </w:rPr>
        <w:t>岩溶裂隙水</w:t>
      </w:r>
    </w:p>
    <w:p>
      <w:pPr>
        <w:pStyle w:val="24"/>
        <w:keepNext w:val="0"/>
        <w:keepLines w:val="0"/>
        <w:pageBreakBefore w:val="0"/>
        <w:widowControl/>
        <w:kinsoku/>
        <w:wordWrap/>
        <w:overflowPunct/>
        <w:topLinePunct w:val="0"/>
        <w:autoSpaceDE/>
        <w:autoSpaceDN/>
        <w:bidi w:val="0"/>
        <w:adjustRightInd/>
        <w:snapToGrid/>
        <w:spacing w:after="120" w:line="360" w:lineRule="auto"/>
        <w:ind w:left="0" w:leftChars="0" w:right="0" w:rightChars="0" w:firstLine="480" w:firstLineChars="200"/>
        <w:jc w:val="both"/>
        <w:textAlignment w:val="auto"/>
        <w:outlineLvl w:val="9"/>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三叠系中统个旧组第二段（T</w:t>
      </w:r>
      <w:r>
        <w:rPr>
          <w:rFonts w:hint="eastAsia" w:ascii="宋体" w:hAnsi="宋体" w:eastAsia="宋体" w:cs="宋体"/>
          <w:sz w:val="24"/>
          <w:szCs w:val="24"/>
          <w:highlight w:val="none"/>
          <w:vertAlign w:val="subscript"/>
        </w:rPr>
        <w:t>2</w:t>
      </w:r>
      <w:r>
        <w:rPr>
          <w:rFonts w:hint="eastAsia" w:ascii="宋体" w:hAnsi="宋体" w:eastAsia="宋体" w:cs="宋体"/>
          <w:sz w:val="24"/>
          <w:szCs w:val="24"/>
          <w:highlight w:val="none"/>
        </w:rPr>
        <w:t>g</w:t>
      </w:r>
      <w:r>
        <w:rPr>
          <w:rFonts w:hint="eastAsia" w:ascii="宋体" w:hAnsi="宋体" w:eastAsia="宋体" w:cs="宋体"/>
          <w:sz w:val="24"/>
          <w:szCs w:val="24"/>
          <w:highlight w:val="none"/>
          <w:vertAlign w:val="superscript"/>
        </w:rPr>
        <w:t>b</w:t>
      </w:r>
      <w:r>
        <w:rPr>
          <w:rFonts w:hint="eastAsia" w:ascii="宋体" w:hAnsi="宋体" w:eastAsia="宋体" w:cs="宋体"/>
          <w:sz w:val="24"/>
          <w:szCs w:val="24"/>
          <w:highlight w:val="none"/>
        </w:rPr>
        <w:t>）岩性以灰、深灰色厚层含生物屑藻屑粉晶灰岩夹条纹状粉晶灰岩，赋存岩溶水。该含水层中岩溶发育程度中等，发育形态有石芽、溶沟、溶槽、溶隙、溶孔及小规模溶洞等，含水性不均匀，富水性中等，地下水类型为潜水。该含水层是矿区主要含水层，由于该含水岩组岩溶发育不均，因此，地下水多呈管流。加之该区域地势较高，矿区范围内无泉水出露，区内岩溶水属补给、径流区，无工业区及生活区，无环境污染问题。矿区地下水位埋藏较深，地形有利于雨季地表水径流，该含水层地下水不影响其上部石灰岩矿体的开采</w:t>
      </w:r>
      <w:r>
        <w:rPr>
          <w:rFonts w:hint="eastAsia" w:ascii="宋体" w:hAnsi="宋体" w:eastAsia="宋体" w:cs="宋体"/>
          <w:kern w:val="2"/>
          <w:sz w:val="24"/>
          <w:szCs w:val="24"/>
          <w:highlight w:val="none"/>
          <w:lang w:val="en-US" w:eastAsia="zh-CN" w:bidi="ar-SA"/>
        </w:rPr>
        <w:t>。</w:t>
      </w:r>
    </w:p>
    <w:p>
      <w:pPr>
        <w:keepNext w:val="0"/>
        <w:keepLines w:val="0"/>
        <w:pageBreakBefore w:val="0"/>
        <w:kinsoku/>
        <w:wordWrap/>
        <w:overflowPunct/>
        <w:topLinePunct w:val="0"/>
        <w:autoSpaceDE/>
        <w:autoSpaceDN/>
        <w:bidi w:val="0"/>
        <w:adjustRightInd/>
        <w:snapToGrid/>
        <w:spacing w:line="360" w:lineRule="auto"/>
        <w:ind w:firstLine="448" w:firstLineChars="187"/>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②</w:t>
      </w:r>
      <w:r>
        <w:rPr>
          <w:rFonts w:hint="eastAsia" w:ascii="宋体" w:hAnsi="宋体" w:eastAsia="宋体" w:cs="宋体"/>
          <w:sz w:val="24"/>
          <w:szCs w:val="24"/>
          <w:highlight w:val="none"/>
        </w:rPr>
        <w:t>松散岩类孔隙水</w:t>
      </w:r>
    </w:p>
    <w:p>
      <w:pPr>
        <w:pStyle w:val="17"/>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Times New Roman" w:hAnsi="Times New Roman"/>
          <w:color w:val="auto"/>
          <w:highlight w:val="none"/>
        </w:rPr>
      </w:pPr>
      <w:r>
        <w:rPr>
          <w:rFonts w:hint="eastAsia" w:ascii="宋体" w:hAnsi="宋体" w:eastAsia="宋体" w:cs="宋体"/>
          <w:sz w:val="24"/>
          <w:szCs w:val="24"/>
          <w:highlight w:val="none"/>
        </w:rPr>
        <w:t>第四系冲积、洪积层（Q）岩性主要为砾石、砂、粘土、粉质粘土，厚度0～20m，主要含上层滞水，分布于山脚、洼地等地形低凹部分，含水层厚度小，富水性弱至中等，仅雨季含部分水、枯季无水。该岩层地下水主要接受大气降水补给，垂直渗透补给岩溶水</w:t>
      </w:r>
      <w:r>
        <w:rPr>
          <w:rFonts w:hint="eastAsia" w:ascii="Times New Roman" w:hAnsi="Times New Roman"/>
          <w:color w:val="auto"/>
          <w:highlight w:val="none"/>
        </w:rPr>
        <w:t>。</w:t>
      </w:r>
    </w:p>
    <w:p>
      <w:pPr>
        <w:pStyle w:val="17"/>
        <w:ind w:firstLine="480"/>
        <w:rPr>
          <w:rFonts w:hint="eastAsia" w:ascii="Times New Roman" w:hAnsi="Times New Roman" w:eastAsia="宋体"/>
          <w:b/>
          <w:bCs/>
          <w:color w:val="auto"/>
          <w:highlight w:val="none"/>
          <w:lang w:val="en-US" w:eastAsia="zh-CN"/>
        </w:rPr>
      </w:pPr>
      <w:r>
        <w:rPr>
          <w:rFonts w:hint="eastAsia" w:ascii="Times New Roman" w:hAnsi="Times New Roman"/>
          <w:b/>
          <w:bCs/>
          <w:color w:val="auto"/>
          <w:highlight w:val="none"/>
          <w:lang w:val="en-US" w:eastAsia="zh-CN"/>
        </w:rPr>
        <w:t>2、矿床水文地质类型</w:t>
      </w:r>
    </w:p>
    <w:p>
      <w:pPr>
        <w:pStyle w:val="17"/>
        <w:ind w:firstLine="480"/>
        <w:rPr>
          <w:rFonts w:hint="eastAsia" w:ascii="Times New Roman" w:hAnsi="Times New Roman"/>
          <w:color w:val="auto"/>
          <w:highlight w:val="none"/>
          <w:lang w:eastAsia="zh-CN"/>
        </w:rPr>
      </w:pPr>
      <w:r>
        <w:rPr>
          <w:rFonts w:hint="eastAsia" w:ascii="Times New Roman" w:hAnsi="Times New Roman"/>
          <w:color w:val="auto"/>
          <w:highlight w:val="none"/>
          <w:lang w:eastAsia="zh-CN"/>
        </w:rPr>
        <w:t>矿床地处属中低山构造溶蚀峰丛丘峰谷地地貌；地表岩溶形态弱发育；区内地表水系不发育，属珠江水系；本区雨季亦能形成较好的地表径流，大部分降雨地表水都渗透排泄；区内矿体均位于最低侵蚀基准面以上。</w:t>
      </w:r>
    </w:p>
    <w:p>
      <w:pPr>
        <w:pStyle w:val="17"/>
        <w:ind w:firstLine="480"/>
        <w:rPr>
          <w:rFonts w:hint="eastAsia" w:ascii="Times New Roman" w:hAnsi="Times New Roman" w:eastAsia="宋体"/>
          <w:color w:val="auto"/>
          <w:highlight w:val="none"/>
          <w:lang w:eastAsia="zh-CN"/>
        </w:rPr>
      </w:pPr>
      <w:r>
        <w:rPr>
          <w:rFonts w:hint="eastAsia" w:ascii="Times New Roman" w:hAnsi="Times New Roman"/>
          <w:color w:val="auto"/>
          <w:highlight w:val="none"/>
          <w:lang w:eastAsia="zh-CN"/>
        </w:rPr>
        <w:t>综上所述，矿床水文地质勘查类型属大气降水为主的水文地质条件简单类型。</w:t>
      </w:r>
    </w:p>
    <w:p>
      <w:pPr>
        <w:pStyle w:val="17"/>
        <w:ind w:firstLine="480"/>
        <w:rPr>
          <w:rFonts w:hint="eastAsia" w:ascii="Times New Roman" w:hAnsi="Times New Roman"/>
          <w:b/>
          <w:bCs/>
          <w:color w:val="auto"/>
          <w:highlight w:val="none"/>
        </w:rPr>
      </w:pPr>
      <w:r>
        <w:rPr>
          <w:rFonts w:hint="eastAsia" w:ascii="Times New Roman" w:hAnsi="Times New Roman"/>
          <w:b/>
          <w:bCs/>
          <w:color w:val="auto"/>
          <w:highlight w:val="none"/>
          <w:lang w:val="en-US" w:eastAsia="zh-CN"/>
        </w:rPr>
        <w:t>3</w:t>
      </w:r>
      <w:r>
        <w:rPr>
          <w:rFonts w:hint="eastAsia" w:ascii="Times New Roman" w:hAnsi="Times New Roman"/>
          <w:b/>
          <w:bCs/>
          <w:color w:val="auto"/>
          <w:highlight w:val="none"/>
        </w:rPr>
        <w:t>、区域地下水的补迳排条件</w:t>
      </w:r>
    </w:p>
    <w:p>
      <w:pPr>
        <w:pStyle w:val="17"/>
        <w:ind w:firstLine="480"/>
        <w:rPr>
          <w:rFonts w:hint="eastAsia" w:ascii="Times New Roman" w:hAnsi="Times New Roman"/>
          <w:color w:val="auto"/>
          <w:highlight w:val="none"/>
        </w:rPr>
      </w:pPr>
      <w:r>
        <w:rPr>
          <w:rFonts w:hint="eastAsia" w:ascii="Times New Roman" w:hAnsi="Times New Roman"/>
          <w:color w:val="auto"/>
          <w:highlight w:val="none"/>
        </w:rPr>
        <w:t>矿区位于公革河上游南西部分水岭地带，水系属珠江流域水系。矿区地处山坡，地表水由中部流向四周，沿坡流入低凹处，地表水自然排泄条件良好。矿区地下水主要靠大气降水补给，旱季地下水补给该溪沟，在地势较低的地段沿细小裂隙或孔隙补给地下水，地下水受大气降雨影响较大，水位季节变化明显，动态变化较大。</w:t>
      </w:r>
    </w:p>
    <w:p>
      <w:pPr>
        <w:pStyle w:val="17"/>
        <w:ind w:firstLine="480"/>
        <w:rPr>
          <w:rFonts w:hint="eastAsia" w:ascii="Times New Roman" w:hAnsi="Times New Roman" w:eastAsia="宋体"/>
          <w:b/>
          <w:bCs/>
          <w:color w:val="auto"/>
          <w:highlight w:val="none"/>
          <w:lang w:val="en-US" w:eastAsia="zh-CN"/>
        </w:rPr>
      </w:pPr>
      <w:r>
        <w:rPr>
          <w:rFonts w:hint="eastAsia" w:ascii="Times New Roman" w:hAnsi="Times New Roman"/>
          <w:b/>
          <w:bCs/>
          <w:color w:val="auto"/>
          <w:highlight w:val="none"/>
          <w:lang w:val="en-US" w:eastAsia="zh-CN"/>
        </w:rPr>
        <w:t>4、地下水污染途径</w:t>
      </w:r>
    </w:p>
    <w:p>
      <w:pPr>
        <w:pStyle w:val="17"/>
        <w:ind w:firstLine="480"/>
        <w:rPr>
          <w:rFonts w:hint="eastAsia" w:ascii="Times New Roman" w:hAnsi="Times New Roman" w:cs="Times New Roman"/>
          <w:color w:val="auto"/>
          <w:highlight w:val="none"/>
          <w:lang w:eastAsia="zh-CN"/>
        </w:rPr>
      </w:pPr>
      <w:r>
        <w:rPr>
          <w:rFonts w:hint="eastAsia" w:ascii="Times New Roman" w:hAnsi="Times New Roman"/>
          <w:color w:val="auto"/>
          <w:highlight w:val="none"/>
          <w:lang w:eastAsia="zh-CN"/>
        </w:rPr>
        <w:t>本项目为石灰岩矿开采项目，地下水污染途径主要为：</w:t>
      </w:r>
      <w:r>
        <w:rPr>
          <w:rFonts w:hint="default" w:ascii="Times New Roman" w:hAnsi="Times New Roman" w:cs="Times New Roman"/>
          <w:color w:val="auto"/>
          <w:highlight w:val="none"/>
        </w:rPr>
        <w:t>矿山机械使用柴油，机械使用的过程中油品可能会出现跑冒漏滴，油品下渗至包气带，再被降雨等带入地下水含水层中</w:t>
      </w:r>
      <w:r>
        <w:rPr>
          <w:rFonts w:hint="eastAsia" w:ascii="Times New Roman" w:hAnsi="Times New Roman" w:cs="Times New Roman"/>
          <w:color w:val="auto"/>
          <w:highlight w:val="none"/>
          <w:lang w:eastAsia="zh-CN"/>
        </w:rPr>
        <w:t>，造成地下水</w:t>
      </w:r>
      <w:r>
        <w:rPr>
          <w:rFonts w:hint="default" w:ascii="Times New Roman" w:hAnsi="Times New Roman" w:cs="Times New Roman"/>
          <w:color w:val="auto"/>
          <w:highlight w:val="none"/>
        </w:rPr>
        <w:t>污染</w:t>
      </w:r>
      <w:r>
        <w:rPr>
          <w:rFonts w:hint="eastAsia" w:ascii="Times New Roman" w:hAnsi="Times New Roman" w:cs="Times New Roman"/>
          <w:color w:val="auto"/>
          <w:highlight w:val="none"/>
          <w:lang w:eastAsia="zh-CN"/>
        </w:rPr>
        <w:t>。</w:t>
      </w:r>
    </w:p>
    <w:p>
      <w:pPr>
        <w:pStyle w:val="17"/>
        <w:ind w:firstLine="48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5、地下水污染防治措施</w:t>
      </w:r>
    </w:p>
    <w:p>
      <w:pPr>
        <w:pStyle w:val="17"/>
        <w:ind w:firstLine="48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（1）严格按照设计的开采境界进行采矿，杜绝越界开采，避免雨天进行开采；</w:t>
      </w:r>
    </w:p>
    <w:p>
      <w:pPr>
        <w:pStyle w:val="17"/>
        <w:ind w:firstLine="480"/>
        <w:rPr>
          <w:rFonts w:hint="default" w:ascii="Times New Roman" w:hAnsi="Times New Roman" w:cs="Times New Roman"/>
          <w:color w:val="auto"/>
          <w:highlight w:val="none"/>
        </w:rPr>
      </w:pP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2</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运营过程中应定期对机械设备进行检修和维护，将油品的跑冒漏滴降低到最低限度</w:t>
      </w:r>
      <w:r>
        <w:rPr>
          <w:rFonts w:hint="eastAsia" w:ascii="Times New Roman" w:hAnsi="Times New Roman" w:cs="Times New Roman"/>
          <w:color w:val="auto"/>
          <w:highlight w:val="none"/>
          <w:lang w:eastAsia="zh-CN"/>
        </w:rPr>
        <w:t>，雨天对设备采取相应遮盖措施</w:t>
      </w:r>
      <w:r>
        <w:rPr>
          <w:rFonts w:hint="default" w:ascii="Times New Roman" w:hAnsi="Times New Roman" w:cs="Times New Roman"/>
          <w:color w:val="auto"/>
          <w:highlight w:val="none"/>
        </w:rPr>
        <w:t>；</w:t>
      </w:r>
    </w:p>
    <w:p>
      <w:pPr>
        <w:pStyle w:val="17"/>
        <w:ind w:firstLine="48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3</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若</w:t>
      </w:r>
      <w:r>
        <w:rPr>
          <w:rFonts w:hint="eastAsia" w:ascii="Times New Roman" w:hAnsi="Times New Roman" w:cs="Times New Roman"/>
          <w:color w:val="auto"/>
          <w:highlight w:val="none"/>
          <w:lang w:eastAsia="zh-CN"/>
        </w:rPr>
        <w:t>开采过程中</w:t>
      </w:r>
      <w:r>
        <w:rPr>
          <w:rFonts w:hint="default" w:ascii="Times New Roman" w:hAnsi="Times New Roman" w:cs="Times New Roman"/>
          <w:color w:val="auto"/>
          <w:highlight w:val="none"/>
        </w:rPr>
        <w:t>出现油品滴漏，应</w:t>
      </w:r>
      <w:r>
        <w:rPr>
          <w:rFonts w:hint="eastAsia" w:ascii="Times New Roman" w:hAnsi="Times New Roman" w:cs="Times New Roman"/>
          <w:color w:val="auto"/>
          <w:highlight w:val="none"/>
          <w:lang w:eastAsia="zh-CN"/>
        </w:rPr>
        <w:t>立即</w:t>
      </w:r>
      <w:r>
        <w:rPr>
          <w:rFonts w:hint="default" w:ascii="Times New Roman" w:hAnsi="Times New Roman" w:cs="Times New Roman"/>
          <w:color w:val="auto"/>
          <w:highlight w:val="none"/>
        </w:rPr>
        <w:t>采取措施来封堵漏油点；有的部分漏油难以避免，应增设接油盘、接油杯，并及时回用此部分油料；实在无法避免的，应及时清理漏油沾染的表土、石料等，以防降雨时这部分油品被带入地表水和地下水中</w:t>
      </w:r>
      <w:r>
        <w:rPr>
          <w:rFonts w:hint="eastAsia" w:ascii="Times New Roman" w:hAnsi="Times New Roman" w:cs="Times New Roman"/>
          <w:color w:val="auto"/>
          <w:highlight w:val="none"/>
          <w:lang w:eastAsia="zh-CN"/>
        </w:rPr>
        <w:t>。</w:t>
      </w:r>
    </w:p>
    <w:p>
      <w:pPr>
        <w:pStyle w:val="17"/>
        <w:ind w:firstLine="480"/>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6、小结</w:t>
      </w:r>
    </w:p>
    <w:p>
      <w:pPr>
        <w:keepNext w:val="0"/>
        <w:keepLines w:val="0"/>
        <w:widowControl/>
        <w:suppressLineNumbers w:val="0"/>
        <w:jc w:val="left"/>
        <w:rPr>
          <w:rFonts w:hint="eastAsia" w:ascii="Times New Roman" w:hAnsi="Times New Roman" w:eastAsia="宋体"/>
          <w:highlight w:val="none"/>
          <w:lang w:eastAsia="zh-CN"/>
        </w:rPr>
      </w:pPr>
      <w:r>
        <w:rPr>
          <w:rFonts w:hint="eastAsia" w:ascii="Times New Roman" w:hAnsi="Times New Roman"/>
          <w:color w:val="auto"/>
          <w:highlight w:val="none"/>
          <w:lang w:eastAsia="zh-CN"/>
        </w:rPr>
        <w:t>本项目为石灰岩矿开采项目，</w:t>
      </w:r>
      <w:r>
        <w:rPr>
          <w:rFonts w:hint="default" w:ascii="Times New Roman" w:hAnsi="Times New Roman" w:cs="Times New Roman"/>
          <w:color w:val="auto"/>
          <w:highlight w:val="none"/>
        </w:rPr>
        <w:t>矿山开采</w:t>
      </w:r>
      <w:r>
        <w:rPr>
          <w:rFonts w:hint="eastAsia" w:ascii="Times New Roman" w:hAnsi="Times New Roman" w:cs="Times New Roman"/>
          <w:color w:val="auto"/>
          <w:highlight w:val="none"/>
          <w:lang w:eastAsia="zh-CN"/>
        </w:rPr>
        <w:t>过程中</w:t>
      </w:r>
      <w:r>
        <w:rPr>
          <w:rFonts w:hint="default" w:ascii="Times New Roman" w:hAnsi="Times New Roman" w:cs="Times New Roman"/>
          <w:color w:val="auto"/>
          <w:highlight w:val="none"/>
        </w:rPr>
        <w:t>不产生有毒有害物质</w:t>
      </w:r>
      <w:r>
        <w:rPr>
          <w:rFonts w:hint="eastAsia" w:ascii="Times New Roman" w:hAnsi="Times New Roman" w:cs="Times New Roman"/>
          <w:color w:val="auto"/>
          <w:highlight w:val="none"/>
          <w:lang w:eastAsia="zh-CN"/>
        </w:rPr>
        <w:t>，在</w:t>
      </w:r>
      <w:r>
        <w:rPr>
          <w:rFonts w:hint="default" w:ascii="Times New Roman" w:hAnsi="Times New Roman" w:cs="Times New Roman"/>
          <w:color w:val="auto"/>
          <w:highlight w:val="none"/>
        </w:rPr>
        <w:t>采取上述措施</w:t>
      </w:r>
      <w:r>
        <w:rPr>
          <w:rFonts w:hint="eastAsia" w:ascii="Times New Roman" w:hAnsi="Times New Roman" w:cs="Times New Roman"/>
          <w:color w:val="auto"/>
          <w:highlight w:val="none"/>
          <w:lang w:eastAsia="zh-CN"/>
        </w:rPr>
        <w:t>后，</w:t>
      </w:r>
      <w:r>
        <w:rPr>
          <w:rFonts w:hint="default" w:ascii="Times New Roman" w:hAnsi="Times New Roman" w:cs="Times New Roman"/>
          <w:color w:val="auto"/>
          <w:highlight w:val="none"/>
        </w:rPr>
        <w:t>可有效防控油品下渗污染地下水，</w:t>
      </w:r>
      <w:r>
        <w:rPr>
          <w:rFonts w:hint="eastAsia" w:ascii="Times New Roman" w:hAnsi="Times New Roman" w:cs="Times New Roman"/>
          <w:color w:val="auto"/>
          <w:highlight w:val="none"/>
          <w:lang w:eastAsia="zh-CN"/>
        </w:rPr>
        <w:t>且矿区无地下暗河存在，</w:t>
      </w:r>
      <w:r>
        <w:rPr>
          <w:rFonts w:hint="default" w:ascii="Times New Roman" w:hAnsi="Times New Roman" w:cs="Times New Roman"/>
          <w:color w:val="auto"/>
          <w:highlight w:val="none"/>
        </w:rPr>
        <w:t>对区域地下水影响较小</w:t>
      </w:r>
      <w:r>
        <w:rPr>
          <w:rFonts w:hint="eastAsia" w:cs="Times New Roman"/>
          <w:color w:val="auto"/>
          <w:highlight w:val="none"/>
          <w:lang w:eastAsia="zh-CN"/>
        </w:rPr>
        <w:t>。</w:t>
      </w:r>
    </w:p>
    <w:p>
      <w:pPr>
        <w:keepNext w:val="0"/>
        <w:keepLines w:val="0"/>
        <w:widowControl/>
        <w:suppressLineNumbers w:val="0"/>
        <w:ind w:left="0" w:leftChars="0" w:firstLine="0" w:firstLineChars="0"/>
        <w:jc w:val="left"/>
        <w:rPr>
          <w:rFonts w:hint="eastAsia" w:ascii="宋体" w:hAnsi="宋体" w:eastAsia="宋体" w:cs="宋体"/>
          <w:color w:val="auto"/>
          <w:kern w:val="0"/>
          <w:sz w:val="24"/>
          <w:szCs w:val="24"/>
          <w:highlight w:val="none"/>
          <w:lang w:val="en-US" w:eastAsia="zh-CN" w:bidi="ar"/>
        </w:rPr>
        <w:sectPr>
          <w:footerReference r:id="rId8" w:type="default"/>
          <w:pgSz w:w="11911" w:h="16838"/>
          <w:pgMar w:top="1417" w:right="1417" w:bottom="1417" w:left="1417" w:header="879" w:footer="952" w:gutter="0"/>
          <w:pgBorders>
            <w:top w:val="none" w:sz="0" w:space="0"/>
            <w:left w:val="none" w:sz="0" w:space="0"/>
            <w:bottom w:val="none" w:sz="0" w:space="0"/>
            <w:right w:val="none" w:sz="0" w:space="0"/>
          </w:pgBorders>
          <w:pgNumType w:fmt="decimal"/>
          <w:cols w:space="720" w:num="1"/>
          <w:docGrid w:linePitch="312" w:charSpace="0"/>
        </w:sectPr>
      </w:pPr>
    </w:p>
    <w:p>
      <w:pPr>
        <w:pStyle w:val="5"/>
        <w:rPr>
          <w:rFonts w:hint="default"/>
          <w:highlight w:val="none"/>
        </w:rPr>
      </w:pPr>
      <w:bookmarkStart w:id="421" w:name="_Toc6646"/>
      <w:bookmarkStart w:id="422" w:name="_Toc389"/>
      <w:bookmarkStart w:id="423" w:name="_Toc9297"/>
      <w:bookmarkStart w:id="424" w:name="_Toc1491"/>
      <w:bookmarkStart w:id="425" w:name="_Toc7106"/>
      <w:r>
        <w:rPr>
          <w:rFonts w:hint="eastAsia"/>
          <w:highlight w:val="none"/>
          <w:lang w:val="en-US" w:eastAsia="zh-CN"/>
        </w:rPr>
        <w:t>6</w:t>
      </w:r>
      <w:r>
        <w:rPr>
          <w:highlight w:val="none"/>
        </w:rPr>
        <w:t>.2.</w:t>
      </w:r>
      <w:r>
        <w:rPr>
          <w:rFonts w:hint="eastAsia"/>
          <w:highlight w:val="none"/>
          <w:lang w:val="en-US" w:eastAsia="zh-CN"/>
        </w:rPr>
        <w:t>4</w:t>
      </w:r>
      <w:r>
        <w:rPr>
          <w:rFonts w:hint="default"/>
          <w:highlight w:val="none"/>
        </w:rPr>
        <w:t>运营期声环境影响评价</w:t>
      </w:r>
      <w:bookmarkEnd w:id="421"/>
      <w:bookmarkEnd w:id="422"/>
      <w:bookmarkEnd w:id="423"/>
      <w:bookmarkEnd w:id="424"/>
      <w:bookmarkEnd w:id="425"/>
    </w:p>
    <w:p>
      <w:pPr>
        <w:pStyle w:val="6"/>
        <w:ind w:firstLine="482"/>
        <w:rPr>
          <w:rFonts w:cs="Times New Roman"/>
          <w:highlight w:val="none"/>
        </w:rPr>
      </w:pPr>
      <w:r>
        <w:rPr>
          <w:rFonts w:hint="eastAsia" w:cs="Times New Roman"/>
          <w:highlight w:val="none"/>
          <w:lang w:val="en-US" w:eastAsia="zh-CN"/>
        </w:rPr>
        <w:t>1、</w:t>
      </w:r>
      <w:r>
        <w:rPr>
          <w:rFonts w:cs="Times New Roman"/>
          <w:highlight w:val="none"/>
        </w:rPr>
        <w:t>噪声源强</w:t>
      </w:r>
    </w:p>
    <w:p>
      <w:pPr>
        <w:adjustRightInd w:val="0"/>
        <w:snapToGrid w:val="0"/>
        <w:ind w:firstLine="480"/>
        <w:rPr>
          <w:highlight w:val="none"/>
        </w:rPr>
      </w:pPr>
      <w:bookmarkStart w:id="426" w:name="_Toc31060"/>
      <w:bookmarkStart w:id="427" w:name="_Toc23409"/>
      <w:r>
        <w:rPr>
          <w:rFonts w:hint="eastAsia"/>
          <w:highlight w:val="none"/>
        </w:rPr>
        <w:t>项目</w:t>
      </w:r>
      <w:r>
        <w:rPr>
          <w:rFonts w:hint="eastAsia"/>
          <w:highlight w:val="none"/>
          <w:lang w:eastAsia="zh-CN"/>
        </w:rPr>
        <w:t>运行时</w:t>
      </w:r>
      <w:r>
        <w:rPr>
          <w:rFonts w:hint="eastAsia"/>
          <w:highlight w:val="none"/>
        </w:rPr>
        <w:t>噪声主要来源于爆破噪声、机械噪声和运输噪声</w:t>
      </w:r>
      <w:r>
        <w:rPr>
          <w:highlight w:val="none"/>
        </w:rPr>
        <w:t>。</w:t>
      </w:r>
    </w:p>
    <w:p>
      <w:pPr>
        <w:adjustRightInd w:val="0"/>
        <w:snapToGrid w:val="0"/>
        <w:ind w:firstLine="480"/>
        <w:rPr>
          <w:highlight w:val="none"/>
        </w:rPr>
      </w:pPr>
      <w:r>
        <w:rPr>
          <w:rFonts w:hint="eastAsia"/>
          <w:highlight w:val="none"/>
        </w:rPr>
        <w:t>A、爆破噪声</w:t>
      </w:r>
    </w:p>
    <w:p>
      <w:pPr>
        <w:adjustRightInd w:val="0"/>
        <w:snapToGrid w:val="0"/>
        <w:ind w:firstLine="480"/>
        <w:rPr>
          <w:highlight w:val="none"/>
        </w:rPr>
      </w:pPr>
      <w:r>
        <w:rPr>
          <w:rFonts w:hint="eastAsia"/>
          <w:highlight w:val="none"/>
        </w:rPr>
        <w:t>采矿工作面爆破作业会产生瞬时噪声和振动，噪声源强约为110dB(A)。</w:t>
      </w:r>
    </w:p>
    <w:p>
      <w:pPr>
        <w:adjustRightInd w:val="0"/>
        <w:snapToGrid w:val="0"/>
        <w:ind w:firstLine="480"/>
        <w:rPr>
          <w:highlight w:val="none"/>
        </w:rPr>
      </w:pPr>
      <w:r>
        <w:rPr>
          <w:rFonts w:hint="eastAsia"/>
          <w:highlight w:val="none"/>
        </w:rPr>
        <w:t>B、机械噪声</w:t>
      </w:r>
    </w:p>
    <w:p>
      <w:pPr>
        <w:adjustRightInd w:val="0"/>
        <w:snapToGrid w:val="0"/>
        <w:ind w:firstLine="480"/>
        <w:rPr>
          <w:highlight w:val="none"/>
        </w:rPr>
      </w:pPr>
      <w:r>
        <w:rPr>
          <w:rFonts w:hint="eastAsia"/>
          <w:highlight w:val="none"/>
        </w:rPr>
        <w:t>主要来自于凿岩钻机、挖掘机、装载机、</w:t>
      </w:r>
      <w:r>
        <w:rPr>
          <w:rFonts w:hint="eastAsia"/>
          <w:highlight w:val="none"/>
          <w:lang w:eastAsia="zh-CN"/>
        </w:rPr>
        <w:t>破碎</w:t>
      </w:r>
      <w:r>
        <w:rPr>
          <w:rFonts w:hint="eastAsia"/>
          <w:highlight w:val="none"/>
        </w:rPr>
        <w:t>机等，主要机械设备噪声源强见表</w:t>
      </w:r>
      <w:r>
        <w:rPr>
          <w:rFonts w:hint="eastAsia"/>
          <w:highlight w:val="none"/>
          <w:lang w:val="en-US" w:eastAsia="zh-CN"/>
        </w:rPr>
        <w:t>6.2-11</w:t>
      </w:r>
      <w:r>
        <w:rPr>
          <w:rFonts w:hint="eastAsia"/>
          <w:highlight w:val="none"/>
        </w:rPr>
        <w:t>。</w:t>
      </w:r>
    </w:p>
    <w:p>
      <w:pPr>
        <w:ind w:firstLine="0" w:firstLineChars="0"/>
        <w:jc w:val="center"/>
        <w:rPr>
          <w:b/>
          <w:sz w:val="21"/>
          <w:szCs w:val="21"/>
          <w:highlight w:val="none"/>
        </w:rPr>
      </w:pPr>
      <w:r>
        <w:rPr>
          <w:rFonts w:hint="eastAsia"/>
          <w:b/>
          <w:sz w:val="21"/>
          <w:szCs w:val="21"/>
          <w:highlight w:val="none"/>
        </w:rPr>
        <w:t>表</w:t>
      </w:r>
      <w:r>
        <w:rPr>
          <w:rFonts w:hint="eastAsia"/>
          <w:b/>
          <w:sz w:val="21"/>
          <w:szCs w:val="21"/>
          <w:highlight w:val="none"/>
          <w:lang w:val="en-US" w:eastAsia="zh-CN"/>
        </w:rPr>
        <w:t>6.2-11</w:t>
      </w:r>
      <w:r>
        <w:rPr>
          <w:rFonts w:hint="eastAsia"/>
          <w:b/>
          <w:sz w:val="21"/>
          <w:szCs w:val="21"/>
          <w:highlight w:val="none"/>
        </w:rPr>
        <w:t xml:space="preserve"> </w:t>
      </w:r>
      <w:r>
        <w:rPr>
          <w:b/>
          <w:sz w:val="21"/>
          <w:szCs w:val="21"/>
          <w:highlight w:val="none"/>
        </w:rPr>
        <w:t xml:space="preserve"> </w:t>
      </w:r>
      <w:r>
        <w:rPr>
          <w:rFonts w:hint="eastAsia"/>
          <w:b/>
          <w:sz w:val="21"/>
          <w:szCs w:val="21"/>
          <w:highlight w:val="none"/>
        </w:rPr>
        <w:t>项目机械设备噪声源强一览表</w:t>
      </w:r>
    </w:p>
    <w:tbl>
      <w:tblPr>
        <w:tblStyle w:val="29"/>
        <w:tblW w:w="88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5"/>
        <w:gridCol w:w="3195"/>
        <w:gridCol w:w="1113"/>
        <w:gridCol w:w="1114"/>
        <w:gridCol w:w="2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175" w:type="dxa"/>
            <w:shd w:val="clear" w:color="auto" w:fill="auto"/>
            <w:vAlign w:val="center"/>
          </w:tcPr>
          <w:p>
            <w:pPr>
              <w:adjustRightInd w:val="0"/>
              <w:snapToGrid w:val="0"/>
              <w:ind w:firstLine="0" w:firstLineChars="0"/>
              <w:jc w:val="center"/>
              <w:rPr>
                <w:b/>
                <w:color w:val="auto"/>
                <w:sz w:val="21"/>
                <w:szCs w:val="21"/>
                <w:highlight w:val="none"/>
              </w:rPr>
            </w:pPr>
            <w:r>
              <w:rPr>
                <w:b/>
                <w:color w:val="auto"/>
                <w:sz w:val="21"/>
                <w:szCs w:val="21"/>
                <w:highlight w:val="none"/>
              </w:rPr>
              <w:t>序号</w:t>
            </w:r>
          </w:p>
        </w:tc>
        <w:tc>
          <w:tcPr>
            <w:tcW w:w="3195" w:type="dxa"/>
            <w:shd w:val="clear" w:color="auto" w:fill="auto"/>
            <w:vAlign w:val="center"/>
          </w:tcPr>
          <w:p>
            <w:pPr>
              <w:adjustRightInd w:val="0"/>
              <w:snapToGrid w:val="0"/>
              <w:ind w:firstLine="0" w:firstLineChars="0"/>
              <w:jc w:val="center"/>
              <w:rPr>
                <w:b/>
                <w:color w:val="auto"/>
                <w:sz w:val="21"/>
                <w:szCs w:val="21"/>
                <w:highlight w:val="none"/>
              </w:rPr>
            </w:pPr>
            <w:r>
              <w:rPr>
                <w:b/>
                <w:color w:val="auto"/>
                <w:sz w:val="21"/>
                <w:szCs w:val="21"/>
                <w:highlight w:val="none"/>
              </w:rPr>
              <w:t>设备</w:t>
            </w:r>
          </w:p>
        </w:tc>
        <w:tc>
          <w:tcPr>
            <w:tcW w:w="1113" w:type="dxa"/>
            <w:shd w:val="clear" w:color="auto" w:fill="auto"/>
            <w:vAlign w:val="center"/>
          </w:tcPr>
          <w:p>
            <w:pPr>
              <w:adjustRightInd w:val="0"/>
              <w:snapToGrid w:val="0"/>
              <w:ind w:firstLine="0" w:firstLineChars="0"/>
              <w:jc w:val="center"/>
              <w:rPr>
                <w:b/>
                <w:color w:val="auto"/>
                <w:sz w:val="21"/>
                <w:szCs w:val="21"/>
                <w:highlight w:val="none"/>
              </w:rPr>
            </w:pPr>
            <w:r>
              <w:rPr>
                <w:b/>
                <w:color w:val="auto"/>
                <w:sz w:val="21"/>
                <w:szCs w:val="21"/>
                <w:highlight w:val="none"/>
              </w:rPr>
              <w:t>单位</w:t>
            </w:r>
          </w:p>
        </w:tc>
        <w:tc>
          <w:tcPr>
            <w:tcW w:w="1114" w:type="dxa"/>
            <w:shd w:val="clear" w:color="auto" w:fill="auto"/>
            <w:vAlign w:val="center"/>
          </w:tcPr>
          <w:p>
            <w:pPr>
              <w:adjustRightInd w:val="0"/>
              <w:snapToGrid w:val="0"/>
              <w:ind w:firstLine="0" w:firstLineChars="0"/>
              <w:jc w:val="center"/>
              <w:rPr>
                <w:b/>
                <w:color w:val="auto"/>
                <w:sz w:val="21"/>
                <w:szCs w:val="21"/>
                <w:highlight w:val="none"/>
              </w:rPr>
            </w:pPr>
            <w:r>
              <w:rPr>
                <w:b/>
                <w:color w:val="auto"/>
                <w:sz w:val="21"/>
                <w:szCs w:val="21"/>
                <w:highlight w:val="none"/>
              </w:rPr>
              <w:t>数量</w:t>
            </w:r>
          </w:p>
        </w:tc>
        <w:tc>
          <w:tcPr>
            <w:tcW w:w="2263" w:type="dxa"/>
            <w:shd w:val="clear" w:color="auto" w:fill="auto"/>
            <w:vAlign w:val="center"/>
          </w:tcPr>
          <w:p>
            <w:pPr>
              <w:adjustRightInd w:val="0"/>
              <w:snapToGrid w:val="0"/>
              <w:ind w:firstLine="0" w:firstLineChars="0"/>
              <w:jc w:val="center"/>
              <w:rPr>
                <w:b/>
                <w:color w:val="auto"/>
                <w:sz w:val="21"/>
                <w:szCs w:val="21"/>
                <w:highlight w:val="none"/>
              </w:rPr>
            </w:pPr>
            <w:r>
              <w:rPr>
                <w:b/>
                <w:color w:val="auto"/>
                <w:sz w:val="21"/>
                <w:szCs w:val="21"/>
                <w:highlight w:val="none"/>
              </w:rPr>
              <w:t>等效声级[dB(A)]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175" w:type="dxa"/>
            <w:vAlign w:val="center"/>
          </w:tcPr>
          <w:p>
            <w:pPr>
              <w:adjustRightInd w:val="0"/>
              <w:snapToGrid w:val="0"/>
              <w:ind w:firstLine="0" w:firstLineChars="0"/>
              <w:jc w:val="center"/>
              <w:rPr>
                <w:color w:val="auto"/>
                <w:sz w:val="21"/>
                <w:szCs w:val="21"/>
                <w:highlight w:val="none"/>
              </w:rPr>
            </w:pPr>
            <w:r>
              <w:rPr>
                <w:color w:val="auto"/>
                <w:sz w:val="21"/>
                <w:szCs w:val="21"/>
                <w:highlight w:val="none"/>
              </w:rPr>
              <w:t>1</w:t>
            </w:r>
          </w:p>
        </w:tc>
        <w:tc>
          <w:tcPr>
            <w:tcW w:w="3195" w:type="dxa"/>
            <w:vAlign w:val="center"/>
          </w:tcPr>
          <w:p>
            <w:pPr>
              <w:widowControl/>
              <w:ind w:firstLine="0" w:firstLineChars="0"/>
              <w:jc w:val="center"/>
              <w:rPr>
                <w:color w:val="auto"/>
                <w:sz w:val="21"/>
                <w:szCs w:val="21"/>
                <w:highlight w:val="none"/>
              </w:rPr>
            </w:pPr>
            <w:r>
              <w:rPr>
                <w:rFonts w:hint="eastAsia"/>
                <w:color w:val="auto"/>
                <w:sz w:val="21"/>
                <w:szCs w:val="21"/>
                <w:highlight w:val="none"/>
              </w:rPr>
              <w:t>凿岩机</w:t>
            </w:r>
          </w:p>
        </w:tc>
        <w:tc>
          <w:tcPr>
            <w:tcW w:w="1113" w:type="dxa"/>
            <w:vAlign w:val="center"/>
          </w:tcPr>
          <w:p>
            <w:pPr>
              <w:adjustRightInd w:val="0"/>
              <w:snapToGrid w:val="0"/>
              <w:ind w:firstLine="0" w:firstLineChars="0"/>
              <w:jc w:val="center"/>
              <w:rPr>
                <w:color w:val="auto"/>
                <w:sz w:val="21"/>
                <w:szCs w:val="21"/>
                <w:highlight w:val="none"/>
              </w:rPr>
            </w:pPr>
            <w:r>
              <w:rPr>
                <w:color w:val="auto"/>
                <w:sz w:val="21"/>
                <w:szCs w:val="21"/>
                <w:highlight w:val="none"/>
              </w:rPr>
              <w:t>台</w:t>
            </w:r>
          </w:p>
        </w:tc>
        <w:tc>
          <w:tcPr>
            <w:tcW w:w="1114" w:type="dxa"/>
            <w:vAlign w:val="center"/>
          </w:tcPr>
          <w:p>
            <w:pPr>
              <w:pStyle w:val="62"/>
              <w:spacing w:line="360" w:lineRule="auto"/>
              <w:ind w:firstLine="0" w:firstLineChars="0"/>
              <w:rPr>
                <w:color w:val="auto"/>
                <w:sz w:val="21"/>
                <w:szCs w:val="21"/>
                <w:highlight w:val="none"/>
              </w:rPr>
            </w:pPr>
            <w:r>
              <w:rPr>
                <w:rFonts w:hint="eastAsia"/>
                <w:color w:val="auto"/>
                <w:highlight w:val="none"/>
                <w:lang w:val="en-US" w:eastAsia="zh-CN"/>
              </w:rPr>
              <w:t>6</w:t>
            </w:r>
          </w:p>
        </w:tc>
        <w:tc>
          <w:tcPr>
            <w:tcW w:w="2263" w:type="dxa"/>
            <w:vAlign w:val="center"/>
          </w:tcPr>
          <w:p>
            <w:pPr>
              <w:adjustRightInd w:val="0"/>
              <w:snapToGrid w:val="0"/>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175" w:type="dxa"/>
            <w:vAlign w:val="center"/>
          </w:tcPr>
          <w:p>
            <w:pPr>
              <w:adjustRightInd w:val="0"/>
              <w:snapToGrid w:val="0"/>
              <w:ind w:firstLine="0" w:firstLineChars="0"/>
              <w:jc w:val="center"/>
              <w:rPr>
                <w:color w:val="auto"/>
                <w:sz w:val="21"/>
                <w:szCs w:val="21"/>
                <w:highlight w:val="none"/>
              </w:rPr>
            </w:pPr>
            <w:r>
              <w:rPr>
                <w:color w:val="auto"/>
                <w:sz w:val="21"/>
                <w:szCs w:val="21"/>
                <w:highlight w:val="none"/>
              </w:rPr>
              <w:t>2</w:t>
            </w:r>
          </w:p>
        </w:tc>
        <w:tc>
          <w:tcPr>
            <w:tcW w:w="3195" w:type="dxa"/>
            <w:vAlign w:val="center"/>
          </w:tcPr>
          <w:p>
            <w:pPr>
              <w:ind w:firstLine="0" w:firstLineChars="0"/>
              <w:jc w:val="center"/>
              <w:rPr>
                <w:color w:val="auto"/>
                <w:sz w:val="21"/>
                <w:szCs w:val="21"/>
                <w:highlight w:val="none"/>
              </w:rPr>
            </w:pPr>
            <w:r>
              <w:rPr>
                <w:rFonts w:hint="eastAsia"/>
                <w:color w:val="auto"/>
                <w:sz w:val="21"/>
                <w:szCs w:val="21"/>
                <w:highlight w:val="none"/>
                <w:lang w:eastAsia="zh-CN"/>
              </w:rPr>
              <w:t>挖掘机</w:t>
            </w:r>
          </w:p>
        </w:tc>
        <w:tc>
          <w:tcPr>
            <w:tcW w:w="1113" w:type="dxa"/>
            <w:vAlign w:val="center"/>
          </w:tcPr>
          <w:p>
            <w:pPr>
              <w:adjustRightInd w:val="0"/>
              <w:snapToGrid w:val="0"/>
              <w:ind w:firstLine="0" w:firstLineChars="0"/>
              <w:jc w:val="center"/>
              <w:rPr>
                <w:color w:val="auto"/>
                <w:sz w:val="21"/>
                <w:szCs w:val="21"/>
                <w:highlight w:val="none"/>
              </w:rPr>
            </w:pPr>
            <w:r>
              <w:rPr>
                <w:rFonts w:hint="eastAsia"/>
                <w:color w:val="auto"/>
                <w:sz w:val="21"/>
                <w:szCs w:val="21"/>
                <w:highlight w:val="none"/>
              </w:rPr>
              <w:t>台</w:t>
            </w:r>
          </w:p>
        </w:tc>
        <w:tc>
          <w:tcPr>
            <w:tcW w:w="1114" w:type="dxa"/>
            <w:vAlign w:val="center"/>
          </w:tcPr>
          <w:p>
            <w:pPr>
              <w:pStyle w:val="62"/>
              <w:spacing w:line="360" w:lineRule="auto"/>
              <w:ind w:firstLine="0" w:firstLineChars="0"/>
              <w:rPr>
                <w:color w:val="auto"/>
                <w:sz w:val="21"/>
                <w:szCs w:val="21"/>
                <w:highlight w:val="none"/>
              </w:rPr>
            </w:pPr>
            <w:r>
              <w:rPr>
                <w:rFonts w:hint="eastAsia"/>
                <w:color w:val="auto"/>
                <w:highlight w:val="none"/>
                <w:lang w:val="en-US" w:eastAsia="zh-CN"/>
              </w:rPr>
              <w:t>4</w:t>
            </w:r>
          </w:p>
        </w:tc>
        <w:tc>
          <w:tcPr>
            <w:tcW w:w="2263" w:type="dxa"/>
            <w:vAlign w:val="center"/>
          </w:tcPr>
          <w:p>
            <w:pPr>
              <w:adjustRightInd w:val="0"/>
              <w:snapToGrid w:val="0"/>
              <w:ind w:firstLine="0" w:firstLineChars="0"/>
              <w:jc w:val="center"/>
              <w:rPr>
                <w:color w:val="auto"/>
                <w:sz w:val="21"/>
                <w:szCs w:val="21"/>
                <w:highlight w:val="none"/>
              </w:rPr>
            </w:pPr>
            <w:r>
              <w:rPr>
                <w:rFonts w:hint="eastAsia"/>
                <w:color w:val="auto"/>
                <w:sz w:val="21"/>
                <w:szCs w:val="21"/>
                <w:highlight w:val="none"/>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175" w:type="dxa"/>
            <w:vAlign w:val="center"/>
          </w:tcPr>
          <w:p>
            <w:pPr>
              <w:adjustRightInd w:val="0"/>
              <w:snapToGrid w:val="0"/>
              <w:ind w:firstLine="0" w:firstLineChars="0"/>
              <w:jc w:val="center"/>
              <w:rPr>
                <w:color w:val="auto"/>
                <w:sz w:val="21"/>
                <w:szCs w:val="21"/>
                <w:highlight w:val="none"/>
              </w:rPr>
            </w:pPr>
            <w:r>
              <w:rPr>
                <w:color w:val="auto"/>
                <w:sz w:val="21"/>
                <w:szCs w:val="21"/>
                <w:highlight w:val="none"/>
              </w:rPr>
              <w:t>3</w:t>
            </w:r>
          </w:p>
        </w:tc>
        <w:tc>
          <w:tcPr>
            <w:tcW w:w="3195" w:type="dxa"/>
            <w:vAlign w:val="center"/>
          </w:tcPr>
          <w:p>
            <w:pPr>
              <w:pStyle w:val="62"/>
              <w:spacing w:line="360" w:lineRule="auto"/>
              <w:ind w:firstLine="0" w:firstLineChars="0"/>
              <w:rPr>
                <w:color w:val="auto"/>
                <w:sz w:val="21"/>
                <w:szCs w:val="21"/>
                <w:highlight w:val="none"/>
              </w:rPr>
            </w:pPr>
            <w:r>
              <w:rPr>
                <w:rFonts w:hint="eastAsia"/>
                <w:color w:val="auto"/>
                <w:sz w:val="21"/>
                <w:szCs w:val="21"/>
                <w:highlight w:val="none"/>
                <w:lang w:eastAsia="zh-CN"/>
              </w:rPr>
              <w:t>挖掘机</w:t>
            </w:r>
          </w:p>
        </w:tc>
        <w:tc>
          <w:tcPr>
            <w:tcW w:w="1113" w:type="dxa"/>
            <w:vAlign w:val="center"/>
          </w:tcPr>
          <w:p>
            <w:pPr>
              <w:adjustRightInd w:val="0"/>
              <w:snapToGrid w:val="0"/>
              <w:ind w:firstLine="0" w:firstLineChars="0"/>
              <w:jc w:val="center"/>
              <w:rPr>
                <w:color w:val="auto"/>
                <w:sz w:val="21"/>
                <w:szCs w:val="21"/>
                <w:highlight w:val="none"/>
              </w:rPr>
            </w:pPr>
            <w:r>
              <w:rPr>
                <w:color w:val="auto"/>
                <w:sz w:val="21"/>
                <w:szCs w:val="21"/>
                <w:highlight w:val="none"/>
              </w:rPr>
              <w:t>台</w:t>
            </w:r>
          </w:p>
        </w:tc>
        <w:tc>
          <w:tcPr>
            <w:tcW w:w="1114" w:type="dxa"/>
            <w:vAlign w:val="center"/>
          </w:tcPr>
          <w:p>
            <w:pPr>
              <w:pStyle w:val="62"/>
              <w:spacing w:line="360" w:lineRule="auto"/>
              <w:ind w:firstLine="0" w:firstLineChars="0"/>
              <w:rPr>
                <w:color w:val="auto"/>
                <w:sz w:val="21"/>
                <w:szCs w:val="21"/>
                <w:highlight w:val="none"/>
              </w:rPr>
            </w:pPr>
            <w:r>
              <w:rPr>
                <w:rFonts w:hint="eastAsia"/>
                <w:color w:val="auto"/>
                <w:highlight w:val="none"/>
                <w:lang w:val="en-US" w:eastAsia="zh-CN"/>
              </w:rPr>
              <w:t>4</w:t>
            </w:r>
          </w:p>
        </w:tc>
        <w:tc>
          <w:tcPr>
            <w:tcW w:w="2263" w:type="dxa"/>
            <w:vAlign w:val="center"/>
          </w:tcPr>
          <w:p>
            <w:pPr>
              <w:adjustRightInd w:val="0"/>
              <w:snapToGrid w:val="0"/>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175" w:type="dxa"/>
            <w:vAlign w:val="center"/>
          </w:tcPr>
          <w:p>
            <w:pPr>
              <w:adjustRightInd w:val="0"/>
              <w:snapToGrid w:val="0"/>
              <w:ind w:firstLine="0" w:firstLineChars="0"/>
              <w:jc w:val="center"/>
              <w:rPr>
                <w:color w:val="auto"/>
                <w:sz w:val="21"/>
                <w:szCs w:val="21"/>
                <w:highlight w:val="none"/>
              </w:rPr>
            </w:pPr>
            <w:r>
              <w:rPr>
                <w:rFonts w:hint="eastAsia"/>
                <w:color w:val="auto"/>
                <w:sz w:val="21"/>
                <w:szCs w:val="21"/>
                <w:highlight w:val="none"/>
              </w:rPr>
              <w:t>4</w:t>
            </w:r>
          </w:p>
        </w:tc>
        <w:tc>
          <w:tcPr>
            <w:tcW w:w="3195" w:type="dxa"/>
            <w:vAlign w:val="center"/>
          </w:tcPr>
          <w:p>
            <w:pPr>
              <w:widowControl/>
              <w:ind w:firstLine="0" w:firstLineChars="0"/>
              <w:jc w:val="center"/>
              <w:rPr>
                <w:color w:val="auto"/>
                <w:sz w:val="21"/>
                <w:szCs w:val="21"/>
                <w:highlight w:val="none"/>
              </w:rPr>
            </w:pPr>
            <w:r>
              <w:rPr>
                <w:rFonts w:hint="eastAsia"/>
                <w:color w:val="auto"/>
                <w:sz w:val="21"/>
                <w:szCs w:val="21"/>
                <w:highlight w:val="none"/>
              </w:rPr>
              <w:t>挖掘机</w:t>
            </w:r>
          </w:p>
        </w:tc>
        <w:tc>
          <w:tcPr>
            <w:tcW w:w="1113" w:type="dxa"/>
            <w:vAlign w:val="center"/>
          </w:tcPr>
          <w:p>
            <w:pPr>
              <w:adjustRightInd w:val="0"/>
              <w:snapToGrid w:val="0"/>
              <w:ind w:firstLine="0" w:firstLineChars="0"/>
              <w:jc w:val="center"/>
              <w:rPr>
                <w:color w:val="auto"/>
                <w:sz w:val="21"/>
                <w:szCs w:val="21"/>
                <w:highlight w:val="none"/>
              </w:rPr>
            </w:pPr>
            <w:r>
              <w:rPr>
                <w:rFonts w:hint="eastAsia"/>
                <w:color w:val="auto"/>
                <w:sz w:val="21"/>
                <w:szCs w:val="21"/>
                <w:highlight w:val="none"/>
              </w:rPr>
              <w:t>台</w:t>
            </w:r>
          </w:p>
        </w:tc>
        <w:tc>
          <w:tcPr>
            <w:tcW w:w="1114" w:type="dxa"/>
            <w:vAlign w:val="center"/>
          </w:tcPr>
          <w:p>
            <w:pPr>
              <w:pStyle w:val="62"/>
              <w:spacing w:line="360" w:lineRule="auto"/>
              <w:ind w:firstLine="0" w:firstLineChars="0"/>
              <w:rPr>
                <w:color w:val="auto"/>
                <w:sz w:val="21"/>
                <w:szCs w:val="21"/>
                <w:highlight w:val="none"/>
              </w:rPr>
            </w:pPr>
            <w:r>
              <w:rPr>
                <w:rFonts w:hint="eastAsia"/>
                <w:color w:val="auto"/>
                <w:highlight w:val="none"/>
                <w:lang w:val="en-US" w:eastAsia="zh-CN"/>
              </w:rPr>
              <w:t>4</w:t>
            </w:r>
          </w:p>
        </w:tc>
        <w:tc>
          <w:tcPr>
            <w:tcW w:w="2263" w:type="dxa"/>
            <w:vAlign w:val="center"/>
          </w:tcPr>
          <w:p>
            <w:pPr>
              <w:adjustRightInd w:val="0"/>
              <w:snapToGrid w:val="0"/>
              <w:ind w:firstLine="0" w:firstLineChars="0"/>
              <w:jc w:val="center"/>
              <w:rPr>
                <w:color w:val="auto"/>
                <w:sz w:val="21"/>
                <w:szCs w:val="21"/>
                <w:highlight w:val="none"/>
              </w:rPr>
            </w:pPr>
            <w:r>
              <w:rPr>
                <w:rFonts w:hint="eastAsia"/>
                <w:color w:val="auto"/>
                <w:sz w:val="21"/>
                <w:szCs w:val="21"/>
                <w:highlight w:val="none"/>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175" w:type="dxa"/>
            <w:vAlign w:val="center"/>
          </w:tcPr>
          <w:p>
            <w:pPr>
              <w:adjustRightInd w:val="0"/>
              <w:snapToGrid w:val="0"/>
              <w:ind w:firstLine="0" w:firstLineChars="0"/>
              <w:jc w:val="center"/>
              <w:rPr>
                <w:color w:val="auto"/>
                <w:sz w:val="21"/>
                <w:szCs w:val="21"/>
                <w:highlight w:val="none"/>
              </w:rPr>
            </w:pPr>
            <w:r>
              <w:rPr>
                <w:rFonts w:hint="eastAsia"/>
                <w:color w:val="auto"/>
                <w:sz w:val="21"/>
                <w:szCs w:val="21"/>
                <w:highlight w:val="none"/>
              </w:rPr>
              <w:t>5</w:t>
            </w:r>
          </w:p>
        </w:tc>
        <w:tc>
          <w:tcPr>
            <w:tcW w:w="3195" w:type="dxa"/>
            <w:vAlign w:val="center"/>
          </w:tcPr>
          <w:p>
            <w:pPr>
              <w:pStyle w:val="62"/>
              <w:spacing w:line="360" w:lineRule="auto"/>
              <w:ind w:firstLine="0" w:firstLineChars="0"/>
              <w:rPr>
                <w:color w:val="auto"/>
                <w:sz w:val="21"/>
                <w:szCs w:val="21"/>
                <w:highlight w:val="none"/>
              </w:rPr>
            </w:pPr>
            <w:r>
              <w:rPr>
                <w:rFonts w:hint="eastAsia"/>
                <w:color w:val="auto"/>
                <w:highlight w:val="none"/>
                <w:lang w:eastAsia="zh-CN"/>
              </w:rPr>
              <w:t>装载机（成工）</w:t>
            </w:r>
          </w:p>
        </w:tc>
        <w:tc>
          <w:tcPr>
            <w:tcW w:w="1113" w:type="dxa"/>
            <w:vAlign w:val="center"/>
          </w:tcPr>
          <w:p>
            <w:pPr>
              <w:adjustRightInd w:val="0"/>
              <w:snapToGrid w:val="0"/>
              <w:ind w:firstLine="0" w:firstLineChars="0"/>
              <w:jc w:val="center"/>
              <w:rPr>
                <w:color w:val="auto"/>
                <w:sz w:val="21"/>
                <w:szCs w:val="21"/>
                <w:highlight w:val="none"/>
              </w:rPr>
            </w:pPr>
            <w:r>
              <w:rPr>
                <w:rFonts w:hint="eastAsia"/>
                <w:color w:val="auto"/>
                <w:sz w:val="21"/>
                <w:szCs w:val="21"/>
                <w:highlight w:val="none"/>
              </w:rPr>
              <w:t>台</w:t>
            </w:r>
          </w:p>
        </w:tc>
        <w:tc>
          <w:tcPr>
            <w:tcW w:w="1114" w:type="dxa"/>
            <w:vAlign w:val="center"/>
          </w:tcPr>
          <w:p>
            <w:pPr>
              <w:pStyle w:val="62"/>
              <w:spacing w:line="360" w:lineRule="auto"/>
              <w:ind w:firstLine="0" w:firstLineChars="0"/>
              <w:rPr>
                <w:color w:val="auto"/>
                <w:sz w:val="21"/>
                <w:szCs w:val="21"/>
                <w:highlight w:val="none"/>
              </w:rPr>
            </w:pPr>
            <w:r>
              <w:rPr>
                <w:rFonts w:hint="eastAsia"/>
                <w:color w:val="auto"/>
                <w:highlight w:val="none"/>
                <w:lang w:val="en-US" w:eastAsia="zh-CN"/>
              </w:rPr>
              <w:t>2</w:t>
            </w:r>
          </w:p>
        </w:tc>
        <w:tc>
          <w:tcPr>
            <w:tcW w:w="2263" w:type="dxa"/>
            <w:vAlign w:val="center"/>
          </w:tcPr>
          <w:p>
            <w:pPr>
              <w:adjustRightInd w:val="0"/>
              <w:snapToGrid w:val="0"/>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75" w:type="dxa"/>
            <w:vAlign w:val="center"/>
          </w:tcPr>
          <w:p>
            <w:pPr>
              <w:adjustRightInd w:val="0"/>
              <w:snapToGrid w:val="0"/>
              <w:ind w:firstLine="0" w:firstLineChars="0"/>
              <w:jc w:val="center"/>
              <w:rPr>
                <w:color w:val="auto"/>
                <w:sz w:val="21"/>
                <w:szCs w:val="21"/>
                <w:highlight w:val="none"/>
              </w:rPr>
            </w:pPr>
            <w:r>
              <w:rPr>
                <w:rFonts w:hint="eastAsia"/>
                <w:color w:val="auto"/>
                <w:sz w:val="21"/>
                <w:szCs w:val="21"/>
                <w:highlight w:val="none"/>
              </w:rPr>
              <w:t>6</w:t>
            </w:r>
          </w:p>
        </w:tc>
        <w:tc>
          <w:tcPr>
            <w:tcW w:w="3195" w:type="dxa"/>
            <w:vAlign w:val="center"/>
          </w:tcPr>
          <w:p>
            <w:pPr>
              <w:widowControl/>
              <w:ind w:firstLine="0" w:firstLineChars="0"/>
              <w:jc w:val="center"/>
              <w:rPr>
                <w:color w:val="auto"/>
                <w:kern w:val="0"/>
                <w:sz w:val="21"/>
                <w:szCs w:val="21"/>
                <w:highlight w:val="none"/>
              </w:rPr>
            </w:pPr>
            <w:r>
              <w:rPr>
                <w:rFonts w:hint="eastAsia"/>
                <w:color w:val="auto"/>
                <w:sz w:val="21"/>
                <w:szCs w:val="21"/>
                <w:highlight w:val="none"/>
                <w:lang w:eastAsia="zh-CN"/>
              </w:rPr>
              <w:t>装载机（柳工）</w:t>
            </w:r>
          </w:p>
        </w:tc>
        <w:tc>
          <w:tcPr>
            <w:tcW w:w="1113" w:type="dxa"/>
            <w:vAlign w:val="center"/>
          </w:tcPr>
          <w:p>
            <w:pPr>
              <w:adjustRightInd w:val="0"/>
              <w:snapToGrid w:val="0"/>
              <w:ind w:firstLine="0" w:firstLineChars="0"/>
              <w:jc w:val="center"/>
              <w:rPr>
                <w:color w:val="auto"/>
                <w:sz w:val="21"/>
                <w:szCs w:val="21"/>
                <w:highlight w:val="none"/>
              </w:rPr>
            </w:pPr>
            <w:r>
              <w:rPr>
                <w:rFonts w:hint="eastAsia"/>
                <w:color w:val="auto"/>
                <w:sz w:val="21"/>
                <w:szCs w:val="21"/>
                <w:highlight w:val="none"/>
              </w:rPr>
              <w:t>台</w:t>
            </w:r>
          </w:p>
        </w:tc>
        <w:tc>
          <w:tcPr>
            <w:tcW w:w="1114" w:type="dxa"/>
            <w:vAlign w:val="center"/>
          </w:tcPr>
          <w:p>
            <w:pPr>
              <w:pStyle w:val="62"/>
              <w:spacing w:line="360" w:lineRule="auto"/>
              <w:ind w:firstLine="0" w:firstLineChars="0"/>
              <w:rPr>
                <w:color w:val="auto"/>
                <w:sz w:val="21"/>
                <w:szCs w:val="21"/>
                <w:highlight w:val="none"/>
              </w:rPr>
            </w:pPr>
            <w:r>
              <w:rPr>
                <w:rFonts w:hint="eastAsia"/>
                <w:color w:val="auto"/>
                <w:highlight w:val="none"/>
                <w:lang w:val="en-US" w:eastAsia="zh-CN"/>
              </w:rPr>
              <w:t>4</w:t>
            </w:r>
          </w:p>
        </w:tc>
        <w:tc>
          <w:tcPr>
            <w:tcW w:w="2263" w:type="dxa"/>
            <w:vAlign w:val="center"/>
          </w:tcPr>
          <w:p>
            <w:pPr>
              <w:adjustRightInd w:val="0"/>
              <w:snapToGrid w:val="0"/>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75" w:type="dxa"/>
            <w:vAlign w:val="center"/>
          </w:tcPr>
          <w:p>
            <w:pPr>
              <w:adjustRightInd w:val="0"/>
              <w:snapToGrid w:val="0"/>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7</w:t>
            </w:r>
          </w:p>
        </w:tc>
        <w:tc>
          <w:tcPr>
            <w:tcW w:w="3195" w:type="dxa"/>
            <w:vAlign w:val="center"/>
          </w:tcPr>
          <w:p>
            <w:pPr>
              <w:widowControl/>
              <w:ind w:firstLine="0" w:firstLineChars="0"/>
              <w:jc w:val="center"/>
              <w:rPr>
                <w:rFonts w:hint="eastAsia" w:eastAsia="宋体"/>
                <w:color w:val="auto"/>
                <w:kern w:val="0"/>
                <w:sz w:val="21"/>
                <w:szCs w:val="21"/>
                <w:highlight w:val="none"/>
                <w:lang w:eastAsia="zh-CN"/>
              </w:rPr>
            </w:pPr>
            <w:r>
              <w:rPr>
                <w:rFonts w:hint="eastAsia"/>
                <w:color w:val="auto"/>
                <w:sz w:val="21"/>
                <w:szCs w:val="21"/>
                <w:highlight w:val="none"/>
                <w:lang w:eastAsia="zh-CN"/>
              </w:rPr>
              <w:t>装载机（柳工）</w:t>
            </w:r>
          </w:p>
        </w:tc>
        <w:tc>
          <w:tcPr>
            <w:tcW w:w="1113" w:type="dxa"/>
            <w:vAlign w:val="center"/>
          </w:tcPr>
          <w:p>
            <w:pPr>
              <w:adjustRightInd w:val="0"/>
              <w:snapToGrid w:val="0"/>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台</w:t>
            </w:r>
          </w:p>
        </w:tc>
        <w:tc>
          <w:tcPr>
            <w:tcW w:w="1114" w:type="dxa"/>
            <w:vAlign w:val="center"/>
          </w:tcPr>
          <w:p>
            <w:pPr>
              <w:pStyle w:val="62"/>
              <w:spacing w:line="360" w:lineRule="auto"/>
              <w:ind w:firstLine="0" w:firstLineChars="0"/>
              <w:rPr>
                <w:rFonts w:hint="default" w:eastAsia="宋体"/>
                <w:color w:val="auto"/>
                <w:sz w:val="21"/>
                <w:szCs w:val="21"/>
                <w:highlight w:val="none"/>
                <w:lang w:val="en-US" w:eastAsia="zh-CN"/>
              </w:rPr>
            </w:pPr>
            <w:r>
              <w:rPr>
                <w:rFonts w:hint="eastAsia"/>
                <w:color w:val="auto"/>
                <w:highlight w:val="none"/>
                <w:lang w:val="en-US" w:eastAsia="zh-CN"/>
              </w:rPr>
              <w:t>4</w:t>
            </w:r>
          </w:p>
        </w:tc>
        <w:tc>
          <w:tcPr>
            <w:tcW w:w="2263" w:type="dxa"/>
            <w:vAlign w:val="center"/>
          </w:tcPr>
          <w:p>
            <w:pPr>
              <w:adjustRightInd w:val="0"/>
              <w:snapToGrid w:val="0"/>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75" w:type="dxa"/>
            <w:vAlign w:val="center"/>
          </w:tcPr>
          <w:p>
            <w:pPr>
              <w:adjustRightInd w:val="0"/>
              <w:snapToGrid w:val="0"/>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8</w:t>
            </w:r>
          </w:p>
        </w:tc>
        <w:tc>
          <w:tcPr>
            <w:tcW w:w="3195" w:type="dxa"/>
            <w:vAlign w:val="center"/>
          </w:tcPr>
          <w:p>
            <w:pPr>
              <w:pStyle w:val="62"/>
              <w:spacing w:line="360" w:lineRule="auto"/>
              <w:ind w:firstLine="0" w:firstLineChars="0"/>
              <w:rPr>
                <w:rFonts w:hint="eastAsia"/>
                <w:color w:val="auto"/>
                <w:kern w:val="0"/>
                <w:sz w:val="21"/>
                <w:szCs w:val="21"/>
                <w:highlight w:val="none"/>
                <w:lang w:eastAsia="zh-CN"/>
              </w:rPr>
            </w:pPr>
            <w:r>
              <w:rPr>
                <w:rFonts w:hint="eastAsia"/>
                <w:color w:val="auto"/>
                <w:highlight w:val="none"/>
                <w:lang w:eastAsia="zh-CN"/>
              </w:rPr>
              <w:t>振动给料机</w:t>
            </w:r>
          </w:p>
        </w:tc>
        <w:tc>
          <w:tcPr>
            <w:tcW w:w="1113" w:type="dxa"/>
            <w:vAlign w:val="center"/>
          </w:tcPr>
          <w:p>
            <w:pPr>
              <w:adjustRightInd w:val="0"/>
              <w:snapToGrid w:val="0"/>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台</w:t>
            </w:r>
          </w:p>
        </w:tc>
        <w:tc>
          <w:tcPr>
            <w:tcW w:w="1114" w:type="dxa"/>
            <w:vAlign w:val="center"/>
          </w:tcPr>
          <w:p>
            <w:pPr>
              <w:pStyle w:val="62"/>
              <w:spacing w:line="360" w:lineRule="auto"/>
              <w:ind w:firstLine="0" w:firstLineChars="0"/>
              <w:rPr>
                <w:rFonts w:hint="default" w:eastAsia="宋体"/>
                <w:color w:val="auto"/>
                <w:sz w:val="21"/>
                <w:szCs w:val="21"/>
                <w:highlight w:val="none"/>
                <w:lang w:val="en-US" w:eastAsia="zh-CN"/>
              </w:rPr>
            </w:pPr>
            <w:r>
              <w:rPr>
                <w:rFonts w:hint="eastAsia"/>
                <w:color w:val="auto"/>
                <w:highlight w:val="none"/>
                <w:lang w:val="en-US" w:eastAsia="zh-CN"/>
              </w:rPr>
              <w:t>6</w:t>
            </w:r>
          </w:p>
        </w:tc>
        <w:tc>
          <w:tcPr>
            <w:tcW w:w="2263" w:type="dxa"/>
            <w:vAlign w:val="center"/>
          </w:tcPr>
          <w:p>
            <w:pPr>
              <w:adjustRightInd w:val="0"/>
              <w:snapToGrid w:val="0"/>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75" w:type="dxa"/>
            <w:vAlign w:val="center"/>
          </w:tcPr>
          <w:p>
            <w:pPr>
              <w:adjustRightInd w:val="0"/>
              <w:snapToGrid w:val="0"/>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9</w:t>
            </w:r>
          </w:p>
        </w:tc>
        <w:tc>
          <w:tcPr>
            <w:tcW w:w="3195" w:type="dxa"/>
            <w:vAlign w:val="center"/>
          </w:tcPr>
          <w:p>
            <w:pPr>
              <w:widowControl/>
              <w:ind w:firstLine="0" w:firstLineChars="0"/>
              <w:jc w:val="center"/>
              <w:rPr>
                <w:rFonts w:hint="eastAsia"/>
                <w:color w:val="auto"/>
                <w:kern w:val="0"/>
                <w:sz w:val="21"/>
                <w:szCs w:val="21"/>
                <w:highlight w:val="none"/>
                <w:lang w:eastAsia="zh-CN"/>
              </w:rPr>
            </w:pPr>
            <w:r>
              <w:rPr>
                <w:rFonts w:hint="eastAsia"/>
                <w:color w:val="auto"/>
                <w:sz w:val="21"/>
                <w:szCs w:val="21"/>
                <w:highlight w:val="none"/>
                <w:lang w:eastAsia="zh-CN"/>
              </w:rPr>
              <w:t>振动给料机</w:t>
            </w:r>
          </w:p>
        </w:tc>
        <w:tc>
          <w:tcPr>
            <w:tcW w:w="1113" w:type="dxa"/>
            <w:vAlign w:val="center"/>
          </w:tcPr>
          <w:p>
            <w:pPr>
              <w:adjustRightInd w:val="0"/>
              <w:snapToGrid w:val="0"/>
              <w:ind w:firstLine="0" w:firstLineChars="0"/>
              <w:jc w:val="center"/>
              <w:rPr>
                <w:rFonts w:hint="eastAsia"/>
                <w:color w:val="auto"/>
                <w:sz w:val="21"/>
                <w:szCs w:val="21"/>
                <w:highlight w:val="none"/>
                <w:lang w:eastAsia="zh-CN"/>
              </w:rPr>
            </w:pPr>
            <w:r>
              <w:rPr>
                <w:rFonts w:hint="eastAsia"/>
                <w:color w:val="auto"/>
                <w:sz w:val="21"/>
                <w:szCs w:val="21"/>
                <w:highlight w:val="none"/>
                <w:lang w:eastAsia="zh-CN"/>
              </w:rPr>
              <w:t>台</w:t>
            </w:r>
          </w:p>
        </w:tc>
        <w:tc>
          <w:tcPr>
            <w:tcW w:w="1114" w:type="dxa"/>
            <w:vAlign w:val="center"/>
          </w:tcPr>
          <w:p>
            <w:pPr>
              <w:pStyle w:val="62"/>
              <w:spacing w:line="360" w:lineRule="auto"/>
              <w:ind w:firstLine="0" w:firstLineChars="0"/>
              <w:rPr>
                <w:rFonts w:hint="eastAsia"/>
                <w:color w:val="auto"/>
                <w:sz w:val="21"/>
                <w:szCs w:val="21"/>
                <w:highlight w:val="none"/>
                <w:lang w:val="en-US" w:eastAsia="zh-CN"/>
              </w:rPr>
            </w:pPr>
            <w:r>
              <w:rPr>
                <w:rFonts w:hint="eastAsia"/>
                <w:color w:val="auto"/>
                <w:highlight w:val="none"/>
                <w:lang w:val="en-US" w:eastAsia="zh-CN"/>
              </w:rPr>
              <w:t>2</w:t>
            </w:r>
          </w:p>
        </w:tc>
        <w:tc>
          <w:tcPr>
            <w:tcW w:w="2263" w:type="dxa"/>
            <w:vAlign w:val="center"/>
          </w:tcPr>
          <w:p>
            <w:pPr>
              <w:adjustRightInd w:val="0"/>
              <w:snapToGrid w:val="0"/>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75" w:type="dxa"/>
            <w:vAlign w:val="center"/>
          </w:tcPr>
          <w:p>
            <w:pPr>
              <w:adjustRightInd w:val="0"/>
              <w:snapToGrid w:val="0"/>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10</w:t>
            </w:r>
          </w:p>
        </w:tc>
        <w:tc>
          <w:tcPr>
            <w:tcW w:w="3195" w:type="dxa"/>
            <w:vAlign w:val="center"/>
          </w:tcPr>
          <w:p>
            <w:pPr>
              <w:widowControl/>
              <w:ind w:firstLine="0" w:firstLineChars="0"/>
              <w:jc w:val="center"/>
              <w:rPr>
                <w:rFonts w:hint="eastAsia"/>
                <w:color w:val="auto"/>
                <w:kern w:val="0"/>
                <w:sz w:val="21"/>
                <w:szCs w:val="21"/>
                <w:highlight w:val="none"/>
                <w:lang w:eastAsia="zh-CN"/>
              </w:rPr>
            </w:pPr>
            <w:r>
              <w:rPr>
                <w:rFonts w:hint="eastAsia"/>
                <w:color w:val="auto"/>
                <w:sz w:val="21"/>
                <w:szCs w:val="21"/>
                <w:highlight w:val="none"/>
                <w:lang w:eastAsia="zh-CN"/>
              </w:rPr>
              <w:t>立式复合破碎机</w:t>
            </w:r>
          </w:p>
        </w:tc>
        <w:tc>
          <w:tcPr>
            <w:tcW w:w="1113" w:type="dxa"/>
            <w:vAlign w:val="center"/>
          </w:tcPr>
          <w:p>
            <w:pPr>
              <w:adjustRightInd w:val="0"/>
              <w:snapToGrid w:val="0"/>
              <w:ind w:firstLine="0" w:firstLineChars="0"/>
              <w:jc w:val="center"/>
              <w:rPr>
                <w:rFonts w:hint="eastAsia"/>
                <w:color w:val="auto"/>
                <w:sz w:val="21"/>
                <w:szCs w:val="21"/>
                <w:highlight w:val="none"/>
                <w:lang w:eastAsia="zh-CN"/>
              </w:rPr>
            </w:pPr>
            <w:r>
              <w:rPr>
                <w:rFonts w:hint="eastAsia"/>
                <w:color w:val="auto"/>
                <w:sz w:val="21"/>
                <w:szCs w:val="21"/>
                <w:highlight w:val="none"/>
                <w:lang w:eastAsia="zh-CN"/>
              </w:rPr>
              <w:t>台</w:t>
            </w:r>
          </w:p>
        </w:tc>
        <w:tc>
          <w:tcPr>
            <w:tcW w:w="1114" w:type="dxa"/>
            <w:vAlign w:val="center"/>
          </w:tcPr>
          <w:p>
            <w:pPr>
              <w:pStyle w:val="62"/>
              <w:spacing w:line="360" w:lineRule="auto"/>
              <w:ind w:firstLine="0" w:firstLineChars="0"/>
              <w:rPr>
                <w:rFonts w:hint="eastAsia"/>
                <w:color w:val="auto"/>
                <w:sz w:val="21"/>
                <w:szCs w:val="21"/>
                <w:highlight w:val="none"/>
                <w:lang w:val="en-US" w:eastAsia="zh-CN"/>
              </w:rPr>
            </w:pPr>
            <w:r>
              <w:rPr>
                <w:rFonts w:hint="eastAsia"/>
                <w:color w:val="auto"/>
                <w:highlight w:val="none"/>
                <w:lang w:val="en-US" w:eastAsia="zh-CN"/>
              </w:rPr>
              <w:t>2</w:t>
            </w:r>
          </w:p>
        </w:tc>
        <w:tc>
          <w:tcPr>
            <w:tcW w:w="2263" w:type="dxa"/>
            <w:vAlign w:val="center"/>
          </w:tcPr>
          <w:p>
            <w:pPr>
              <w:adjustRightInd w:val="0"/>
              <w:snapToGrid w:val="0"/>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75" w:type="dxa"/>
            <w:vAlign w:val="center"/>
          </w:tcPr>
          <w:p>
            <w:pPr>
              <w:adjustRightInd w:val="0"/>
              <w:snapToGrid w:val="0"/>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11</w:t>
            </w:r>
          </w:p>
        </w:tc>
        <w:tc>
          <w:tcPr>
            <w:tcW w:w="3195" w:type="dxa"/>
            <w:vAlign w:val="center"/>
          </w:tcPr>
          <w:p>
            <w:pPr>
              <w:widowControl/>
              <w:ind w:firstLine="0" w:firstLineChars="0"/>
              <w:jc w:val="center"/>
              <w:rPr>
                <w:rFonts w:hint="eastAsia"/>
                <w:color w:val="auto"/>
                <w:kern w:val="0"/>
                <w:sz w:val="21"/>
                <w:szCs w:val="21"/>
                <w:highlight w:val="none"/>
                <w:lang w:eastAsia="zh-CN"/>
              </w:rPr>
            </w:pPr>
            <w:r>
              <w:rPr>
                <w:rFonts w:hint="eastAsia"/>
                <w:color w:val="auto"/>
                <w:sz w:val="21"/>
                <w:szCs w:val="21"/>
                <w:highlight w:val="none"/>
                <w:lang w:eastAsia="zh-CN"/>
              </w:rPr>
              <w:t>颚式破碎机</w:t>
            </w:r>
          </w:p>
        </w:tc>
        <w:tc>
          <w:tcPr>
            <w:tcW w:w="1113" w:type="dxa"/>
            <w:vAlign w:val="center"/>
          </w:tcPr>
          <w:p>
            <w:pPr>
              <w:adjustRightInd w:val="0"/>
              <w:snapToGrid w:val="0"/>
              <w:ind w:firstLine="0" w:firstLineChars="0"/>
              <w:jc w:val="center"/>
              <w:rPr>
                <w:rFonts w:hint="eastAsia"/>
                <w:color w:val="auto"/>
                <w:sz w:val="21"/>
                <w:szCs w:val="21"/>
                <w:highlight w:val="none"/>
                <w:lang w:eastAsia="zh-CN"/>
              </w:rPr>
            </w:pPr>
            <w:r>
              <w:rPr>
                <w:rFonts w:hint="eastAsia"/>
                <w:color w:val="auto"/>
                <w:sz w:val="21"/>
                <w:szCs w:val="21"/>
                <w:highlight w:val="none"/>
                <w:lang w:eastAsia="zh-CN"/>
              </w:rPr>
              <w:t>台</w:t>
            </w:r>
          </w:p>
        </w:tc>
        <w:tc>
          <w:tcPr>
            <w:tcW w:w="1114" w:type="dxa"/>
            <w:vAlign w:val="center"/>
          </w:tcPr>
          <w:p>
            <w:pPr>
              <w:pStyle w:val="62"/>
              <w:spacing w:line="360" w:lineRule="auto"/>
              <w:ind w:firstLine="0" w:firstLineChars="0"/>
              <w:rPr>
                <w:rFonts w:hint="eastAsia"/>
                <w:color w:val="auto"/>
                <w:sz w:val="21"/>
                <w:szCs w:val="21"/>
                <w:highlight w:val="none"/>
                <w:lang w:val="en-US" w:eastAsia="zh-CN"/>
              </w:rPr>
            </w:pPr>
            <w:r>
              <w:rPr>
                <w:rFonts w:hint="eastAsia"/>
                <w:color w:val="auto"/>
                <w:highlight w:val="none"/>
                <w:lang w:val="en-US" w:eastAsia="zh-CN"/>
              </w:rPr>
              <w:t>2</w:t>
            </w:r>
          </w:p>
        </w:tc>
        <w:tc>
          <w:tcPr>
            <w:tcW w:w="2263" w:type="dxa"/>
            <w:vAlign w:val="center"/>
          </w:tcPr>
          <w:p>
            <w:pPr>
              <w:adjustRightInd w:val="0"/>
              <w:snapToGrid w:val="0"/>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75" w:type="dxa"/>
            <w:vAlign w:val="center"/>
          </w:tcPr>
          <w:p>
            <w:pPr>
              <w:adjustRightInd w:val="0"/>
              <w:snapToGrid w:val="0"/>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12</w:t>
            </w:r>
          </w:p>
        </w:tc>
        <w:tc>
          <w:tcPr>
            <w:tcW w:w="3195" w:type="dxa"/>
            <w:vAlign w:val="center"/>
          </w:tcPr>
          <w:p>
            <w:pPr>
              <w:widowControl/>
              <w:ind w:firstLine="0" w:firstLineChars="0"/>
              <w:jc w:val="center"/>
              <w:rPr>
                <w:rFonts w:hint="eastAsia"/>
                <w:color w:val="auto"/>
                <w:kern w:val="0"/>
                <w:sz w:val="21"/>
                <w:szCs w:val="21"/>
                <w:highlight w:val="none"/>
                <w:lang w:eastAsia="zh-CN"/>
              </w:rPr>
            </w:pPr>
            <w:r>
              <w:rPr>
                <w:rFonts w:hint="eastAsia"/>
                <w:color w:val="auto"/>
                <w:sz w:val="21"/>
                <w:szCs w:val="21"/>
                <w:highlight w:val="none"/>
                <w:lang w:eastAsia="zh-CN"/>
              </w:rPr>
              <w:t>强力反击破碎机</w:t>
            </w:r>
          </w:p>
        </w:tc>
        <w:tc>
          <w:tcPr>
            <w:tcW w:w="1113" w:type="dxa"/>
            <w:vAlign w:val="center"/>
          </w:tcPr>
          <w:p>
            <w:pPr>
              <w:adjustRightInd w:val="0"/>
              <w:snapToGrid w:val="0"/>
              <w:ind w:firstLine="0" w:firstLineChars="0"/>
              <w:jc w:val="center"/>
              <w:rPr>
                <w:rFonts w:hint="eastAsia"/>
                <w:color w:val="auto"/>
                <w:sz w:val="21"/>
                <w:szCs w:val="21"/>
                <w:highlight w:val="none"/>
                <w:lang w:eastAsia="zh-CN"/>
              </w:rPr>
            </w:pPr>
            <w:r>
              <w:rPr>
                <w:rFonts w:hint="eastAsia"/>
                <w:color w:val="auto"/>
                <w:sz w:val="21"/>
                <w:szCs w:val="21"/>
                <w:highlight w:val="none"/>
                <w:lang w:eastAsia="zh-CN"/>
              </w:rPr>
              <w:t>台</w:t>
            </w:r>
          </w:p>
        </w:tc>
        <w:tc>
          <w:tcPr>
            <w:tcW w:w="1114" w:type="dxa"/>
            <w:vAlign w:val="center"/>
          </w:tcPr>
          <w:p>
            <w:pPr>
              <w:pStyle w:val="62"/>
              <w:spacing w:line="360" w:lineRule="auto"/>
              <w:ind w:firstLine="0" w:firstLineChars="0"/>
              <w:rPr>
                <w:rFonts w:hint="eastAsia"/>
                <w:color w:val="auto"/>
                <w:sz w:val="21"/>
                <w:szCs w:val="21"/>
                <w:highlight w:val="none"/>
                <w:lang w:val="en-US" w:eastAsia="zh-CN"/>
              </w:rPr>
            </w:pPr>
            <w:r>
              <w:rPr>
                <w:rFonts w:hint="eastAsia"/>
                <w:color w:val="auto"/>
                <w:highlight w:val="none"/>
                <w:lang w:val="en-US" w:eastAsia="zh-CN"/>
              </w:rPr>
              <w:t>2</w:t>
            </w:r>
          </w:p>
        </w:tc>
        <w:tc>
          <w:tcPr>
            <w:tcW w:w="2263" w:type="dxa"/>
            <w:vAlign w:val="center"/>
          </w:tcPr>
          <w:p>
            <w:pPr>
              <w:adjustRightInd w:val="0"/>
              <w:snapToGrid w:val="0"/>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75" w:type="dxa"/>
            <w:vAlign w:val="center"/>
          </w:tcPr>
          <w:p>
            <w:pPr>
              <w:adjustRightInd w:val="0"/>
              <w:snapToGrid w:val="0"/>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13</w:t>
            </w:r>
          </w:p>
        </w:tc>
        <w:tc>
          <w:tcPr>
            <w:tcW w:w="3195" w:type="dxa"/>
            <w:vAlign w:val="center"/>
          </w:tcPr>
          <w:p>
            <w:pPr>
              <w:widowControl/>
              <w:ind w:firstLine="0" w:firstLineChars="0"/>
              <w:jc w:val="center"/>
              <w:rPr>
                <w:rFonts w:hint="eastAsia"/>
                <w:color w:val="auto"/>
                <w:kern w:val="0"/>
                <w:sz w:val="21"/>
                <w:szCs w:val="21"/>
                <w:highlight w:val="none"/>
                <w:lang w:eastAsia="zh-CN"/>
              </w:rPr>
            </w:pPr>
            <w:r>
              <w:rPr>
                <w:rFonts w:hint="eastAsia"/>
                <w:color w:val="auto"/>
                <w:sz w:val="21"/>
                <w:szCs w:val="21"/>
                <w:highlight w:val="none"/>
                <w:lang w:eastAsia="zh-CN"/>
              </w:rPr>
              <w:t>振动筛</w:t>
            </w:r>
          </w:p>
        </w:tc>
        <w:tc>
          <w:tcPr>
            <w:tcW w:w="1113" w:type="dxa"/>
            <w:vAlign w:val="center"/>
          </w:tcPr>
          <w:p>
            <w:pPr>
              <w:adjustRightInd w:val="0"/>
              <w:snapToGrid w:val="0"/>
              <w:ind w:firstLine="0" w:firstLineChars="0"/>
              <w:jc w:val="center"/>
              <w:rPr>
                <w:rFonts w:hint="eastAsia"/>
                <w:color w:val="auto"/>
                <w:sz w:val="21"/>
                <w:szCs w:val="21"/>
                <w:highlight w:val="none"/>
                <w:lang w:eastAsia="zh-CN"/>
              </w:rPr>
            </w:pPr>
            <w:r>
              <w:rPr>
                <w:rFonts w:hint="eastAsia"/>
                <w:color w:val="auto"/>
                <w:sz w:val="21"/>
                <w:szCs w:val="21"/>
                <w:highlight w:val="none"/>
                <w:lang w:eastAsia="zh-CN"/>
              </w:rPr>
              <w:t>台</w:t>
            </w:r>
          </w:p>
        </w:tc>
        <w:tc>
          <w:tcPr>
            <w:tcW w:w="1114" w:type="dxa"/>
            <w:vAlign w:val="center"/>
          </w:tcPr>
          <w:p>
            <w:pPr>
              <w:pStyle w:val="62"/>
              <w:spacing w:line="360" w:lineRule="auto"/>
              <w:ind w:firstLine="0" w:firstLineChars="0"/>
              <w:rPr>
                <w:rFonts w:hint="eastAsia"/>
                <w:color w:val="auto"/>
                <w:sz w:val="21"/>
                <w:szCs w:val="21"/>
                <w:highlight w:val="none"/>
                <w:lang w:val="en-US" w:eastAsia="zh-CN"/>
              </w:rPr>
            </w:pPr>
            <w:r>
              <w:rPr>
                <w:rFonts w:hint="eastAsia"/>
                <w:color w:val="auto"/>
                <w:highlight w:val="none"/>
                <w:lang w:val="en-US" w:eastAsia="zh-CN"/>
              </w:rPr>
              <w:t>2</w:t>
            </w:r>
          </w:p>
        </w:tc>
        <w:tc>
          <w:tcPr>
            <w:tcW w:w="2263" w:type="dxa"/>
            <w:vAlign w:val="center"/>
          </w:tcPr>
          <w:p>
            <w:pPr>
              <w:adjustRightInd w:val="0"/>
              <w:snapToGrid w:val="0"/>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75" w:type="dxa"/>
            <w:vAlign w:val="center"/>
          </w:tcPr>
          <w:p>
            <w:pPr>
              <w:adjustRightInd w:val="0"/>
              <w:snapToGrid w:val="0"/>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14</w:t>
            </w:r>
          </w:p>
        </w:tc>
        <w:tc>
          <w:tcPr>
            <w:tcW w:w="3195" w:type="dxa"/>
            <w:vAlign w:val="center"/>
          </w:tcPr>
          <w:p>
            <w:pPr>
              <w:pStyle w:val="62"/>
              <w:spacing w:line="360" w:lineRule="auto"/>
              <w:ind w:firstLine="0" w:firstLineChars="0"/>
              <w:rPr>
                <w:rFonts w:hint="eastAsia"/>
                <w:color w:val="auto"/>
                <w:kern w:val="0"/>
                <w:sz w:val="21"/>
                <w:szCs w:val="21"/>
                <w:highlight w:val="none"/>
                <w:lang w:eastAsia="zh-CN"/>
              </w:rPr>
            </w:pPr>
            <w:r>
              <w:rPr>
                <w:rFonts w:hint="eastAsia"/>
                <w:color w:val="auto"/>
                <w:highlight w:val="none"/>
                <w:lang w:eastAsia="zh-CN"/>
              </w:rPr>
              <w:t>振动筛</w:t>
            </w:r>
          </w:p>
        </w:tc>
        <w:tc>
          <w:tcPr>
            <w:tcW w:w="1113" w:type="dxa"/>
            <w:vAlign w:val="center"/>
          </w:tcPr>
          <w:p>
            <w:pPr>
              <w:adjustRightInd w:val="0"/>
              <w:snapToGrid w:val="0"/>
              <w:ind w:firstLine="0" w:firstLineChars="0"/>
              <w:jc w:val="center"/>
              <w:rPr>
                <w:rFonts w:hint="eastAsia"/>
                <w:color w:val="auto"/>
                <w:sz w:val="21"/>
                <w:szCs w:val="21"/>
                <w:highlight w:val="none"/>
                <w:lang w:eastAsia="zh-CN"/>
              </w:rPr>
            </w:pPr>
            <w:r>
              <w:rPr>
                <w:rFonts w:hint="eastAsia"/>
                <w:color w:val="auto"/>
                <w:sz w:val="21"/>
                <w:szCs w:val="21"/>
                <w:highlight w:val="none"/>
                <w:lang w:eastAsia="zh-CN"/>
              </w:rPr>
              <w:t>台</w:t>
            </w:r>
          </w:p>
        </w:tc>
        <w:tc>
          <w:tcPr>
            <w:tcW w:w="1114" w:type="dxa"/>
            <w:vAlign w:val="center"/>
          </w:tcPr>
          <w:p>
            <w:pPr>
              <w:pStyle w:val="62"/>
              <w:spacing w:line="360" w:lineRule="auto"/>
              <w:ind w:firstLine="0" w:firstLineChars="0"/>
              <w:rPr>
                <w:rFonts w:hint="eastAsia"/>
                <w:color w:val="auto"/>
                <w:sz w:val="21"/>
                <w:szCs w:val="21"/>
                <w:highlight w:val="none"/>
                <w:lang w:val="en-US" w:eastAsia="zh-CN"/>
              </w:rPr>
            </w:pPr>
            <w:r>
              <w:rPr>
                <w:rFonts w:hint="eastAsia"/>
                <w:color w:val="auto"/>
                <w:highlight w:val="none"/>
                <w:lang w:val="en-US" w:eastAsia="zh-CN"/>
              </w:rPr>
              <w:t>2</w:t>
            </w:r>
          </w:p>
        </w:tc>
        <w:tc>
          <w:tcPr>
            <w:tcW w:w="2263" w:type="dxa"/>
            <w:vAlign w:val="center"/>
          </w:tcPr>
          <w:p>
            <w:pPr>
              <w:adjustRightInd w:val="0"/>
              <w:snapToGrid w:val="0"/>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75" w:type="dxa"/>
            <w:vAlign w:val="center"/>
          </w:tcPr>
          <w:p>
            <w:pPr>
              <w:adjustRightInd w:val="0"/>
              <w:snapToGrid w:val="0"/>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15</w:t>
            </w:r>
          </w:p>
        </w:tc>
        <w:tc>
          <w:tcPr>
            <w:tcW w:w="3195" w:type="dxa"/>
            <w:vAlign w:val="center"/>
          </w:tcPr>
          <w:p>
            <w:pPr>
              <w:pStyle w:val="62"/>
              <w:spacing w:line="360" w:lineRule="auto"/>
              <w:ind w:firstLine="0" w:firstLineChars="0"/>
              <w:rPr>
                <w:rFonts w:hint="eastAsia"/>
                <w:color w:val="auto"/>
                <w:kern w:val="0"/>
                <w:sz w:val="21"/>
                <w:szCs w:val="21"/>
                <w:highlight w:val="none"/>
                <w:lang w:eastAsia="zh-CN"/>
              </w:rPr>
            </w:pPr>
            <w:r>
              <w:rPr>
                <w:rFonts w:hint="eastAsia"/>
                <w:color w:val="auto"/>
                <w:highlight w:val="none"/>
                <w:lang w:eastAsia="zh-CN"/>
              </w:rPr>
              <w:t>振动筛</w:t>
            </w:r>
          </w:p>
        </w:tc>
        <w:tc>
          <w:tcPr>
            <w:tcW w:w="1113" w:type="dxa"/>
            <w:vAlign w:val="center"/>
          </w:tcPr>
          <w:p>
            <w:pPr>
              <w:adjustRightInd w:val="0"/>
              <w:snapToGrid w:val="0"/>
              <w:ind w:firstLine="0" w:firstLineChars="0"/>
              <w:jc w:val="center"/>
              <w:rPr>
                <w:rFonts w:hint="eastAsia"/>
                <w:color w:val="auto"/>
                <w:sz w:val="21"/>
                <w:szCs w:val="21"/>
                <w:highlight w:val="none"/>
                <w:lang w:eastAsia="zh-CN"/>
              </w:rPr>
            </w:pPr>
            <w:r>
              <w:rPr>
                <w:rFonts w:hint="eastAsia"/>
                <w:color w:val="auto"/>
                <w:sz w:val="21"/>
                <w:szCs w:val="21"/>
                <w:highlight w:val="none"/>
                <w:lang w:eastAsia="zh-CN"/>
              </w:rPr>
              <w:t>台</w:t>
            </w:r>
          </w:p>
        </w:tc>
        <w:tc>
          <w:tcPr>
            <w:tcW w:w="1114" w:type="dxa"/>
            <w:vAlign w:val="center"/>
          </w:tcPr>
          <w:p>
            <w:pPr>
              <w:pStyle w:val="62"/>
              <w:spacing w:line="360" w:lineRule="auto"/>
              <w:ind w:firstLine="0" w:firstLineChars="0"/>
              <w:rPr>
                <w:rFonts w:hint="eastAsia"/>
                <w:color w:val="auto"/>
                <w:sz w:val="21"/>
                <w:szCs w:val="21"/>
                <w:highlight w:val="none"/>
                <w:lang w:val="en-US" w:eastAsia="zh-CN"/>
              </w:rPr>
            </w:pPr>
            <w:r>
              <w:rPr>
                <w:rFonts w:hint="eastAsia"/>
                <w:color w:val="auto"/>
                <w:highlight w:val="none"/>
                <w:lang w:val="en-US" w:eastAsia="zh-CN"/>
              </w:rPr>
              <w:t>2</w:t>
            </w:r>
          </w:p>
        </w:tc>
        <w:tc>
          <w:tcPr>
            <w:tcW w:w="2263" w:type="dxa"/>
            <w:vAlign w:val="center"/>
          </w:tcPr>
          <w:p>
            <w:pPr>
              <w:adjustRightInd w:val="0"/>
              <w:snapToGrid w:val="0"/>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75" w:type="dxa"/>
            <w:vAlign w:val="center"/>
          </w:tcPr>
          <w:p>
            <w:pPr>
              <w:adjustRightInd w:val="0"/>
              <w:snapToGrid w:val="0"/>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16</w:t>
            </w:r>
          </w:p>
        </w:tc>
        <w:tc>
          <w:tcPr>
            <w:tcW w:w="3195" w:type="dxa"/>
            <w:vAlign w:val="center"/>
          </w:tcPr>
          <w:p>
            <w:pPr>
              <w:widowControl/>
              <w:ind w:firstLine="0" w:firstLineChars="0"/>
              <w:jc w:val="center"/>
              <w:rPr>
                <w:rFonts w:hint="eastAsia"/>
                <w:color w:val="auto"/>
                <w:kern w:val="0"/>
                <w:sz w:val="21"/>
                <w:szCs w:val="21"/>
                <w:highlight w:val="none"/>
                <w:lang w:eastAsia="zh-CN"/>
              </w:rPr>
            </w:pPr>
            <w:r>
              <w:rPr>
                <w:rFonts w:hint="eastAsia"/>
                <w:color w:val="auto"/>
                <w:sz w:val="21"/>
                <w:szCs w:val="21"/>
                <w:highlight w:val="none"/>
                <w:lang w:eastAsia="zh-CN"/>
              </w:rPr>
              <w:t>负压抽风机</w:t>
            </w:r>
          </w:p>
        </w:tc>
        <w:tc>
          <w:tcPr>
            <w:tcW w:w="1113" w:type="dxa"/>
            <w:vAlign w:val="center"/>
          </w:tcPr>
          <w:p>
            <w:pPr>
              <w:adjustRightInd w:val="0"/>
              <w:snapToGrid w:val="0"/>
              <w:ind w:firstLine="0" w:firstLineChars="0"/>
              <w:jc w:val="center"/>
              <w:rPr>
                <w:rFonts w:hint="eastAsia"/>
                <w:color w:val="auto"/>
                <w:sz w:val="21"/>
                <w:szCs w:val="21"/>
                <w:highlight w:val="none"/>
                <w:lang w:eastAsia="zh-CN"/>
              </w:rPr>
            </w:pPr>
            <w:r>
              <w:rPr>
                <w:rFonts w:hint="eastAsia"/>
                <w:color w:val="auto"/>
                <w:sz w:val="21"/>
                <w:szCs w:val="21"/>
                <w:highlight w:val="none"/>
                <w:lang w:eastAsia="zh-CN"/>
              </w:rPr>
              <w:t>台</w:t>
            </w:r>
          </w:p>
        </w:tc>
        <w:tc>
          <w:tcPr>
            <w:tcW w:w="1114" w:type="dxa"/>
            <w:vAlign w:val="center"/>
          </w:tcPr>
          <w:p>
            <w:pPr>
              <w:pStyle w:val="62"/>
              <w:spacing w:line="360" w:lineRule="auto"/>
              <w:ind w:firstLine="0" w:firstLineChars="0"/>
              <w:rPr>
                <w:rFonts w:hint="eastAsia"/>
                <w:color w:val="auto"/>
                <w:sz w:val="21"/>
                <w:szCs w:val="21"/>
                <w:highlight w:val="none"/>
                <w:lang w:val="en-US" w:eastAsia="zh-CN"/>
              </w:rPr>
            </w:pPr>
            <w:r>
              <w:rPr>
                <w:rFonts w:hint="eastAsia"/>
                <w:color w:val="auto"/>
                <w:highlight w:val="none"/>
                <w:lang w:val="en-US" w:eastAsia="zh-CN"/>
              </w:rPr>
              <w:t>2</w:t>
            </w:r>
          </w:p>
        </w:tc>
        <w:tc>
          <w:tcPr>
            <w:tcW w:w="2263" w:type="dxa"/>
            <w:vAlign w:val="center"/>
          </w:tcPr>
          <w:p>
            <w:pPr>
              <w:adjustRightInd w:val="0"/>
              <w:snapToGrid w:val="0"/>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85</w:t>
            </w:r>
          </w:p>
        </w:tc>
      </w:tr>
    </w:tbl>
    <w:p>
      <w:pPr>
        <w:pStyle w:val="17"/>
        <w:ind w:firstLine="480"/>
        <w:rPr>
          <w:rFonts w:ascii="Times New Roman" w:hAnsi="Times New Roman"/>
          <w:highlight w:val="none"/>
        </w:rPr>
      </w:pPr>
    </w:p>
    <w:p>
      <w:pPr>
        <w:pStyle w:val="17"/>
        <w:ind w:firstLine="480"/>
        <w:rPr>
          <w:rFonts w:ascii="Times New Roman" w:hAnsi="Times New Roman"/>
          <w:highlight w:val="none"/>
        </w:rPr>
      </w:pPr>
      <w:r>
        <w:rPr>
          <w:rFonts w:hint="eastAsia" w:ascii="Times New Roman" w:hAnsi="Times New Roman"/>
          <w:highlight w:val="none"/>
        </w:rPr>
        <w:t>C、交通噪声</w:t>
      </w:r>
    </w:p>
    <w:p>
      <w:pPr>
        <w:ind w:firstLine="480"/>
        <w:rPr>
          <w:color w:val="auto"/>
          <w:highlight w:val="none"/>
        </w:rPr>
      </w:pPr>
      <w:r>
        <w:rPr>
          <w:color w:val="auto"/>
          <w:highlight w:val="none"/>
        </w:rPr>
        <w:t>矿石运输过程会产生一定的交通噪声，声级值约在85dB</w:t>
      </w:r>
      <w:r>
        <w:rPr>
          <w:rFonts w:hint="eastAsia"/>
          <w:color w:val="auto"/>
          <w:highlight w:val="none"/>
        </w:rPr>
        <w:t>（A）</w:t>
      </w:r>
      <w:r>
        <w:rPr>
          <w:color w:val="auto"/>
          <w:highlight w:val="none"/>
        </w:rPr>
        <w:t>左右。</w:t>
      </w:r>
    </w:p>
    <w:p>
      <w:pPr>
        <w:pStyle w:val="6"/>
        <w:ind w:firstLine="482"/>
        <w:rPr>
          <w:rFonts w:hint="eastAsia"/>
          <w:color w:val="auto"/>
          <w:highlight w:val="none"/>
          <w:lang w:eastAsia="zh-CN"/>
        </w:rPr>
      </w:pPr>
      <w:r>
        <w:rPr>
          <w:rFonts w:hint="eastAsia" w:cs="Times New Roman"/>
          <w:color w:val="auto"/>
          <w:highlight w:val="none"/>
          <w:lang w:val="en-US" w:eastAsia="zh-CN"/>
        </w:rPr>
        <w:t>2、</w:t>
      </w:r>
      <w:r>
        <w:rPr>
          <w:rFonts w:cs="Times New Roman"/>
          <w:color w:val="auto"/>
          <w:highlight w:val="none"/>
        </w:rPr>
        <w:t>噪声</w:t>
      </w:r>
      <w:r>
        <w:rPr>
          <w:rFonts w:hint="eastAsia" w:cs="Times New Roman"/>
          <w:color w:val="auto"/>
          <w:highlight w:val="none"/>
        </w:rPr>
        <w:t>影响分析</w:t>
      </w:r>
    </w:p>
    <w:p>
      <w:pPr>
        <w:pStyle w:val="17"/>
        <w:ind w:firstLine="482"/>
        <w:rPr>
          <w:rFonts w:ascii="Times New Roman" w:hAnsi="Times New Roman"/>
          <w:b/>
          <w:bCs/>
          <w:color w:val="auto"/>
          <w:szCs w:val="22"/>
          <w:highlight w:val="none"/>
        </w:rPr>
      </w:pPr>
      <w:r>
        <w:rPr>
          <w:rFonts w:hint="eastAsia" w:ascii="Times New Roman" w:hAnsi="Times New Roman"/>
          <w:b/>
          <w:bCs/>
          <w:color w:val="auto"/>
          <w:szCs w:val="22"/>
          <w:highlight w:val="none"/>
        </w:rPr>
        <w:t>（1）爆破噪声影响分析</w:t>
      </w:r>
    </w:p>
    <w:p>
      <w:pPr>
        <w:pStyle w:val="17"/>
        <w:ind w:firstLine="480"/>
        <w:rPr>
          <w:rFonts w:ascii="Times New Roman" w:hAnsi="Times New Roman"/>
          <w:color w:val="auto"/>
          <w:highlight w:val="none"/>
        </w:rPr>
      </w:pPr>
      <w:r>
        <w:rPr>
          <w:rFonts w:ascii="Times New Roman" w:hAnsi="Times New Roman"/>
          <w:color w:val="auto"/>
          <w:highlight w:val="none"/>
        </w:rPr>
        <w:t>本项目开采需进行爆破，爆破瞬时将产生高声功率的噪声，爆破噪声亦为矿山开采主要的噪声源，其声功率高达</w:t>
      </w:r>
      <w:r>
        <w:rPr>
          <w:rFonts w:hint="eastAsia" w:ascii="Times New Roman" w:hAnsi="Times New Roman"/>
          <w:color w:val="auto"/>
          <w:highlight w:val="none"/>
        </w:rPr>
        <w:t>110</w:t>
      </w:r>
      <w:r>
        <w:rPr>
          <w:rFonts w:ascii="Times New Roman" w:hAnsi="Times New Roman"/>
          <w:color w:val="auto"/>
          <w:highlight w:val="none"/>
        </w:rPr>
        <w:t>dB(A)</w:t>
      </w:r>
      <w:r>
        <w:rPr>
          <w:rFonts w:hint="eastAsia" w:ascii="Times New Roman" w:hAnsi="Times New Roman"/>
          <w:color w:val="auto"/>
          <w:highlight w:val="none"/>
        </w:rPr>
        <w:t>，</w:t>
      </w:r>
      <w:r>
        <w:rPr>
          <w:rFonts w:ascii="Times New Roman" w:hAnsi="Times New Roman"/>
          <w:color w:val="auto"/>
          <w:highlight w:val="none"/>
        </w:rPr>
        <w:t>对矿区周边地区有一定影响。根据HJ2.4-2009《环境影响评价技术导则 声环境》，</w:t>
      </w:r>
      <w:r>
        <w:rPr>
          <w:rFonts w:hint="eastAsia" w:ascii="Times New Roman" w:hAnsi="Times New Roman"/>
          <w:color w:val="auto"/>
          <w:highlight w:val="none"/>
        </w:rPr>
        <w:t>本次评价采用点源衰减模式进行预测，预测只计算声源至受声点的几何发散衰减，不考虑声屏障、空气吸收等衰减，预测公式如下：</w:t>
      </w:r>
    </w:p>
    <w:p>
      <w:pPr>
        <w:pStyle w:val="12"/>
        <w:ind w:firstLine="480"/>
        <w:jc w:val="center"/>
        <w:rPr>
          <w:color w:val="auto"/>
          <w:highlight w:val="none"/>
        </w:rPr>
      </w:pPr>
      <w:r>
        <w:rPr>
          <w:color w:val="auto"/>
          <w:highlight w:val="none"/>
        </w:rPr>
        <w:t>L</w:t>
      </w:r>
      <w:r>
        <w:rPr>
          <w:color w:val="auto"/>
          <w:highlight w:val="none"/>
          <w:vertAlign w:val="subscript"/>
        </w:rPr>
        <w:t>r</w:t>
      </w:r>
      <w:r>
        <w:rPr>
          <w:color w:val="auto"/>
          <w:highlight w:val="none"/>
        </w:rPr>
        <w:t>=Lr</w:t>
      </w:r>
      <w:r>
        <w:rPr>
          <w:color w:val="auto"/>
          <w:highlight w:val="none"/>
          <w:vertAlign w:val="subscript"/>
        </w:rPr>
        <w:t>o</w:t>
      </w:r>
      <w:r>
        <w:rPr>
          <w:color w:val="auto"/>
          <w:highlight w:val="none"/>
        </w:rPr>
        <w:t>－20lg(r</w:t>
      </w:r>
      <w:r>
        <w:rPr>
          <w:color w:val="auto"/>
          <w:highlight w:val="none"/>
          <w:lang w:val="en-GB"/>
        </w:rPr>
        <w:t>／</w:t>
      </w:r>
      <w:r>
        <w:rPr>
          <w:color w:val="auto"/>
          <w:highlight w:val="none"/>
        </w:rPr>
        <w:t>r</w:t>
      </w:r>
      <w:r>
        <w:rPr>
          <w:color w:val="auto"/>
          <w:highlight w:val="none"/>
          <w:vertAlign w:val="subscript"/>
        </w:rPr>
        <w:t>o</w:t>
      </w:r>
      <w:r>
        <w:rPr>
          <w:color w:val="auto"/>
          <w:highlight w:val="none"/>
        </w:rPr>
        <w:t>)</w:t>
      </w:r>
    </w:p>
    <w:p>
      <w:pPr>
        <w:pStyle w:val="12"/>
        <w:ind w:firstLine="480"/>
        <w:jc w:val="center"/>
        <w:rPr>
          <w:color w:val="auto"/>
          <w:highlight w:val="none"/>
        </w:rPr>
      </w:pPr>
      <w:r>
        <w:rPr>
          <w:color w:val="auto"/>
          <w:highlight w:val="none"/>
        </w:rPr>
        <w:t>式中：L</w:t>
      </w:r>
      <w:r>
        <w:rPr>
          <w:color w:val="auto"/>
          <w:highlight w:val="none"/>
          <w:vertAlign w:val="subscript"/>
        </w:rPr>
        <w:t>r</w:t>
      </w:r>
      <w:r>
        <w:rPr>
          <w:color w:val="auto"/>
          <w:highlight w:val="none"/>
        </w:rPr>
        <w:t>－声源r处的A声压级，dB(A)；</w:t>
      </w:r>
    </w:p>
    <w:p>
      <w:pPr>
        <w:pStyle w:val="12"/>
        <w:ind w:firstLine="480"/>
        <w:jc w:val="center"/>
        <w:rPr>
          <w:color w:val="auto"/>
          <w:highlight w:val="none"/>
        </w:rPr>
      </w:pPr>
      <w:r>
        <w:rPr>
          <w:rFonts w:hint="eastAsia"/>
          <w:color w:val="auto"/>
          <w:highlight w:val="none"/>
        </w:rPr>
        <w:t xml:space="preserve">          </w:t>
      </w:r>
      <w:r>
        <w:rPr>
          <w:color w:val="auto"/>
          <w:highlight w:val="none"/>
        </w:rPr>
        <w:t>Lr</w:t>
      </w:r>
      <w:r>
        <w:rPr>
          <w:color w:val="auto"/>
          <w:highlight w:val="none"/>
          <w:vertAlign w:val="subscript"/>
        </w:rPr>
        <w:t>o</w:t>
      </w:r>
      <w:r>
        <w:rPr>
          <w:color w:val="auto"/>
          <w:highlight w:val="none"/>
        </w:rPr>
        <w:t>－距声源r</w:t>
      </w:r>
      <w:r>
        <w:rPr>
          <w:color w:val="auto"/>
          <w:highlight w:val="none"/>
          <w:vertAlign w:val="subscript"/>
        </w:rPr>
        <w:t>o</w:t>
      </w:r>
      <w:r>
        <w:rPr>
          <w:color w:val="auto"/>
          <w:highlight w:val="none"/>
        </w:rPr>
        <w:t>处的A声压级，dB(A)；</w:t>
      </w:r>
    </w:p>
    <w:p>
      <w:pPr>
        <w:pStyle w:val="12"/>
        <w:ind w:firstLine="480"/>
        <w:jc w:val="center"/>
        <w:rPr>
          <w:color w:val="auto"/>
          <w:highlight w:val="none"/>
        </w:rPr>
      </w:pPr>
      <w:r>
        <w:rPr>
          <w:color w:val="auto"/>
          <w:highlight w:val="none"/>
        </w:rPr>
        <w:t>r一预测点与声源的距离，m；</w:t>
      </w:r>
    </w:p>
    <w:p>
      <w:pPr>
        <w:pStyle w:val="17"/>
        <w:ind w:firstLine="480"/>
        <w:rPr>
          <w:rFonts w:ascii="Times New Roman" w:hAnsi="Times New Roman"/>
          <w:color w:val="auto"/>
          <w:highlight w:val="none"/>
        </w:rPr>
      </w:pPr>
      <w:r>
        <w:rPr>
          <w:rFonts w:hint="eastAsia" w:ascii="Times New Roman" w:hAnsi="Times New Roman"/>
          <w:color w:val="auto"/>
          <w:highlight w:val="none"/>
        </w:rPr>
        <w:t>距离本项目最近的关心点为矿界西侧约</w:t>
      </w:r>
      <w:r>
        <w:rPr>
          <w:rFonts w:hint="eastAsia" w:ascii="Times New Roman" w:hAnsi="Times New Roman"/>
          <w:color w:val="auto"/>
          <w:highlight w:val="none"/>
          <w:lang w:val="en-US" w:eastAsia="zh-CN"/>
        </w:rPr>
        <w:t>860</w:t>
      </w:r>
      <w:r>
        <w:rPr>
          <w:rFonts w:hint="eastAsia" w:ascii="Times New Roman" w:hAnsi="Times New Roman"/>
          <w:color w:val="auto"/>
          <w:highlight w:val="none"/>
        </w:rPr>
        <w:t>m外的</w:t>
      </w:r>
      <w:r>
        <w:rPr>
          <w:rFonts w:hint="eastAsia" w:ascii="Times New Roman" w:hAnsi="Times New Roman"/>
          <w:color w:val="auto"/>
          <w:highlight w:val="none"/>
          <w:lang w:eastAsia="zh-CN"/>
        </w:rPr>
        <w:t>卡子</w:t>
      </w:r>
      <w:r>
        <w:rPr>
          <w:rFonts w:hint="eastAsia" w:ascii="Times New Roman" w:hAnsi="Times New Roman"/>
          <w:color w:val="auto"/>
          <w:highlight w:val="none"/>
        </w:rPr>
        <w:t>村，根据上式可计算出爆破对</w:t>
      </w:r>
      <w:r>
        <w:rPr>
          <w:rFonts w:hint="eastAsia" w:ascii="Times New Roman" w:hAnsi="Times New Roman"/>
          <w:color w:val="auto"/>
          <w:highlight w:val="none"/>
          <w:lang w:eastAsia="zh-CN"/>
        </w:rPr>
        <w:t>卡子</w:t>
      </w:r>
      <w:r>
        <w:rPr>
          <w:rFonts w:hint="eastAsia" w:ascii="Times New Roman" w:hAnsi="Times New Roman"/>
          <w:color w:val="auto"/>
          <w:highlight w:val="none"/>
        </w:rPr>
        <w:t>村</w:t>
      </w:r>
      <w:r>
        <w:rPr>
          <w:rFonts w:hint="eastAsia" w:ascii="Times New Roman" w:hAnsi="Times New Roman"/>
          <w:color w:val="auto"/>
          <w:highlight w:val="none"/>
          <w:lang w:eastAsia="zh-CN"/>
        </w:rPr>
        <w:t>昼间</w:t>
      </w:r>
      <w:r>
        <w:rPr>
          <w:rFonts w:hint="eastAsia" w:ascii="Times New Roman" w:hAnsi="Times New Roman"/>
          <w:color w:val="auto"/>
          <w:highlight w:val="none"/>
        </w:rPr>
        <w:t>的贡献值为50.45dB（A），能满足《声环境质量标准》（GB3096-2008）2类标准</w:t>
      </w:r>
      <w:r>
        <w:rPr>
          <w:rFonts w:hint="eastAsia" w:ascii="Times New Roman" w:hAnsi="Times New Roman"/>
          <w:color w:val="auto"/>
          <w:highlight w:val="none"/>
          <w:lang w:eastAsia="zh-CN"/>
        </w:rPr>
        <w:t>，即昼间≤</w:t>
      </w:r>
      <w:r>
        <w:rPr>
          <w:rFonts w:hint="eastAsia" w:ascii="Times New Roman" w:hAnsi="Times New Roman"/>
          <w:color w:val="auto"/>
          <w:highlight w:val="none"/>
          <w:lang w:val="en-US" w:eastAsia="zh-CN"/>
        </w:rPr>
        <w:t>60</w:t>
      </w:r>
      <w:r>
        <w:rPr>
          <w:rFonts w:hint="eastAsia" w:ascii="Times New Roman" w:hAnsi="Times New Roman"/>
          <w:color w:val="auto"/>
          <w:highlight w:val="none"/>
        </w:rPr>
        <w:t>dB（A），</w:t>
      </w:r>
      <w:r>
        <w:rPr>
          <w:rFonts w:hint="eastAsia" w:ascii="Times New Roman" w:hAnsi="Times New Roman"/>
          <w:color w:val="auto"/>
          <w:highlight w:val="none"/>
          <w:lang w:eastAsia="zh-CN"/>
        </w:rPr>
        <w:t>白班爆破作业产生的噪声</w:t>
      </w:r>
      <w:r>
        <w:rPr>
          <w:rFonts w:hint="eastAsia" w:ascii="Times New Roman" w:hAnsi="Times New Roman"/>
          <w:color w:val="auto"/>
          <w:highlight w:val="none"/>
        </w:rPr>
        <w:t>对关心点影响较小。</w:t>
      </w:r>
    </w:p>
    <w:p>
      <w:pPr>
        <w:pStyle w:val="17"/>
        <w:ind w:firstLine="482"/>
        <w:rPr>
          <w:rFonts w:ascii="Times New Roman" w:hAnsi="Times New Roman"/>
          <w:b/>
          <w:bCs/>
          <w:color w:val="auto"/>
          <w:highlight w:val="none"/>
        </w:rPr>
      </w:pPr>
      <w:r>
        <w:rPr>
          <w:rFonts w:hint="eastAsia" w:ascii="Times New Roman" w:hAnsi="Times New Roman"/>
          <w:b/>
          <w:bCs/>
          <w:color w:val="auto"/>
          <w:highlight w:val="none"/>
        </w:rPr>
        <w:t>（2）振动噪声影响分析</w:t>
      </w:r>
    </w:p>
    <w:p>
      <w:pPr>
        <w:pStyle w:val="17"/>
        <w:ind w:firstLine="480"/>
        <w:rPr>
          <w:rFonts w:ascii="Times New Roman" w:hAnsi="Times New Roman"/>
          <w:color w:val="auto"/>
          <w:highlight w:val="none"/>
        </w:rPr>
      </w:pPr>
      <w:r>
        <w:rPr>
          <w:rFonts w:hint="eastAsia" w:ascii="Times New Roman" w:hAnsi="Times New Roman"/>
          <w:color w:val="auto"/>
          <w:highlight w:val="none"/>
        </w:rPr>
        <w:t>本项目炸药设计单耗量为0.17kg/t产品，全年总消耗量</w:t>
      </w:r>
      <w:r>
        <w:rPr>
          <w:rFonts w:hint="eastAsia" w:ascii="Times New Roman" w:hAnsi="Times New Roman"/>
          <w:color w:val="auto"/>
          <w:highlight w:val="none"/>
          <w:lang w:val="en-US" w:eastAsia="zh-CN"/>
        </w:rPr>
        <w:t>51</w:t>
      </w:r>
      <w:r>
        <w:rPr>
          <w:rFonts w:hint="eastAsia" w:ascii="Times New Roman" w:hAnsi="Times New Roman"/>
          <w:color w:val="auto"/>
          <w:highlight w:val="none"/>
        </w:rPr>
        <w:t>t，则矿山开采过程中单次炸药使用量约为340kg。</w:t>
      </w:r>
    </w:p>
    <w:p>
      <w:pPr>
        <w:pStyle w:val="17"/>
        <w:ind w:firstLine="480"/>
        <w:rPr>
          <w:rFonts w:ascii="Times New Roman" w:hAnsi="Times New Roman"/>
          <w:color w:val="auto"/>
          <w:highlight w:val="none"/>
        </w:rPr>
      </w:pPr>
      <w:r>
        <w:rPr>
          <w:rFonts w:hint="eastAsia" w:ascii="Times New Roman" w:hAnsi="Times New Roman"/>
          <w:color w:val="auto"/>
          <w:highlight w:val="none"/>
        </w:rPr>
        <w:t>本项目产生的振动影响主要来自于矿石爆破，对于爆破产生的冲击振动，其特点是瞬时的，爆破后马上消失。爆破振动的强弱取决于同时起爆炸药量、爆破约束条件、岩石特性、距离爆破点的距离及地面覆盖物等。</w:t>
      </w:r>
    </w:p>
    <w:p>
      <w:pPr>
        <w:pStyle w:val="17"/>
        <w:ind w:firstLine="480"/>
        <w:rPr>
          <w:rFonts w:ascii="Times New Roman" w:hAnsi="Times New Roman"/>
          <w:color w:val="auto"/>
          <w:highlight w:val="none"/>
        </w:rPr>
      </w:pPr>
      <w:r>
        <w:rPr>
          <w:rFonts w:hint="eastAsia" w:ascii="Times New Roman" w:hAnsi="Times New Roman"/>
          <w:color w:val="auto"/>
          <w:highlight w:val="none"/>
        </w:rPr>
        <w:t>根据《爆破安全规程》（GB6722-2014），爆破振动安全允许距离计算公式如下：</w:t>
      </w:r>
    </w:p>
    <w:p>
      <w:pPr>
        <w:pStyle w:val="17"/>
        <w:ind w:firstLine="0" w:firstLineChars="0"/>
        <w:jc w:val="center"/>
        <w:rPr>
          <w:rFonts w:ascii="Times New Roman" w:hAnsi="Times New Roman"/>
          <w:color w:val="auto"/>
          <w:highlight w:val="none"/>
        </w:rPr>
      </w:pPr>
      <w:r>
        <w:rPr>
          <w:rFonts w:ascii="Times New Roman" w:hAnsi="Times New Roman"/>
          <w:color w:val="auto"/>
          <w:highlight w:val="none"/>
        </w:rPr>
        <w:t>R=Q</w:t>
      </w:r>
      <w:r>
        <w:rPr>
          <w:rFonts w:ascii="Times New Roman" w:hAnsi="Times New Roman"/>
          <w:color w:val="auto"/>
          <w:highlight w:val="none"/>
          <w:vertAlign w:val="superscript"/>
        </w:rPr>
        <w:t>1/3</w:t>
      </w:r>
      <w:r>
        <w:rPr>
          <w:rFonts w:hint="eastAsia" w:ascii="Times New Roman" w:hAnsi="Times New Roman"/>
          <w:color w:val="auto"/>
          <w:highlight w:val="none"/>
        </w:rPr>
        <w:t>*</w:t>
      </w:r>
      <w:r>
        <w:rPr>
          <w:rFonts w:ascii="Times New Roman" w:hAnsi="Times New Roman"/>
          <w:color w:val="auto"/>
          <w:highlight w:val="none"/>
        </w:rPr>
        <w:t>(</w:t>
      </w:r>
      <w:r>
        <w:rPr>
          <w:rFonts w:hint="eastAsia" w:ascii="Times New Roman" w:hAnsi="Times New Roman"/>
          <w:color w:val="auto"/>
          <w:highlight w:val="none"/>
        </w:rPr>
        <w:t>K</w:t>
      </w:r>
      <w:r>
        <w:rPr>
          <w:rFonts w:ascii="Times New Roman" w:hAnsi="Times New Roman"/>
          <w:color w:val="auto"/>
          <w:highlight w:val="none"/>
        </w:rPr>
        <w:t>/</w:t>
      </w:r>
      <w:r>
        <w:rPr>
          <w:rFonts w:hint="eastAsia" w:ascii="Times New Roman" w:hAnsi="Times New Roman"/>
          <w:color w:val="auto"/>
          <w:highlight w:val="none"/>
        </w:rPr>
        <w:t>V</w:t>
      </w:r>
      <w:r>
        <w:rPr>
          <w:rFonts w:ascii="Times New Roman" w:hAnsi="Times New Roman"/>
          <w:color w:val="auto"/>
          <w:highlight w:val="none"/>
        </w:rPr>
        <w:t>)</w:t>
      </w:r>
      <w:r>
        <w:rPr>
          <w:rFonts w:ascii="Times New Roman" w:hAnsi="Times New Roman"/>
          <w:color w:val="auto"/>
          <w:highlight w:val="none"/>
          <w:vertAlign w:val="superscript"/>
        </w:rPr>
        <w:t>1/α</w:t>
      </w:r>
    </w:p>
    <w:p>
      <w:pPr>
        <w:pStyle w:val="17"/>
        <w:ind w:firstLine="480"/>
        <w:rPr>
          <w:rFonts w:ascii="Times New Roman" w:hAnsi="Times New Roman"/>
          <w:color w:val="auto"/>
          <w:highlight w:val="none"/>
        </w:rPr>
      </w:pPr>
      <w:r>
        <w:rPr>
          <w:rFonts w:hint="eastAsia" w:ascii="Times New Roman" w:hAnsi="Times New Roman"/>
          <w:color w:val="auto"/>
          <w:highlight w:val="none"/>
        </w:rPr>
        <w:t>式中：R—爆破振动安全允许距离，m；</w:t>
      </w:r>
    </w:p>
    <w:p>
      <w:pPr>
        <w:pStyle w:val="17"/>
        <w:ind w:firstLine="480"/>
        <w:rPr>
          <w:rFonts w:ascii="Times New Roman" w:hAnsi="Times New Roman"/>
          <w:color w:val="auto"/>
          <w:highlight w:val="none"/>
        </w:rPr>
      </w:pPr>
      <w:r>
        <w:rPr>
          <w:rFonts w:hint="eastAsia" w:ascii="Times New Roman" w:hAnsi="Times New Roman"/>
          <w:color w:val="auto"/>
          <w:highlight w:val="none"/>
        </w:rPr>
        <w:t>Q—炸药量，齐发爆破为总药量，延时爆破为最大单段药量，取340kg</w:t>
      </w:r>
    </w:p>
    <w:p>
      <w:pPr>
        <w:pStyle w:val="17"/>
        <w:ind w:firstLine="480"/>
        <w:rPr>
          <w:rFonts w:hint="default" w:ascii="Times New Roman" w:hAnsi="Times New Roman" w:eastAsia="宋体"/>
          <w:color w:val="auto"/>
          <w:highlight w:val="none"/>
          <w:lang w:val="en-US" w:eastAsia="zh-CN"/>
        </w:rPr>
      </w:pPr>
      <w:r>
        <w:rPr>
          <w:rFonts w:hint="eastAsia" w:ascii="Times New Roman" w:hAnsi="Times New Roman"/>
          <w:color w:val="auto"/>
          <w:highlight w:val="none"/>
        </w:rPr>
        <w:t>V—保护对象所在地安全允许质点振速，cm/s，取值见表</w:t>
      </w:r>
      <w:r>
        <w:rPr>
          <w:rFonts w:hint="eastAsia" w:ascii="Times New Roman" w:hAnsi="Times New Roman"/>
          <w:color w:val="auto"/>
          <w:highlight w:val="none"/>
          <w:lang w:val="en-US" w:eastAsia="zh-CN"/>
        </w:rPr>
        <w:t>6.2-12</w:t>
      </w:r>
    </w:p>
    <w:p>
      <w:pPr>
        <w:pStyle w:val="17"/>
        <w:ind w:firstLine="480"/>
        <w:rPr>
          <w:rFonts w:ascii="Times New Roman" w:hAnsi="Times New Roman"/>
          <w:color w:val="auto"/>
          <w:highlight w:val="none"/>
        </w:rPr>
      </w:pPr>
      <w:r>
        <w:rPr>
          <w:rFonts w:hint="eastAsia" w:ascii="Times New Roman" w:hAnsi="Times New Roman"/>
          <w:color w:val="auto"/>
          <w:highlight w:val="none"/>
        </w:rPr>
        <w:t>K，</w:t>
      </w:r>
      <w:r>
        <w:rPr>
          <w:rFonts w:ascii="Times New Roman" w:hAnsi="Times New Roman"/>
          <w:color w:val="auto"/>
          <w:highlight w:val="none"/>
        </w:rPr>
        <w:t>α</w:t>
      </w:r>
      <w:r>
        <w:rPr>
          <w:rFonts w:hint="eastAsia" w:ascii="Times New Roman" w:hAnsi="Times New Roman"/>
          <w:color w:val="auto"/>
          <w:highlight w:val="none"/>
        </w:rPr>
        <w:t>—与爆破点至保护对象的地形、地址条件有关的系数和衰减指数，K取150，</w:t>
      </w:r>
      <w:r>
        <w:rPr>
          <w:rFonts w:ascii="Times New Roman" w:hAnsi="Times New Roman"/>
          <w:color w:val="auto"/>
          <w:highlight w:val="none"/>
        </w:rPr>
        <w:t>α</w:t>
      </w:r>
      <w:r>
        <w:rPr>
          <w:rFonts w:hint="eastAsia" w:ascii="Times New Roman" w:hAnsi="Times New Roman"/>
          <w:color w:val="auto"/>
          <w:highlight w:val="none"/>
        </w:rPr>
        <w:t>取1.5。</w:t>
      </w:r>
    </w:p>
    <w:p>
      <w:pPr>
        <w:pStyle w:val="17"/>
        <w:ind w:firstLine="0" w:firstLineChars="0"/>
        <w:jc w:val="center"/>
        <w:rPr>
          <w:rFonts w:ascii="Times New Roman" w:hAnsi="Times New Roman"/>
          <w:b/>
          <w:bCs/>
          <w:color w:val="auto"/>
          <w:sz w:val="21"/>
          <w:szCs w:val="21"/>
          <w:highlight w:val="none"/>
        </w:rPr>
      </w:pPr>
    </w:p>
    <w:p>
      <w:pPr>
        <w:pStyle w:val="17"/>
        <w:ind w:firstLine="0" w:firstLineChars="0"/>
        <w:jc w:val="center"/>
        <w:rPr>
          <w:rFonts w:ascii="Times New Roman" w:hAnsi="Times New Roman"/>
          <w:b/>
          <w:bCs/>
          <w:color w:val="auto"/>
          <w:sz w:val="21"/>
          <w:szCs w:val="21"/>
          <w:highlight w:val="none"/>
        </w:rPr>
      </w:pPr>
    </w:p>
    <w:p>
      <w:pPr>
        <w:pStyle w:val="17"/>
        <w:ind w:firstLine="0" w:firstLineChars="0"/>
        <w:jc w:val="center"/>
        <w:rPr>
          <w:rFonts w:ascii="Times New Roman" w:hAnsi="Times New Roman"/>
          <w:b/>
          <w:bCs/>
          <w:color w:val="auto"/>
          <w:sz w:val="21"/>
          <w:szCs w:val="21"/>
          <w:highlight w:val="none"/>
        </w:rPr>
      </w:pPr>
    </w:p>
    <w:p>
      <w:pPr>
        <w:pStyle w:val="17"/>
        <w:ind w:firstLine="0" w:firstLineChars="0"/>
        <w:jc w:val="center"/>
        <w:rPr>
          <w:rFonts w:ascii="Times New Roman" w:hAnsi="Times New Roman"/>
          <w:b/>
          <w:bCs/>
          <w:color w:val="auto"/>
          <w:sz w:val="21"/>
          <w:szCs w:val="21"/>
          <w:highlight w:val="none"/>
        </w:rPr>
      </w:pPr>
    </w:p>
    <w:p>
      <w:pPr>
        <w:pStyle w:val="17"/>
        <w:ind w:firstLine="0" w:firstLineChars="0"/>
        <w:jc w:val="center"/>
        <w:rPr>
          <w:rFonts w:ascii="Times New Roman" w:hAnsi="Times New Roman"/>
          <w:b/>
          <w:bCs/>
          <w:color w:val="auto"/>
          <w:sz w:val="21"/>
          <w:szCs w:val="21"/>
          <w:highlight w:val="none"/>
        </w:rPr>
      </w:pPr>
    </w:p>
    <w:p>
      <w:pPr>
        <w:pStyle w:val="17"/>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表</w:t>
      </w:r>
      <w:r>
        <w:rPr>
          <w:rFonts w:hint="eastAsia" w:ascii="Times New Roman" w:hAnsi="Times New Roman"/>
          <w:b/>
          <w:bCs/>
          <w:color w:val="auto"/>
          <w:sz w:val="21"/>
          <w:szCs w:val="21"/>
          <w:highlight w:val="none"/>
          <w:lang w:val="en-US" w:eastAsia="zh-CN"/>
        </w:rPr>
        <w:t>6.2-12</w:t>
      </w:r>
      <w:r>
        <w:rPr>
          <w:rFonts w:ascii="Times New Roman" w:hAnsi="Times New Roman"/>
          <w:b/>
          <w:bCs/>
          <w:color w:val="auto"/>
          <w:sz w:val="21"/>
          <w:szCs w:val="21"/>
          <w:highlight w:val="none"/>
        </w:rPr>
        <w:t xml:space="preserve">  爆破振动安全允许质点振速</w:t>
      </w:r>
    </w:p>
    <w:tbl>
      <w:tblPr>
        <w:tblStyle w:val="29"/>
        <w:tblW w:w="92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8"/>
        <w:gridCol w:w="1858"/>
        <w:gridCol w:w="1859"/>
        <w:gridCol w:w="1859"/>
        <w:gridCol w:w="1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1858" w:type="dxa"/>
            <w:vMerge w:val="restart"/>
            <w:shd w:val="clear" w:color="auto" w:fill="auto"/>
            <w:vAlign w:val="center"/>
          </w:tcPr>
          <w:p>
            <w:pPr>
              <w:pStyle w:val="17"/>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序号</w:t>
            </w:r>
          </w:p>
        </w:tc>
        <w:tc>
          <w:tcPr>
            <w:tcW w:w="1858" w:type="dxa"/>
            <w:vMerge w:val="restart"/>
            <w:shd w:val="clear" w:color="auto" w:fill="auto"/>
            <w:vAlign w:val="center"/>
          </w:tcPr>
          <w:p>
            <w:pPr>
              <w:pStyle w:val="17"/>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保护对象类别</w:t>
            </w:r>
          </w:p>
        </w:tc>
        <w:tc>
          <w:tcPr>
            <w:tcW w:w="5577" w:type="dxa"/>
            <w:gridSpan w:val="3"/>
            <w:shd w:val="clear" w:color="auto" w:fill="auto"/>
            <w:vAlign w:val="center"/>
          </w:tcPr>
          <w:p>
            <w:pPr>
              <w:pStyle w:val="17"/>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安全允许质点振动速度V（cm/s）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1858" w:type="dxa"/>
            <w:vMerge w:val="continue"/>
            <w:shd w:val="clear" w:color="auto" w:fill="auto"/>
            <w:vAlign w:val="center"/>
          </w:tcPr>
          <w:p>
            <w:pPr>
              <w:pStyle w:val="17"/>
              <w:ind w:firstLine="0" w:firstLineChars="0"/>
              <w:jc w:val="center"/>
              <w:rPr>
                <w:rFonts w:ascii="Times New Roman" w:hAnsi="Times New Roman"/>
                <w:b/>
                <w:bCs/>
                <w:color w:val="auto"/>
                <w:sz w:val="21"/>
                <w:szCs w:val="21"/>
                <w:highlight w:val="none"/>
              </w:rPr>
            </w:pPr>
          </w:p>
        </w:tc>
        <w:tc>
          <w:tcPr>
            <w:tcW w:w="1858" w:type="dxa"/>
            <w:vMerge w:val="continue"/>
            <w:shd w:val="clear" w:color="auto" w:fill="auto"/>
            <w:vAlign w:val="center"/>
          </w:tcPr>
          <w:p>
            <w:pPr>
              <w:pStyle w:val="17"/>
              <w:ind w:firstLine="0" w:firstLineChars="0"/>
              <w:jc w:val="center"/>
              <w:rPr>
                <w:rFonts w:ascii="Times New Roman" w:hAnsi="Times New Roman"/>
                <w:b/>
                <w:bCs/>
                <w:color w:val="auto"/>
                <w:sz w:val="21"/>
                <w:szCs w:val="21"/>
                <w:highlight w:val="none"/>
              </w:rPr>
            </w:pPr>
          </w:p>
        </w:tc>
        <w:tc>
          <w:tcPr>
            <w:tcW w:w="1859" w:type="dxa"/>
            <w:shd w:val="clear" w:color="auto" w:fill="auto"/>
            <w:vAlign w:val="center"/>
          </w:tcPr>
          <w:p>
            <w:pPr>
              <w:pStyle w:val="17"/>
              <w:ind w:firstLine="0"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f</w:t>
            </w:r>
            <w:r>
              <w:rPr>
                <w:rFonts w:ascii="Times New Roman" w:hAnsi="Times New Roman"/>
                <w:b/>
                <w:bCs/>
                <w:color w:val="auto"/>
                <w:sz w:val="21"/>
                <w:szCs w:val="21"/>
                <w:highlight w:val="none"/>
              </w:rPr>
              <w:t>≤10Hz</w:t>
            </w:r>
          </w:p>
        </w:tc>
        <w:tc>
          <w:tcPr>
            <w:tcW w:w="1859" w:type="dxa"/>
            <w:shd w:val="clear" w:color="auto" w:fill="auto"/>
            <w:vAlign w:val="center"/>
          </w:tcPr>
          <w:p>
            <w:pPr>
              <w:pStyle w:val="17"/>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10Hz</w:t>
            </w:r>
            <w:r>
              <w:rPr>
                <w:rFonts w:ascii="Times New Roman" w:hAnsi="Times New Roman" w:eastAsia="仿宋"/>
                <w:b/>
                <w:bCs/>
                <w:color w:val="auto"/>
                <w:sz w:val="21"/>
                <w:szCs w:val="21"/>
                <w:highlight w:val="none"/>
              </w:rPr>
              <w:t>~</w:t>
            </w:r>
            <w:r>
              <w:rPr>
                <w:rFonts w:ascii="Times New Roman" w:hAnsi="Times New Roman"/>
                <w:b/>
                <w:bCs/>
                <w:color w:val="auto"/>
                <w:sz w:val="21"/>
                <w:szCs w:val="21"/>
                <w:highlight w:val="none"/>
              </w:rPr>
              <w:t>50Hz</w:t>
            </w:r>
          </w:p>
        </w:tc>
        <w:tc>
          <w:tcPr>
            <w:tcW w:w="1859" w:type="dxa"/>
            <w:shd w:val="clear" w:color="auto" w:fill="auto"/>
            <w:vAlign w:val="center"/>
          </w:tcPr>
          <w:p>
            <w:pPr>
              <w:pStyle w:val="17"/>
              <w:ind w:firstLine="0"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f</w:t>
            </w:r>
            <w:r>
              <w:rPr>
                <w:rFonts w:ascii="Times New Roman" w:hAnsi="Times New Roman"/>
                <w:b/>
                <w:bCs/>
                <w:color w:val="auto"/>
                <w:sz w:val="21"/>
                <w:szCs w:val="21"/>
                <w:highlight w:val="none"/>
              </w:rPr>
              <w:t>＞50Hz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1858"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1</w:t>
            </w:r>
          </w:p>
        </w:tc>
        <w:tc>
          <w:tcPr>
            <w:tcW w:w="1858"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土窑洞、土坯房、毛石房屋</w:t>
            </w:r>
          </w:p>
        </w:tc>
        <w:tc>
          <w:tcPr>
            <w:tcW w:w="1859"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ascii="Times New Roman" w:hAnsi="Times New Roman" w:eastAsia="仿宋"/>
                <w:color w:val="auto"/>
                <w:sz w:val="21"/>
                <w:szCs w:val="21"/>
                <w:highlight w:val="none"/>
              </w:rPr>
              <w:t>0.15~0.45</w:t>
            </w:r>
          </w:p>
        </w:tc>
        <w:tc>
          <w:tcPr>
            <w:tcW w:w="1859"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0.45</w:t>
            </w:r>
            <w:r>
              <w:rPr>
                <w:rFonts w:ascii="Times New Roman" w:hAnsi="Times New Roman" w:eastAsia="仿宋"/>
                <w:color w:val="auto"/>
                <w:sz w:val="21"/>
                <w:szCs w:val="21"/>
                <w:highlight w:val="none"/>
              </w:rPr>
              <w:t>~0.9</w:t>
            </w:r>
          </w:p>
        </w:tc>
        <w:tc>
          <w:tcPr>
            <w:tcW w:w="1859"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0.9</w:t>
            </w:r>
            <w:r>
              <w:rPr>
                <w:rFonts w:ascii="Times New Roman" w:hAnsi="Times New Roman" w:eastAsia="仿宋"/>
                <w:color w:val="auto"/>
                <w:sz w:val="21"/>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1858"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2</w:t>
            </w:r>
          </w:p>
        </w:tc>
        <w:tc>
          <w:tcPr>
            <w:tcW w:w="1858"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一般民用建筑</w:t>
            </w:r>
          </w:p>
        </w:tc>
        <w:tc>
          <w:tcPr>
            <w:tcW w:w="1859"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1.5</w:t>
            </w:r>
            <w:r>
              <w:rPr>
                <w:rFonts w:ascii="Times New Roman" w:hAnsi="Times New Roman" w:eastAsia="仿宋"/>
                <w:color w:val="auto"/>
                <w:sz w:val="21"/>
                <w:szCs w:val="21"/>
                <w:highlight w:val="none"/>
              </w:rPr>
              <w:t>~2.0</w:t>
            </w:r>
          </w:p>
        </w:tc>
        <w:tc>
          <w:tcPr>
            <w:tcW w:w="1859"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2.0</w:t>
            </w:r>
            <w:r>
              <w:rPr>
                <w:rFonts w:ascii="Times New Roman" w:hAnsi="Times New Roman" w:eastAsia="仿宋"/>
                <w:color w:val="auto"/>
                <w:sz w:val="21"/>
                <w:szCs w:val="21"/>
                <w:highlight w:val="none"/>
              </w:rPr>
              <w:t>~2.5</w:t>
            </w:r>
          </w:p>
        </w:tc>
        <w:tc>
          <w:tcPr>
            <w:tcW w:w="1859"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2.5</w:t>
            </w:r>
            <w:r>
              <w:rPr>
                <w:rFonts w:ascii="Times New Roman" w:hAnsi="Times New Roman" w:eastAsia="仿宋"/>
                <w:color w:val="auto"/>
                <w:sz w:val="21"/>
                <w:szCs w:val="21"/>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1858"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3</w:t>
            </w:r>
          </w:p>
        </w:tc>
        <w:tc>
          <w:tcPr>
            <w:tcW w:w="1858"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工业和商业建筑</w:t>
            </w:r>
          </w:p>
        </w:tc>
        <w:tc>
          <w:tcPr>
            <w:tcW w:w="1859"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2.5</w:t>
            </w:r>
            <w:r>
              <w:rPr>
                <w:rFonts w:ascii="Times New Roman" w:hAnsi="Times New Roman" w:eastAsia="仿宋"/>
                <w:color w:val="auto"/>
                <w:sz w:val="21"/>
                <w:szCs w:val="21"/>
                <w:highlight w:val="none"/>
              </w:rPr>
              <w:t>~3.5</w:t>
            </w:r>
          </w:p>
        </w:tc>
        <w:tc>
          <w:tcPr>
            <w:tcW w:w="1859"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3.5</w:t>
            </w:r>
            <w:r>
              <w:rPr>
                <w:rFonts w:ascii="Times New Roman" w:hAnsi="Times New Roman" w:eastAsia="仿宋"/>
                <w:color w:val="auto"/>
                <w:sz w:val="21"/>
                <w:szCs w:val="21"/>
                <w:highlight w:val="none"/>
              </w:rPr>
              <w:t>~4.5</w:t>
            </w:r>
          </w:p>
        </w:tc>
        <w:tc>
          <w:tcPr>
            <w:tcW w:w="1859"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4.</w:t>
            </w:r>
            <w:r>
              <w:rPr>
                <w:rFonts w:hint="eastAsia" w:ascii="Times New Roman" w:hAnsi="Times New Roman"/>
                <w:color w:val="auto"/>
                <w:sz w:val="21"/>
                <w:szCs w:val="21"/>
                <w:highlight w:val="none"/>
              </w:rPr>
              <w:t>2</w:t>
            </w:r>
            <w:r>
              <w:rPr>
                <w:rFonts w:ascii="Times New Roman" w:hAnsi="Times New Roman" w:eastAsia="仿宋"/>
                <w:color w:val="auto"/>
                <w:sz w:val="21"/>
                <w:szCs w:val="21"/>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3" w:type="dxa"/>
            <w:gridSpan w:val="5"/>
            <w:shd w:val="clear" w:color="auto" w:fill="auto"/>
            <w:vAlign w:val="center"/>
          </w:tcPr>
          <w:p>
            <w:pPr>
              <w:pStyle w:val="17"/>
              <w:ind w:firstLine="420"/>
              <w:jc w:val="both"/>
              <w:rPr>
                <w:rFonts w:ascii="Times New Roman" w:hAnsi="Times New Roman"/>
                <w:color w:val="auto"/>
                <w:sz w:val="21"/>
                <w:szCs w:val="21"/>
                <w:highlight w:val="none"/>
              </w:rPr>
            </w:pPr>
            <w:r>
              <w:rPr>
                <w:rFonts w:hint="eastAsia" w:ascii="Times New Roman" w:hAnsi="Times New Roman"/>
                <w:color w:val="auto"/>
                <w:sz w:val="21"/>
                <w:szCs w:val="21"/>
                <w:highlight w:val="none"/>
              </w:rPr>
              <w:t>注1：表中质点振动速度为三个分量的最大值，振动频率为主振频率；</w:t>
            </w:r>
          </w:p>
          <w:p>
            <w:pPr>
              <w:pStyle w:val="17"/>
              <w:ind w:firstLine="420"/>
              <w:jc w:val="both"/>
              <w:rPr>
                <w:rFonts w:ascii="Times New Roman" w:hAnsi="Times New Roman"/>
                <w:color w:val="auto"/>
                <w:sz w:val="21"/>
                <w:szCs w:val="21"/>
                <w:highlight w:val="none"/>
              </w:rPr>
            </w:pPr>
            <w:r>
              <w:rPr>
                <w:rFonts w:hint="eastAsia" w:ascii="Times New Roman" w:hAnsi="Times New Roman"/>
                <w:color w:val="auto"/>
                <w:sz w:val="21"/>
                <w:szCs w:val="21"/>
                <w:highlight w:val="none"/>
              </w:rPr>
              <w:t>注2：频率范围根据现场实测波形确定或按如下数据选取：露天深孔爆破f在10Hz~60Hz之间，露天潜孔爆破f在40Hz~100Hz之间</w:t>
            </w:r>
          </w:p>
        </w:tc>
      </w:tr>
    </w:tbl>
    <w:p>
      <w:pPr>
        <w:pStyle w:val="17"/>
        <w:ind w:firstLine="0" w:firstLineChars="0"/>
        <w:rPr>
          <w:rFonts w:ascii="Times New Roman" w:hAnsi="Times New Roman"/>
          <w:color w:val="auto"/>
          <w:highlight w:val="none"/>
        </w:rPr>
      </w:pPr>
    </w:p>
    <w:p>
      <w:pPr>
        <w:pStyle w:val="17"/>
        <w:ind w:firstLine="0"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表</w:t>
      </w:r>
      <w:r>
        <w:rPr>
          <w:rFonts w:hint="eastAsia" w:ascii="Times New Roman" w:hAnsi="Times New Roman"/>
          <w:b/>
          <w:bCs/>
          <w:color w:val="auto"/>
          <w:sz w:val="21"/>
          <w:szCs w:val="21"/>
          <w:highlight w:val="none"/>
          <w:lang w:val="en-US" w:eastAsia="zh-CN"/>
        </w:rPr>
        <w:t>6.2-13</w:t>
      </w:r>
      <w:r>
        <w:rPr>
          <w:rFonts w:hint="eastAsia" w:ascii="Times New Roman" w:hAnsi="Times New Roman"/>
          <w:b/>
          <w:bCs/>
          <w:color w:val="auto"/>
          <w:sz w:val="21"/>
          <w:szCs w:val="21"/>
          <w:highlight w:val="none"/>
        </w:rPr>
        <w:t xml:space="preserve">  振动影响范围关系表（本项目为露天深孔爆破）</w:t>
      </w:r>
    </w:p>
    <w:tbl>
      <w:tblPr>
        <w:tblStyle w:val="29"/>
        <w:tblW w:w="9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2"/>
        <w:gridCol w:w="2029"/>
        <w:gridCol w:w="2094"/>
        <w:gridCol w:w="2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2792" w:type="dxa"/>
            <w:vMerge w:val="restart"/>
            <w:shd w:val="clear" w:color="auto" w:fill="auto"/>
            <w:vAlign w:val="center"/>
          </w:tcPr>
          <w:p>
            <w:pPr>
              <w:pStyle w:val="17"/>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保护对象类别</w:t>
            </w:r>
          </w:p>
        </w:tc>
        <w:tc>
          <w:tcPr>
            <w:tcW w:w="4123" w:type="dxa"/>
            <w:gridSpan w:val="2"/>
            <w:shd w:val="clear" w:color="auto" w:fill="auto"/>
            <w:vAlign w:val="center"/>
          </w:tcPr>
          <w:p>
            <w:pPr>
              <w:pStyle w:val="17"/>
              <w:ind w:firstLine="0"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振动影响范围（m）</w:t>
            </w:r>
          </w:p>
        </w:tc>
        <w:tc>
          <w:tcPr>
            <w:tcW w:w="2305" w:type="dxa"/>
            <w:vMerge w:val="restart"/>
            <w:shd w:val="clear" w:color="auto" w:fill="auto"/>
            <w:vAlign w:val="center"/>
          </w:tcPr>
          <w:p>
            <w:pPr>
              <w:pStyle w:val="17"/>
              <w:ind w:firstLine="0"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范围内敏感点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792" w:type="dxa"/>
            <w:vMerge w:val="continue"/>
            <w:shd w:val="clear" w:color="auto" w:fill="BEBEBE"/>
            <w:vAlign w:val="center"/>
          </w:tcPr>
          <w:p>
            <w:pPr>
              <w:pStyle w:val="17"/>
              <w:ind w:firstLine="0" w:firstLineChars="0"/>
              <w:jc w:val="center"/>
              <w:rPr>
                <w:rFonts w:ascii="Times New Roman" w:hAnsi="Times New Roman"/>
                <w:b/>
                <w:bCs/>
                <w:color w:val="auto"/>
                <w:sz w:val="21"/>
                <w:szCs w:val="21"/>
                <w:highlight w:val="none"/>
              </w:rPr>
            </w:pPr>
          </w:p>
        </w:tc>
        <w:tc>
          <w:tcPr>
            <w:tcW w:w="2029" w:type="dxa"/>
            <w:shd w:val="clear" w:color="auto" w:fill="auto"/>
            <w:vAlign w:val="center"/>
          </w:tcPr>
          <w:p>
            <w:pPr>
              <w:pStyle w:val="17"/>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10Hz</w:t>
            </w:r>
            <w:r>
              <w:rPr>
                <w:rFonts w:ascii="Times New Roman" w:hAnsi="Times New Roman" w:eastAsia="仿宋"/>
                <w:b/>
                <w:bCs/>
                <w:color w:val="auto"/>
                <w:sz w:val="21"/>
                <w:szCs w:val="21"/>
                <w:highlight w:val="none"/>
              </w:rPr>
              <w:t>~</w:t>
            </w:r>
            <w:r>
              <w:rPr>
                <w:rFonts w:ascii="Times New Roman" w:hAnsi="Times New Roman"/>
                <w:b/>
                <w:bCs/>
                <w:color w:val="auto"/>
                <w:sz w:val="21"/>
                <w:szCs w:val="21"/>
                <w:highlight w:val="none"/>
              </w:rPr>
              <w:t>50Hz</w:t>
            </w:r>
          </w:p>
        </w:tc>
        <w:tc>
          <w:tcPr>
            <w:tcW w:w="2094" w:type="dxa"/>
            <w:shd w:val="clear" w:color="auto" w:fill="auto"/>
            <w:vAlign w:val="center"/>
          </w:tcPr>
          <w:p>
            <w:pPr>
              <w:pStyle w:val="17"/>
              <w:ind w:firstLine="0"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f</w:t>
            </w:r>
            <w:r>
              <w:rPr>
                <w:rFonts w:ascii="Times New Roman" w:hAnsi="Times New Roman"/>
                <w:b/>
                <w:bCs/>
                <w:color w:val="auto"/>
                <w:sz w:val="21"/>
                <w:szCs w:val="21"/>
                <w:highlight w:val="none"/>
              </w:rPr>
              <w:t>＞50Hz</w:t>
            </w:r>
          </w:p>
        </w:tc>
        <w:tc>
          <w:tcPr>
            <w:tcW w:w="2305" w:type="dxa"/>
            <w:vMerge w:val="continue"/>
            <w:shd w:val="clear" w:color="auto" w:fill="auto"/>
            <w:vAlign w:val="center"/>
          </w:tcPr>
          <w:p>
            <w:pPr>
              <w:pStyle w:val="17"/>
              <w:ind w:firstLine="0" w:firstLineChars="0"/>
              <w:jc w:val="center"/>
              <w:rPr>
                <w:rFonts w:ascii="Times New Roman" w:hAnsi="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2792"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土窑洞、土坯房、毛石房屋</w:t>
            </w:r>
          </w:p>
        </w:tc>
        <w:tc>
          <w:tcPr>
            <w:tcW w:w="2029"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723</w:t>
            </w:r>
            <w:r>
              <w:rPr>
                <w:rFonts w:ascii="Times New Roman" w:hAnsi="Times New Roman" w:eastAsia="仿宋"/>
                <w:color w:val="auto"/>
                <w:sz w:val="21"/>
                <w:szCs w:val="21"/>
                <w:highlight w:val="none"/>
              </w:rPr>
              <w:t>~</w:t>
            </w:r>
            <w:r>
              <w:rPr>
                <w:rFonts w:hint="eastAsia" w:ascii="Times New Roman" w:hAnsi="Times New Roman" w:eastAsia="仿宋"/>
                <w:color w:val="auto"/>
                <w:sz w:val="21"/>
                <w:szCs w:val="21"/>
                <w:highlight w:val="none"/>
              </w:rPr>
              <w:t>455</w:t>
            </w:r>
          </w:p>
        </w:tc>
        <w:tc>
          <w:tcPr>
            <w:tcW w:w="2094"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455</w:t>
            </w:r>
            <w:r>
              <w:rPr>
                <w:rFonts w:ascii="Times New Roman" w:hAnsi="Times New Roman" w:eastAsia="仿宋"/>
                <w:color w:val="auto"/>
                <w:sz w:val="21"/>
                <w:szCs w:val="21"/>
                <w:highlight w:val="none"/>
              </w:rPr>
              <w:t>~</w:t>
            </w:r>
            <w:r>
              <w:rPr>
                <w:rFonts w:hint="eastAsia" w:ascii="Times New Roman" w:hAnsi="Times New Roman" w:eastAsia="仿宋"/>
                <w:color w:val="auto"/>
                <w:sz w:val="21"/>
                <w:szCs w:val="21"/>
                <w:highlight w:val="none"/>
              </w:rPr>
              <w:t>324</w:t>
            </w:r>
          </w:p>
        </w:tc>
        <w:tc>
          <w:tcPr>
            <w:tcW w:w="2305"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2792"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一般民用建筑</w:t>
            </w:r>
          </w:p>
        </w:tc>
        <w:tc>
          <w:tcPr>
            <w:tcW w:w="2029"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267</w:t>
            </w:r>
            <w:r>
              <w:rPr>
                <w:rFonts w:ascii="Times New Roman" w:hAnsi="Times New Roman" w:eastAsia="仿宋"/>
                <w:color w:val="auto"/>
                <w:sz w:val="21"/>
                <w:szCs w:val="21"/>
                <w:highlight w:val="none"/>
              </w:rPr>
              <w:t>~</w:t>
            </w:r>
            <w:r>
              <w:rPr>
                <w:rFonts w:hint="eastAsia" w:ascii="Times New Roman" w:hAnsi="Times New Roman" w:eastAsia="仿宋"/>
                <w:color w:val="auto"/>
                <w:sz w:val="21"/>
                <w:szCs w:val="21"/>
                <w:highlight w:val="none"/>
              </w:rPr>
              <w:t>231</w:t>
            </w:r>
          </w:p>
        </w:tc>
        <w:tc>
          <w:tcPr>
            <w:tcW w:w="2094"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231</w:t>
            </w:r>
            <w:r>
              <w:rPr>
                <w:rFonts w:ascii="Times New Roman" w:hAnsi="Times New Roman" w:eastAsia="仿宋"/>
                <w:color w:val="auto"/>
                <w:sz w:val="21"/>
                <w:szCs w:val="21"/>
                <w:highlight w:val="none"/>
              </w:rPr>
              <w:t>~</w:t>
            </w:r>
            <w:r>
              <w:rPr>
                <w:rFonts w:hint="eastAsia" w:ascii="Times New Roman" w:hAnsi="Times New Roman" w:eastAsia="仿宋"/>
                <w:color w:val="auto"/>
                <w:sz w:val="21"/>
                <w:szCs w:val="21"/>
                <w:highlight w:val="none"/>
              </w:rPr>
              <w:t>204</w:t>
            </w:r>
          </w:p>
        </w:tc>
        <w:tc>
          <w:tcPr>
            <w:tcW w:w="2305"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2792"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工业和商业建筑</w:t>
            </w:r>
          </w:p>
        </w:tc>
        <w:tc>
          <w:tcPr>
            <w:tcW w:w="2029"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eastAsia="仿宋"/>
                <w:color w:val="auto"/>
                <w:sz w:val="21"/>
                <w:szCs w:val="21"/>
                <w:highlight w:val="none"/>
              </w:rPr>
              <w:t>184</w:t>
            </w:r>
            <w:r>
              <w:rPr>
                <w:rFonts w:ascii="Times New Roman" w:hAnsi="Times New Roman" w:eastAsia="仿宋"/>
                <w:color w:val="auto"/>
                <w:sz w:val="21"/>
                <w:szCs w:val="21"/>
                <w:highlight w:val="none"/>
              </w:rPr>
              <w:t>~</w:t>
            </w:r>
            <w:r>
              <w:rPr>
                <w:rFonts w:hint="eastAsia" w:ascii="Times New Roman" w:hAnsi="Times New Roman" w:eastAsia="仿宋"/>
                <w:color w:val="auto"/>
                <w:sz w:val="21"/>
                <w:szCs w:val="21"/>
                <w:highlight w:val="none"/>
              </w:rPr>
              <w:t>156</w:t>
            </w:r>
          </w:p>
        </w:tc>
        <w:tc>
          <w:tcPr>
            <w:tcW w:w="2094"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163</w:t>
            </w:r>
            <w:r>
              <w:rPr>
                <w:rFonts w:ascii="Times New Roman" w:hAnsi="Times New Roman" w:eastAsia="仿宋"/>
                <w:color w:val="auto"/>
                <w:sz w:val="21"/>
                <w:szCs w:val="21"/>
                <w:highlight w:val="none"/>
              </w:rPr>
              <w:t>~</w:t>
            </w:r>
            <w:r>
              <w:rPr>
                <w:rFonts w:hint="eastAsia" w:ascii="Times New Roman" w:hAnsi="Times New Roman" w:eastAsia="仿宋"/>
                <w:color w:val="auto"/>
                <w:sz w:val="21"/>
                <w:szCs w:val="21"/>
                <w:highlight w:val="none"/>
              </w:rPr>
              <w:t>145</w:t>
            </w:r>
          </w:p>
        </w:tc>
        <w:tc>
          <w:tcPr>
            <w:tcW w:w="2305" w:type="dxa"/>
            <w:shd w:val="clear" w:color="auto" w:fill="auto"/>
            <w:vAlign w:val="center"/>
          </w:tcPr>
          <w:p>
            <w:pPr>
              <w:pStyle w:val="17"/>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无</w:t>
            </w:r>
          </w:p>
        </w:tc>
      </w:tr>
    </w:tbl>
    <w:p>
      <w:pPr>
        <w:pStyle w:val="17"/>
        <w:ind w:firstLine="0" w:firstLineChars="0"/>
        <w:rPr>
          <w:rFonts w:ascii="Times New Roman" w:hAnsi="Times New Roman"/>
          <w:color w:val="auto"/>
          <w:highlight w:val="none"/>
        </w:rPr>
      </w:pPr>
    </w:p>
    <w:p>
      <w:pPr>
        <w:pStyle w:val="17"/>
        <w:ind w:firstLine="480"/>
        <w:rPr>
          <w:rFonts w:ascii="Times New Roman" w:hAnsi="Times New Roman"/>
          <w:color w:val="auto"/>
          <w:highlight w:val="none"/>
        </w:rPr>
      </w:pPr>
      <w:r>
        <w:rPr>
          <w:rFonts w:hint="eastAsia" w:ascii="Times New Roman" w:hAnsi="Times New Roman"/>
          <w:color w:val="auto"/>
          <w:highlight w:val="none"/>
        </w:rPr>
        <w:t>根据预测结果，振动影响范围内无敏感点分布，对周边环境影响较小。</w:t>
      </w:r>
    </w:p>
    <w:p>
      <w:pPr>
        <w:pStyle w:val="17"/>
        <w:ind w:firstLine="480"/>
        <w:rPr>
          <w:rFonts w:ascii="Times New Roman" w:hAnsi="Times New Roman"/>
          <w:color w:val="auto"/>
          <w:highlight w:val="none"/>
        </w:rPr>
      </w:pPr>
      <w:r>
        <w:rPr>
          <w:rFonts w:hint="eastAsia" w:ascii="Times New Roman" w:hAnsi="Times New Roman"/>
          <w:color w:val="auto"/>
          <w:highlight w:val="none"/>
        </w:rPr>
        <w:t>此外，爆破还可产生冲击波和飞石，为保证安全，开发利用方案要求采场圈定≥300m的安全距离。矿山设计开采的矿体距离最近的环境保护目标为矿界西侧约</w:t>
      </w:r>
      <w:r>
        <w:rPr>
          <w:rFonts w:hint="eastAsia" w:ascii="Times New Roman" w:hAnsi="Times New Roman"/>
          <w:color w:val="auto"/>
          <w:highlight w:val="none"/>
          <w:lang w:val="en-US" w:eastAsia="zh-CN"/>
        </w:rPr>
        <w:t>860</w:t>
      </w:r>
      <w:r>
        <w:rPr>
          <w:rFonts w:hint="eastAsia" w:ascii="Times New Roman" w:hAnsi="Times New Roman"/>
          <w:color w:val="auto"/>
          <w:highlight w:val="none"/>
        </w:rPr>
        <w:t>m外的</w:t>
      </w:r>
      <w:r>
        <w:rPr>
          <w:rFonts w:hint="eastAsia" w:ascii="Times New Roman" w:hAnsi="Times New Roman"/>
          <w:color w:val="auto"/>
          <w:highlight w:val="none"/>
          <w:lang w:eastAsia="zh-CN"/>
        </w:rPr>
        <w:t>卡子</w:t>
      </w:r>
      <w:r>
        <w:rPr>
          <w:rFonts w:hint="eastAsia" w:ascii="Times New Roman" w:hAnsi="Times New Roman"/>
          <w:color w:val="auto"/>
          <w:highlight w:val="none"/>
        </w:rPr>
        <w:t>村，所有环境保护目标均位于爆破安全距离以外，距离较远，矿山爆破振动对环境保护目标影响小。</w:t>
      </w:r>
    </w:p>
    <w:p>
      <w:pPr>
        <w:pStyle w:val="17"/>
        <w:ind w:firstLine="480"/>
        <w:rPr>
          <w:rFonts w:ascii="Times New Roman" w:hAnsi="Times New Roman"/>
          <w:color w:val="auto"/>
          <w:highlight w:val="none"/>
        </w:rPr>
      </w:pPr>
      <w:r>
        <w:rPr>
          <w:rFonts w:hint="eastAsia" w:ascii="Times New Roman" w:hAnsi="Times New Roman"/>
          <w:color w:val="auto"/>
          <w:highlight w:val="none"/>
        </w:rPr>
        <w:t>为保证矿山爆破对人员和建构筑物安全，爆破时应严格按照《爆破安全规程》实施爆破作业，做好警戒工作、采取防治措施，具体如下：</w:t>
      </w:r>
    </w:p>
    <w:p>
      <w:pPr>
        <w:pStyle w:val="17"/>
        <w:ind w:firstLine="480"/>
        <w:rPr>
          <w:rFonts w:ascii="Times New Roman" w:hAnsi="Times New Roman"/>
          <w:color w:val="auto"/>
          <w:highlight w:val="none"/>
        </w:rPr>
      </w:pPr>
      <w:r>
        <w:rPr>
          <w:rFonts w:hint="eastAsia" w:ascii="Times New Roman" w:hAnsi="Times New Roman"/>
          <w:color w:val="auto"/>
          <w:highlight w:val="none"/>
        </w:rPr>
        <w:t>a 圈定≥300m的爆破警戒范围，设置醒目警示标志。</w:t>
      </w:r>
    </w:p>
    <w:p>
      <w:pPr>
        <w:pStyle w:val="17"/>
        <w:ind w:firstLine="480"/>
        <w:rPr>
          <w:rFonts w:ascii="Times New Roman" w:hAnsi="Times New Roman"/>
          <w:color w:val="auto"/>
          <w:highlight w:val="none"/>
        </w:rPr>
      </w:pPr>
      <w:r>
        <w:rPr>
          <w:rFonts w:hint="eastAsia" w:ascii="Times New Roman" w:hAnsi="Times New Roman"/>
          <w:color w:val="auto"/>
          <w:highlight w:val="none"/>
        </w:rPr>
        <w:t>b 爆破前撤出300m警戒范围内的所有人员到安全地带。</w:t>
      </w:r>
    </w:p>
    <w:p>
      <w:pPr>
        <w:pStyle w:val="17"/>
        <w:ind w:firstLine="480"/>
        <w:rPr>
          <w:rFonts w:ascii="Times New Roman" w:hAnsi="Times New Roman"/>
          <w:color w:val="auto"/>
          <w:highlight w:val="none"/>
        </w:rPr>
      </w:pPr>
      <w:r>
        <w:rPr>
          <w:rFonts w:hint="eastAsia" w:ascii="Times New Roman" w:hAnsi="Times New Roman"/>
          <w:color w:val="auto"/>
          <w:highlight w:val="none"/>
        </w:rPr>
        <w:t>c 采用定向爆破来控制受影响的方向和范围：爆破严格控制指向，应尽量使爆破方向指向一个临空面，并避免指向重要建（构）筑物，每次在覆盖爆破范围内爆破时对应的爆破安全人员必须全部撤离，并设立人员站岗。</w:t>
      </w:r>
    </w:p>
    <w:p>
      <w:pPr>
        <w:pStyle w:val="17"/>
        <w:ind w:firstLine="480"/>
        <w:rPr>
          <w:rFonts w:ascii="Times New Roman" w:hAnsi="Times New Roman"/>
          <w:color w:val="auto"/>
          <w:highlight w:val="none"/>
        </w:rPr>
      </w:pPr>
      <w:r>
        <w:rPr>
          <w:rFonts w:hint="eastAsia" w:ascii="Times New Roman" w:hAnsi="Times New Roman"/>
          <w:color w:val="auto"/>
          <w:highlight w:val="none"/>
        </w:rPr>
        <w:t>d 爆破时间应避开人员和矿石运输的时间，并且不能选择在雨天、阴天。</w:t>
      </w:r>
    </w:p>
    <w:p>
      <w:pPr>
        <w:pStyle w:val="17"/>
        <w:ind w:firstLine="480"/>
        <w:rPr>
          <w:rFonts w:ascii="Times New Roman" w:hAnsi="Times New Roman"/>
          <w:color w:val="auto"/>
          <w:highlight w:val="none"/>
        </w:rPr>
      </w:pPr>
      <w:r>
        <w:rPr>
          <w:rFonts w:hint="eastAsia" w:ascii="Times New Roman" w:hAnsi="Times New Roman"/>
          <w:color w:val="auto"/>
          <w:highlight w:val="none"/>
        </w:rPr>
        <w:t>e 合理选取爆破参数和单位炸药消耗量来保证附近建筑物不遭破坏。台阶中深孔爆破合理确定炮孔位置，同时必须保证炮孔堵塞长度和堵塞质量，避免爆破产生的高压气体从岩石裂隙或孔口泄漏出来形成空气冲击波影响周边人员及建构筑物。</w:t>
      </w:r>
    </w:p>
    <w:p>
      <w:pPr>
        <w:pStyle w:val="17"/>
        <w:ind w:firstLine="480"/>
        <w:rPr>
          <w:rFonts w:ascii="Times New Roman" w:hAnsi="Times New Roman"/>
          <w:color w:val="auto"/>
          <w:highlight w:val="none"/>
        </w:rPr>
      </w:pPr>
      <w:r>
        <w:rPr>
          <w:rFonts w:hint="eastAsia" w:ascii="Times New Roman" w:hAnsi="Times New Roman"/>
          <w:color w:val="auto"/>
          <w:highlight w:val="none"/>
        </w:rPr>
        <w:t>f 临近最终边坡时采用预裂或光面爆破，保证边坡的完整性和减少对山体的扰动。矿山禁止采用裸露药包爆破。</w:t>
      </w:r>
    </w:p>
    <w:p>
      <w:pPr>
        <w:pStyle w:val="17"/>
        <w:ind w:firstLine="480"/>
        <w:rPr>
          <w:rFonts w:ascii="Times New Roman" w:hAnsi="Times New Roman"/>
          <w:color w:val="auto"/>
          <w:highlight w:val="none"/>
        </w:rPr>
      </w:pPr>
      <w:r>
        <w:rPr>
          <w:rFonts w:hint="eastAsia" w:ascii="Times New Roman" w:hAnsi="Times New Roman"/>
          <w:color w:val="auto"/>
          <w:highlight w:val="none"/>
        </w:rPr>
        <w:t>g 采用定时爆破，让职工有规律地避炮，加强职工、附近村民、过往</w:t>
      </w:r>
      <w:bookmarkStart w:id="428" w:name="_bookmark46"/>
      <w:bookmarkEnd w:id="428"/>
      <w:r>
        <w:rPr>
          <w:rFonts w:hint="eastAsia" w:ascii="Times New Roman" w:hAnsi="Times New Roman"/>
          <w:color w:val="auto"/>
          <w:highlight w:val="none"/>
        </w:rPr>
        <w:t>车辆驾驶员安全教育，让职工、村民，过往车辆驾驶员事先知道警戒范围、警戒标志、声响信号的意义。</w:t>
      </w:r>
    </w:p>
    <w:p>
      <w:pPr>
        <w:pStyle w:val="17"/>
        <w:ind w:firstLine="480"/>
        <w:rPr>
          <w:rFonts w:ascii="Times New Roman" w:hAnsi="Times New Roman"/>
          <w:color w:val="auto"/>
          <w:highlight w:val="none"/>
        </w:rPr>
      </w:pPr>
      <w:r>
        <w:rPr>
          <w:rFonts w:hint="eastAsia" w:ascii="Times New Roman" w:hAnsi="Times New Roman"/>
          <w:color w:val="auto"/>
          <w:highlight w:val="none"/>
        </w:rPr>
        <w:t>h 爆破前必须在有车辆及人员通过的主要地段布设岗哨，岗哨间应处于相邻岗哨视线范围内，并确保对整个爆破警戒范围控制，并发出明显的音响和视觉信号，以禁止人员、车辆和牲畜进入警戒范围。</w:t>
      </w:r>
    </w:p>
    <w:p>
      <w:pPr>
        <w:pStyle w:val="17"/>
        <w:ind w:firstLine="480"/>
        <w:rPr>
          <w:rFonts w:ascii="Times New Roman" w:hAnsi="Times New Roman"/>
          <w:color w:val="auto"/>
          <w:highlight w:val="none"/>
        </w:rPr>
      </w:pPr>
      <w:r>
        <w:rPr>
          <w:rFonts w:hint="eastAsia" w:ascii="Times New Roman" w:hAnsi="Times New Roman"/>
          <w:color w:val="auto"/>
          <w:highlight w:val="none"/>
        </w:rPr>
        <w:t>i 爆破留下的哑炮应由当班爆破工按规范处理，未处理妥善前，不得进行其他作业。</w:t>
      </w:r>
    </w:p>
    <w:p>
      <w:pPr>
        <w:pStyle w:val="17"/>
        <w:ind w:firstLine="482"/>
        <w:rPr>
          <w:rFonts w:hint="eastAsia" w:ascii="Times New Roman" w:hAnsi="Times New Roman" w:cs="Times New Roman"/>
          <w:b/>
          <w:bCs/>
          <w:color w:val="auto"/>
          <w:highlight w:val="none"/>
        </w:rPr>
      </w:pPr>
      <w:r>
        <w:rPr>
          <w:rFonts w:hint="eastAsia" w:ascii="Times New Roman" w:hAnsi="Times New Roman" w:cs="Times New Roman"/>
          <w:b/>
          <w:bCs/>
          <w:color w:val="auto"/>
          <w:highlight w:val="none"/>
          <w:lang w:eastAsia="zh-CN"/>
        </w:rPr>
        <w:t>（</w:t>
      </w:r>
      <w:r>
        <w:rPr>
          <w:rFonts w:hint="eastAsia" w:ascii="Times New Roman" w:hAnsi="Times New Roman" w:cs="Times New Roman"/>
          <w:b/>
          <w:bCs/>
          <w:color w:val="auto"/>
          <w:highlight w:val="none"/>
          <w:lang w:val="en-US" w:eastAsia="zh-CN"/>
        </w:rPr>
        <w:t>3</w:t>
      </w:r>
      <w:r>
        <w:rPr>
          <w:rFonts w:hint="eastAsia" w:ascii="Times New Roman" w:hAnsi="Times New Roman" w:cs="Times New Roman"/>
          <w:b/>
          <w:bCs/>
          <w:color w:val="auto"/>
          <w:highlight w:val="none"/>
          <w:lang w:eastAsia="zh-CN"/>
        </w:rPr>
        <w:t>）</w:t>
      </w:r>
      <w:r>
        <w:rPr>
          <w:rFonts w:hint="eastAsia" w:ascii="Times New Roman" w:hAnsi="Times New Roman" w:cs="Times New Roman"/>
          <w:b/>
          <w:bCs/>
          <w:color w:val="auto"/>
          <w:highlight w:val="none"/>
        </w:rPr>
        <w:t>机械噪声影响分析</w:t>
      </w:r>
    </w:p>
    <w:p>
      <w:pPr>
        <w:adjustRightInd w:val="0"/>
        <w:snapToGrid w:val="0"/>
        <w:ind w:firstLine="480"/>
        <w:rPr>
          <w:color w:val="auto"/>
          <w:highlight w:val="none"/>
        </w:rPr>
      </w:pPr>
      <w:r>
        <w:rPr>
          <w:rFonts w:hint="eastAsia"/>
          <w:color w:val="auto"/>
          <w:highlight w:val="none"/>
        </w:rPr>
        <w:t>1）噪声源及源强</w:t>
      </w:r>
    </w:p>
    <w:p>
      <w:pPr>
        <w:adjustRightInd w:val="0"/>
        <w:snapToGrid w:val="0"/>
        <w:ind w:firstLine="480"/>
        <w:rPr>
          <w:color w:val="auto"/>
          <w:highlight w:val="none"/>
          <w:lang w:val="en-GB"/>
        </w:rPr>
      </w:pPr>
      <w:r>
        <w:rPr>
          <w:rFonts w:hint="eastAsia"/>
          <w:color w:val="auto"/>
          <w:highlight w:val="none"/>
        </w:rPr>
        <w:t>主要来源于钻机、挖掘机、空压机、装载机、破碎机等生产设备产生的噪声，其噪声源强见表</w:t>
      </w:r>
      <w:r>
        <w:rPr>
          <w:rFonts w:hint="eastAsia"/>
          <w:color w:val="auto"/>
          <w:highlight w:val="none"/>
          <w:lang w:val="en-US" w:eastAsia="zh-CN"/>
        </w:rPr>
        <w:t>6.2-11</w:t>
      </w:r>
      <w:r>
        <w:rPr>
          <w:rFonts w:hint="eastAsia"/>
          <w:color w:val="auto"/>
          <w:highlight w:val="none"/>
        </w:rPr>
        <w:t>。</w:t>
      </w:r>
    </w:p>
    <w:p>
      <w:pPr>
        <w:pStyle w:val="17"/>
        <w:ind w:firstLine="480"/>
        <w:rPr>
          <w:rFonts w:ascii="Times New Roman" w:hAnsi="Times New Roman"/>
          <w:color w:val="auto"/>
          <w:highlight w:val="none"/>
        </w:rPr>
      </w:pPr>
      <w:r>
        <w:rPr>
          <w:rFonts w:ascii="Times New Roman" w:hAnsi="Times New Roman"/>
          <w:color w:val="auto"/>
          <w:highlight w:val="none"/>
        </w:rPr>
        <w:t>2）</w:t>
      </w:r>
      <w:r>
        <w:rPr>
          <w:rFonts w:hint="eastAsia" w:ascii="Times New Roman" w:hAnsi="Times New Roman"/>
          <w:color w:val="auto"/>
          <w:highlight w:val="none"/>
        </w:rPr>
        <w:t>执行标准</w:t>
      </w:r>
    </w:p>
    <w:p>
      <w:pPr>
        <w:pStyle w:val="17"/>
        <w:ind w:firstLine="480"/>
        <w:rPr>
          <w:rFonts w:ascii="Times New Roman" w:hAnsi="Times New Roman"/>
          <w:color w:val="auto"/>
          <w:highlight w:val="none"/>
        </w:rPr>
      </w:pPr>
      <w:r>
        <w:rPr>
          <w:rFonts w:ascii="Times New Roman" w:hAnsi="Times New Roman"/>
          <w:color w:val="auto"/>
          <w:highlight w:val="none"/>
        </w:rPr>
        <w:t>《声环境质量标准》</w:t>
      </w:r>
      <w:r>
        <w:rPr>
          <w:rFonts w:hint="eastAsia" w:ascii="Times New Roman" w:hAnsi="Times New Roman"/>
          <w:color w:val="auto"/>
          <w:highlight w:val="none"/>
          <w:lang w:eastAsia="zh-CN"/>
        </w:rPr>
        <w:t>（</w:t>
      </w:r>
      <w:r>
        <w:rPr>
          <w:rFonts w:ascii="Times New Roman" w:hAnsi="Times New Roman"/>
          <w:color w:val="auto"/>
          <w:highlight w:val="none"/>
        </w:rPr>
        <w:t>GB3096-2008</w:t>
      </w:r>
      <w:r>
        <w:rPr>
          <w:rFonts w:hint="eastAsia" w:ascii="Times New Roman" w:hAnsi="Times New Roman"/>
          <w:color w:val="auto"/>
          <w:highlight w:val="none"/>
          <w:lang w:eastAsia="zh-CN"/>
        </w:rPr>
        <w:t>）</w:t>
      </w:r>
      <w:r>
        <w:rPr>
          <w:rFonts w:ascii="Times New Roman" w:hAnsi="Times New Roman"/>
          <w:color w:val="auto"/>
          <w:highlight w:val="none"/>
        </w:rPr>
        <w:t>中2类标准，即，昼间≤60dB（A），夜间≤50dB（A）。</w:t>
      </w:r>
    </w:p>
    <w:p>
      <w:pPr>
        <w:pStyle w:val="17"/>
        <w:ind w:firstLine="480"/>
        <w:rPr>
          <w:rFonts w:ascii="Times New Roman" w:hAnsi="Times New Roman"/>
          <w:color w:val="auto"/>
          <w:highlight w:val="none"/>
        </w:rPr>
      </w:pPr>
      <w:r>
        <w:rPr>
          <w:rFonts w:hint="eastAsia" w:ascii="Times New Roman" w:hAnsi="Times New Roman"/>
          <w:color w:val="auto"/>
          <w:highlight w:val="none"/>
        </w:rPr>
        <w:t>3）预测方法</w:t>
      </w:r>
    </w:p>
    <w:p>
      <w:pPr>
        <w:pStyle w:val="17"/>
        <w:ind w:firstLine="480"/>
        <w:rPr>
          <w:rFonts w:ascii="Times New Roman" w:hAnsi="Times New Roman"/>
          <w:color w:val="auto"/>
          <w:highlight w:val="none"/>
        </w:rPr>
      </w:pPr>
      <w:r>
        <w:rPr>
          <w:rFonts w:ascii="Times New Roman" w:hAnsi="Times New Roman"/>
          <w:color w:val="auto"/>
          <w:highlight w:val="none"/>
        </w:rPr>
        <w:t>A预测方法</w:t>
      </w:r>
    </w:p>
    <w:p>
      <w:pPr>
        <w:pStyle w:val="17"/>
        <w:ind w:firstLine="480"/>
        <w:rPr>
          <w:rFonts w:ascii="Times New Roman" w:hAnsi="Times New Roman"/>
          <w:color w:val="auto"/>
          <w:highlight w:val="none"/>
        </w:rPr>
      </w:pPr>
      <w:r>
        <w:rPr>
          <w:rFonts w:ascii="Times New Roman" w:hAnsi="Times New Roman"/>
          <w:color w:val="auto"/>
          <w:highlight w:val="none"/>
        </w:rPr>
        <w:t>声波在空气中传播是一个波动过程，它伴随着反射、衍射和干涉等复杂的物理现象，而在声波传播的路径上有各种形状和性质的建筑物使声波的传播更加复杂。因此，对于项目</w:t>
      </w:r>
      <w:r>
        <w:rPr>
          <w:rFonts w:hint="eastAsia" w:ascii="Times New Roman" w:hAnsi="Times New Roman"/>
          <w:color w:val="auto"/>
          <w:highlight w:val="none"/>
        </w:rPr>
        <w:t>厂</w:t>
      </w:r>
      <w:r>
        <w:rPr>
          <w:rFonts w:ascii="Times New Roman" w:hAnsi="Times New Roman"/>
          <w:color w:val="auto"/>
          <w:highlight w:val="none"/>
        </w:rPr>
        <w:t>界噪声对外界的干扰预测，采用简化的方法，即把声波在空气中传播看做能量流动，忽略波动过程中的相位关系，不考虑声屏障、空气吸收等衰减，主要计算几何发散衰减，采用 HJ2.4-2009 中推荐的预测模式。本评价以</w:t>
      </w:r>
      <w:r>
        <w:rPr>
          <w:rFonts w:hint="eastAsia" w:ascii="Times New Roman" w:hAnsi="Times New Roman"/>
          <w:color w:val="auto"/>
          <w:highlight w:val="none"/>
          <w:lang w:eastAsia="zh-CN"/>
        </w:rPr>
        <w:t>新建</w:t>
      </w:r>
      <w:r>
        <w:rPr>
          <w:rFonts w:ascii="Times New Roman" w:hAnsi="Times New Roman"/>
          <w:color w:val="auto"/>
          <w:highlight w:val="none"/>
        </w:rPr>
        <w:t>项目拥有设备噪声贡献值叠加背景值作为评价量</w:t>
      </w:r>
      <w:r>
        <w:rPr>
          <w:rFonts w:hint="eastAsia" w:ascii="Times New Roman" w:hAnsi="Times New Roman"/>
          <w:color w:val="auto"/>
          <w:highlight w:val="none"/>
        </w:rPr>
        <w:t>进行</w:t>
      </w:r>
      <w:r>
        <w:rPr>
          <w:rFonts w:ascii="Times New Roman" w:hAnsi="Times New Roman"/>
          <w:color w:val="auto"/>
          <w:highlight w:val="none"/>
        </w:rPr>
        <w:t>分析。</w:t>
      </w:r>
    </w:p>
    <w:p>
      <w:pPr>
        <w:pStyle w:val="17"/>
        <w:ind w:firstLine="480"/>
        <w:rPr>
          <w:rFonts w:ascii="Times New Roman" w:hAnsi="Times New Roman"/>
          <w:color w:val="auto"/>
          <w:highlight w:val="none"/>
        </w:rPr>
      </w:pPr>
      <w:r>
        <w:rPr>
          <w:rFonts w:ascii="Times New Roman" w:hAnsi="Times New Roman"/>
          <w:color w:val="auto"/>
          <w:highlight w:val="none"/>
        </w:rPr>
        <w:t>B背景噪声处理</w:t>
      </w:r>
    </w:p>
    <w:p>
      <w:pPr>
        <w:pStyle w:val="17"/>
        <w:ind w:firstLine="480"/>
        <w:rPr>
          <w:rFonts w:ascii="Times New Roman" w:hAnsi="Times New Roman"/>
          <w:color w:val="auto"/>
          <w:highlight w:val="none"/>
        </w:rPr>
      </w:pPr>
      <w:r>
        <w:rPr>
          <w:rFonts w:ascii="Times New Roman" w:hAnsi="Times New Roman"/>
          <w:color w:val="auto"/>
          <w:highlight w:val="none"/>
        </w:rPr>
        <w:t>建设单位委托</w:t>
      </w:r>
      <w:r>
        <w:rPr>
          <w:rFonts w:hint="eastAsia" w:ascii="Times New Roman" w:hAnsi="Times New Roman"/>
          <w:color w:val="auto"/>
          <w:highlight w:val="none"/>
        </w:rPr>
        <w:t>云南环绿环境检测技术有限公司</w:t>
      </w:r>
      <w:r>
        <w:rPr>
          <w:rFonts w:ascii="Times New Roman" w:hAnsi="Times New Roman"/>
          <w:color w:val="auto"/>
          <w:highlight w:val="none"/>
        </w:rPr>
        <w:t>于</w:t>
      </w:r>
      <w:r>
        <w:rPr>
          <w:rFonts w:hint="eastAsia" w:ascii="Times New Roman" w:hAnsi="Times New Roman"/>
          <w:color w:val="auto"/>
          <w:highlight w:val="none"/>
          <w:lang w:val="en-US" w:eastAsia="zh-CN"/>
        </w:rPr>
        <w:t>2020</w:t>
      </w:r>
      <w:r>
        <w:rPr>
          <w:rFonts w:ascii="Times New Roman" w:hAnsi="Times New Roman"/>
          <w:color w:val="auto"/>
          <w:highlight w:val="none"/>
        </w:rPr>
        <w:t>年</w:t>
      </w:r>
      <w:r>
        <w:rPr>
          <w:rFonts w:hint="eastAsia" w:ascii="Times New Roman" w:hAnsi="Times New Roman"/>
          <w:color w:val="auto"/>
          <w:highlight w:val="none"/>
          <w:lang w:val="en-US" w:eastAsia="zh-CN"/>
        </w:rPr>
        <w:t>2</w:t>
      </w:r>
      <w:r>
        <w:rPr>
          <w:rFonts w:ascii="Times New Roman" w:hAnsi="Times New Roman"/>
          <w:color w:val="auto"/>
          <w:highlight w:val="none"/>
        </w:rPr>
        <w:t>月</w:t>
      </w:r>
      <w:r>
        <w:rPr>
          <w:rFonts w:hint="eastAsia" w:ascii="Times New Roman" w:hAnsi="Times New Roman"/>
          <w:color w:val="auto"/>
          <w:highlight w:val="none"/>
          <w:lang w:val="en-US" w:eastAsia="zh-CN"/>
        </w:rPr>
        <w:t>15</w:t>
      </w:r>
      <w:r>
        <w:rPr>
          <w:rFonts w:ascii="Times New Roman" w:hAnsi="Times New Roman"/>
          <w:color w:val="auto"/>
          <w:highlight w:val="none"/>
        </w:rPr>
        <w:t>～</w:t>
      </w:r>
      <w:r>
        <w:rPr>
          <w:rFonts w:hint="eastAsia" w:ascii="Times New Roman" w:hAnsi="Times New Roman"/>
          <w:color w:val="auto"/>
          <w:highlight w:val="none"/>
          <w:lang w:val="en-US" w:eastAsia="zh-CN"/>
        </w:rPr>
        <w:t>16</w:t>
      </w:r>
      <w:r>
        <w:rPr>
          <w:rFonts w:ascii="Times New Roman" w:hAnsi="Times New Roman"/>
          <w:color w:val="auto"/>
          <w:highlight w:val="none"/>
        </w:rPr>
        <w:t>日对</w:t>
      </w:r>
      <w:r>
        <w:rPr>
          <w:rFonts w:hint="eastAsia" w:ascii="Times New Roman" w:hAnsi="Times New Roman"/>
          <w:color w:val="auto"/>
          <w:highlight w:val="none"/>
          <w:lang w:eastAsia="zh-CN"/>
        </w:rPr>
        <w:t>项目区</w:t>
      </w:r>
      <w:r>
        <w:rPr>
          <w:rFonts w:hint="eastAsia" w:ascii="Times New Roman" w:hAnsi="Times New Roman"/>
          <w:color w:val="auto"/>
          <w:highlight w:val="none"/>
        </w:rPr>
        <w:t>厂界噪声进行了监测，</w:t>
      </w:r>
      <w:r>
        <w:rPr>
          <w:rFonts w:ascii="Times New Roman" w:hAnsi="Times New Roman"/>
          <w:color w:val="auto"/>
          <w:highlight w:val="none"/>
        </w:rPr>
        <w:t>本次噪声预测选取现状监测期间厂界噪声监测最大值，即</w:t>
      </w:r>
      <w:r>
        <w:rPr>
          <w:rFonts w:hint="eastAsia" w:ascii="Times New Roman" w:hAnsi="Times New Roman"/>
          <w:color w:val="auto"/>
          <w:highlight w:val="none"/>
          <w:lang w:val="en-US" w:eastAsia="zh-CN"/>
        </w:rPr>
        <w:t>48</w:t>
      </w:r>
      <w:r>
        <w:rPr>
          <w:rFonts w:ascii="Times New Roman" w:hAnsi="Times New Roman"/>
          <w:color w:val="auto"/>
          <w:highlight w:val="none"/>
        </w:rPr>
        <w:t>dB（A）。</w:t>
      </w:r>
    </w:p>
    <w:p>
      <w:pPr>
        <w:pStyle w:val="17"/>
        <w:ind w:firstLine="480"/>
        <w:rPr>
          <w:rFonts w:ascii="Times New Roman" w:hAnsi="Times New Roman"/>
          <w:color w:val="auto"/>
          <w:highlight w:val="none"/>
        </w:rPr>
      </w:pPr>
      <w:r>
        <w:rPr>
          <w:rFonts w:ascii="Times New Roman" w:hAnsi="Times New Roman"/>
          <w:color w:val="auto"/>
          <w:highlight w:val="none"/>
        </w:rPr>
        <w:t>4）预测模式</w:t>
      </w:r>
    </w:p>
    <w:p>
      <w:pPr>
        <w:adjustRightInd w:val="0"/>
        <w:snapToGrid w:val="0"/>
        <w:ind w:firstLine="460" w:firstLineChars="192"/>
        <w:rPr>
          <w:color w:val="auto"/>
          <w:highlight w:val="none"/>
        </w:rPr>
      </w:pPr>
      <w:r>
        <w:rPr>
          <w:color w:val="auto"/>
          <w:highlight w:val="none"/>
        </w:rPr>
        <w:t>本次评价采用《环境影响评价技术导则 声环境》（HJ2.4-2009）中点源衰减模式进行场界噪声预测：</w:t>
      </w:r>
    </w:p>
    <w:p>
      <w:pPr>
        <w:tabs>
          <w:tab w:val="center" w:pos="4915"/>
        </w:tabs>
        <w:adjustRightInd w:val="0"/>
        <w:snapToGrid w:val="0"/>
        <w:ind w:firstLine="0" w:firstLineChars="0"/>
        <w:jc w:val="center"/>
        <w:rPr>
          <w:color w:val="auto"/>
          <w:highlight w:val="none"/>
        </w:rPr>
      </w:pPr>
      <w:bookmarkStart w:id="429" w:name="_Toc193366126"/>
      <w:bookmarkStart w:id="430" w:name="_Toc191940396"/>
      <w:r>
        <w:rPr>
          <w:color w:val="auto"/>
          <w:highlight w:val="none"/>
        </w:rPr>
        <w:t>LA(r)=Lr</w:t>
      </w:r>
      <w:r>
        <w:rPr>
          <w:color w:val="auto"/>
          <w:highlight w:val="none"/>
          <w:vertAlign w:val="subscript"/>
        </w:rPr>
        <w:t xml:space="preserve">0 </w:t>
      </w:r>
      <w:r>
        <w:rPr>
          <w:color w:val="auto"/>
          <w:highlight w:val="none"/>
        </w:rPr>
        <w:t>-20lg(r/r</w:t>
      </w:r>
      <w:r>
        <w:rPr>
          <w:color w:val="auto"/>
          <w:highlight w:val="none"/>
          <w:vertAlign w:val="subscript"/>
        </w:rPr>
        <w:t>0</w:t>
      </w:r>
      <w:r>
        <w:rPr>
          <w:color w:val="auto"/>
          <w:highlight w:val="none"/>
        </w:rPr>
        <w:t>)-</w:t>
      </w:r>
      <w:r>
        <w:rPr>
          <w:rFonts w:ascii="Cambria Math" w:hAnsi="Cambria Math" w:cs="Cambria Math"/>
          <w:color w:val="auto"/>
          <w:highlight w:val="none"/>
        </w:rPr>
        <w:t>△</w:t>
      </w:r>
      <w:r>
        <w:rPr>
          <w:color w:val="auto"/>
          <w:highlight w:val="none"/>
        </w:rPr>
        <w:t>L</w:t>
      </w:r>
      <w:bookmarkEnd w:id="429"/>
      <w:bookmarkEnd w:id="430"/>
    </w:p>
    <w:p>
      <w:pPr>
        <w:autoSpaceDE w:val="0"/>
        <w:autoSpaceDN w:val="0"/>
        <w:adjustRightInd w:val="0"/>
        <w:snapToGrid w:val="0"/>
        <w:ind w:firstLine="480"/>
        <w:rPr>
          <w:color w:val="auto"/>
          <w:highlight w:val="none"/>
        </w:rPr>
      </w:pPr>
      <w:r>
        <w:rPr>
          <w:color w:val="auto"/>
          <w:highlight w:val="none"/>
        </w:rPr>
        <w:t>式中：LA(r)---距声源r米处受声点的A声级；</w:t>
      </w:r>
    </w:p>
    <w:p>
      <w:pPr>
        <w:autoSpaceDE w:val="0"/>
        <w:autoSpaceDN w:val="0"/>
        <w:adjustRightInd w:val="0"/>
        <w:snapToGrid w:val="0"/>
        <w:ind w:firstLine="1200" w:firstLineChars="500"/>
        <w:rPr>
          <w:color w:val="auto"/>
          <w:highlight w:val="none"/>
        </w:rPr>
      </w:pPr>
      <w:bookmarkStart w:id="431" w:name="_Toc191940397"/>
      <w:bookmarkStart w:id="432" w:name="_Toc193366127"/>
      <w:r>
        <w:rPr>
          <w:color w:val="auto"/>
          <w:highlight w:val="none"/>
        </w:rPr>
        <w:t>Lr</w:t>
      </w:r>
      <w:r>
        <w:rPr>
          <w:color w:val="auto"/>
          <w:highlight w:val="none"/>
          <w:vertAlign w:val="subscript"/>
        </w:rPr>
        <w:t>0</w:t>
      </w:r>
      <w:r>
        <w:rPr>
          <w:color w:val="auto"/>
          <w:highlight w:val="none"/>
        </w:rPr>
        <w:t>----参考点声源强度；</w:t>
      </w:r>
      <w:bookmarkEnd w:id="431"/>
      <w:bookmarkEnd w:id="432"/>
    </w:p>
    <w:p>
      <w:pPr>
        <w:autoSpaceDE w:val="0"/>
        <w:autoSpaceDN w:val="0"/>
        <w:adjustRightInd w:val="0"/>
        <w:snapToGrid w:val="0"/>
        <w:ind w:firstLine="1200" w:firstLineChars="500"/>
        <w:rPr>
          <w:color w:val="auto"/>
          <w:highlight w:val="none"/>
        </w:rPr>
      </w:pPr>
      <w:r>
        <w:rPr>
          <w:color w:val="auto"/>
          <w:highlight w:val="none"/>
        </w:rPr>
        <w:t>r-----预测受声点与源之间的距离（m）；</w:t>
      </w:r>
    </w:p>
    <w:p>
      <w:pPr>
        <w:autoSpaceDE w:val="0"/>
        <w:autoSpaceDN w:val="0"/>
        <w:adjustRightInd w:val="0"/>
        <w:snapToGrid w:val="0"/>
        <w:ind w:firstLine="1200" w:firstLineChars="500"/>
        <w:rPr>
          <w:color w:val="auto"/>
          <w:highlight w:val="none"/>
        </w:rPr>
      </w:pPr>
      <w:r>
        <w:rPr>
          <w:color w:val="auto"/>
          <w:highlight w:val="none"/>
        </w:rPr>
        <w:t>r</w:t>
      </w:r>
      <w:r>
        <w:rPr>
          <w:color w:val="auto"/>
          <w:highlight w:val="none"/>
          <w:vertAlign w:val="subscript"/>
        </w:rPr>
        <w:t>0</w:t>
      </w:r>
      <w:r>
        <w:rPr>
          <w:color w:val="auto"/>
          <w:highlight w:val="none"/>
        </w:rPr>
        <w:t>-----参考点与源之间的距离（m）。</w:t>
      </w:r>
    </w:p>
    <w:p>
      <w:pPr>
        <w:autoSpaceDE w:val="0"/>
        <w:autoSpaceDN w:val="0"/>
        <w:adjustRightInd w:val="0"/>
        <w:snapToGrid w:val="0"/>
        <w:ind w:firstLine="1080" w:firstLineChars="450"/>
        <w:rPr>
          <w:color w:val="auto"/>
          <w:highlight w:val="none"/>
        </w:rPr>
      </w:pPr>
      <w:r>
        <w:rPr>
          <w:rFonts w:ascii="Cambria Math" w:hAnsi="Cambria Math" w:cs="Cambria Math"/>
          <w:color w:val="auto"/>
          <w:highlight w:val="none"/>
        </w:rPr>
        <w:t>△</w:t>
      </w:r>
      <w:r>
        <w:rPr>
          <w:color w:val="auto"/>
          <w:highlight w:val="none"/>
        </w:rPr>
        <w:t>L---其它衰减因素</w:t>
      </w:r>
    </w:p>
    <w:p>
      <w:pPr>
        <w:autoSpaceDE w:val="0"/>
        <w:autoSpaceDN w:val="0"/>
        <w:adjustRightInd w:val="0"/>
        <w:snapToGrid w:val="0"/>
        <w:ind w:firstLine="480"/>
        <w:rPr>
          <w:color w:val="auto"/>
          <w:highlight w:val="none"/>
        </w:rPr>
      </w:pPr>
      <w:r>
        <w:rPr>
          <w:color w:val="auto"/>
          <w:highlight w:val="none"/>
        </w:rPr>
        <w:t>影响</w:t>
      </w:r>
      <w:r>
        <w:rPr>
          <w:rFonts w:ascii="Cambria Math" w:hAnsi="Cambria Math" w:cs="Cambria Math"/>
          <w:color w:val="auto"/>
          <w:highlight w:val="none"/>
        </w:rPr>
        <w:t>△</w:t>
      </w:r>
      <w:r>
        <w:rPr>
          <w:color w:val="auto"/>
          <w:highlight w:val="none"/>
        </w:rPr>
        <w:t>L取值的因素很多，主要考虑安装减震垫</w:t>
      </w:r>
      <w:r>
        <w:rPr>
          <w:rFonts w:hint="eastAsia"/>
          <w:color w:val="auto"/>
          <w:highlight w:val="none"/>
        </w:rPr>
        <w:t>、隔音罩</w:t>
      </w:r>
      <w:r>
        <w:rPr>
          <w:color w:val="auto"/>
          <w:highlight w:val="none"/>
        </w:rPr>
        <w:t>等后的</w:t>
      </w:r>
      <w:r>
        <w:rPr>
          <w:rFonts w:ascii="Cambria Math" w:hAnsi="Cambria Math" w:cs="Cambria Math"/>
          <w:color w:val="auto"/>
          <w:highlight w:val="none"/>
        </w:rPr>
        <w:t>△</w:t>
      </w:r>
      <w:r>
        <w:rPr>
          <w:color w:val="auto"/>
          <w:highlight w:val="none"/>
        </w:rPr>
        <w:t>L在15～25dB(A)，本次噪声预测取</w:t>
      </w:r>
      <w:r>
        <w:rPr>
          <w:rFonts w:ascii="Cambria Math" w:hAnsi="Cambria Math" w:cs="Cambria Math"/>
          <w:color w:val="auto"/>
          <w:highlight w:val="none"/>
        </w:rPr>
        <w:t>△</w:t>
      </w:r>
      <w:r>
        <w:rPr>
          <w:color w:val="auto"/>
          <w:highlight w:val="none"/>
        </w:rPr>
        <w:t>L=15dB(A)。</w:t>
      </w:r>
    </w:p>
    <w:p>
      <w:pPr>
        <w:snapToGrid w:val="0"/>
        <w:ind w:firstLine="480"/>
        <w:rPr>
          <w:color w:val="auto"/>
          <w:highlight w:val="none"/>
        </w:rPr>
      </w:pPr>
      <w:r>
        <w:rPr>
          <w:rFonts w:hint="eastAsia"/>
          <w:color w:val="auto"/>
          <w:highlight w:val="none"/>
        </w:rPr>
        <w:t>各受声点的声源叠加按下列公式计算：</w:t>
      </w:r>
    </w:p>
    <w:p>
      <w:pPr>
        <w:snapToGrid w:val="0"/>
        <w:ind w:firstLine="480"/>
        <w:jc w:val="center"/>
        <w:rPr>
          <w:color w:val="auto"/>
          <w:highlight w:val="none"/>
        </w:rPr>
      </w:pPr>
      <w:r>
        <w:rPr>
          <w:rFonts w:hint="eastAsia"/>
          <w:color w:val="auto"/>
          <w:highlight w:val="none"/>
        </w:rPr>
        <w:object>
          <v:shape id="_x0000_i1027" o:spt="75" type="#_x0000_t75" style="height:39.85pt;width:98.15pt;" o:ole="t" filled="f" o:preferrelative="t" stroked="f" coordsize="21600,21600">
            <v:path/>
            <v:fill on="f" focussize="0,0"/>
            <v:stroke on="f" joinstyle="miter"/>
            <v:imagedata r:id="rId30" o:title=""/>
            <o:lock v:ext="edit" aspectratio="t"/>
            <w10:wrap type="none"/>
            <w10:anchorlock/>
          </v:shape>
          <o:OLEObject Type="Embed" ProgID="Equation.3" ShapeID="_x0000_i1027" DrawAspect="Content" ObjectID="_1468075727" r:id="rId29">
            <o:LockedField>false</o:LockedField>
          </o:OLEObject>
        </w:object>
      </w:r>
    </w:p>
    <w:p>
      <w:pPr>
        <w:snapToGrid w:val="0"/>
        <w:ind w:firstLine="480"/>
        <w:jc w:val="center"/>
        <w:rPr>
          <w:color w:val="auto"/>
          <w:highlight w:val="none"/>
        </w:rPr>
      </w:pPr>
      <w:r>
        <w:rPr>
          <w:rFonts w:hint="eastAsia"/>
          <w:color w:val="auto"/>
          <w:highlight w:val="none"/>
        </w:rPr>
        <w:t>式中：Li---第i个声源在预测点之声级；</w:t>
      </w:r>
    </w:p>
    <w:p>
      <w:pPr>
        <w:snapToGrid w:val="0"/>
        <w:ind w:firstLine="480"/>
        <w:jc w:val="center"/>
        <w:rPr>
          <w:color w:val="auto"/>
          <w:highlight w:val="none"/>
        </w:rPr>
      </w:pPr>
      <w:r>
        <w:rPr>
          <w:rFonts w:hint="eastAsia"/>
          <w:color w:val="auto"/>
          <w:highlight w:val="none"/>
        </w:rPr>
        <w:t>LA---某预测点噪声总叠加值；</w:t>
      </w:r>
    </w:p>
    <w:p>
      <w:pPr>
        <w:snapToGrid w:val="0"/>
        <w:ind w:firstLine="480"/>
        <w:jc w:val="center"/>
        <w:rPr>
          <w:color w:val="auto"/>
          <w:highlight w:val="none"/>
        </w:rPr>
      </w:pPr>
      <w:r>
        <w:rPr>
          <w:rFonts w:hint="eastAsia"/>
          <w:color w:val="auto"/>
          <w:highlight w:val="none"/>
        </w:rPr>
        <w:t>n---声源个数</w:t>
      </w:r>
    </w:p>
    <w:p>
      <w:pPr>
        <w:snapToGrid w:val="0"/>
        <w:ind w:firstLine="480"/>
        <w:rPr>
          <w:rFonts w:hint="eastAsia"/>
          <w:color w:val="auto"/>
          <w:highlight w:val="none"/>
        </w:rPr>
      </w:pPr>
    </w:p>
    <w:p>
      <w:pPr>
        <w:snapToGrid w:val="0"/>
        <w:ind w:firstLine="480"/>
        <w:rPr>
          <w:color w:val="auto"/>
          <w:highlight w:val="none"/>
        </w:rPr>
      </w:pPr>
      <w:r>
        <w:rPr>
          <w:rFonts w:hint="eastAsia"/>
          <w:color w:val="auto"/>
          <w:highlight w:val="none"/>
        </w:rPr>
        <w:t>5）预测结果分析</w:t>
      </w:r>
    </w:p>
    <w:p>
      <w:pPr>
        <w:snapToGrid w:val="0"/>
        <w:ind w:firstLine="422"/>
        <w:jc w:val="center"/>
        <w:rPr>
          <w:b/>
          <w:bCs/>
          <w:color w:val="auto"/>
          <w:sz w:val="21"/>
          <w:szCs w:val="21"/>
          <w:highlight w:val="none"/>
        </w:rPr>
      </w:pPr>
      <w:r>
        <w:rPr>
          <w:b/>
          <w:bCs/>
          <w:color w:val="auto"/>
          <w:sz w:val="21"/>
          <w:szCs w:val="21"/>
          <w:highlight w:val="none"/>
        </w:rPr>
        <w:t>表</w:t>
      </w:r>
      <w:r>
        <w:rPr>
          <w:rFonts w:hint="eastAsia"/>
          <w:b/>
          <w:bCs/>
          <w:color w:val="auto"/>
          <w:sz w:val="21"/>
          <w:szCs w:val="21"/>
          <w:highlight w:val="none"/>
          <w:lang w:val="en-US" w:eastAsia="zh-CN"/>
        </w:rPr>
        <w:t>6.2-14</w:t>
      </w:r>
      <w:r>
        <w:rPr>
          <w:b/>
          <w:bCs/>
          <w:color w:val="auto"/>
          <w:sz w:val="21"/>
          <w:szCs w:val="21"/>
          <w:highlight w:val="none"/>
        </w:rPr>
        <w:t xml:space="preserve">  距声源不同距离的噪声值    单位：dB（A）</w:t>
      </w:r>
    </w:p>
    <w:tbl>
      <w:tblPr>
        <w:tblStyle w:val="29"/>
        <w:tblW w:w="9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518"/>
        <w:gridCol w:w="1248"/>
        <w:gridCol w:w="1116"/>
        <w:gridCol w:w="768"/>
        <w:gridCol w:w="767"/>
        <w:gridCol w:w="767"/>
        <w:gridCol w:w="768"/>
        <w:gridCol w:w="767"/>
        <w:gridCol w:w="768"/>
        <w:gridCol w:w="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1" w:hRule="atLeast"/>
          <w:jc w:val="center"/>
        </w:trPr>
        <w:tc>
          <w:tcPr>
            <w:tcW w:w="1518" w:type="dxa"/>
            <w:shd w:val="clear" w:color="auto" w:fill="auto"/>
            <w:vAlign w:val="center"/>
          </w:tcPr>
          <w:p>
            <w:pPr>
              <w:pStyle w:val="62"/>
              <w:rPr>
                <w:b/>
                <w:bCs/>
                <w:color w:val="auto"/>
                <w:highlight w:val="none"/>
              </w:rPr>
            </w:pPr>
            <w:r>
              <w:rPr>
                <w:rFonts w:hint="eastAsia"/>
                <w:b/>
                <w:bCs/>
                <w:color w:val="auto"/>
                <w:highlight w:val="none"/>
              </w:rPr>
              <w:t>噪声源</w:t>
            </w:r>
          </w:p>
        </w:tc>
        <w:tc>
          <w:tcPr>
            <w:tcW w:w="1248" w:type="dxa"/>
            <w:shd w:val="clear" w:color="auto" w:fill="auto"/>
            <w:vAlign w:val="center"/>
          </w:tcPr>
          <w:p>
            <w:pPr>
              <w:pStyle w:val="62"/>
              <w:rPr>
                <w:b/>
                <w:bCs/>
                <w:color w:val="auto"/>
                <w:highlight w:val="none"/>
              </w:rPr>
            </w:pPr>
            <w:r>
              <w:rPr>
                <w:rFonts w:hint="eastAsia"/>
                <w:b/>
                <w:bCs/>
                <w:color w:val="auto"/>
                <w:highlight w:val="none"/>
              </w:rPr>
              <w:t>多台设备</w:t>
            </w:r>
          </w:p>
          <w:p>
            <w:pPr>
              <w:pStyle w:val="62"/>
              <w:rPr>
                <w:b/>
                <w:bCs/>
                <w:color w:val="auto"/>
                <w:highlight w:val="none"/>
              </w:rPr>
            </w:pPr>
            <w:r>
              <w:rPr>
                <w:rFonts w:hint="eastAsia"/>
                <w:b/>
                <w:bCs/>
                <w:color w:val="auto"/>
                <w:highlight w:val="none"/>
              </w:rPr>
              <w:t>叠加源强</w:t>
            </w:r>
          </w:p>
        </w:tc>
        <w:tc>
          <w:tcPr>
            <w:tcW w:w="1116" w:type="dxa"/>
            <w:shd w:val="clear" w:color="auto" w:fill="auto"/>
            <w:vAlign w:val="center"/>
          </w:tcPr>
          <w:p>
            <w:pPr>
              <w:pStyle w:val="62"/>
              <w:rPr>
                <w:b/>
                <w:bCs/>
                <w:color w:val="auto"/>
                <w:highlight w:val="none"/>
              </w:rPr>
            </w:pPr>
            <w:r>
              <w:rPr>
                <w:rFonts w:hint="eastAsia"/>
                <w:b/>
                <w:bCs/>
                <w:color w:val="auto"/>
                <w:highlight w:val="none"/>
              </w:rPr>
              <w:t>降噪处理</w:t>
            </w:r>
          </w:p>
          <w:p>
            <w:pPr>
              <w:pStyle w:val="62"/>
              <w:rPr>
                <w:b/>
                <w:bCs/>
                <w:color w:val="auto"/>
                <w:highlight w:val="none"/>
              </w:rPr>
            </w:pPr>
            <w:r>
              <w:rPr>
                <w:rFonts w:hint="eastAsia"/>
                <w:b/>
                <w:bCs/>
                <w:color w:val="auto"/>
                <w:highlight w:val="none"/>
              </w:rPr>
              <w:t>后源强</w:t>
            </w:r>
          </w:p>
        </w:tc>
        <w:tc>
          <w:tcPr>
            <w:tcW w:w="768" w:type="dxa"/>
            <w:shd w:val="clear" w:color="auto" w:fill="auto"/>
            <w:vAlign w:val="center"/>
          </w:tcPr>
          <w:p>
            <w:pPr>
              <w:pStyle w:val="62"/>
              <w:rPr>
                <w:b/>
                <w:bCs/>
                <w:color w:val="auto"/>
                <w:highlight w:val="none"/>
              </w:rPr>
            </w:pPr>
            <w:r>
              <w:rPr>
                <w:rFonts w:hint="eastAsia"/>
                <w:b/>
                <w:bCs/>
                <w:color w:val="auto"/>
                <w:highlight w:val="none"/>
              </w:rPr>
              <w:t>10m</w:t>
            </w:r>
          </w:p>
        </w:tc>
        <w:tc>
          <w:tcPr>
            <w:tcW w:w="767" w:type="dxa"/>
            <w:shd w:val="clear" w:color="auto" w:fill="auto"/>
            <w:vAlign w:val="center"/>
          </w:tcPr>
          <w:p>
            <w:pPr>
              <w:pStyle w:val="62"/>
              <w:rPr>
                <w:b/>
                <w:bCs/>
                <w:color w:val="auto"/>
                <w:highlight w:val="none"/>
              </w:rPr>
            </w:pPr>
            <w:r>
              <w:rPr>
                <w:rFonts w:hint="eastAsia"/>
                <w:b/>
                <w:bCs/>
                <w:color w:val="auto"/>
                <w:highlight w:val="none"/>
              </w:rPr>
              <w:t>20m</w:t>
            </w:r>
          </w:p>
        </w:tc>
        <w:tc>
          <w:tcPr>
            <w:tcW w:w="767" w:type="dxa"/>
            <w:shd w:val="clear" w:color="auto" w:fill="auto"/>
            <w:vAlign w:val="center"/>
          </w:tcPr>
          <w:p>
            <w:pPr>
              <w:pStyle w:val="62"/>
              <w:rPr>
                <w:b/>
                <w:bCs/>
                <w:color w:val="auto"/>
                <w:highlight w:val="none"/>
              </w:rPr>
            </w:pPr>
            <w:r>
              <w:rPr>
                <w:rFonts w:hint="eastAsia"/>
                <w:b/>
                <w:bCs/>
                <w:color w:val="auto"/>
                <w:highlight w:val="none"/>
              </w:rPr>
              <w:t>50m</w:t>
            </w:r>
          </w:p>
        </w:tc>
        <w:tc>
          <w:tcPr>
            <w:tcW w:w="768" w:type="dxa"/>
            <w:shd w:val="clear" w:color="auto" w:fill="auto"/>
            <w:vAlign w:val="center"/>
          </w:tcPr>
          <w:p>
            <w:pPr>
              <w:pStyle w:val="62"/>
              <w:rPr>
                <w:b/>
                <w:bCs/>
                <w:color w:val="auto"/>
                <w:highlight w:val="none"/>
              </w:rPr>
            </w:pPr>
            <w:r>
              <w:rPr>
                <w:rFonts w:hint="eastAsia"/>
                <w:b/>
                <w:bCs/>
                <w:color w:val="auto"/>
                <w:highlight w:val="none"/>
              </w:rPr>
              <w:t>100m</w:t>
            </w:r>
          </w:p>
        </w:tc>
        <w:tc>
          <w:tcPr>
            <w:tcW w:w="767" w:type="dxa"/>
            <w:shd w:val="clear" w:color="auto" w:fill="auto"/>
            <w:vAlign w:val="center"/>
          </w:tcPr>
          <w:p>
            <w:pPr>
              <w:pStyle w:val="62"/>
              <w:rPr>
                <w:b/>
                <w:bCs/>
                <w:color w:val="auto"/>
                <w:highlight w:val="none"/>
              </w:rPr>
            </w:pPr>
            <w:r>
              <w:rPr>
                <w:rFonts w:hint="eastAsia"/>
                <w:b/>
                <w:bCs/>
                <w:color w:val="auto"/>
                <w:highlight w:val="none"/>
              </w:rPr>
              <w:t>150m</w:t>
            </w:r>
          </w:p>
        </w:tc>
        <w:tc>
          <w:tcPr>
            <w:tcW w:w="768" w:type="dxa"/>
            <w:shd w:val="clear" w:color="auto" w:fill="auto"/>
            <w:vAlign w:val="center"/>
          </w:tcPr>
          <w:p>
            <w:pPr>
              <w:pStyle w:val="62"/>
              <w:rPr>
                <w:b/>
                <w:bCs/>
                <w:color w:val="auto"/>
                <w:highlight w:val="none"/>
              </w:rPr>
            </w:pPr>
            <w:r>
              <w:rPr>
                <w:rFonts w:hint="eastAsia"/>
                <w:b/>
                <w:bCs/>
                <w:color w:val="auto"/>
                <w:highlight w:val="none"/>
              </w:rPr>
              <w:t>200m</w:t>
            </w:r>
          </w:p>
        </w:tc>
        <w:tc>
          <w:tcPr>
            <w:tcW w:w="773" w:type="dxa"/>
            <w:shd w:val="clear" w:color="auto" w:fill="auto"/>
            <w:vAlign w:val="center"/>
          </w:tcPr>
          <w:p>
            <w:pPr>
              <w:pStyle w:val="62"/>
              <w:rPr>
                <w:b/>
                <w:bCs/>
                <w:color w:val="auto"/>
                <w:highlight w:val="none"/>
              </w:rPr>
            </w:pPr>
            <w:r>
              <w:rPr>
                <w:rFonts w:hint="eastAsia"/>
                <w:b/>
                <w:bCs/>
                <w:color w:val="auto"/>
                <w:highlight w:val="none"/>
              </w:rPr>
              <w:t>300m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1" w:hRule="atLeast"/>
          <w:jc w:val="center"/>
        </w:trPr>
        <w:tc>
          <w:tcPr>
            <w:tcW w:w="1518" w:type="dxa"/>
            <w:vAlign w:val="center"/>
          </w:tcPr>
          <w:p>
            <w:pPr>
              <w:adjustRightInd w:val="0"/>
              <w:snapToGrid w:val="0"/>
              <w:ind w:firstLine="0" w:firstLineChars="0"/>
              <w:jc w:val="center"/>
              <w:rPr>
                <w:color w:val="auto"/>
                <w:sz w:val="21"/>
                <w:szCs w:val="21"/>
                <w:highlight w:val="none"/>
              </w:rPr>
            </w:pPr>
            <w:r>
              <w:rPr>
                <w:rFonts w:hint="eastAsia"/>
                <w:color w:val="auto"/>
                <w:kern w:val="0"/>
                <w:sz w:val="21"/>
                <w:szCs w:val="21"/>
                <w:highlight w:val="none"/>
              </w:rPr>
              <w:t>潜孔钻机</w:t>
            </w:r>
          </w:p>
        </w:tc>
        <w:tc>
          <w:tcPr>
            <w:tcW w:w="1248" w:type="dxa"/>
            <w:vAlign w:val="center"/>
          </w:tcPr>
          <w:p>
            <w:pPr>
              <w:pStyle w:val="62"/>
              <w:rPr>
                <w:rFonts w:hint="default" w:eastAsia="宋体"/>
                <w:color w:val="auto"/>
                <w:highlight w:val="none"/>
                <w:lang w:val="en-US" w:eastAsia="zh-CN"/>
              </w:rPr>
            </w:pPr>
            <w:r>
              <w:rPr>
                <w:rFonts w:hint="eastAsia"/>
                <w:color w:val="auto"/>
                <w:highlight w:val="none"/>
                <w:lang w:val="en-US" w:eastAsia="zh-CN"/>
              </w:rPr>
              <w:t>90</w:t>
            </w:r>
          </w:p>
        </w:tc>
        <w:tc>
          <w:tcPr>
            <w:tcW w:w="1116" w:type="dxa"/>
            <w:vAlign w:val="center"/>
          </w:tcPr>
          <w:p>
            <w:pPr>
              <w:pStyle w:val="62"/>
              <w:ind w:firstLine="0" w:firstLineChars="0"/>
              <w:rPr>
                <w:color w:val="auto"/>
                <w:highlight w:val="none"/>
              </w:rPr>
            </w:pPr>
            <w:r>
              <w:rPr>
                <w:rFonts w:hint="eastAsia"/>
                <w:color w:val="auto"/>
                <w:highlight w:val="none"/>
              </w:rPr>
              <w:t>75</w:t>
            </w:r>
          </w:p>
        </w:tc>
        <w:tc>
          <w:tcPr>
            <w:tcW w:w="768" w:type="dxa"/>
            <w:vAlign w:val="center"/>
          </w:tcPr>
          <w:p>
            <w:pPr>
              <w:pStyle w:val="62"/>
              <w:ind w:firstLine="0" w:firstLineChars="0"/>
              <w:rPr>
                <w:color w:val="auto"/>
                <w:highlight w:val="none"/>
              </w:rPr>
            </w:pPr>
            <w:r>
              <w:rPr>
                <w:rFonts w:hint="eastAsia"/>
                <w:color w:val="auto"/>
                <w:highlight w:val="none"/>
              </w:rPr>
              <w:t>55</w:t>
            </w:r>
          </w:p>
        </w:tc>
        <w:tc>
          <w:tcPr>
            <w:tcW w:w="767" w:type="dxa"/>
            <w:vAlign w:val="center"/>
          </w:tcPr>
          <w:p>
            <w:pPr>
              <w:pStyle w:val="62"/>
              <w:ind w:firstLine="0" w:firstLineChars="0"/>
              <w:rPr>
                <w:color w:val="auto"/>
                <w:highlight w:val="none"/>
              </w:rPr>
            </w:pPr>
            <w:r>
              <w:rPr>
                <w:rFonts w:hint="eastAsia"/>
                <w:color w:val="auto"/>
                <w:highlight w:val="none"/>
              </w:rPr>
              <w:t>49</w:t>
            </w:r>
          </w:p>
        </w:tc>
        <w:tc>
          <w:tcPr>
            <w:tcW w:w="767" w:type="dxa"/>
            <w:vAlign w:val="center"/>
          </w:tcPr>
          <w:p>
            <w:pPr>
              <w:pStyle w:val="62"/>
              <w:ind w:firstLine="0" w:firstLineChars="0"/>
              <w:rPr>
                <w:color w:val="auto"/>
                <w:highlight w:val="none"/>
              </w:rPr>
            </w:pPr>
            <w:r>
              <w:rPr>
                <w:rFonts w:hint="eastAsia"/>
                <w:color w:val="auto"/>
                <w:highlight w:val="none"/>
              </w:rPr>
              <w:t>41</w:t>
            </w:r>
          </w:p>
        </w:tc>
        <w:tc>
          <w:tcPr>
            <w:tcW w:w="768" w:type="dxa"/>
            <w:vAlign w:val="center"/>
          </w:tcPr>
          <w:p>
            <w:pPr>
              <w:pStyle w:val="62"/>
              <w:ind w:firstLine="0" w:firstLineChars="0"/>
              <w:rPr>
                <w:color w:val="auto"/>
                <w:highlight w:val="none"/>
              </w:rPr>
            </w:pPr>
            <w:r>
              <w:rPr>
                <w:rFonts w:hint="eastAsia"/>
                <w:color w:val="auto"/>
                <w:highlight w:val="none"/>
              </w:rPr>
              <w:t>35</w:t>
            </w:r>
          </w:p>
        </w:tc>
        <w:tc>
          <w:tcPr>
            <w:tcW w:w="767" w:type="dxa"/>
            <w:vAlign w:val="center"/>
          </w:tcPr>
          <w:p>
            <w:pPr>
              <w:pStyle w:val="62"/>
              <w:ind w:firstLine="0" w:firstLineChars="0"/>
              <w:rPr>
                <w:color w:val="auto"/>
                <w:highlight w:val="none"/>
              </w:rPr>
            </w:pPr>
            <w:r>
              <w:rPr>
                <w:rFonts w:hint="eastAsia"/>
                <w:color w:val="auto"/>
                <w:highlight w:val="none"/>
              </w:rPr>
              <w:t>32</w:t>
            </w:r>
          </w:p>
        </w:tc>
        <w:tc>
          <w:tcPr>
            <w:tcW w:w="768" w:type="dxa"/>
            <w:vAlign w:val="center"/>
          </w:tcPr>
          <w:p>
            <w:pPr>
              <w:pStyle w:val="62"/>
              <w:ind w:firstLine="0" w:firstLineChars="0"/>
              <w:rPr>
                <w:color w:val="auto"/>
                <w:highlight w:val="none"/>
              </w:rPr>
            </w:pPr>
            <w:r>
              <w:rPr>
                <w:rFonts w:hint="eastAsia"/>
                <w:color w:val="auto"/>
                <w:highlight w:val="none"/>
              </w:rPr>
              <w:t>29</w:t>
            </w:r>
          </w:p>
        </w:tc>
        <w:tc>
          <w:tcPr>
            <w:tcW w:w="773" w:type="dxa"/>
            <w:vAlign w:val="center"/>
          </w:tcPr>
          <w:p>
            <w:pPr>
              <w:pStyle w:val="62"/>
              <w:ind w:firstLine="0" w:firstLineChars="0"/>
              <w:rPr>
                <w:color w:val="auto"/>
                <w:highlight w:val="none"/>
              </w:rPr>
            </w:pPr>
            <w:r>
              <w:rPr>
                <w:rFonts w:hint="eastAsia"/>
                <w:color w:val="auto"/>
                <w:highlight w:val="none"/>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1" w:hRule="atLeast"/>
          <w:jc w:val="center"/>
        </w:trPr>
        <w:tc>
          <w:tcPr>
            <w:tcW w:w="1518" w:type="dxa"/>
            <w:vAlign w:val="center"/>
          </w:tcPr>
          <w:p>
            <w:pPr>
              <w:adjustRightInd w:val="0"/>
              <w:snapToGrid w:val="0"/>
              <w:ind w:firstLine="0" w:firstLineChars="0"/>
              <w:jc w:val="center"/>
              <w:rPr>
                <w:color w:val="auto"/>
                <w:sz w:val="21"/>
                <w:szCs w:val="21"/>
                <w:highlight w:val="none"/>
              </w:rPr>
            </w:pPr>
            <w:r>
              <w:rPr>
                <w:rFonts w:hint="eastAsia"/>
                <w:color w:val="auto"/>
                <w:sz w:val="21"/>
                <w:szCs w:val="21"/>
                <w:highlight w:val="none"/>
              </w:rPr>
              <w:t>挖掘机</w:t>
            </w:r>
          </w:p>
        </w:tc>
        <w:tc>
          <w:tcPr>
            <w:tcW w:w="1248" w:type="dxa"/>
            <w:vAlign w:val="center"/>
          </w:tcPr>
          <w:p>
            <w:pPr>
              <w:pStyle w:val="62"/>
              <w:rPr>
                <w:rFonts w:hint="default" w:eastAsia="宋体"/>
                <w:color w:val="auto"/>
                <w:highlight w:val="none"/>
                <w:lang w:val="en-US" w:eastAsia="zh-CN"/>
              </w:rPr>
            </w:pPr>
            <w:r>
              <w:rPr>
                <w:rFonts w:hint="eastAsia"/>
                <w:color w:val="auto"/>
                <w:highlight w:val="none"/>
                <w:lang w:val="en-US" w:eastAsia="zh-CN"/>
              </w:rPr>
              <w:t>85</w:t>
            </w:r>
          </w:p>
        </w:tc>
        <w:tc>
          <w:tcPr>
            <w:tcW w:w="1116" w:type="dxa"/>
            <w:vAlign w:val="center"/>
          </w:tcPr>
          <w:p>
            <w:pPr>
              <w:pStyle w:val="62"/>
              <w:ind w:firstLine="0" w:firstLineChars="0"/>
              <w:rPr>
                <w:color w:val="auto"/>
                <w:highlight w:val="none"/>
              </w:rPr>
            </w:pPr>
            <w:r>
              <w:rPr>
                <w:rFonts w:hint="eastAsia"/>
                <w:color w:val="auto"/>
                <w:highlight w:val="none"/>
              </w:rPr>
              <w:t>70</w:t>
            </w:r>
          </w:p>
        </w:tc>
        <w:tc>
          <w:tcPr>
            <w:tcW w:w="768" w:type="dxa"/>
            <w:vAlign w:val="center"/>
          </w:tcPr>
          <w:p>
            <w:pPr>
              <w:pStyle w:val="62"/>
              <w:ind w:firstLine="0" w:firstLineChars="0"/>
              <w:rPr>
                <w:color w:val="auto"/>
                <w:highlight w:val="none"/>
              </w:rPr>
            </w:pPr>
            <w:r>
              <w:rPr>
                <w:rFonts w:hint="eastAsia"/>
                <w:color w:val="auto"/>
                <w:highlight w:val="none"/>
              </w:rPr>
              <w:t>50</w:t>
            </w:r>
          </w:p>
        </w:tc>
        <w:tc>
          <w:tcPr>
            <w:tcW w:w="767" w:type="dxa"/>
            <w:vAlign w:val="center"/>
          </w:tcPr>
          <w:p>
            <w:pPr>
              <w:pStyle w:val="62"/>
              <w:ind w:firstLine="0" w:firstLineChars="0"/>
              <w:rPr>
                <w:color w:val="auto"/>
                <w:highlight w:val="none"/>
              </w:rPr>
            </w:pPr>
            <w:r>
              <w:rPr>
                <w:rFonts w:hint="eastAsia"/>
                <w:color w:val="auto"/>
                <w:highlight w:val="none"/>
              </w:rPr>
              <w:t>44</w:t>
            </w:r>
          </w:p>
        </w:tc>
        <w:tc>
          <w:tcPr>
            <w:tcW w:w="767" w:type="dxa"/>
            <w:vAlign w:val="center"/>
          </w:tcPr>
          <w:p>
            <w:pPr>
              <w:pStyle w:val="62"/>
              <w:ind w:firstLine="0" w:firstLineChars="0"/>
              <w:rPr>
                <w:color w:val="auto"/>
                <w:highlight w:val="none"/>
              </w:rPr>
            </w:pPr>
            <w:r>
              <w:rPr>
                <w:rFonts w:hint="eastAsia"/>
                <w:color w:val="auto"/>
                <w:highlight w:val="none"/>
              </w:rPr>
              <w:t>36</w:t>
            </w:r>
          </w:p>
        </w:tc>
        <w:tc>
          <w:tcPr>
            <w:tcW w:w="768" w:type="dxa"/>
            <w:vAlign w:val="center"/>
          </w:tcPr>
          <w:p>
            <w:pPr>
              <w:pStyle w:val="62"/>
              <w:ind w:firstLine="0" w:firstLineChars="0"/>
              <w:rPr>
                <w:color w:val="auto"/>
                <w:highlight w:val="none"/>
              </w:rPr>
            </w:pPr>
            <w:r>
              <w:rPr>
                <w:rFonts w:hint="eastAsia"/>
                <w:color w:val="auto"/>
                <w:highlight w:val="none"/>
              </w:rPr>
              <w:t>30</w:t>
            </w:r>
          </w:p>
        </w:tc>
        <w:tc>
          <w:tcPr>
            <w:tcW w:w="767" w:type="dxa"/>
            <w:vAlign w:val="center"/>
          </w:tcPr>
          <w:p>
            <w:pPr>
              <w:pStyle w:val="62"/>
              <w:ind w:firstLine="0" w:firstLineChars="0"/>
              <w:rPr>
                <w:color w:val="auto"/>
                <w:highlight w:val="none"/>
              </w:rPr>
            </w:pPr>
            <w:r>
              <w:rPr>
                <w:rFonts w:hint="eastAsia"/>
                <w:color w:val="auto"/>
                <w:highlight w:val="none"/>
              </w:rPr>
              <w:t>27</w:t>
            </w:r>
          </w:p>
        </w:tc>
        <w:tc>
          <w:tcPr>
            <w:tcW w:w="768" w:type="dxa"/>
            <w:vAlign w:val="center"/>
          </w:tcPr>
          <w:p>
            <w:pPr>
              <w:pStyle w:val="62"/>
              <w:ind w:firstLine="0" w:firstLineChars="0"/>
              <w:rPr>
                <w:color w:val="auto"/>
                <w:highlight w:val="none"/>
              </w:rPr>
            </w:pPr>
            <w:r>
              <w:rPr>
                <w:rFonts w:hint="eastAsia"/>
                <w:color w:val="auto"/>
                <w:highlight w:val="none"/>
              </w:rPr>
              <w:t>24</w:t>
            </w:r>
          </w:p>
        </w:tc>
        <w:tc>
          <w:tcPr>
            <w:tcW w:w="773" w:type="dxa"/>
            <w:vAlign w:val="center"/>
          </w:tcPr>
          <w:p>
            <w:pPr>
              <w:pStyle w:val="62"/>
              <w:ind w:firstLine="0" w:firstLineChars="0"/>
              <w:rPr>
                <w:color w:val="auto"/>
                <w:highlight w:val="none"/>
              </w:rPr>
            </w:pPr>
            <w:r>
              <w:rPr>
                <w:rFonts w:hint="eastAsia"/>
                <w:color w:val="auto"/>
                <w:highlight w:val="none"/>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1" w:hRule="atLeast"/>
          <w:jc w:val="center"/>
        </w:trPr>
        <w:tc>
          <w:tcPr>
            <w:tcW w:w="1518" w:type="dxa"/>
            <w:vAlign w:val="center"/>
          </w:tcPr>
          <w:p>
            <w:pPr>
              <w:pStyle w:val="62"/>
              <w:spacing w:line="360" w:lineRule="auto"/>
              <w:ind w:firstLine="0" w:firstLineChars="0"/>
              <w:rPr>
                <w:color w:val="auto"/>
                <w:sz w:val="21"/>
                <w:szCs w:val="21"/>
                <w:highlight w:val="none"/>
              </w:rPr>
            </w:pPr>
            <w:r>
              <w:rPr>
                <w:rFonts w:hint="eastAsia"/>
                <w:color w:val="auto"/>
                <w:highlight w:val="none"/>
                <w:lang w:eastAsia="zh-CN"/>
              </w:rPr>
              <w:t>装载机（成工）</w:t>
            </w:r>
          </w:p>
        </w:tc>
        <w:tc>
          <w:tcPr>
            <w:tcW w:w="1248" w:type="dxa"/>
            <w:vAlign w:val="center"/>
          </w:tcPr>
          <w:p>
            <w:pPr>
              <w:pStyle w:val="62"/>
              <w:rPr>
                <w:rFonts w:hint="default" w:eastAsia="宋体"/>
                <w:color w:val="auto"/>
                <w:highlight w:val="none"/>
                <w:lang w:val="en-US" w:eastAsia="zh-CN"/>
              </w:rPr>
            </w:pPr>
            <w:r>
              <w:rPr>
                <w:rFonts w:hint="eastAsia"/>
                <w:color w:val="auto"/>
                <w:highlight w:val="none"/>
                <w:lang w:val="en-US" w:eastAsia="zh-CN"/>
              </w:rPr>
              <w:t>80</w:t>
            </w:r>
          </w:p>
        </w:tc>
        <w:tc>
          <w:tcPr>
            <w:tcW w:w="1116" w:type="dxa"/>
            <w:vAlign w:val="center"/>
          </w:tcPr>
          <w:p>
            <w:pPr>
              <w:pStyle w:val="62"/>
              <w:rPr>
                <w:rFonts w:hint="default" w:eastAsia="宋体"/>
                <w:color w:val="auto"/>
                <w:highlight w:val="none"/>
                <w:lang w:val="en-US" w:eastAsia="zh-CN"/>
              </w:rPr>
            </w:pPr>
            <w:r>
              <w:rPr>
                <w:rFonts w:hint="eastAsia"/>
                <w:color w:val="auto"/>
                <w:highlight w:val="none"/>
                <w:lang w:val="en-US" w:eastAsia="zh-CN"/>
              </w:rPr>
              <w:t>65</w:t>
            </w:r>
          </w:p>
        </w:tc>
        <w:tc>
          <w:tcPr>
            <w:tcW w:w="768" w:type="dxa"/>
            <w:vAlign w:val="center"/>
          </w:tcPr>
          <w:p>
            <w:pPr>
              <w:pStyle w:val="62"/>
              <w:rPr>
                <w:rFonts w:hint="default" w:eastAsia="宋体"/>
                <w:color w:val="auto"/>
                <w:highlight w:val="none"/>
                <w:lang w:val="en-US" w:eastAsia="zh-CN"/>
              </w:rPr>
            </w:pPr>
            <w:r>
              <w:rPr>
                <w:rFonts w:hint="eastAsia"/>
                <w:color w:val="auto"/>
                <w:highlight w:val="none"/>
                <w:lang w:val="en-US" w:eastAsia="zh-CN"/>
              </w:rPr>
              <w:t>45</w:t>
            </w:r>
          </w:p>
        </w:tc>
        <w:tc>
          <w:tcPr>
            <w:tcW w:w="767" w:type="dxa"/>
            <w:vAlign w:val="center"/>
          </w:tcPr>
          <w:p>
            <w:pPr>
              <w:pStyle w:val="62"/>
              <w:rPr>
                <w:rFonts w:hint="default" w:eastAsia="宋体"/>
                <w:color w:val="auto"/>
                <w:highlight w:val="none"/>
                <w:lang w:val="en-US" w:eastAsia="zh-CN"/>
              </w:rPr>
            </w:pPr>
            <w:r>
              <w:rPr>
                <w:rFonts w:hint="eastAsia"/>
                <w:color w:val="auto"/>
                <w:highlight w:val="none"/>
                <w:lang w:val="en-US" w:eastAsia="zh-CN"/>
              </w:rPr>
              <w:t>39</w:t>
            </w:r>
          </w:p>
        </w:tc>
        <w:tc>
          <w:tcPr>
            <w:tcW w:w="767" w:type="dxa"/>
            <w:vAlign w:val="center"/>
          </w:tcPr>
          <w:p>
            <w:pPr>
              <w:pStyle w:val="62"/>
              <w:rPr>
                <w:rFonts w:hint="default" w:eastAsia="宋体"/>
                <w:color w:val="auto"/>
                <w:highlight w:val="none"/>
                <w:lang w:val="en-US" w:eastAsia="zh-CN"/>
              </w:rPr>
            </w:pPr>
            <w:r>
              <w:rPr>
                <w:rFonts w:hint="eastAsia"/>
                <w:color w:val="auto"/>
                <w:highlight w:val="none"/>
                <w:lang w:val="en-US" w:eastAsia="zh-CN"/>
              </w:rPr>
              <w:t>31</w:t>
            </w:r>
          </w:p>
        </w:tc>
        <w:tc>
          <w:tcPr>
            <w:tcW w:w="768" w:type="dxa"/>
            <w:vAlign w:val="center"/>
          </w:tcPr>
          <w:p>
            <w:pPr>
              <w:pStyle w:val="62"/>
              <w:rPr>
                <w:rFonts w:hint="default" w:eastAsia="宋体"/>
                <w:color w:val="auto"/>
                <w:highlight w:val="none"/>
                <w:lang w:val="en-US" w:eastAsia="zh-CN"/>
              </w:rPr>
            </w:pPr>
            <w:r>
              <w:rPr>
                <w:rFonts w:hint="eastAsia"/>
                <w:color w:val="auto"/>
                <w:highlight w:val="none"/>
                <w:lang w:val="en-US" w:eastAsia="zh-CN"/>
              </w:rPr>
              <w:t>25</w:t>
            </w:r>
          </w:p>
        </w:tc>
        <w:tc>
          <w:tcPr>
            <w:tcW w:w="767" w:type="dxa"/>
            <w:vAlign w:val="center"/>
          </w:tcPr>
          <w:p>
            <w:pPr>
              <w:pStyle w:val="62"/>
              <w:rPr>
                <w:rFonts w:hint="default" w:eastAsia="宋体"/>
                <w:color w:val="auto"/>
                <w:highlight w:val="none"/>
                <w:lang w:val="en-US" w:eastAsia="zh-CN"/>
              </w:rPr>
            </w:pPr>
            <w:r>
              <w:rPr>
                <w:rFonts w:hint="eastAsia"/>
                <w:color w:val="auto"/>
                <w:highlight w:val="none"/>
                <w:lang w:val="en-US" w:eastAsia="zh-CN"/>
              </w:rPr>
              <w:t>22</w:t>
            </w:r>
          </w:p>
        </w:tc>
        <w:tc>
          <w:tcPr>
            <w:tcW w:w="768" w:type="dxa"/>
            <w:vAlign w:val="center"/>
          </w:tcPr>
          <w:p>
            <w:pPr>
              <w:pStyle w:val="62"/>
              <w:rPr>
                <w:rFonts w:hint="default" w:eastAsia="宋体"/>
                <w:color w:val="auto"/>
                <w:highlight w:val="none"/>
                <w:lang w:val="en-US" w:eastAsia="zh-CN"/>
              </w:rPr>
            </w:pPr>
            <w:r>
              <w:rPr>
                <w:rFonts w:hint="eastAsia"/>
                <w:color w:val="auto"/>
                <w:highlight w:val="none"/>
                <w:lang w:val="en-US" w:eastAsia="zh-CN"/>
              </w:rPr>
              <w:t>19</w:t>
            </w:r>
          </w:p>
        </w:tc>
        <w:tc>
          <w:tcPr>
            <w:tcW w:w="773" w:type="dxa"/>
            <w:vAlign w:val="center"/>
          </w:tcPr>
          <w:p>
            <w:pPr>
              <w:pStyle w:val="62"/>
              <w:rPr>
                <w:rFonts w:hint="default" w:eastAsia="宋体"/>
                <w:color w:val="auto"/>
                <w:highlight w:val="none"/>
                <w:lang w:val="en-US" w:eastAsia="zh-CN"/>
              </w:rPr>
            </w:pPr>
            <w:r>
              <w:rPr>
                <w:rFonts w:hint="eastAsia"/>
                <w:color w:val="auto"/>
                <w:highlight w:val="no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1" w:hRule="atLeast"/>
          <w:jc w:val="center"/>
        </w:trPr>
        <w:tc>
          <w:tcPr>
            <w:tcW w:w="1518" w:type="dxa"/>
            <w:vAlign w:val="center"/>
          </w:tcPr>
          <w:p>
            <w:pPr>
              <w:widowControl/>
              <w:ind w:firstLine="0" w:firstLineChars="0"/>
              <w:jc w:val="center"/>
              <w:rPr>
                <w:color w:val="auto"/>
                <w:sz w:val="21"/>
                <w:szCs w:val="21"/>
                <w:highlight w:val="none"/>
              </w:rPr>
            </w:pPr>
            <w:r>
              <w:rPr>
                <w:rFonts w:hint="eastAsia"/>
                <w:color w:val="auto"/>
                <w:sz w:val="21"/>
                <w:szCs w:val="21"/>
                <w:highlight w:val="none"/>
                <w:lang w:eastAsia="zh-CN"/>
              </w:rPr>
              <w:t>装载机（柳工）</w:t>
            </w:r>
          </w:p>
        </w:tc>
        <w:tc>
          <w:tcPr>
            <w:tcW w:w="1248" w:type="dxa"/>
            <w:vAlign w:val="center"/>
          </w:tcPr>
          <w:p>
            <w:pPr>
              <w:pStyle w:val="62"/>
              <w:rPr>
                <w:rFonts w:hint="default" w:eastAsia="宋体"/>
                <w:color w:val="auto"/>
                <w:highlight w:val="none"/>
                <w:lang w:val="en-US" w:eastAsia="zh-CN"/>
              </w:rPr>
            </w:pPr>
            <w:r>
              <w:rPr>
                <w:rFonts w:hint="eastAsia"/>
                <w:color w:val="auto"/>
                <w:highlight w:val="none"/>
                <w:lang w:val="en-US" w:eastAsia="zh-CN"/>
              </w:rPr>
              <w:t>80</w:t>
            </w:r>
          </w:p>
        </w:tc>
        <w:tc>
          <w:tcPr>
            <w:tcW w:w="1116" w:type="dxa"/>
            <w:vAlign w:val="center"/>
          </w:tcPr>
          <w:p>
            <w:pPr>
              <w:pStyle w:val="62"/>
              <w:ind w:firstLine="0" w:firstLineChars="0"/>
              <w:rPr>
                <w:color w:val="auto"/>
                <w:highlight w:val="none"/>
              </w:rPr>
            </w:pPr>
            <w:r>
              <w:rPr>
                <w:rFonts w:hint="eastAsia"/>
                <w:color w:val="auto"/>
                <w:highlight w:val="none"/>
                <w:lang w:val="en-US" w:eastAsia="zh-CN"/>
              </w:rPr>
              <w:t>65</w:t>
            </w:r>
          </w:p>
        </w:tc>
        <w:tc>
          <w:tcPr>
            <w:tcW w:w="768" w:type="dxa"/>
            <w:vAlign w:val="center"/>
          </w:tcPr>
          <w:p>
            <w:pPr>
              <w:pStyle w:val="62"/>
              <w:ind w:firstLine="0" w:firstLineChars="0"/>
              <w:rPr>
                <w:color w:val="auto"/>
                <w:highlight w:val="none"/>
              </w:rPr>
            </w:pPr>
            <w:r>
              <w:rPr>
                <w:rFonts w:hint="eastAsia"/>
                <w:color w:val="auto"/>
                <w:highlight w:val="none"/>
                <w:lang w:val="en-US" w:eastAsia="zh-CN"/>
              </w:rPr>
              <w:t>45</w:t>
            </w:r>
          </w:p>
        </w:tc>
        <w:tc>
          <w:tcPr>
            <w:tcW w:w="767" w:type="dxa"/>
            <w:vAlign w:val="center"/>
          </w:tcPr>
          <w:p>
            <w:pPr>
              <w:pStyle w:val="62"/>
              <w:ind w:firstLine="0" w:firstLineChars="0"/>
              <w:rPr>
                <w:color w:val="auto"/>
                <w:highlight w:val="none"/>
              </w:rPr>
            </w:pPr>
            <w:r>
              <w:rPr>
                <w:rFonts w:hint="eastAsia"/>
                <w:color w:val="auto"/>
                <w:highlight w:val="none"/>
                <w:lang w:val="en-US" w:eastAsia="zh-CN"/>
              </w:rPr>
              <w:t>39</w:t>
            </w:r>
          </w:p>
        </w:tc>
        <w:tc>
          <w:tcPr>
            <w:tcW w:w="767" w:type="dxa"/>
            <w:vAlign w:val="center"/>
          </w:tcPr>
          <w:p>
            <w:pPr>
              <w:pStyle w:val="62"/>
              <w:ind w:firstLine="0" w:firstLineChars="0"/>
              <w:rPr>
                <w:color w:val="auto"/>
                <w:highlight w:val="none"/>
              </w:rPr>
            </w:pPr>
            <w:r>
              <w:rPr>
                <w:rFonts w:hint="eastAsia"/>
                <w:color w:val="auto"/>
                <w:highlight w:val="none"/>
                <w:lang w:val="en-US" w:eastAsia="zh-CN"/>
              </w:rPr>
              <w:t>31</w:t>
            </w:r>
          </w:p>
        </w:tc>
        <w:tc>
          <w:tcPr>
            <w:tcW w:w="768" w:type="dxa"/>
            <w:vAlign w:val="center"/>
          </w:tcPr>
          <w:p>
            <w:pPr>
              <w:pStyle w:val="62"/>
              <w:ind w:firstLine="0" w:firstLineChars="0"/>
              <w:rPr>
                <w:color w:val="auto"/>
                <w:highlight w:val="none"/>
              </w:rPr>
            </w:pPr>
            <w:r>
              <w:rPr>
                <w:rFonts w:hint="eastAsia"/>
                <w:color w:val="auto"/>
                <w:highlight w:val="none"/>
                <w:lang w:val="en-US" w:eastAsia="zh-CN"/>
              </w:rPr>
              <w:t>25</w:t>
            </w:r>
          </w:p>
        </w:tc>
        <w:tc>
          <w:tcPr>
            <w:tcW w:w="767" w:type="dxa"/>
            <w:vAlign w:val="center"/>
          </w:tcPr>
          <w:p>
            <w:pPr>
              <w:pStyle w:val="62"/>
              <w:ind w:firstLine="0" w:firstLineChars="0"/>
              <w:rPr>
                <w:color w:val="auto"/>
                <w:highlight w:val="none"/>
              </w:rPr>
            </w:pPr>
            <w:r>
              <w:rPr>
                <w:rFonts w:hint="eastAsia"/>
                <w:color w:val="auto"/>
                <w:highlight w:val="none"/>
                <w:lang w:val="en-US" w:eastAsia="zh-CN"/>
              </w:rPr>
              <w:t>22</w:t>
            </w:r>
          </w:p>
        </w:tc>
        <w:tc>
          <w:tcPr>
            <w:tcW w:w="768" w:type="dxa"/>
            <w:vAlign w:val="center"/>
          </w:tcPr>
          <w:p>
            <w:pPr>
              <w:pStyle w:val="62"/>
              <w:ind w:firstLine="0" w:firstLineChars="0"/>
              <w:rPr>
                <w:color w:val="auto"/>
                <w:highlight w:val="none"/>
              </w:rPr>
            </w:pPr>
            <w:r>
              <w:rPr>
                <w:rFonts w:hint="eastAsia"/>
                <w:color w:val="auto"/>
                <w:highlight w:val="none"/>
                <w:lang w:val="en-US" w:eastAsia="zh-CN"/>
              </w:rPr>
              <w:t>19</w:t>
            </w:r>
          </w:p>
        </w:tc>
        <w:tc>
          <w:tcPr>
            <w:tcW w:w="773" w:type="dxa"/>
            <w:vAlign w:val="center"/>
          </w:tcPr>
          <w:p>
            <w:pPr>
              <w:pStyle w:val="62"/>
              <w:ind w:firstLine="0" w:firstLineChars="0"/>
              <w:rPr>
                <w:color w:val="auto"/>
                <w:highlight w:val="none"/>
              </w:rPr>
            </w:pPr>
            <w:r>
              <w:rPr>
                <w:rFonts w:hint="eastAsia"/>
                <w:color w:val="auto"/>
                <w:highlight w:val="no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1" w:hRule="atLeast"/>
          <w:jc w:val="center"/>
        </w:trPr>
        <w:tc>
          <w:tcPr>
            <w:tcW w:w="1518" w:type="dxa"/>
            <w:vAlign w:val="center"/>
          </w:tcPr>
          <w:p>
            <w:pPr>
              <w:widowControl/>
              <w:ind w:firstLine="0" w:firstLineChars="0"/>
              <w:jc w:val="center"/>
              <w:rPr>
                <w:color w:val="auto"/>
                <w:sz w:val="21"/>
                <w:szCs w:val="21"/>
                <w:highlight w:val="none"/>
              </w:rPr>
            </w:pPr>
            <w:r>
              <w:rPr>
                <w:rFonts w:hint="eastAsia"/>
                <w:color w:val="auto"/>
                <w:sz w:val="21"/>
                <w:szCs w:val="21"/>
                <w:highlight w:val="none"/>
                <w:lang w:eastAsia="zh-CN"/>
              </w:rPr>
              <w:t>振动给料机</w:t>
            </w:r>
          </w:p>
        </w:tc>
        <w:tc>
          <w:tcPr>
            <w:tcW w:w="1248" w:type="dxa"/>
            <w:vAlign w:val="center"/>
          </w:tcPr>
          <w:p>
            <w:pPr>
              <w:pStyle w:val="62"/>
              <w:rPr>
                <w:rFonts w:hint="default" w:eastAsia="宋体"/>
                <w:color w:val="auto"/>
                <w:highlight w:val="none"/>
                <w:lang w:val="en-US" w:eastAsia="zh-CN"/>
              </w:rPr>
            </w:pPr>
            <w:r>
              <w:rPr>
                <w:rFonts w:hint="eastAsia"/>
                <w:color w:val="auto"/>
                <w:highlight w:val="none"/>
                <w:lang w:val="en-US" w:eastAsia="zh-CN"/>
              </w:rPr>
              <w:t>85</w:t>
            </w:r>
          </w:p>
        </w:tc>
        <w:tc>
          <w:tcPr>
            <w:tcW w:w="1116" w:type="dxa"/>
            <w:vAlign w:val="center"/>
          </w:tcPr>
          <w:p>
            <w:pPr>
              <w:pStyle w:val="62"/>
              <w:ind w:firstLine="0" w:firstLineChars="0"/>
              <w:rPr>
                <w:color w:val="auto"/>
                <w:highlight w:val="none"/>
              </w:rPr>
            </w:pPr>
            <w:r>
              <w:rPr>
                <w:rFonts w:hint="eastAsia"/>
                <w:color w:val="auto"/>
                <w:highlight w:val="none"/>
              </w:rPr>
              <w:t>70</w:t>
            </w:r>
          </w:p>
        </w:tc>
        <w:tc>
          <w:tcPr>
            <w:tcW w:w="768" w:type="dxa"/>
            <w:vAlign w:val="center"/>
          </w:tcPr>
          <w:p>
            <w:pPr>
              <w:pStyle w:val="62"/>
              <w:ind w:firstLine="0" w:firstLineChars="0"/>
              <w:rPr>
                <w:color w:val="auto"/>
                <w:highlight w:val="none"/>
              </w:rPr>
            </w:pPr>
            <w:r>
              <w:rPr>
                <w:rFonts w:hint="eastAsia"/>
                <w:color w:val="auto"/>
                <w:highlight w:val="none"/>
              </w:rPr>
              <w:t>50</w:t>
            </w:r>
          </w:p>
        </w:tc>
        <w:tc>
          <w:tcPr>
            <w:tcW w:w="767" w:type="dxa"/>
            <w:vAlign w:val="center"/>
          </w:tcPr>
          <w:p>
            <w:pPr>
              <w:pStyle w:val="62"/>
              <w:ind w:firstLine="0" w:firstLineChars="0"/>
              <w:rPr>
                <w:color w:val="auto"/>
                <w:highlight w:val="none"/>
              </w:rPr>
            </w:pPr>
            <w:r>
              <w:rPr>
                <w:rFonts w:hint="eastAsia"/>
                <w:color w:val="auto"/>
                <w:highlight w:val="none"/>
              </w:rPr>
              <w:t>44</w:t>
            </w:r>
          </w:p>
        </w:tc>
        <w:tc>
          <w:tcPr>
            <w:tcW w:w="767" w:type="dxa"/>
            <w:vAlign w:val="center"/>
          </w:tcPr>
          <w:p>
            <w:pPr>
              <w:pStyle w:val="62"/>
              <w:ind w:firstLine="0" w:firstLineChars="0"/>
              <w:rPr>
                <w:color w:val="auto"/>
                <w:highlight w:val="none"/>
              </w:rPr>
            </w:pPr>
            <w:r>
              <w:rPr>
                <w:rFonts w:hint="eastAsia"/>
                <w:color w:val="auto"/>
                <w:highlight w:val="none"/>
              </w:rPr>
              <w:t>36</w:t>
            </w:r>
          </w:p>
        </w:tc>
        <w:tc>
          <w:tcPr>
            <w:tcW w:w="768" w:type="dxa"/>
            <w:vAlign w:val="center"/>
          </w:tcPr>
          <w:p>
            <w:pPr>
              <w:pStyle w:val="62"/>
              <w:ind w:firstLine="0" w:firstLineChars="0"/>
              <w:rPr>
                <w:color w:val="auto"/>
                <w:highlight w:val="none"/>
              </w:rPr>
            </w:pPr>
            <w:r>
              <w:rPr>
                <w:rFonts w:hint="eastAsia"/>
                <w:color w:val="auto"/>
                <w:highlight w:val="none"/>
              </w:rPr>
              <w:t>30</w:t>
            </w:r>
          </w:p>
        </w:tc>
        <w:tc>
          <w:tcPr>
            <w:tcW w:w="767" w:type="dxa"/>
            <w:vAlign w:val="center"/>
          </w:tcPr>
          <w:p>
            <w:pPr>
              <w:pStyle w:val="62"/>
              <w:ind w:firstLine="0" w:firstLineChars="0"/>
              <w:rPr>
                <w:color w:val="auto"/>
                <w:highlight w:val="none"/>
              </w:rPr>
            </w:pPr>
            <w:r>
              <w:rPr>
                <w:rFonts w:hint="eastAsia"/>
                <w:color w:val="auto"/>
                <w:highlight w:val="none"/>
              </w:rPr>
              <w:t>27</w:t>
            </w:r>
          </w:p>
        </w:tc>
        <w:tc>
          <w:tcPr>
            <w:tcW w:w="768" w:type="dxa"/>
            <w:vAlign w:val="center"/>
          </w:tcPr>
          <w:p>
            <w:pPr>
              <w:pStyle w:val="62"/>
              <w:ind w:firstLine="0" w:firstLineChars="0"/>
              <w:rPr>
                <w:color w:val="auto"/>
                <w:highlight w:val="none"/>
              </w:rPr>
            </w:pPr>
            <w:r>
              <w:rPr>
                <w:rFonts w:hint="eastAsia"/>
                <w:color w:val="auto"/>
                <w:highlight w:val="none"/>
              </w:rPr>
              <w:t>24</w:t>
            </w:r>
          </w:p>
        </w:tc>
        <w:tc>
          <w:tcPr>
            <w:tcW w:w="773" w:type="dxa"/>
            <w:vAlign w:val="center"/>
          </w:tcPr>
          <w:p>
            <w:pPr>
              <w:pStyle w:val="62"/>
              <w:ind w:firstLine="0" w:firstLineChars="0"/>
              <w:rPr>
                <w:color w:val="auto"/>
                <w:highlight w:val="none"/>
              </w:rPr>
            </w:pPr>
            <w:r>
              <w:rPr>
                <w:rFonts w:hint="eastAsia"/>
                <w:color w:val="auto"/>
                <w:highlight w:val="none"/>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92" w:hRule="atLeast"/>
          <w:jc w:val="center"/>
        </w:trPr>
        <w:tc>
          <w:tcPr>
            <w:tcW w:w="1518" w:type="dxa"/>
            <w:vAlign w:val="center"/>
          </w:tcPr>
          <w:p>
            <w:pPr>
              <w:widowControl/>
              <w:ind w:firstLine="0" w:firstLineChars="0"/>
              <w:jc w:val="center"/>
              <w:rPr>
                <w:color w:val="auto"/>
                <w:sz w:val="21"/>
                <w:szCs w:val="21"/>
                <w:highlight w:val="none"/>
              </w:rPr>
            </w:pPr>
            <w:r>
              <w:rPr>
                <w:rFonts w:hint="eastAsia"/>
                <w:color w:val="auto"/>
                <w:sz w:val="21"/>
                <w:szCs w:val="21"/>
                <w:highlight w:val="none"/>
                <w:lang w:eastAsia="zh-CN"/>
              </w:rPr>
              <w:t>立式复合破碎机</w:t>
            </w:r>
          </w:p>
        </w:tc>
        <w:tc>
          <w:tcPr>
            <w:tcW w:w="1248" w:type="dxa"/>
            <w:vAlign w:val="center"/>
          </w:tcPr>
          <w:p>
            <w:pPr>
              <w:pStyle w:val="62"/>
              <w:rPr>
                <w:rFonts w:hint="default" w:eastAsia="宋体"/>
                <w:color w:val="auto"/>
                <w:highlight w:val="none"/>
                <w:lang w:val="en-US" w:eastAsia="zh-CN"/>
              </w:rPr>
            </w:pPr>
            <w:r>
              <w:rPr>
                <w:rFonts w:hint="eastAsia"/>
                <w:color w:val="auto"/>
                <w:highlight w:val="none"/>
                <w:lang w:val="en-US" w:eastAsia="zh-CN"/>
              </w:rPr>
              <w:t>90</w:t>
            </w:r>
          </w:p>
        </w:tc>
        <w:tc>
          <w:tcPr>
            <w:tcW w:w="1116" w:type="dxa"/>
            <w:vAlign w:val="center"/>
          </w:tcPr>
          <w:p>
            <w:pPr>
              <w:pStyle w:val="62"/>
              <w:ind w:firstLine="0" w:firstLineChars="0"/>
              <w:rPr>
                <w:color w:val="auto"/>
                <w:highlight w:val="none"/>
              </w:rPr>
            </w:pPr>
            <w:r>
              <w:rPr>
                <w:rFonts w:hint="eastAsia"/>
                <w:color w:val="auto"/>
                <w:highlight w:val="none"/>
              </w:rPr>
              <w:t>75</w:t>
            </w:r>
          </w:p>
        </w:tc>
        <w:tc>
          <w:tcPr>
            <w:tcW w:w="768" w:type="dxa"/>
            <w:vAlign w:val="center"/>
          </w:tcPr>
          <w:p>
            <w:pPr>
              <w:pStyle w:val="62"/>
              <w:ind w:firstLine="0" w:firstLineChars="0"/>
              <w:rPr>
                <w:color w:val="auto"/>
                <w:highlight w:val="none"/>
              </w:rPr>
            </w:pPr>
            <w:r>
              <w:rPr>
                <w:rFonts w:hint="eastAsia"/>
                <w:color w:val="auto"/>
                <w:highlight w:val="none"/>
              </w:rPr>
              <w:t>55</w:t>
            </w:r>
          </w:p>
        </w:tc>
        <w:tc>
          <w:tcPr>
            <w:tcW w:w="767" w:type="dxa"/>
            <w:vAlign w:val="center"/>
          </w:tcPr>
          <w:p>
            <w:pPr>
              <w:pStyle w:val="62"/>
              <w:ind w:firstLine="0" w:firstLineChars="0"/>
              <w:rPr>
                <w:color w:val="auto"/>
                <w:highlight w:val="none"/>
              </w:rPr>
            </w:pPr>
            <w:r>
              <w:rPr>
                <w:rFonts w:hint="eastAsia"/>
                <w:color w:val="auto"/>
                <w:highlight w:val="none"/>
              </w:rPr>
              <w:t>49</w:t>
            </w:r>
          </w:p>
        </w:tc>
        <w:tc>
          <w:tcPr>
            <w:tcW w:w="767" w:type="dxa"/>
            <w:vAlign w:val="center"/>
          </w:tcPr>
          <w:p>
            <w:pPr>
              <w:pStyle w:val="62"/>
              <w:ind w:firstLine="0" w:firstLineChars="0"/>
              <w:rPr>
                <w:color w:val="auto"/>
                <w:highlight w:val="none"/>
              </w:rPr>
            </w:pPr>
            <w:r>
              <w:rPr>
                <w:rFonts w:hint="eastAsia"/>
                <w:color w:val="auto"/>
                <w:highlight w:val="none"/>
              </w:rPr>
              <w:t>41</w:t>
            </w:r>
          </w:p>
        </w:tc>
        <w:tc>
          <w:tcPr>
            <w:tcW w:w="768" w:type="dxa"/>
            <w:vAlign w:val="center"/>
          </w:tcPr>
          <w:p>
            <w:pPr>
              <w:pStyle w:val="62"/>
              <w:ind w:firstLine="0" w:firstLineChars="0"/>
              <w:rPr>
                <w:color w:val="auto"/>
                <w:highlight w:val="none"/>
              </w:rPr>
            </w:pPr>
            <w:r>
              <w:rPr>
                <w:rFonts w:hint="eastAsia"/>
                <w:color w:val="auto"/>
                <w:highlight w:val="none"/>
              </w:rPr>
              <w:t>35</w:t>
            </w:r>
          </w:p>
        </w:tc>
        <w:tc>
          <w:tcPr>
            <w:tcW w:w="767" w:type="dxa"/>
            <w:vAlign w:val="center"/>
          </w:tcPr>
          <w:p>
            <w:pPr>
              <w:pStyle w:val="62"/>
              <w:ind w:firstLine="0" w:firstLineChars="0"/>
              <w:rPr>
                <w:color w:val="auto"/>
                <w:highlight w:val="none"/>
              </w:rPr>
            </w:pPr>
            <w:r>
              <w:rPr>
                <w:rFonts w:hint="eastAsia"/>
                <w:color w:val="auto"/>
                <w:highlight w:val="none"/>
              </w:rPr>
              <w:t>32</w:t>
            </w:r>
          </w:p>
        </w:tc>
        <w:tc>
          <w:tcPr>
            <w:tcW w:w="768" w:type="dxa"/>
            <w:vAlign w:val="center"/>
          </w:tcPr>
          <w:p>
            <w:pPr>
              <w:pStyle w:val="62"/>
              <w:ind w:firstLine="0" w:firstLineChars="0"/>
              <w:rPr>
                <w:color w:val="auto"/>
                <w:highlight w:val="none"/>
              </w:rPr>
            </w:pPr>
            <w:r>
              <w:rPr>
                <w:rFonts w:hint="eastAsia"/>
                <w:color w:val="auto"/>
                <w:highlight w:val="none"/>
              </w:rPr>
              <w:t>29</w:t>
            </w:r>
          </w:p>
        </w:tc>
        <w:tc>
          <w:tcPr>
            <w:tcW w:w="773" w:type="dxa"/>
            <w:vAlign w:val="center"/>
          </w:tcPr>
          <w:p>
            <w:pPr>
              <w:pStyle w:val="62"/>
              <w:ind w:firstLine="0" w:firstLineChars="0"/>
              <w:rPr>
                <w:color w:val="auto"/>
                <w:highlight w:val="none"/>
              </w:rPr>
            </w:pPr>
            <w:r>
              <w:rPr>
                <w:rFonts w:hint="eastAsia"/>
                <w:color w:val="auto"/>
                <w:highlight w:val="none"/>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92" w:hRule="atLeast"/>
          <w:jc w:val="center"/>
        </w:trPr>
        <w:tc>
          <w:tcPr>
            <w:tcW w:w="1518" w:type="dxa"/>
            <w:vAlign w:val="center"/>
          </w:tcPr>
          <w:p>
            <w:pPr>
              <w:widowControl/>
              <w:ind w:firstLine="0" w:firstLineChars="0"/>
              <w:jc w:val="center"/>
              <w:rPr>
                <w:rFonts w:hint="eastAsia" w:eastAsia="宋体"/>
                <w:color w:val="auto"/>
                <w:kern w:val="0"/>
                <w:sz w:val="21"/>
                <w:szCs w:val="21"/>
                <w:highlight w:val="none"/>
                <w:lang w:eastAsia="zh-CN"/>
              </w:rPr>
            </w:pPr>
            <w:r>
              <w:rPr>
                <w:rFonts w:hint="eastAsia"/>
                <w:color w:val="auto"/>
                <w:sz w:val="21"/>
                <w:szCs w:val="21"/>
                <w:highlight w:val="none"/>
                <w:lang w:eastAsia="zh-CN"/>
              </w:rPr>
              <w:t>颚式破碎机</w:t>
            </w:r>
          </w:p>
        </w:tc>
        <w:tc>
          <w:tcPr>
            <w:tcW w:w="1248" w:type="dxa"/>
            <w:vAlign w:val="center"/>
          </w:tcPr>
          <w:p>
            <w:pPr>
              <w:pStyle w:val="62"/>
              <w:rPr>
                <w:rFonts w:hint="default" w:eastAsia="宋体"/>
                <w:color w:val="auto"/>
                <w:highlight w:val="none"/>
                <w:lang w:val="en-US" w:eastAsia="zh-CN"/>
              </w:rPr>
            </w:pPr>
            <w:r>
              <w:rPr>
                <w:rFonts w:hint="eastAsia"/>
                <w:color w:val="auto"/>
                <w:highlight w:val="none"/>
                <w:lang w:val="en-US" w:eastAsia="zh-CN"/>
              </w:rPr>
              <w:t>90</w:t>
            </w:r>
          </w:p>
        </w:tc>
        <w:tc>
          <w:tcPr>
            <w:tcW w:w="1116" w:type="dxa"/>
            <w:vAlign w:val="center"/>
          </w:tcPr>
          <w:p>
            <w:pPr>
              <w:pStyle w:val="62"/>
              <w:ind w:firstLine="0" w:firstLineChars="0"/>
              <w:rPr>
                <w:rFonts w:hint="default" w:eastAsia="宋体"/>
                <w:color w:val="auto"/>
                <w:highlight w:val="none"/>
                <w:lang w:val="en-US" w:eastAsia="zh-CN"/>
              </w:rPr>
            </w:pPr>
            <w:r>
              <w:rPr>
                <w:rFonts w:hint="eastAsia"/>
                <w:color w:val="auto"/>
                <w:highlight w:val="none"/>
              </w:rPr>
              <w:t>75</w:t>
            </w:r>
          </w:p>
        </w:tc>
        <w:tc>
          <w:tcPr>
            <w:tcW w:w="768" w:type="dxa"/>
            <w:vAlign w:val="center"/>
          </w:tcPr>
          <w:p>
            <w:pPr>
              <w:pStyle w:val="62"/>
              <w:ind w:firstLine="0" w:firstLineChars="0"/>
              <w:rPr>
                <w:rFonts w:hint="eastAsia"/>
                <w:color w:val="auto"/>
                <w:highlight w:val="none"/>
              </w:rPr>
            </w:pPr>
            <w:r>
              <w:rPr>
                <w:rFonts w:hint="eastAsia"/>
                <w:color w:val="auto"/>
                <w:highlight w:val="none"/>
              </w:rPr>
              <w:t>55</w:t>
            </w:r>
          </w:p>
        </w:tc>
        <w:tc>
          <w:tcPr>
            <w:tcW w:w="767" w:type="dxa"/>
            <w:vAlign w:val="center"/>
          </w:tcPr>
          <w:p>
            <w:pPr>
              <w:pStyle w:val="62"/>
              <w:ind w:firstLine="0" w:firstLineChars="0"/>
              <w:rPr>
                <w:rFonts w:hint="eastAsia"/>
                <w:color w:val="auto"/>
                <w:highlight w:val="none"/>
              </w:rPr>
            </w:pPr>
            <w:r>
              <w:rPr>
                <w:rFonts w:hint="eastAsia"/>
                <w:color w:val="auto"/>
                <w:highlight w:val="none"/>
              </w:rPr>
              <w:t>49</w:t>
            </w:r>
          </w:p>
        </w:tc>
        <w:tc>
          <w:tcPr>
            <w:tcW w:w="767" w:type="dxa"/>
            <w:vAlign w:val="center"/>
          </w:tcPr>
          <w:p>
            <w:pPr>
              <w:pStyle w:val="62"/>
              <w:ind w:firstLine="0" w:firstLineChars="0"/>
              <w:rPr>
                <w:rFonts w:hint="eastAsia"/>
                <w:color w:val="auto"/>
                <w:highlight w:val="none"/>
              </w:rPr>
            </w:pPr>
            <w:r>
              <w:rPr>
                <w:rFonts w:hint="eastAsia"/>
                <w:color w:val="auto"/>
                <w:highlight w:val="none"/>
              </w:rPr>
              <w:t>41</w:t>
            </w:r>
          </w:p>
        </w:tc>
        <w:tc>
          <w:tcPr>
            <w:tcW w:w="768" w:type="dxa"/>
            <w:vAlign w:val="center"/>
          </w:tcPr>
          <w:p>
            <w:pPr>
              <w:pStyle w:val="62"/>
              <w:ind w:firstLine="0" w:firstLineChars="0"/>
              <w:rPr>
                <w:rFonts w:hint="eastAsia"/>
                <w:color w:val="auto"/>
                <w:highlight w:val="none"/>
              </w:rPr>
            </w:pPr>
            <w:r>
              <w:rPr>
                <w:rFonts w:hint="eastAsia"/>
                <w:color w:val="auto"/>
                <w:highlight w:val="none"/>
              </w:rPr>
              <w:t>35</w:t>
            </w:r>
          </w:p>
        </w:tc>
        <w:tc>
          <w:tcPr>
            <w:tcW w:w="767" w:type="dxa"/>
            <w:vAlign w:val="center"/>
          </w:tcPr>
          <w:p>
            <w:pPr>
              <w:pStyle w:val="62"/>
              <w:ind w:firstLine="0" w:firstLineChars="0"/>
              <w:rPr>
                <w:rFonts w:hint="eastAsia"/>
                <w:color w:val="auto"/>
                <w:highlight w:val="none"/>
              </w:rPr>
            </w:pPr>
            <w:r>
              <w:rPr>
                <w:rFonts w:hint="eastAsia"/>
                <w:color w:val="auto"/>
                <w:highlight w:val="none"/>
              </w:rPr>
              <w:t>32</w:t>
            </w:r>
          </w:p>
        </w:tc>
        <w:tc>
          <w:tcPr>
            <w:tcW w:w="768" w:type="dxa"/>
            <w:vAlign w:val="center"/>
          </w:tcPr>
          <w:p>
            <w:pPr>
              <w:pStyle w:val="62"/>
              <w:ind w:firstLine="0" w:firstLineChars="0"/>
              <w:rPr>
                <w:rFonts w:hint="eastAsia"/>
                <w:color w:val="auto"/>
                <w:highlight w:val="none"/>
              </w:rPr>
            </w:pPr>
            <w:r>
              <w:rPr>
                <w:rFonts w:hint="eastAsia"/>
                <w:color w:val="auto"/>
                <w:highlight w:val="none"/>
              </w:rPr>
              <w:t>29</w:t>
            </w:r>
          </w:p>
        </w:tc>
        <w:tc>
          <w:tcPr>
            <w:tcW w:w="773" w:type="dxa"/>
            <w:vAlign w:val="center"/>
          </w:tcPr>
          <w:p>
            <w:pPr>
              <w:pStyle w:val="62"/>
              <w:ind w:firstLine="0" w:firstLineChars="0"/>
              <w:rPr>
                <w:rFonts w:hint="eastAsia"/>
                <w:color w:val="auto"/>
                <w:highlight w:val="none"/>
              </w:rPr>
            </w:pPr>
            <w:r>
              <w:rPr>
                <w:rFonts w:hint="eastAsia"/>
                <w:color w:val="auto"/>
                <w:highlight w:val="none"/>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92" w:hRule="atLeast"/>
          <w:jc w:val="center"/>
        </w:trPr>
        <w:tc>
          <w:tcPr>
            <w:tcW w:w="1518" w:type="dxa"/>
            <w:vAlign w:val="center"/>
          </w:tcPr>
          <w:p>
            <w:pPr>
              <w:widowControl/>
              <w:ind w:firstLine="0" w:firstLineChars="0"/>
              <w:jc w:val="center"/>
              <w:rPr>
                <w:rFonts w:hint="eastAsia" w:eastAsia="宋体"/>
                <w:color w:val="auto"/>
                <w:kern w:val="0"/>
                <w:sz w:val="21"/>
                <w:szCs w:val="21"/>
                <w:highlight w:val="none"/>
                <w:lang w:eastAsia="zh-CN"/>
              </w:rPr>
            </w:pPr>
            <w:r>
              <w:rPr>
                <w:rFonts w:hint="eastAsia"/>
                <w:color w:val="auto"/>
                <w:sz w:val="21"/>
                <w:szCs w:val="21"/>
                <w:highlight w:val="none"/>
                <w:lang w:eastAsia="zh-CN"/>
              </w:rPr>
              <w:t>强力反击破碎机</w:t>
            </w:r>
          </w:p>
        </w:tc>
        <w:tc>
          <w:tcPr>
            <w:tcW w:w="1248" w:type="dxa"/>
            <w:vAlign w:val="center"/>
          </w:tcPr>
          <w:p>
            <w:pPr>
              <w:pStyle w:val="62"/>
              <w:rPr>
                <w:rFonts w:hint="default" w:eastAsia="宋体"/>
                <w:color w:val="auto"/>
                <w:highlight w:val="none"/>
                <w:lang w:val="en-US" w:eastAsia="zh-CN"/>
              </w:rPr>
            </w:pPr>
            <w:r>
              <w:rPr>
                <w:rFonts w:hint="eastAsia"/>
                <w:color w:val="auto"/>
                <w:highlight w:val="none"/>
                <w:lang w:val="en-US" w:eastAsia="zh-CN"/>
              </w:rPr>
              <w:t>90</w:t>
            </w:r>
          </w:p>
        </w:tc>
        <w:tc>
          <w:tcPr>
            <w:tcW w:w="1116" w:type="dxa"/>
            <w:vAlign w:val="center"/>
          </w:tcPr>
          <w:p>
            <w:pPr>
              <w:pStyle w:val="62"/>
              <w:ind w:firstLine="0" w:firstLineChars="0"/>
              <w:rPr>
                <w:rFonts w:hint="default" w:eastAsia="宋体"/>
                <w:color w:val="auto"/>
                <w:highlight w:val="none"/>
                <w:lang w:val="en-US" w:eastAsia="zh-CN"/>
              </w:rPr>
            </w:pPr>
            <w:r>
              <w:rPr>
                <w:rFonts w:hint="eastAsia"/>
                <w:color w:val="auto"/>
                <w:highlight w:val="none"/>
              </w:rPr>
              <w:t>75</w:t>
            </w:r>
          </w:p>
        </w:tc>
        <w:tc>
          <w:tcPr>
            <w:tcW w:w="768" w:type="dxa"/>
            <w:vAlign w:val="center"/>
          </w:tcPr>
          <w:p>
            <w:pPr>
              <w:pStyle w:val="62"/>
              <w:ind w:firstLine="0" w:firstLineChars="0"/>
              <w:rPr>
                <w:rFonts w:hint="eastAsia" w:eastAsia="宋体"/>
                <w:color w:val="auto"/>
                <w:highlight w:val="none"/>
                <w:lang w:val="en-US" w:eastAsia="zh-CN"/>
              </w:rPr>
            </w:pPr>
            <w:r>
              <w:rPr>
                <w:rFonts w:hint="eastAsia"/>
                <w:color w:val="auto"/>
                <w:highlight w:val="none"/>
              </w:rPr>
              <w:t>55</w:t>
            </w:r>
          </w:p>
        </w:tc>
        <w:tc>
          <w:tcPr>
            <w:tcW w:w="767" w:type="dxa"/>
            <w:vAlign w:val="center"/>
          </w:tcPr>
          <w:p>
            <w:pPr>
              <w:pStyle w:val="62"/>
              <w:ind w:firstLine="0" w:firstLineChars="0"/>
              <w:rPr>
                <w:rFonts w:hint="eastAsia" w:eastAsia="宋体"/>
                <w:color w:val="auto"/>
                <w:highlight w:val="none"/>
                <w:lang w:val="en-US" w:eastAsia="zh-CN"/>
              </w:rPr>
            </w:pPr>
            <w:r>
              <w:rPr>
                <w:rFonts w:hint="eastAsia"/>
                <w:color w:val="auto"/>
                <w:highlight w:val="none"/>
              </w:rPr>
              <w:t>49</w:t>
            </w:r>
          </w:p>
        </w:tc>
        <w:tc>
          <w:tcPr>
            <w:tcW w:w="767" w:type="dxa"/>
            <w:vAlign w:val="center"/>
          </w:tcPr>
          <w:p>
            <w:pPr>
              <w:pStyle w:val="62"/>
              <w:ind w:firstLine="0" w:firstLineChars="0"/>
              <w:rPr>
                <w:rFonts w:hint="eastAsia" w:eastAsia="宋体"/>
                <w:color w:val="auto"/>
                <w:highlight w:val="none"/>
                <w:lang w:val="en-US" w:eastAsia="zh-CN"/>
              </w:rPr>
            </w:pPr>
            <w:r>
              <w:rPr>
                <w:rFonts w:hint="eastAsia"/>
                <w:color w:val="auto"/>
                <w:highlight w:val="none"/>
              </w:rPr>
              <w:t>41</w:t>
            </w:r>
          </w:p>
        </w:tc>
        <w:tc>
          <w:tcPr>
            <w:tcW w:w="768" w:type="dxa"/>
            <w:vAlign w:val="center"/>
          </w:tcPr>
          <w:p>
            <w:pPr>
              <w:pStyle w:val="62"/>
              <w:ind w:firstLine="0" w:firstLineChars="0"/>
              <w:rPr>
                <w:rFonts w:hint="eastAsia" w:eastAsia="宋体"/>
                <w:color w:val="auto"/>
                <w:highlight w:val="none"/>
                <w:lang w:val="en-US" w:eastAsia="zh-CN"/>
              </w:rPr>
            </w:pPr>
            <w:r>
              <w:rPr>
                <w:rFonts w:hint="eastAsia"/>
                <w:color w:val="auto"/>
                <w:highlight w:val="none"/>
              </w:rPr>
              <w:t>35</w:t>
            </w:r>
          </w:p>
        </w:tc>
        <w:tc>
          <w:tcPr>
            <w:tcW w:w="767" w:type="dxa"/>
            <w:vAlign w:val="center"/>
          </w:tcPr>
          <w:p>
            <w:pPr>
              <w:pStyle w:val="62"/>
              <w:ind w:firstLine="0" w:firstLineChars="0"/>
              <w:rPr>
                <w:rFonts w:hint="eastAsia" w:eastAsia="宋体"/>
                <w:color w:val="auto"/>
                <w:highlight w:val="none"/>
                <w:lang w:val="en-US" w:eastAsia="zh-CN"/>
              </w:rPr>
            </w:pPr>
            <w:r>
              <w:rPr>
                <w:rFonts w:hint="eastAsia"/>
                <w:color w:val="auto"/>
                <w:highlight w:val="none"/>
              </w:rPr>
              <w:t>32</w:t>
            </w:r>
          </w:p>
        </w:tc>
        <w:tc>
          <w:tcPr>
            <w:tcW w:w="768" w:type="dxa"/>
            <w:vAlign w:val="center"/>
          </w:tcPr>
          <w:p>
            <w:pPr>
              <w:pStyle w:val="62"/>
              <w:ind w:firstLine="0" w:firstLineChars="0"/>
              <w:rPr>
                <w:rFonts w:hint="eastAsia" w:eastAsia="宋体"/>
                <w:color w:val="auto"/>
                <w:highlight w:val="none"/>
                <w:lang w:val="en-US" w:eastAsia="zh-CN"/>
              </w:rPr>
            </w:pPr>
            <w:r>
              <w:rPr>
                <w:rFonts w:hint="eastAsia"/>
                <w:color w:val="auto"/>
                <w:highlight w:val="none"/>
              </w:rPr>
              <w:t>29</w:t>
            </w:r>
          </w:p>
        </w:tc>
        <w:tc>
          <w:tcPr>
            <w:tcW w:w="773" w:type="dxa"/>
            <w:vAlign w:val="center"/>
          </w:tcPr>
          <w:p>
            <w:pPr>
              <w:pStyle w:val="62"/>
              <w:ind w:firstLine="0" w:firstLineChars="0"/>
              <w:rPr>
                <w:rFonts w:hint="eastAsia" w:eastAsia="宋体"/>
                <w:color w:val="auto"/>
                <w:highlight w:val="none"/>
                <w:lang w:val="en-US" w:eastAsia="zh-CN"/>
              </w:rPr>
            </w:pPr>
            <w:r>
              <w:rPr>
                <w:rFonts w:hint="eastAsia"/>
                <w:color w:val="auto"/>
                <w:highlight w:val="none"/>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92" w:hRule="atLeast"/>
          <w:jc w:val="center"/>
        </w:trPr>
        <w:tc>
          <w:tcPr>
            <w:tcW w:w="1518" w:type="dxa"/>
            <w:vAlign w:val="center"/>
          </w:tcPr>
          <w:p>
            <w:pPr>
              <w:widowControl/>
              <w:ind w:firstLine="0" w:firstLineChars="0"/>
              <w:jc w:val="center"/>
              <w:rPr>
                <w:rFonts w:hint="eastAsia"/>
                <w:color w:val="auto"/>
                <w:kern w:val="0"/>
                <w:sz w:val="21"/>
                <w:szCs w:val="21"/>
                <w:highlight w:val="none"/>
                <w:lang w:eastAsia="zh-CN"/>
              </w:rPr>
            </w:pPr>
            <w:r>
              <w:rPr>
                <w:rFonts w:hint="eastAsia"/>
                <w:color w:val="auto"/>
                <w:sz w:val="21"/>
                <w:szCs w:val="21"/>
                <w:highlight w:val="none"/>
                <w:lang w:eastAsia="zh-CN"/>
              </w:rPr>
              <w:t>振动筛</w:t>
            </w:r>
          </w:p>
        </w:tc>
        <w:tc>
          <w:tcPr>
            <w:tcW w:w="1248" w:type="dxa"/>
            <w:vAlign w:val="center"/>
          </w:tcPr>
          <w:p>
            <w:pPr>
              <w:pStyle w:val="62"/>
              <w:rPr>
                <w:rFonts w:hint="default"/>
                <w:color w:val="auto"/>
                <w:highlight w:val="none"/>
                <w:lang w:val="en-US" w:eastAsia="zh-CN"/>
              </w:rPr>
            </w:pPr>
            <w:r>
              <w:rPr>
                <w:rFonts w:hint="eastAsia"/>
                <w:color w:val="auto"/>
                <w:highlight w:val="none"/>
                <w:lang w:val="en-US" w:eastAsia="zh-CN"/>
              </w:rPr>
              <w:t>80</w:t>
            </w:r>
          </w:p>
        </w:tc>
        <w:tc>
          <w:tcPr>
            <w:tcW w:w="1116" w:type="dxa"/>
            <w:vAlign w:val="center"/>
          </w:tcPr>
          <w:p>
            <w:pPr>
              <w:pStyle w:val="62"/>
              <w:ind w:firstLine="0" w:firstLineChars="0"/>
              <w:rPr>
                <w:rFonts w:hint="eastAsia"/>
                <w:color w:val="auto"/>
                <w:highlight w:val="none"/>
                <w:lang w:val="en-US" w:eastAsia="zh-CN"/>
              </w:rPr>
            </w:pPr>
            <w:r>
              <w:rPr>
                <w:rFonts w:hint="eastAsia"/>
                <w:color w:val="auto"/>
                <w:highlight w:val="none"/>
                <w:lang w:val="en-US" w:eastAsia="zh-CN"/>
              </w:rPr>
              <w:t>65</w:t>
            </w:r>
          </w:p>
        </w:tc>
        <w:tc>
          <w:tcPr>
            <w:tcW w:w="768" w:type="dxa"/>
            <w:vAlign w:val="center"/>
          </w:tcPr>
          <w:p>
            <w:pPr>
              <w:pStyle w:val="62"/>
              <w:ind w:firstLine="0" w:firstLineChars="0"/>
              <w:rPr>
                <w:rFonts w:hint="eastAsia"/>
                <w:color w:val="auto"/>
                <w:highlight w:val="none"/>
              </w:rPr>
            </w:pPr>
            <w:r>
              <w:rPr>
                <w:rFonts w:hint="eastAsia"/>
                <w:color w:val="auto"/>
                <w:highlight w:val="none"/>
                <w:lang w:val="en-US" w:eastAsia="zh-CN"/>
              </w:rPr>
              <w:t>45</w:t>
            </w:r>
          </w:p>
        </w:tc>
        <w:tc>
          <w:tcPr>
            <w:tcW w:w="767" w:type="dxa"/>
            <w:vAlign w:val="center"/>
          </w:tcPr>
          <w:p>
            <w:pPr>
              <w:pStyle w:val="62"/>
              <w:ind w:firstLine="0" w:firstLineChars="0"/>
              <w:rPr>
                <w:rFonts w:hint="eastAsia"/>
                <w:color w:val="auto"/>
                <w:highlight w:val="none"/>
              </w:rPr>
            </w:pPr>
            <w:r>
              <w:rPr>
                <w:rFonts w:hint="eastAsia"/>
                <w:color w:val="auto"/>
                <w:highlight w:val="none"/>
                <w:lang w:val="en-US" w:eastAsia="zh-CN"/>
              </w:rPr>
              <w:t>39</w:t>
            </w:r>
          </w:p>
        </w:tc>
        <w:tc>
          <w:tcPr>
            <w:tcW w:w="767" w:type="dxa"/>
            <w:vAlign w:val="center"/>
          </w:tcPr>
          <w:p>
            <w:pPr>
              <w:pStyle w:val="62"/>
              <w:ind w:firstLine="0" w:firstLineChars="0"/>
              <w:rPr>
                <w:rFonts w:hint="eastAsia"/>
                <w:color w:val="auto"/>
                <w:highlight w:val="none"/>
              </w:rPr>
            </w:pPr>
            <w:r>
              <w:rPr>
                <w:rFonts w:hint="eastAsia"/>
                <w:color w:val="auto"/>
                <w:highlight w:val="none"/>
                <w:lang w:val="en-US" w:eastAsia="zh-CN"/>
              </w:rPr>
              <w:t>31</w:t>
            </w:r>
          </w:p>
        </w:tc>
        <w:tc>
          <w:tcPr>
            <w:tcW w:w="768" w:type="dxa"/>
            <w:vAlign w:val="center"/>
          </w:tcPr>
          <w:p>
            <w:pPr>
              <w:pStyle w:val="62"/>
              <w:ind w:firstLine="0" w:firstLineChars="0"/>
              <w:rPr>
                <w:rFonts w:hint="eastAsia"/>
                <w:color w:val="auto"/>
                <w:highlight w:val="none"/>
              </w:rPr>
            </w:pPr>
            <w:r>
              <w:rPr>
                <w:rFonts w:hint="eastAsia"/>
                <w:color w:val="auto"/>
                <w:highlight w:val="none"/>
                <w:lang w:val="en-US" w:eastAsia="zh-CN"/>
              </w:rPr>
              <w:t>25</w:t>
            </w:r>
          </w:p>
        </w:tc>
        <w:tc>
          <w:tcPr>
            <w:tcW w:w="767" w:type="dxa"/>
            <w:vAlign w:val="center"/>
          </w:tcPr>
          <w:p>
            <w:pPr>
              <w:pStyle w:val="62"/>
              <w:ind w:firstLine="0" w:firstLineChars="0"/>
              <w:rPr>
                <w:rFonts w:hint="eastAsia"/>
                <w:color w:val="auto"/>
                <w:highlight w:val="none"/>
              </w:rPr>
            </w:pPr>
            <w:r>
              <w:rPr>
                <w:rFonts w:hint="eastAsia"/>
                <w:color w:val="auto"/>
                <w:highlight w:val="none"/>
                <w:lang w:val="en-US" w:eastAsia="zh-CN"/>
              </w:rPr>
              <w:t>22</w:t>
            </w:r>
          </w:p>
        </w:tc>
        <w:tc>
          <w:tcPr>
            <w:tcW w:w="768" w:type="dxa"/>
            <w:vAlign w:val="center"/>
          </w:tcPr>
          <w:p>
            <w:pPr>
              <w:pStyle w:val="62"/>
              <w:ind w:firstLine="0" w:firstLineChars="0"/>
              <w:rPr>
                <w:rFonts w:hint="eastAsia"/>
                <w:color w:val="auto"/>
                <w:highlight w:val="none"/>
              </w:rPr>
            </w:pPr>
            <w:r>
              <w:rPr>
                <w:rFonts w:hint="eastAsia"/>
                <w:color w:val="auto"/>
                <w:highlight w:val="none"/>
                <w:lang w:val="en-US" w:eastAsia="zh-CN"/>
              </w:rPr>
              <w:t>19</w:t>
            </w:r>
          </w:p>
        </w:tc>
        <w:tc>
          <w:tcPr>
            <w:tcW w:w="773" w:type="dxa"/>
            <w:vAlign w:val="center"/>
          </w:tcPr>
          <w:p>
            <w:pPr>
              <w:pStyle w:val="62"/>
              <w:ind w:firstLine="0" w:firstLineChars="0"/>
              <w:rPr>
                <w:rFonts w:hint="eastAsia"/>
                <w:color w:val="auto"/>
                <w:highlight w:val="none"/>
              </w:rPr>
            </w:pPr>
            <w:r>
              <w:rPr>
                <w:rFonts w:hint="eastAsia"/>
                <w:color w:val="auto"/>
                <w:highlight w:val="no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92" w:hRule="atLeast"/>
          <w:jc w:val="center"/>
        </w:trPr>
        <w:tc>
          <w:tcPr>
            <w:tcW w:w="1518" w:type="dxa"/>
            <w:vAlign w:val="center"/>
          </w:tcPr>
          <w:p>
            <w:pPr>
              <w:adjustRightInd w:val="0"/>
              <w:snapToGrid w:val="0"/>
              <w:ind w:firstLine="0" w:firstLineChars="0"/>
              <w:jc w:val="center"/>
              <w:rPr>
                <w:rFonts w:hint="eastAsia"/>
                <w:color w:val="auto"/>
                <w:kern w:val="0"/>
                <w:sz w:val="21"/>
                <w:szCs w:val="21"/>
                <w:highlight w:val="none"/>
                <w:lang w:eastAsia="zh-CN"/>
              </w:rPr>
            </w:pPr>
            <w:r>
              <w:rPr>
                <w:rFonts w:hint="eastAsia"/>
                <w:color w:val="auto"/>
                <w:sz w:val="21"/>
                <w:szCs w:val="21"/>
                <w:highlight w:val="none"/>
                <w:lang w:eastAsia="zh-CN"/>
              </w:rPr>
              <w:t>负压抽风机</w:t>
            </w:r>
          </w:p>
        </w:tc>
        <w:tc>
          <w:tcPr>
            <w:tcW w:w="1248" w:type="dxa"/>
            <w:vAlign w:val="center"/>
          </w:tcPr>
          <w:p>
            <w:pPr>
              <w:pStyle w:val="62"/>
              <w:rPr>
                <w:rFonts w:hint="default"/>
                <w:color w:val="auto"/>
                <w:highlight w:val="none"/>
                <w:lang w:val="en-US" w:eastAsia="zh-CN"/>
              </w:rPr>
            </w:pPr>
            <w:r>
              <w:rPr>
                <w:rFonts w:hint="eastAsia"/>
                <w:color w:val="auto"/>
                <w:highlight w:val="none"/>
                <w:lang w:val="en-US" w:eastAsia="zh-CN"/>
              </w:rPr>
              <w:t>85</w:t>
            </w:r>
          </w:p>
        </w:tc>
        <w:tc>
          <w:tcPr>
            <w:tcW w:w="1116" w:type="dxa"/>
            <w:vAlign w:val="center"/>
          </w:tcPr>
          <w:p>
            <w:pPr>
              <w:pStyle w:val="62"/>
              <w:ind w:firstLine="0" w:firstLineChars="0"/>
              <w:rPr>
                <w:rFonts w:hint="eastAsia"/>
                <w:color w:val="auto"/>
                <w:highlight w:val="none"/>
                <w:lang w:val="en-US" w:eastAsia="zh-CN"/>
              </w:rPr>
            </w:pPr>
            <w:r>
              <w:rPr>
                <w:rFonts w:hint="eastAsia"/>
                <w:color w:val="auto"/>
                <w:highlight w:val="none"/>
              </w:rPr>
              <w:t>70</w:t>
            </w:r>
          </w:p>
        </w:tc>
        <w:tc>
          <w:tcPr>
            <w:tcW w:w="768" w:type="dxa"/>
            <w:vAlign w:val="center"/>
          </w:tcPr>
          <w:p>
            <w:pPr>
              <w:pStyle w:val="62"/>
              <w:ind w:firstLine="0" w:firstLineChars="0"/>
              <w:rPr>
                <w:rFonts w:hint="eastAsia"/>
                <w:color w:val="auto"/>
                <w:highlight w:val="none"/>
              </w:rPr>
            </w:pPr>
            <w:r>
              <w:rPr>
                <w:rFonts w:hint="eastAsia"/>
                <w:color w:val="auto"/>
                <w:highlight w:val="none"/>
              </w:rPr>
              <w:t>50</w:t>
            </w:r>
          </w:p>
        </w:tc>
        <w:tc>
          <w:tcPr>
            <w:tcW w:w="767" w:type="dxa"/>
            <w:vAlign w:val="center"/>
          </w:tcPr>
          <w:p>
            <w:pPr>
              <w:pStyle w:val="62"/>
              <w:ind w:firstLine="0" w:firstLineChars="0"/>
              <w:rPr>
                <w:rFonts w:hint="eastAsia"/>
                <w:color w:val="auto"/>
                <w:highlight w:val="none"/>
              </w:rPr>
            </w:pPr>
            <w:r>
              <w:rPr>
                <w:rFonts w:hint="eastAsia"/>
                <w:color w:val="auto"/>
                <w:highlight w:val="none"/>
              </w:rPr>
              <w:t>44</w:t>
            </w:r>
          </w:p>
        </w:tc>
        <w:tc>
          <w:tcPr>
            <w:tcW w:w="767" w:type="dxa"/>
            <w:vAlign w:val="center"/>
          </w:tcPr>
          <w:p>
            <w:pPr>
              <w:pStyle w:val="62"/>
              <w:ind w:firstLine="0" w:firstLineChars="0"/>
              <w:rPr>
                <w:rFonts w:hint="eastAsia"/>
                <w:color w:val="auto"/>
                <w:highlight w:val="none"/>
              </w:rPr>
            </w:pPr>
            <w:r>
              <w:rPr>
                <w:rFonts w:hint="eastAsia"/>
                <w:color w:val="auto"/>
                <w:highlight w:val="none"/>
              </w:rPr>
              <w:t>36</w:t>
            </w:r>
          </w:p>
        </w:tc>
        <w:tc>
          <w:tcPr>
            <w:tcW w:w="768" w:type="dxa"/>
            <w:vAlign w:val="center"/>
          </w:tcPr>
          <w:p>
            <w:pPr>
              <w:pStyle w:val="62"/>
              <w:ind w:firstLine="0" w:firstLineChars="0"/>
              <w:rPr>
                <w:rFonts w:hint="eastAsia"/>
                <w:color w:val="auto"/>
                <w:highlight w:val="none"/>
              </w:rPr>
            </w:pPr>
            <w:r>
              <w:rPr>
                <w:rFonts w:hint="eastAsia"/>
                <w:color w:val="auto"/>
                <w:highlight w:val="none"/>
              </w:rPr>
              <w:t>30</w:t>
            </w:r>
          </w:p>
        </w:tc>
        <w:tc>
          <w:tcPr>
            <w:tcW w:w="767" w:type="dxa"/>
            <w:vAlign w:val="center"/>
          </w:tcPr>
          <w:p>
            <w:pPr>
              <w:pStyle w:val="62"/>
              <w:ind w:firstLine="0" w:firstLineChars="0"/>
              <w:rPr>
                <w:rFonts w:hint="eastAsia"/>
                <w:color w:val="auto"/>
                <w:highlight w:val="none"/>
              </w:rPr>
            </w:pPr>
            <w:r>
              <w:rPr>
                <w:rFonts w:hint="eastAsia"/>
                <w:color w:val="auto"/>
                <w:highlight w:val="none"/>
              </w:rPr>
              <w:t>27</w:t>
            </w:r>
          </w:p>
        </w:tc>
        <w:tc>
          <w:tcPr>
            <w:tcW w:w="768" w:type="dxa"/>
            <w:vAlign w:val="center"/>
          </w:tcPr>
          <w:p>
            <w:pPr>
              <w:pStyle w:val="62"/>
              <w:ind w:firstLine="0" w:firstLineChars="0"/>
              <w:rPr>
                <w:rFonts w:hint="eastAsia"/>
                <w:color w:val="auto"/>
                <w:highlight w:val="none"/>
              </w:rPr>
            </w:pPr>
            <w:r>
              <w:rPr>
                <w:rFonts w:hint="eastAsia"/>
                <w:color w:val="auto"/>
                <w:highlight w:val="none"/>
              </w:rPr>
              <w:t>24</w:t>
            </w:r>
          </w:p>
        </w:tc>
        <w:tc>
          <w:tcPr>
            <w:tcW w:w="773" w:type="dxa"/>
            <w:vAlign w:val="center"/>
          </w:tcPr>
          <w:p>
            <w:pPr>
              <w:pStyle w:val="62"/>
              <w:ind w:firstLine="0" w:firstLineChars="0"/>
              <w:rPr>
                <w:rFonts w:hint="eastAsia"/>
                <w:color w:val="auto"/>
                <w:highlight w:val="none"/>
              </w:rPr>
            </w:pPr>
            <w:r>
              <w:rPr>
                <w:rFonts w:hint="eastAsia"/>
                <w:color w:val="auto"/>
                <w:highlight w:val="none"/>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92" w:hRule="atLeast"/>
          <w:jc w:val="center"/>
        </w:trPr>
        <w:tc>
          <w:tcPr>
            <w:tcW w:w="1518" w:type="dxa"/>
            <w:vAlign w:val="center"/>
          </w:tcPr>
          <w:p>
            <w:pPr>
              <w:adjustRightInd w:val="0"/>
              <w:snapToGrid w:val="0"/>
              <w:ind w:firstLine="0" w:firstLineChars="0"/>
              <w:jc w:val="center"/>
              <w:rPr>
                <w:color w:val="auto"/>
                <w:kern w:val="0"/>
                <w:sz w:val="21"/>
                <w:szCs w:val="21"/>
                <w:highlight w:val="none"/>
              </w:rPr>
            </w:pPr>
            <w:r>
              <w:rPr>
                <w:rFonts w:hint="eastAsia"/>
                <w:color w:val="auto"/>
                <w:kern w:val="0"/>
                <w:sz w:val="21"/>
                <w:szCs w:val="21"/>
                <w:highlight w:val="none"/>
              </w:rPr>
              <w:t>多声源叠加</w:t>
            </w:r>
          </w:p>
        </w:tc>
        <w:tc>
          <w:tcPr>
            <w:tcW w:w="1248" w:type="dxa"/>
            <w:vAlign w:val="center"/>
          </w:tcPr>
          <w:p>
            <w:pPr>
              <w:pStyle w:val="62"/>
              <w:rPr>
                <w:color w:val="auto"/>
                <w:highlight w:val="none"/>
              </w:rPr>
            </w:pPr>
            <w:r>
              <w:rPr>
                <w:rFonts w:hint="eastAsia"/>
                <w:color w:val="auto"/>
                <w:highlight w:val="none"/>
              </w:rPr>
              <w:t>104</w:t>
            </w:r>
          </w:p>
        </w:tc>
        <w:tc>
          <w:tcPr>
            <w:tcW w:w="1116" w:type="dxa"/>
            <w:vAlign w:val="center"/>
          </w:tcPr>
          <w:p>
            <w:pPr>
              <w:pStyle w:val="62"/>
              <w:rPr>
                <w:color w:val="auto"/>
                <w:highlight w:val="none"/>
              </w:rPr>
            </w:pPr>
            <w:r>
              <w:rPr>
                <w:rFonts w:hint="eastAsia"/>
                <w:color w:val="auto"/>
                <w:highlight w:val="none"/>
              </w:rPr>
              <w:t>89</w:t>
            </w:r>
          </w:p>
        </w:tc>
        <w:tc>
          <w:tcPr>
            <w:tcW w:w="768" w:type="dxa"/>
            <w:vAlign w:val="center"/>
          </w:tcPr>
          <w:p>
            <w:pPr>
              <w:pStyle w:val="62"/>
              <w:rPr>
                <w:color w:val="auto"/>
                <w:highlight w:val="none"/>
              </w:rPr>
            </w:pPr>
            <w:r>
              <w:rPr>
                <w:rFonts w:hint="eastAsia"/>
                <w:color w:val="auto"/>
                <w:highlight w:val="none"/>
              </w:rPr>
              <w:t>69</w:t>
            </w:r>
          </w:p>
        </w:tc>
        <w:tc>
          <w:tcPr>
            <w:tcW w:w="767" w:type="dxa"/>
            <w:vAlign w:val="center"/>
          </w:tcPr>
          <w:p>
            <w:pPr>
              <w:pStyle w:val="62"/>
              <w:rPr>
                <w:color w:val="auto"/>
                <w:highlight w:val="none"/>
              </w:rPr>
            </w:pPr>
            <w:r>
              <w:rPr>
                <w:rFonts w:hint="eastAsia"/>
                <w:color w:val="auto"/>
                <w:highlight w:val="none"/>
              </w:rPr>
              <w:t>63</w:t>
            </w:r>
          </w:p>
        </w:tc>
        <w:tc>
          <w:tcPr>
            <w:tcW w:w="767" w:type="dxa"/>
            <w:vAlign w:val="center"/>
          </w:tcPr>
          <w:p>
            <w:pPr>
              <w:pStyle w:val="62"/>
              <w:rPr>
                <w:color w:val="auto"/>
                <w:highlight w:val="none"/>
              </w:rPr>
            </w:pPr>
            <w:r>
              <w:rPr>
                <w:rFonts w:hint="eastAsia"/>
                <w:color w:val="auto"/>
                <w:highlight w:val="none"/>
              </w:rPr>
              <w:t>55</w:t>
            </w:r>
          </w:p>
        </w:tc>
        <w:tc>
          <w:tcPr>
            <w:tcW w:w="768" w:type="dxa"/>
            <w:vAlign w:val="center"/>
          </w:tcPr>
          <w:p>
            <w:pPr>
              <w:pStyle w:val="62"/>
              <w:rPr>
                <w:color w:val="auto"/>
                <w:highlight w:val="none"/>
              </w:rPr>
            </w:pPr>
            <w:r>
              <w:rPr>
                <w:rFonts w:hint="eastAsia"/>
                <w:color w:val="auto"/>
                <w:highlight w:val="none"/>
              </w:rPr>
              <w:t>49</w:t>
            </w:r>
          </w:p>
        </w:tc>
        <w:tc>
          <w:tcPr>
            <w:tcW w:w="767" w:type="dxa"/>
            <w:vAlign w:val="center"/>
          </w:tcPr>
          <w:p>
            <w:pPr>
              <w:pStyle w:val="62"/>
              <w:rPr>
                <w:color w:val="auto"/>
                <w:highlight w:val="none"/>
              </w:rPr>
            </w:pPr>
            <w:r>
              <w:rPr>
                <w:rFonts w:hint="eastAsia"/>
                <w:color w:val="auto"/>
                <w:highlight w:val="none"/>
              </w:rPr>
              <w:t>46</w:t>
            </w:r>
          </w:p>
        </w:tc>
        <w:tc>
          <w:tcPr>
            <w:tcW w:w="768" w:type="dxa"/>
            <w:vAlign w:val="center"/>
          </w:tcPr>
          <w:p>
            <w:pPr>
              <w:pStyle w:val="62"/>
              <w:rPr>
                <w:color w:val="auto"/>
                <w:highlight w:val="none"/>
              </w:rPr>
            </w:pPr>
            <w:r>
              <w:rPr>
                <w:rFonts w:hint="eastAsia"/>
                <w:color w:val="auto"/>
                <w:highlight w:val="none"/>
              </w:rPr>
              <w:t>43</w:t>
            </w:r>
          </w:p>
        </w:tc>
        <w:tc>
          <w:tcPr>
            <w:tcW w:w="773" w:type="dxa"/>
            <w:vAlign w:val="center"/>
          </w:tcPr>
          <w:p>
            <w:pPr>
              <w:pStyle w:val="62"/>
              <w:rPr>
                <w:color w:val="auto"/>
                <w:highlight w:val="none"/>
              </w:rPr>
            </w:pPr>
            <w:r>
              <w:rPr>
                <w:rFonts w:hint="eastAsia"/>
                <w:color w:val="auto"/>
                <w:highlight w:val="non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92" w:hRule="atLeast"/>
          <w:jc w:val="center"/>
        </w:trPr>
        <w:tc>
          <w:tcPr>
            <w:tcW w:w="1518" w:type="dxa"/>
            <w:vAlign w:val="center"/>
          </w:tcPr>
          <w:p>
            <w:pPr>
              <w:adjustRightInd w:val="0"/>
              <w:snapToGrid w:val="0"/>
              <w:ind w:firstLine="0" w:firstLineChars="0"/>
              <w:jc w:val="center"/>
              <w:rPr>
                <w:color w:val="auto"/>
                <w:kern w:val="0"/>
                <w:sz w:val="21"/>
                <w:szCs w:val="21"/>
                <w:highlight w:val="none"/>
              </w:rPr>
            </w:pPr>
            <w:r>
              <w:rPr>
                <w:rFonts w:hint="eastAsia"/>
                <w:color w:val="auto"/>
                <w:kern w:val="0"/>
                <w:sz w:val="21"/>
                <w:szCs w:val="21"/>
                <w:highlight w:val="none"/>
              </w:rPr>
              <w:t>背景值</w:t>
            </w:r>
          </w:p>
        </w:tc>
        <w:tc>
          <w:tcPr>
            <w:tcW w:w="1248" w:type="dxa"/>
            <w:vAlign w:val="center"/>
          </w:tcPr>
          <w:p>
            <w:pPr>
              <w:pStyle w:val="62"/>
              <w:rPr>
                <w:color w:val="auto"/>
                <w:highlight w:val="none"/>
              </w:rPr>
            </w:pPr>
            <w:r>
              <w:rPr>
                <w:rFonts w:hint="eastAsia"/>
                <w:color w:val="auto"/>
                <w:highlight w:val="none"/>
              </w:rPr>
              <w:t>/</w:t>
            </w:r>
          </w:p>
        </w:tc>
        <w:tc>
          <w:tcPr>
            <w:tcW w:w="1116" w:type="dxa"/>
            <w:vAlign w:val="center"/>
          </w:tcPr>
          <w:p>
            <w:pPr>
              <w:pStyle w:val="62"/>
              <w:rPr>
                <w:color w:val="auto"/>
                <w:highlight w:val="none"/>
              </w:rPr>
            </w:pPr>
            <w:r>
              <w:rPr>
                <w:rFonts w:hint="eastAsia"/>
                <w:color w:val="auto"/>
                <w:highlight w:val="none"/>
              </w:rPr>
              <w:t>/</w:t>
            </w:r>
          </w:p>
        </w:tc>
        <w:tc>
          <w:tcPr>
            <w:tcW w:w="768" w:type="dxa"/>
            <w:vAlign w:val="center"/>
          </w:tcPr>
          <w:p>
            <w:pPr>
              <w:pStyle w:val="62"/>
              <w:rPr>
                <w:rFonts w:hint="default" w:eastAsia="宋体"/>
                <w:color w:val="auto"/>
                <w:highlight w:val="none"/>
                <w:lang w:val="en-US" w:eastAsia="zh-CN"/>
              </w:rPr>
            </w:pPr>
            <w:r>
              <w:rPr>
                <w:rFonts w:hint="eastAsia"/>
                <w:color w:val="auto"/>
                <w:highlight w:val="none"/>
                <w:lang w:val="en-US" w:eastAsia="zh-CN"/>
              </w:rPr>
              <w:t>48</w:t>
            </w:r>
          </w:p>
        </w:tc>
        <w:tc>
          <w:tcPr>
            <w:tcW w:w="767" w:type="dxa"/>
            <w:vAlign w:val="center"/>
          </w:tcPr>
          <w:p>
            <w:pPr>
              <w:pStyle w:val="62"/>
              <w:rPr>
                <w:rFonts w:hint="default" w:eastAsia="宋体"/>
                <w:color w:val="auto"/>
                <w:highlight w:val="none"/>
                <w:lang w:val="en-US" w:eastAsia="zh-CN"/>
              </w:rPr>
            </w:pPr>
            <w:r>
              <w:rPr>
                <w:rFonts w:hint="eastAsia"/>
                <w:color w:val="auto"/>
                <w:highlight w:val="none"/>
                <w:lang w:val="en-US" w:eastAsia="zh-CN"/>
              </w:rPr>
              <w:t>48</w:t>
            </w:r>
          </w:p>
        </w:tc>
        <w:tc>
          <w:tcPr>
            <w:tcW w:w="767" w:type="dxa"/>
            <w:vAlign w:val="center"/>
          </w:tcPr>
          <w:p>
            <w:pPr>
              <w:pStyle w:val="62"/>
              <w:rPr>
                <w:rFonts w:hint="default" w:eastAsia="宋体"/>
                <w:color w:val="auto"/>
                <w:highlight w:val="none"/>
                <w:lang w:val="en-US" w:eastAsia="zh-CN"/>
              </w:rPr>
            </w:pPr>
            <w:r>
              <w:rPr>
                <w:rFonts w:hint="eastAsia"/>
                <w:color w:val="auto"/>
                <w:highlight w:val="none"/>
                <w:lang w:val="en-US" w:eastAsia="zh-CN"/>
              </w:rPr>
              <w:t>48</w:t>
            </w:r>
          </w:p>
        </w:tc>
        <w:tc>
          <w:tcPr>
            <w:tcW w:w="768" w:type="dxa"/>
            <w:vAlign w:val="center"/>
          </w:tcPr>
          <w:p>
            <w:pPr>
              <w:pStyle w:val="62"/>
              <w:rPr>
                <w:rFonts w:hint="default" w:eastAsia="宋体"/>
                <w:color w:val="auto"/>
                <w:highlight w:val="none"/>
                <w:lang w:val="en-US" w:eastAsia="zh-CN"/>
              </w:rPr>
            </w:pPr>
            <w:r>
              <w:rPr>
                <w:rFonts w:hint="eastAsia"/>
                <w:color w:val="auto"/>
                <w:highlight w:val="none"/>
                <w:lang w:val="en-US" w:eastAsia="zh-CN"/>
              </w:rPr>
              <w:t>48</w:t>
            </w:r>
          </w:p>
        </w:tc>
        <w:tc>
          <w:tcPr>
            <w:tcW w:w="767" w:type="dxa"/>
            <w:vAlign w:val="center"/>
          </w:tcPr>
          <w:p>
            <w:pPr>
              <w:pStyle w:val="62"/>
              <w:rPr>
                <w:rFonts w:hint="default" w:eastAsia="宋体"/>
                <w:color w:val="auto"/>
                <w:highlight w:val="none"/>
                <w:lang w:val="en-US" w:eastAsia="zh-CN"/>
              </w:rPr>
            </w:pPr>
            <w:r>
              <w:rPr>
                <w:rFonts w:hint="eastAsia"/>
                <w:color w:val="auto"/>
                <w:highlight w:val="none"/>
                <w:lang w:val="en-US" w:eastAsia="zh-CN"/>
              </w:rPr>
              <w:t>48</w:t>
            </w:r>
          </w:p>
        </w:tc>
        <w:tc>
          <w:tcPr>
            <w:tcW w:w="768" w:type="dxa"/>
            <w:vAlign w:val="center"/>
          </w:tcPr>
          <w:p>
            <w:pPr>
              <w:pStyle w:val="62"/>
              <w:rPr>
                <w:rFonts w:hint="default" w:eastAsia="宋体"/>
                <w:color w:val="auto"/>
                <w:highlight w:val="none"/>
                <w:lang w:val="en-US" w:eastAsia="zh-CN"/>
              </w:rPr>
            </w:pPr>
            <w:r>
              <w:rPr>
                <w:rFonts w:hint="eastAsia"/>
                <w:color w:val="auto"/>
                <w:highlight w:val="none"/>
                <w:lang w:val="en-US" w:eastAsia="zh-CN"/>
              </w:rPr>
              <w:t>48</w:t>
            </w:r>
          </w:p>
        </w:tc>
        <w:tc>
          <w:tcPr>
            <w:tcW w:w="773" w:type="dxa"/>
            <w:vAlign w:val="center"/>
          </w:tcPr>
          <w:p>
            <w:pPr>
              <w:pStyle w:val="62"/>
              <w:rPr>
                <w:rFonts w:hint="default" w:eastAsia="宋体"/>
                <w:color w:val="auto"/>
                <w:highlight w:val="none"/>
                <w:lang w:val="en-US" w:eastAsia="zh-CN"/>
              </w:rPr>
            </w:pPr>
            <w:r>
              <w:rPr>
                <w:rFonts w:hint="eastAsia"/>
                <w:color w:val="auto"/>
                <w:highlight w:val="none"/>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02" w:hRule="atLeast"/>
          <w:jc w:val="center"/>
        </w:trPr>
        <w:tc>
          <w:tcPr>
            <w:tcW w:w="1518" w:type="dxa"/>
            <w:vAlign w:val="center"/>
          </w:tcPr>
          <w:p>
            <w:pPr>
              <w:pStyle w:val="62"/>
              <w:rPr>
                <w:color w:val="auto"/>
                <w:highlight w:val="none"/>
              </w:rPr>
            </w:pPr>
            <w:r>
              <w:rPr>
                <w:rFonts w:hint="eastAsia"/>
                <w:color w:val="auto"/>
                <w:highlight w:val="none"/>
              </w:rPr>
              <w:t>预测值</w:t>
            </w:r>
          </w:p>
        </w:tc>
        <w:tc>
          <w:tcPr>
            <w:tcW w:w="1248" w:type="dxa"/>
            <w:vAlign w:val="center"/>
          </w:tcPr>
          <w:p>
            <w:pPr>
              <w:pStyle w:val="62"/>
              <w:rPr>
                <w:color w:val="auto"/>
                <w:highlight w:val="none"/>
              </w:rPr>
            </w:pPr>
            <w:r>
              <w:rPr>
                <w:rFonts w:hint="eastAsia"/>
                <w:color w:val="auto"/>
                <w:highlight w:val="none"/>
              </w:rPr>
              <w:t>/</w:t>
            </w:r>
          </w:p>
        </w:tc>
        <w:tc>
          <w:tcPr>
            <w:tcW w:w="1116" w:type="dxa"/>
            <w:vAlign w:val="center"/>
          </w:tcPr>
          <w:p>
            <w:pPr>
              <w:pStyle w:val="62"/>
              <w:rPr>
                <w:color w:val="auto"/>
                <w:highlight w:val="none"/>
              </w:rPr>
            </w:pPr>
            <w:r>
              <w:rPr>
                <w:rFonts w:hint="eastAsia"/>
                <w:color w:val="auto"/>
                <w:highlight w:val="none"/>
              </w:rPr>
              <w:t>/</w:t>
            </w:r>
          </w:p>
        </w:tc>
        <w:tc>
          <w:tcPr>
            <w:tcW w:w="768" w:type="dxa"/>
            <w:vAlign w:val="center"/>
          </w:tcPr>
          <w:p>
            <w:pPr>
              <w:pStyle w:val="62"/>
              <w:rPr>
                <w:color w:val="auto"/>
                <w:highlight w:val="none"/>
              </w:rPr>
            </w:pPr>
            <w:r>
              <w:rPr>
                <w:rFonts w:hint="eastAsia"/>
                <w:color w:val="auto"/>
                <w:highlight w:val="none"/>
              </w:rPr>
              <w:t>69</w:t>
            </w:r>
          </w:p>
        </w:tc>
        <w:tc>
          <w:tcPr>
            <w:tcW w:w="767" w:type="dxa"/>
            <w:vAlign w:val="center"/>
          </w:tcPr>
          <w:p>
            <w:pPr>
              <w:pStyle w:val="62"/>
              <w:rPr>
                <w:color w:val="auto"/>
                <w:highlight w:val="none"/>
              </w:rPr>
            </w:pPr>
            <w:r>
              <w:rPr>
                <w:rFonts w:hint="eastAsia"/>
                <w:color w:val="auto"/>
                <w:highlight w:val="none"/>
              </w:rPr>
              <w:t>63</w:t>
            </w:r>
          </w:p>
        </w:tc>
        <w:tc>
          <w:tcPr>
            <w:tcW w:w="767" w:type="dxa"/>
            <w:vAlign w:val="center"/>
          </w:tcPr>
          <w:p>
            <w:pPr>
              <w:pStyle w:val="62"/>
              <w:rPr>
                <w:color w:val="auto"/>
                <w:highlight w:val="none"/>
              </w:rPr>
            </w:pPr>
            <w:r>
              <w:rPr>
                <w:rFonts w:hint="eastAsia"/>
                <w:color w:val="auto"/>
                <w:highlight w:val="none"/>
              </w:rPr>
              <w:t>55</w:t>
            </w:r>
          </w:p>
        </w:tc>
        <w:tc>
          <w:tcPr>
            <w:tcW w:w="768" w:type="dxa"/>
            <w:vAlign w:val="center"/>
          </w:tcPr>
          <w:p>
            <w:pPr>
              <w:pStyle w:val="62"/>
              <w:rPr>
                <w:color w:val="auto"/>
                <w:highlight w:val="none"/>
              </w:rPr>
            </w:pPr>
            <w:r>
              <w:rPr>
                <w:rFonts w:hint="eastAsia"/>
                <w:color w:val="auto"/>
                <w:highlight w:val="none"/>
              </w:rPr>
              <w:t>50</w:t>
            </w:r>
          </w:p>
        </w:tc>
        <w:tc>
          <w:tcPr>
            <w:tcW w:w="767" w:type="dxa"/>
            <w:vAlign w:val="center"/>
          </w:tcPr>
          <w:p>
            <w:pPr>
              <w:pStyle w:val="62"/>
              <w:rPr>
                <w:color w:val="auto"/>
                <w:highlight w:val="none"/>
              </w:rPr>
            </w:pPr>
            <w:r>
              <w:rPr>
                <w:rFonts w:hint="eastAsia"/>
                <w:color w:val="auto"/>
                <w:highlight w:val="none"/>
              </w:rPr>
              <w:t>48</w:t>
            </w:r>
          </w:p>
        </w:tc>
        <w:tc>
          <w:tcPr>
            <w:tcW w:w="768" w:type="dxa"/>
            <w:vAlign w:val="center"/>
          </w:tcPr>
          <w:p>
            <w:pPr>
              <w:pStyle w:val="62"/>
              <w:rPr>
                <w:color w:val="auto"/>
                <w:highlight w:val="none"/>
              </w:rPr>
            </w:pPr>
            <w:r>
              <w:rPr>
                <w:rFonts w:hint="eastAsia"/>
                <w:color w:val="auto"/>
                <w:highlight w:val="none"/>
              </w:rPr>
              <w:t>46</w:t>
            </w:r>
          </w:p>
        </w:tc>
        <w:tc>
          <w:tcPr>
            <w:tcW w:w="773" w:type="dxa"/>
            <w:vAlign w:val="center"/>
          </w:tcPr>
          <w:p>
            <w:pPr>
              <w:pStyle w:val="62"/>
              <w:rPr>
                <w:color w:val="auto"/>
                <w:highlight w:val="none"/>
              </w:rPr>
            </w:pPr>
            <w:r>
              <w:rPr>
                <w:rFonts w:hint="eastAsia"/>
                <w:color w:val="auto"/>
                <w:highlight w:val="none"/>
              </w:rPr>
              <w:t>46</w:t>
            </w:r>
          </w:p>
        </w:tc>
      </w:tr>
    </w:tbl>
    <w:p>
      <w:pPr>
        <w:pStyle w:val="2"/>
        <w:ind w:firstLine="422"/>
        <w:rPr>
          <w:b/>
          <w:bCs/>
          <w:color w:val="auto"/>
          <w:sz w:val="21"/>
          <w:szCs w:val="21"/>
          <w:highlight w:val="none"/>
        </w:rPr>
      </w:pPr>
    </w:p>
    <w:p>
      <w:pPr>
        <w:ind w:firstLine="480"/>
        <w:rPr>
          <w:color w:val="auto"/>
          <w:highlight w:val="none"/>
        </w:rPr>
      </w:pPr>
      <w:r>
        <w:rPr>
          <w:rFonts w:cs="宋体"/>
          <w:color w:val="auto"/>
          <w:kern w:val="0"/>
          <w:szCs w:val="20"/>
          <w:highlight w:val="none"/>
        </w:rPr>
        <w:t>由于项目属矿山开采，其噪声源为移动式噪声源，且随着开采面的变化而变化</w:t>
      </w:r>
      <w:r>
        <w:rPr>
          <w:rFonts w:hAnsi="宋体"/>
          <w:color w:val="auto"/>
          <w:highlight w:val="none"/>
        </w:rPr>
        <w:t>，按最高工作噪声</w:t>
      </w:r>
      <w:r>
        <w:rPr>
          <w:rFonts w:hint="eastAsia" w:hAnsi="宋体"/>
          <w:color w:val="auto"/>
          <w:highlight w:val="none"/>
        </w:rPr>
        <w:t>及</w:t>
      </w:r>
      <w:r>
        <w:rPr>
          <w:rFonts w:hAnsi="宋体"/>
          <w:color w:val="auto"/>
          <w:highlight w:val="none"/>
        </w:rPr>
        <w:t>所有设备同时使用进行叠加计算</w:t>
      </w:r>
      <w:r>
        <w:rPr>
          <w:rFonts w:hint="eastAsia" w:hAnsi="宋体"/>
          <w:color w:val="auto"/>
          <w:highlight w:val="none"/>
        </w:rPr>
        <w:t>预测</w:t>
      </w:r>
      <w:r>
        <w:rPr>
          <w:rFonts w:hAnsi="宋体"/>
          <w:color w:val="auto"/>
          <w:highlight w:val="none"/>
        </w:rPr>
        <w:t>，</w:t>
      </w:r>
      <w:r>
        <w:rPr>
          <w:rFonts w:hint="eastAsia"/>
          <w:color w:val="auto"/>
          <w:highlight w:val="none"/>
        </w:rPr>
        <w:t>根据上表预测结果可知，所有设备同时工作时，</w:t>
      </w:r>
      <w:r>
        <w:rPr>
          <w:rFonts w:cs="宋体"/>
          <w:color w:val="auto"/>
          <w:szCs w:val="20"/>
          <w:highlight w:val="none"/>
        </w:rPr>
        <w:t>与矿山</w:t>
      </w:r>
      <w:r>
        <w:rPr>
          <w:rFonts w:hint="eastAsia" w:cs="宋体"/>
          <w:color w:val="auto"/>
          <w:szCs w:val="20"/>
          <w:highlight w:val="none"/>
        </w:rPr>
        <w:t>边界</w:t>
      </w:r>
      <w:r>
        <w:rPr>
          <w:rFonts w:cs="宋体"/>
          <w:color w:val="auto"/>
          <w:szCs w:val="20"/>
          <w:highlight w:val="none"/>
        </w:rPr>
        <w:t>距离</w:t>
      </w:r>
      <w:r>
        <w:rPr>
          <w:rFonts w:hint="eastAsia" w:cs="宋体"/>
          <w:color w:val="auto"/>
          <w:szCs w:val="20"/>
          <w:highlight w:val="none"/>
        </w:rPr>
        <w:t>大于100</w:t>
      </w:r>
      <w:r>
        <w:rPr>
          <w:color w:val="auto"/>
          <w:szCs w:val="20"/>
          <w:highlight w:val="none"/>
        </w:rPr>
        <w:t>m</w:t>
      </w:r>
      <w:r>
        <w:rPr>
          <w:rFonts w:cs="宋体"/>
          <w:color w:val="auto"/>
          <w:szCs w:val="20"/>
          <w:highlight w:val="none"/>
        </w:rPr>
        <w:t>时，机械噪声</w:t>
      </w:r>
      <w:r>
        <w:rPr>
          <w:rFonts w:hint="eastAsia" w:cs="宋体"/>
          <w:color w:val="auto"/>
          <w:szCs w:val="20"/>
          <w:highlight w:val="none"/>
        </w:rPr>
        <w:t>昼间能满足</w:t>
      </w:r>
      <w:r>
        <w:rPr>
          <w:color w:val="auto"/>
          <w:highlight w:val="none"/>
        </w:rPr>
        <w:t>GB3096-2008《声环境质量标准》中2类标准</w:t>
      </w:r>
      <w:r>
        <w:rPr>
          <w:rFonts w:hint="eastAsia"/>
          <w:color w:val="auto"/>
          <w:highlight w:val="none"/>
        </w:rPr>
        <w:t>，</w:t>
      </w:r>
      <w:r>
        <w:rPr>
          <w:rFonts w:hint="eastAsia" w:cs="宋体"/>
          <w:color w:val="auto"/>
          <w:szCs w:val="20"/>
          <w:highlight w:val="none"/>
        </w:rPr>
        <w:t>露天开采</w:t>
      </w:r>
      <w:r>
        <w:rPr>
          <w:rFonts w:cs="宋体"/>
          <w:color w:val="auto"/>
          <w:szCs w:val="20"/>
          <w:highlight w:val="none"/>
        </w:rPr>
        <w:t>过程中产生的噪声在评价范围内可达到</w:t>
      </w:r>
      <w:r>
        <w:rPr>
          <w:color w:val="auto"/>
          <w:highlight w:val="none"/>
        </w:rPr>
        <w:t>《声环境质量标准》</w:t>
      </w:r>
      <w:r>
        <w:rPr>
          <w:rFonts w:hint="eastAsia"/>
          <w:color w:val="auto"/>
          <w:highlight w:val="none"/>
          <w:lang w:eastAsia="zh-CN"/>
        </w:rPr>
        <w:t>（</w:t>
      </w:r>
      <w:r>
        <w:rPr>
          <w:color w:val="auto"/>
          <w:highlight w:val="none"/>
        </w:rPr>
        <w:t>GB3096-2008</w:t>
      </w:r>
      <w:r>
        <w:rPr>
          <w:rFonts w:hint="eastAsia"/>
          <w:color w:val="auto"/>
          <w:highlight w:val="none"/>
          <w:lang w:eastAsia="zh-CN"/>
        </w:rPr>
        <w:t>）</w:t>
      </w:r>
      <w:r>
        <w:rPr>
          <w:color w:val="auto"/>
          <w:highlight w:val="none"/>
        </w:rPr>
        <w:t>中2类标准</w:t>
      </w:r>
      <w:r>
        <w:rPr>
          <w:rFonts w:cs="宋体"/>
          <w:color w:val="auto"/>
          <w:szCs w:val="20"/>
          <w:highlight w:val="none"/>
        </w:rPr>
        <w:t>，因此，项目</w:t>
      </w:r>
      <w:r>
        <w:rPr>
          <w:rFonts w:hint="eastAsia" w:cs="宋体"/>
          <w:color w:val="auto"/>
          <w:szCs w:val="20"/>
          <w:highlight w:val="none"/>
        </w:rPr>
        <w:t>露天开采</w:t>
      </w:r>
      <w:r>
        <w:rPr>
          <w:rFonts w:cs="宋体"/>
          <w:color w:val="auto"/>
          <w:szCs w:val="20"/>
          <w:highlight w:val="none"/>
        </w:rPr>
        <w:t>过程中噪声对当地声环境的影响较小。</w:t>
      </w:r>
    </w:p>
    <w:p>
      <w:pPr>
        <w:ind w:firstLine="480"/>
        <w:rPr>
          <w:color w:val="auto"/>
          <w:szCs w:val="20"/>
          <w:highlight w:val="none"/>
        </w:rPr>
      </w:pPr>
      <w:r>
        <w:rPr>
          <w:rFonts w:hint="eastAsia"/>
          <w:color w:val="auto"/>
          <w:highlight w:val="none"/>
        </w:rPr>
        <w:t>据现场调查，评价范围200m范围内无声环境保护目标，</w:t>
      </w:r>
      <w:r>
        <w:rPr>
          <w:rFonts w:cs="宋体"/>
          <w:color w:val="auto"/>
          <w:szCs w:val="20"/>
          <w:highlight w:val="none"/>
        </w:rPr>
        <w:t>距离项目</w:t>
      </w:r>
      <w:r>
        <w:rPr>
          <w:rFonts w:hint="eastAsia" w:cs="宋体"/>
          <w:color w:val="auto"/>
          <w:szCs w:val="20"/>
          <w:highlight w:val="none"/>
        </w:rPr>
        <w:t>露天</w:t>
      </w:r>
      <w:r>
        <w:rPr>
          <w:rFonts w:cs="宋体"/>
          <w:color w:val="auto"/>
          <w:szCs w:val="20"/>
          <w:highlight w:val="none"/>
        </w:rPr>
        <w:t>采场</w:t>
      </w:r>
      <w:r>
        <w:rPr>
          <w:rFonts w:hint="eastAsia" w:cs="宋体"/>
          <w:color w:val="auto"/>
          <w:szCs w:val="20"/>
          <w:highlight w:val="none"/>
        </w:rPr>
        <w:t>边界</w:t>
      </w:r>
      <w:r>
        <w:rPr>
          <w:rFonts w:cs="宋体"/>
          <w:color w:val="auto"/>
          <w:szCs w:val="20"/>
          <w:highlight w:val="none"/>
        </w:rPr>
        <w:t>最近</w:t>
      </w:r>
      <w:r>
        <w:rPr>
          <w:rFonts w:hint="eastAsia" w:cs="宋体"/>
          <w:color w:val="auto"/>
          <w:szCs w:val="20"/>
          <w:highlight w:val="none"/>
        </w:rPr>
        <w:t>关心点为</w:t>
      </w:r>
      <w:r>
        <w:rPr>
          <w:rFonts w:hint="eastAsia"/>
          <w:color w:val="auto"/>
          <w:highlight w:val="none"/>
        </w:rPr>
        <w:t>矿界西侧约</w:t>
      </w:r>
      <w:r>
        <w:rPr>
          <w:rFonts w:hint="eastAsia"/>
          <w:color w:val="auto"/>
          <w:highlight w:val="none"/>
          <w:lang w:val="en-US" w:eastAsia="zh-CN"/>
        </w:rPr>
        <w:t>860</w:t>
      </w:r>
      <w:r>
        <w:rPr>
          <w:rFonts w:hint="eastAsia"/>
          <w:color w:val="auto"/>
          <w:highlight w:val="none"/>
        </w:rPr>
        <w:t>m外的</w:t>
      </w:r>
      <w:r>
        <w:rPr>
          <w:rFonts w:hint="eastAsia"/>
          <w:color w:val="auto"/>
          <w:highlight w:val="none"/>
          <w:lang w:eastAsia="zh-CN"/>
        </w:rPr>
        <w:t>卡子</w:t>
      </w:r>
      <w:r>
        <w:rPr>
          <w:rFonts w:hint="eastAsia"/>
          <w:color w:val="auto"/>
          <w:highlight w:val="none"/>
        </w:rPr>
        <w:t>村</w:t>
      </w:r>
      <w:r>
        <w:rPr>
          <w:rFonts w:cs="宋体"/>
          <w:color w:val="auto"/>
          <w:szCs w:val="20"/>
          <w:highlight w:val="none"/>
        </w:rPr>
        <w:t>，</w:t>
      </w:r>
      <w:r>
        <w:rPr>
          <w:rFonts w:hint="eastAsia" w:cs="宋体"/>
          <w:color w:val="auto"/>
          <w:szCs w:val="20"/>
          <w:highlight w:val="none"/>
        </w:rPr>
        <w:t>露天开采过程中产生的噪声</w:t>
      </w:r>
      <w:r>
        <w:rPr>
          <w:rFonts w:cs="宋体"/>
          <w:color w:val="auto"/>
          <w:szCs w:val="20"/>
          <w:highlight w:val="none"/>
        </w:rPr>
        <w:t>经过距离衰减对环境保护目标的影响较小。</w:t>
      </w:r>
    </w:p>
    <w:p>
      <w:pPr>
        <w:ind w:firstLine="480"/>
        <w:rPr>
          <w:color w:val="auto"/>
          <w:highlight w:val="none"/>
        </w:rPr>
      </w:pPr>
      <w:r>
        <w:rPr>
          <w:rFonts w:hint="eastAsia"/>
          <w:color w:val="auto"/>
          <w:highlight w:val="none"/>
        </w:rPr>
        <w:t>6）防治措施</w:t>
      </w:r>
    </w:p>
    <w:p>
      <w:pPr>
        <w:ind w:firstLine="480"/>
        <w:rPr>
          <w:color w:val="auto"/>
          <w:highlight w:val="none"/>
        </w:rPr>
      </w:pPr>
      <w:r>
        <w:rPr>
          <w:rFonts w:hint="eastAsia"/>
          <w:color w:val="auto"/>
          <w:highlight w:val="none"/>
        </w:rPr>
        <w:t>为降低</w:t>
      </w:r>
      <w:r>
        <w:rPr>
          <w:rFonts w:hint="eastAsia"/>
          <w:color w:val="auto"/>
          <w:highlight w:val="none"/>
          <w:lang w:eastAsia="zh-CN"/>
        </w:rPr>
        <w:t>白班</w:t>
      </w:r>
      <w:r>
        <w:rPr>
          <w:rFonts w:hint="eastAsia"/>
          <w:color w:val="auto"/>
          <w:highlight w:val="none"/>
        </w:rPr>
        <w:t>开采生产噪声对周边环境的影响，应采取以下对策措施对噪声进行控制：</w:t>
      </w:r>
    </w:p>
    <w:p>
      <w:pPr>
        <w:ind w:firstLine="480"/>
        <w:rPr>
          <w:color w:val="auto"/>
          <w:highlight w:val="none"/>
        </w:rPr>
      </w:pPr>
      <w:r>
        <w:rPr>
          <w:rFonts w:hint="eastAsia"/>
          <w:color w:val="auto"/>
          <w:highlight w:val="none"/>
        </w:rPr>
        <w:t>①加强开采设备的日常维修和管理，保证机械处于低噪声、高效率的良好工作状态。并对老化和性能降低的旧设备进行及时更换，以此降低磨擦，降低噪声强度。</w:t>
      </w:r>
    </w:p>
    <w:p>
      <w:pPr>
        <w:ind w:firstLine="480"/>
        <w:rPr>
          <w:color w:val="auto"/>
          <w:highlight w:val="none"/>
        </w:rPr>
      </w:pPr>
      <w:r>
        <w:rPr>
          <w:rFonts w:hint="eastAsia"/>
          <w:color w:val="auto"/>
          <w:highlight w:val="none"/>
        </w:rPr>
        <w:t>②开采平台开采结束后及时进行植被恢复，通过绿化吸收、阻挡噪声传播。</w:t>
      </w:r>
    </w:p>
    <w:p>
      <w:pPr>
        <w:ind w:firstLine="480"/>
        <w:rPr>
          <w:color w:val="auto"/>
          <w:highlight w:val="none"/>
          <w:lang w:val="zh-CN"/>
        </w:rPr>
      </w:pPr>
      <w:r>
        <w:rPr>
          <w:rFonts w:hint="eastAsia"/>
          <w:color w:val="auto"/>
          <w:highlight w:val="none"/>
        </w:rPr>
        <w:t>③尽可能给设备等安装减振垫或隔板，减少噪声源强。</w:t>
      </w:r>
    </w:p>
    <w:p>
      <w:pPr>
        <w:pStyle w:val="17"/>
        <w:ind w:firstLine="482"/>
        <w:rPr>
          <w:rFonts w:hint="eastAsia" w:ascii="Times New Roman" w:hAnsi="Times New Roman" w:cs="Times New Roman"/>
          <w:b/>
          <w:bCs/>
          <w:color w:val="auto"/>
          <w:highlight w:val="none"/>
        </w:rPr>
      </w:pPr>
      <w:r>
        <w:rPr>
          <w:rFonts w:hint="eastAsia" w:ascii="Times New Roman" w:hAnsi="Times New Roman" w:cs="Times New Roman"/>
          <w:b/>
          <w:bCs/>
          <w:color w:val="auto"/>
          <w:highlight w:val="none"/>
          <w:lang w:eastAsia="zh-CN"/>
        </w:rPr>
        <w:t>（</w:t>
      </w:r>
      <w:r>
        <w:rPr>
          <w:rFonts w:hint="eastAsia" w:ascii="Times New Roman" w:hAnsi="Times New Roman" w:cs="Times New Roman"/>
          <w:b/>
          <w:bCs/>
          <w:color w:val="auto"/>
          <w:highlight w:val="none"/>
          <w:lang w:val="en-US" w:eastAsia="zh-CN"/>
        </w:rPr>
        <w:t>4</w:t>
      </w:r>
      <w:r>
        <w:rPr>
          <w:rFonts w:hint="eastAsia" w:ascii="Times New Roman" w:hAnsi="Times New Roman" w:cs="Times New Roman"/>
          <w:b/>
          <w:bCs/>
          <w:color w:val="auto"/>
          <w:highlight w:val="none"/>
          <w:lang w:eastAsia="zh-CN"/>
        </w:rPr>
        <w:t>）</w:t>
      </w:r>
      <w:r>
        <w:rPr>
          <w:rFonts w:hint="eastAsia" w:ascii="Times New Roman" w:hAnsi="Times New Roman" w:cs="Times New Roman"/>
          <w:b/>
          <w:bCs/>
          <w:color w:val="auto"/>
          <w:highlight w:val="none"/>
        </w:rPr>
        <w:t>交通运输噪声影响分析</w:t>
      </w:r>
    </w:p>
    <w:p>
      <w:pPr>
        <w:pStyle w:val="108"/>
        <w:adjustRightInd w:val="0"/>
        <w:snapToGrid w:val="0"/>
        <w:spacing w:line="360" w:lineRule="auto"/>
        <w:ind w:firstLine="480" w:firstLineChars="200"/>
        <w:rPr>
          <w:rFonts w:cs="Times New Roman"/>
          <w:color w:val="auto"/>
          <w:kern w:val="2"/>
          <w:sz w:val="24"/>
          <w:szCs w:val="24"/>
          <w:highlight w:val="none"/>
        </w:rPr>
      </w:pPr>
      <w:r>
        <w:rPr>
          <w:rFonts w:hint="eastAsia" w:cs="Times New Roman"/>
          <w:color w:val="auto"/>
          <w:kern w:val="2"/>
          <w:sz w:val="24"/>
          <w:szCs w:val="24"/>
          <w:highlight w:val="none"/>
        </w:rPr>
        <w:t>项目矿石通过汽车转运至破碎车间，</w:t>
      </w:r>
      <w:r>
        <w:rPr>
          <w:rFonts w:hint="eastAsia" w:ascii="Times New Roman" w:hAnsi="Times New Roman" w:cs="Times New Roman"/>
          <w:color w:val="auto"/>
          <w:kern w:val="2"/>
          <w:sz w:val="24"/>
          <w:szCs w:val="24"/>
          <w:highlight w:val="none"/>
        </w:rPr>
        <w:t>运输道路两侧200m范围内无声环境保护目标，关心点为距离运输道路最近距离为</w:t>
      </w:r>
      <w:r>
        <w:rPr>
          <w:rFonts w:hint="eastAsia" w:ascii="Times New Roman" w:hAnsi="Times New Roman" w:cs="Times New Roman"/>
          <w:color w:val="auto"/>
          <w:kern w:val="2"/>
          <w:sz w:val="24"/>
          <w:szCs w:val="24"/>
          <w:highlight w:val="none"/>
          <w:lang w:val="en-US" w:eastAsia="zh-CN"/>
        </w:rPr>
        <w:t>860</w:t>
      </w:r>
      <w:r>
        <w:rPr>
          <w:rFonts w:hint="eastAsia" w:ascii="Times New Roman" w:hAnsi="Times New Roman" w:cs="Times New Roman"/>
          <w:color w:val="auto"/>
          <w:kern w:val="2"/>
          <w:sz w:val="24"/>
          <w:szCs w:val="24"/>
          <w:highlight w:val="none"/>
        </w:rPr>
        <w:t>m处的</w:t>
      </w:r>
      <w:r>
        <w:rPr>
          <w:rFonts w:hint="eastAsia" w:ascii="Times New Roman" w:hAnsi="Times New Roman" w:cs="Times New Roman"/>
          <w:color w:val="auto"/>
          <w:kern w:val="2"/>
          <w:sz w:val="24"/>
          <w:szCs w:val="24"/>
          <w:highlight w:val="none"/>
          <w:lang w:eastAsia="zh-CN"/>
        </w:rPr>
        <w:t>卡子</w:t>
      </w:r>
      <w:r>
        <w:rPr>
          <w:rFonts w:hint="eastAsia" w:ascii="Times New Roman" w:hAnsi="Times New Roman" w:cs="Times New Roman"/>
          <w:color w:val="auto"/>
          <w:kern w:val="2"/>
          <w:sz w:val="24"/>
          <w:szCs w:val="24"/>
          <w:highlight w:val="none"/>
        </w:rPr>
        <w:t>村，距离较远，运输过程中产生的噪声通过距离衰减后对关心点影响较小。</w:t>
      </w:r>
    </w:p>
    <w:p>
      <w:pPr>
        <w:ind w:firstLine="480"/>
        <w:rPr>
          <w:rFonts w:hint="eastAsia" w:eastAsia="宋体"/>
          <w:color w:val="auto"/>
          <w:highlight w:val="none"/>
          <w:lang w:eastAsia="zh-CN"/>
        </w:rPr>
      </w:pPr>
      <w:r>
        <w:rPr>
          <w:rFonts w:hint="eastAsia"/>
          <w:color w:val="auto"/>
          <w:highlight w:val="none"/>
        </w:rPr>
        <w:t>为降低运输噪声对周边环境的影响，</w:t>
      </w:r>
      <w:r>
        <w:rPr>
          <w:rFonts w:hint="eastAsia"/>
          <w:color w:val="auto"/>
          <w:highlight w:val="none"/>
          <w:lang w:eastAsia="zh-CN"/>
        </w:rPr>
        <w:t>生产期间应</w:t>
      </w:r>
      <w:r>
        <w:rPr>
          <w:rFonts w:hint="eastAsia"/>
          <w:color w:val="auto"/>
          <w:highlight w:val="none"/>
        </w:rPr>
        <w:t>加强车辆维护、运输管理，限制车速、减少鸣笛</w:t>
      </w:r>
      <w:r>
        <w:rPr>
          <w:rFonts w:hint="eastAsia"/>
          <w:color w:val="auto"/>
          <w:highlight w:val="none"/>
          <w:lang w:eastAsia="zh-CN"/>
        </w:rPr>
        <w:t>。</w:t>
      </w:r>
    </w:p>
    <w:p>
      <w:pPr>
        <w:ind w:firstLine="480"/>
        <w:rPr>
          <w:rFonts w:hint="eastAsia"/>
          <w:color w:val="auto"/>
          <w:highlight w:val="none"/>
          <w:lang w:val="en-US" w:eastAsia="zh-CN"/>
        </w:rPr>
        <w:sectPr>
          <w:pgSz w:w="11911" w:h="16838"/>
          <w:pgMar w:top="1417" w:right="1417" w:bottom="1417" w:left="1417" w:header="879" w:footer="952" w:gutter="0"/>
          <w:pgBorders>
            <w:top w:val="none" w:sz="0" w:space="0"/>
            <w:left w:val="none" w:sz="0" w:space="0"/>
            <w:bottom w:val="none" w:sz="0" w:space="0"/>
            <w:right w:val="none" w:sz="0" w:space="0"/>
          </w:pgBorders>
          <w:pgNumType w:fmt="decimal"/>
          <w:cols w:space="720" w:num="1"/>
          <w:docGrid w:linePitch="312" w:charSpace="0"/>
        </w:sectPr>
      </w:pPr>
    </w:p>
    <w:bookmarkEnd w:id="426"/>
    <w:bookmarkEnd w:id="427"/>
    <w:p>
      <w:pPr>
        <w:pStyle w:val="5"/>
        <w:rPr>
          <w:rFonts w:hint="default"/>
          <w:color w:val="auto"/>
          <w:highlight w:val="none"/>
        </w:rPr>
      </w:pPr>
      <w:bookmarkStart w:id="433" w:name="_Toc10889"/>
      <w:r>
        <w:rPr>
          <w:rFonts w:hint="eastAsia"/>
          <w:color w:val="auto"/>
          <w:highlight w:val="none"/>
          <w:lang w:val="en-US" w:eastAsia="zh-CN"/>
        </w:rPr>
        <w:t>6</w:t>
      </w:r>
      <w:r>
        <w:rPr>
          <w:color w:val="auto"/>
          <w:highlight w:val="none"/>
        </w:rPr>
        <w:t>.2.</w:t>
      </w:r>
      <w:r>
        <w:rPr>
          <w:rFonts w:hint="eastAsia"/>
          <w:color w:val="auto"/>
          <w:highlight w:val="none"/>
          <w:lang w:val="en-US" w:eastAsia="zh-CN"/>
        </w:rPr>
        <w:t>5</w:t>
      </w:r>
      <w:r>
        <w:rPr>
          <w:color w:val="auto"/>
          <w:highlight w:val="none"/>
        </w:rPr>
        <w:t>运营期固废环境影响分析</w:t>
      </w:r>
      <w:bookmarkEnd w:id="433"/>
    </w:p>
    <w:p>
      <w:pPr>
        <w:adjustRightInd w:val="0"/>
        <w:snapToGrid w:val="0"/>
        <w:ind w:firstLine="480"/>
        <w:rPr>
          <w:color w:val="auto"/>
          <w:highlight w:val="none"/>
        </w:rPr>
      </w:pPr>
      <w:r>
        <w:rPr>
          <w:rFonts w:hint="eastAsia"/>
          <w:color w:val="auto"/>
          <w:highlight w:val="none"/>
        </w:rPr>
        <w:t>项目运营期固体废物主要有废渣、表土、沉淀池污泥、废机油以及生活垃圾</w:t>
      </w:r>
      <w:r>
        <w:rPr>
          <w:color w:val="auto"/>
          <w:highlight w:val="none"/>
        </w:rPr>
        <w:t>。</w:t>
      </w:r>
    </w:p>
    <w:p>
      <w:pPr>
        <w:ind w:firstLine="480"/>
        <w:rPr>
          <w:color w:val="auto"/>
          <w:highlight w:val="none"/>
        </w:rPr>
      </w:pPr>
      <w:r>
        <w:rPr>
          <w:rFonts w:hint="eastAsia"/>
          <w:color w:val="auto"/>
          <w:highlight w:val="none"/>
        </w:rPr>
        <w:t>1、一般工业固体废物</w:t>
      </w:r>
    </w:p>
    <w:p>
      <w:pPr>
        <w:autoSpaceDE w:val="0"/>
        <w:autoSpaceDN w:val="0"/>
        <w:adjustRightInd w:val="0"/>
        <w:ind w:firstLine="480"/>
        <w:rPr>
          <w:rFonts w:hint="eastAsia"/>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废土石方</w:t>
      </w:r>
    </w:p>
    <w:p>
      <w:pPr>
        <w:autoSpaceDE w:val="0"/>
        <w:autoSpaceDN w:val="0"/>
        <w:adjustRightInd w:val="0"/>
        <w:ind w:firstLine="480"/>
        <w:rPr>
          <w:rFonts w:hint="eastAsia"/>
          <w:color w:val="auto"/>
          <w:highlight w:val="none"/>
        </w:rPr>
      </w:pPr>
      <w:r>
        <w:rPr>
          <w:rFonts w:hint="eastAsia"/>
          <w:color w:val="auto"/>
          <w:highlight w:val="none"/>
        </w:rPr>
        <w:t xml:space="preserve">根据工程分析可知，项目废土石量为 </w:t>
      </w:r>
      <w:r>
        <w:rPr>
          <w:rFonts w:hint="eastAsia"/>
          <w:color w:val="auto"/>
          <w:highlight w:val="none"/>
          <w:lang w:val="en-US" w:eastAsia="zh-CN"/>
        </w:rPr>
        <w:t>4.08</w:t>
      </w:r>
      <w:r>
        <w:rPr>
          <w:rFonts w:hint="eastAsia"/>
          <w:color w:val="auto"/>
          <w:highlight w:val="none"/>
        </w:rPr>
        <w:t>万m³，项目拟设计容量约</w:t>
      </w:r>
      <w:r>
        <w:rPr>
          <w:rFonts w:hint="eastAsia"/>
          <w:color w:val="auto"/>
          <w:highlight w:val="none"/>
          <w:lang w:val="en-US" w:eastAsia="zh-CN"/>
        </w:rPr>
        <w:t>6.5</w:t>
      </w:r>
      <w:r>
        <w:rPr>
          <w:rFonts w:hint="eastAsia"/>
          <w:color w:val="auto"/>
          <w:highlight w:val="none"/>
        </w:rPr>
        <w:t>万m³的</w:t>
      </w:r>
      <w:r>
        <w:rPr>
          <w:rFonts w:hint="eastAsia"/>
          <w:color w:val="auto"/>
          <w:highlight w:val="none"/>
          <w:lang w:eastAsia="zh-CN"/>
        </w:rPr>
        <w:t>排土场</w:t>
      </w:r>
      <w:r>
        <w:rPr>
          <w:rFonts w:hint="eastAsia"/>
          <w:color w:val="auto"/>
          <w:highlight w:val="none"/>
        </w:rPr>
        <w:t>对废土石方进行堆存，</w:t>
      </w:r>
      <w:r>
        <w:rPr>
          <w:rFonts w:hint="eastAsia"/>
          <w:color w:val="auto"/>
          <w:highlight w:val="none"/>
          <w:lang w:eastAsia="zh-CN"/>
        </w:rPr>
        <w:t>排土场</w:t>
      </w:r>
      <w:r>
        <w:rPr>
          <w:rFonts w:hint="eastAsia"/>
          <w:color w:val="auto"/>
          <w:highlight w:val="none"/>
        </w:rPr>
        <w:t>设计在矿区范围内的西部最低开采标高之下区域。该区域地形坡度10-25°，总占地面积</w:t>
      </w:r>
      <w:r>
        <w:rPr>
          <w:rFonts w:hint="eastAsia"/>
          <w:color w:val="auto"/>
          <w:highlight w:val="none"/>
          <w:lang w:val="en-US" w:eastAsia="zh-CN"/>
        </w:rPr>
        <w:t>1600</w:t>
      </w:r>
      <w:r>
        <w:rPr>
          <w:rFonts w:hint="eastAsia"/>
          <w:color w:val="auto"/>
          <w:highlight w:val="none"/>
        </w:rPr>
        <w:t>m²，</w:t>
      </w:r>
      <w:r>
        <w:rPr>
          <w:rFonts w:hint="eastAsia"/>
          <w:color w:val="auto"/>
          <w:highlight w:val="none"/>
          <w:lang w:eastAsia="zh-CN"/>
        </w:rPr>
        <w:t>排土场</w:t>
      </w:r>
      <w:r>
        <w:rPr>
          <w:rFonts w:hint="eastAsia"/>
          <w:color w:val="auto"/>
          <w:highlight w:val="none"/>
        </w:rPr>
        <w:t>满足《一般工业固体废物贮存、处置场污染控制标准》（GB18599-2001）及2013年修改单要求。为保证</w:t>
      </w:r>
      <w:r>
        <w:rPr>
          <w:rFonts w:hint="eastAsia"/>
          <w:color w:val="auto"/>
          <w:highlight w:val="none"/>
          <w:lang w:eastAsia="zh-CN"/>
        </w:rPr>
        <w:t>排土场</w:t>
      </w:r>
      <w:r>
        <w:rPr>
          <w:rFonts w:hint="eastAsia"/>
          <w:color w:val="auto"/>
          <w:highlight w:val="none"/>
        </w:rPr>
        <w:t>的安全堆存，</w:t>
      </w:r>
      <w:r>
        <w:rPr>
          <w:rFonts w:hint="eastAsia"/>
          <w:color w:val="auto"/>
          <w:highlight w:val="none"/>
          <w:lang w:eastAsia="zh-CN"/>
        </w:rPr>
        <w:t>排土场</w:t>
      </w:r>
      <w:r>
        <w:rPr>
          <w:rFonts w:hint="eastAsia"/>
          <w:color w:val="auto"/>
          <w:highlight w:val="none"/>
        </w:rPr>
        <w:t>周围根据地势设置</w:t>
      </w:r>
      <w:r>
        <w:rPr>
          <w:rFonts w:hint="eastAsia"/>
          <w:color w:val="auto"/>
          <w:highlight w:val="none"/>
          <w:lang w:val="en-US" w:eastAsia="zh-CN"/>
        </w:rPr>
        <w:t>3</w:t>
      </w:r>
      <w:r>
        <w:rPr>
          <w:rFonts w:hint="eastAsia"/>
          <w:color w:val="auto"/>
          <w:highlight w:val="none"/>
        </w:rPr>
        <w:t>10m的截排水沟，</w:t>
      </w:r>
      <w:r>
        <w:rPr>
          <w:rFonts w:hint="eastAsia"/>
          <w:color w:val="auto"/>
          <w:highlight w:val="none"/>
          <w:lang w:eastAsia="zh-CN"/>
        </w:rPr>
        <w:t>排土场</w:t>
      </w:r>
      <w:r>
        <w:rPr>
          <w:rFonts w:hint="eastAsia"/>
          <w:color w:val="auto"/>
          <w:highlight w:val="none"/>
        </w:rPr>
        <w:t>下游设置（长30m、宽2m、高5m）的挡石墙，其中挡石墙的高度根据堆存进度逐步建设，采用M7.5浆砌石砌筑。</w:t>
      </w:r>
    </w:p>
    <w:p>
      <w:pPr>
        <w:autoSpaceDE w:val="0"/>
        <w:autoSpaceDN w:val="0"/>
        <w:adjustRightInd w:val="0"/>
        <w:ind w:firstLine="480"/>
        <w:rPr>
          <w:rFonts w:hint="eastAsia"/>
          <w:color w:val="auto"/>
          <w:highlight w:val="none"/>
        </w:rPr>
      </w:pPr>
      <w:r>
        <w:rPr>
          <w:rFonts w:hint="eastAsia"/>
          <w:color w:val="auto"/>
          <w:highlight w:val="none"/>
        </w:rPr>
        <w:t>综合而言，项目运营期废弃的</w:t>
      </w:r>
      <w:r>
        <w:rPr>
          <w:rFonts w:hint="eastAsia"/>
          <w:color w:val="auto"/>
          <w:highlight w:val="none"/>
          <w:lang w:val="en-US" w:eastAsia="zh-CN"/>
        </w:rPr>
        <w:t>4.08</w:t>
      </w:r>
      <w:r>
        <w:rPr>
          <w:rFonts w:hint="eastAsia"/>
          <w:color w:val="auto"/>
          <w:highlight w:val="none"/>
        </w:rPr>
        <w:t>万m³废土石方堆放在</w:t>
      </w:r>
      <w:r>
        <w:rPr>
          <w:rFonts w:hint="eastAsia"/>
          <w:color w:val="auto"/>
          <w:highlight w:val="none"/>
          <w:lang w:eastAsia="zh-CN"/>
        </w:rPr>
        <w:t>排土</w:t>
      </w:r>
      <w:r>
        <w:rPr>
          <w:rFonts w:hint="eastAsia"/>
          <w:color w:val="auto"/>
          <w:highlight w:val="none"/>
        </w:rPr>
        <w:t>场内，</w:t>
      </w:r>
      <w:r>
        <w:rPr>
          <w:rFonts w:hint="eastAsia"/>
          <w:color w:val="auto"/>
          <w:highlight w:val="none"/>
          <w:lang w:eastAsia="zh-CN"/>
        </w:rPr>
        <w:t>排土场</w:t>
      </w:r>
      <w:r>
        <w:rPr>
          <w:rFonts w:hint="eastAsia"/>
          <w:color w:val="auto"/>
          <w:highlight w:val="none"/>
        </w:rPr>
        <w:t>容量满足堆存要求，废弃土石方可得到了妥善处理，</w:t>
      </w:r>
      <w:r>
        <w:rPr>
          <w:rFonts w:hint="eastAsia"/>
          <w:color w:val="auto"/>
          <w:highlight w:val="none"/>
          <w:lang w:eastAsia="zh-CN"/>
        </w:rPr>
        <w:t>排土场</w:t>
      </w:r>
      <w:r>
        <w:rPr>
          <w:rFonts w:hint="eastAsia"/>
          <w:color w:val="auto"/>
          <w:highlight w:val="none"/>
        </w:rPr>
        <w:t>选址环境合理，对周边环境影响较小。</w:t>
      </w:r>
    </w:p>
    <w:p>
      <w:pPr>
        <w:autoSpaceDE w:val="0"/>
        <w:autoSpaceDN w:val="0"/>
        <w:adjustRightInd w:val="0"/>
        <w:ind w:firstLine="480"/>
        <w:rPr>
          <w:rFonts w:hint="eastAsia"/>
          <w:color w:val="auto"/>
          <w:highlight w:val="none"/>
        </w:rPr>
      </w:pPr>
      <w:r>
        <w:rPr>
          <w:rFonts w:hint="eastAsia"/>
          <w:color w:val="auto"/>
          <w:highlight w:val="none"/>
        </w:rPr>
        <w:t>（</w:t>
      </w:r>
      <w:r>
        <w:rPr>
          <w:rFonts w:hint="eastAsia"/>
          <w:color w:val="auto"/>
          <w:highlight w:val="none"/>
          <w:lang w:val="en-US" w:eastAsia="zh-CN"/>
        </w:rPr>
        <w:t>2</w:t>
      </w:r>
      <w:r>
        <w:rPr>
          <w:rFonts w:hint="eastAsia"/>
          <w:color w:val="auto"/>
          <w:highlight w:val="none"/>
        </w:rPr>
        <w:t>）沉淀池污泥</w:t>
      </w:r>
    </w:p>
    <w:p>
      <w:pPr>
        <w:autoSpaceDE w:val="0"/>
        <w:autoSpaceDN w:val="0"/>
        <w:adjustRightInd w:val="0"/>
        <w:ind w:firstLine="480"/>
        <w:rPr>
          <w:rFonts w:hint="eastAsia"/>
          <w:color w:val="auto"/>
          <w:highlight w:val="none"/>
        </w:rPr>
      </w:pPr>
      <w:r>
        <w:rPr>
          <w:rFonts w:hint="eastAsia"/>
          <w:color w:val="auto"/>
          <w:highlight w:val="none"/>
        </w:rPr>
        <w:t>根据工程分析，初期雨水沉淀池和淋滤废水沉淀池污泥年产生量约为</w:t>
      </w:r>
      <w:r>
        <w:rPr>
          <w:rFonts w:hint="eastAsia"/>
          <w:color w:val="auto"/>
          <w:highlight w:val="none"/>
          <w:lang w:val="en-US" w:eastAsia="zh-CN"/>
        </w:rPr>
        <w:t>3.8</w:t>
      </w:r>
      <w:r>
        <w:rPr>
          <w:rFonts w:hint="eastAsia"/>
          <w:color w:val="auto"/>
          <w:highlight w:val="none"/>
        </w:rPr>
        <w:t>t， 沉淀池污泥定期清理至</w:t>
      </w:r>
      <w:r>
        <w:rPr>
          <w:rFonts w:hint="eastAsia"/>
          <w:color w:val="auto"/>
          <w:highlight w:val="none"/>
          <w:lang w:eastAsia="zh-CN"/>
        </w:rPr>
        <w:t>排土场</w:t>
      </w:r>
      <w:r>
        <w:rPr>
          <w:rFonts w:hint="eastAsia"/>
          <w:color w:val="auto"/>
          <w:highlight w:val="none"/>
        </w:rPr>
        <w:t>，用于后期复垦，处置率为100%，对环境影响较小。</w:t>
      </w:r>
    </w:p>
    <w:p>
      <w:pPr>
        <w:autoSpaceDE w:val="0"/>
        <w:autoSpaceDN w:val="0"/>
        <w:adjustRightInd w:val="0"/>
        <w:ind w:firstLine="480"/>
        <w:rPr>
          <w:rFonts w:hint="eastAsia"/>
          <w:color w:val="auto"/>
          <w:highlight w:val="none"/>
        </w:rPr>
      </w:pPr>
      <w:r>
        <w:rPr>
          <w:rFonts w:hint="eastAsia"/>
          <w:color w:val="auto"/>
          <w:highlight w:val="none"/>
        </w:rPr>
        <w:t>（</w:t>
      </w:r>
      <w:r>
        <w:rPr>
          <w:rFonts w:hint="eastAsia"/>
          <w:color w:val="auto"/>
          <w:highlight w:val="none"/>
          <w:lang w:val="en-US" w:eastAsia="zh-CN"/>
        </w:rPr>
        <w:t>3</w:t>
      </w:r>
      <w:r>
        <w:rPr>
          <w:rFonts w:hint="eastAsia"/>
          <w:color w:val="auto"/>
          <w:highlight w:val="none"/>
        </w:rPr>
        <w:t>）除尘器收尘灰</w:t>
      </w:r>
    </w:p>
    <w:p>
      <w:pPr>
        <w:autoSpaceDE w:val="0"/>
        <w:autoSpaceDN w:val="0"/>
        <w:adjustRightInd w:val="0"/>
        <w:ind w:firstLine="480"/>
        <w:rPr>
          <w:color w:val="auto"/>
          <w:highlight w:val="none"/>
        </w:rPr>
      </w:pPr>
      <w:r>
        <w:rPr>
          <w:rFonts w:hint="eastAsia"/>
          <w:color w:val="auto"/>
          <w:highlight w:val="none"/>
        </w:rPr>
        <w:t>根据工程分析，矿石破碎加工过程中破碎和筛分设备配套的袋式除尘器收集的粉尘量约为</w:t>
      </w:r>
      <w:r>
        <w:rPr>
          <w:rFonts w:hint="eastAsia"/>
          <w:color w:val="auto"/>
          <w:highlight w:val="none"/>
          <w:lang w:val="en-US" w:eastAsia="zh-CN"/>
        </w:rPr>
        <w:t>17.98</w:t>
      </w:r>
      <w:r>
        <w:rPr>
          <w:rFonts w:hint="eastAsia"/>
          <w:color w:val="auto"/>
          <w:highlight w:val="none"/>
        </w:rPr>
        <w:t>t/a，经收集后作为石粉外售，处置率为100%，对环境影响较小。</w:t>
      </w:r>
    </w:p>
    <w:p>
      <w:pPr>
        <w:pStyle w:val="7"/>
        <w:ind w:firstLine="480"/>
        <w:rPr>
          <w:rFonts w:hint="eastAsia"/>
          <w:highlight w:val="none"/>
        </w:rPr>
      </w:pPr>
      <w:r>
        <w:rPr>
          <w:rFonts w:hint="eastAsia"/>
          <w:highlight w:val="none"/>
        </w:rPr>
        <w:t>2、危险废物</w:t>
      </w:r>
    </w:p>
    <w:p>
      <w:pPr>
        <w:pStyle w:val="7"/>
        <w:ind w:firstLine="480"/>
        <w:rPr>
          <w:rFonts w:hint="eastAsia"/>
          <w:highlight w:val="none"/>
          <w:lang w:eastAsia="zh-CN"/>
        </w:rPr>
      </w:pPr>
      <w:r>
        <w:rPr>
          <w:rFonts w:hint="eastAsia"/>
          <w:highlight w:val="none"/>
        </w:rPr>
        <w:t>根据工程分析可知，项目运营期将不定期对生产设备进行维护，如涂抹润滑油、机油等，维护过程中将产生少量废机油，产生量约为0.08t/a，废机油废物类别为 “HW08 废矿物油与含矿物油废物”，废物代码为“900-214-08”，该废物属于危险废物；因此，本环评提出设置一个危险废物贮存间（10m²），收集贮存后委托有资质的单位进行处理。在对危险废物的收集、贮存和委托有资质的单位处理过程中，本环评要求做到以下几点</w:t>
      </w:r>
      <w:r>
        <w:rPr>
          <w:rFonts w:hint="eastAsia"/>
          <w:highlight w:val="none"/>
          <w:lang w:eastAsia="zh-CN"/>
        </w:rPr>
        <w:t>：</w:t>
      </w:r>
    </w:p>
    <w:p>
      <w:pPr>
        <w:pStyle w:val="7"/>
        <w:ind w:firstLine="480"/>
        <w:rPr>
          <w:rFonts w:hint="eastAsia"/>
          <w:highlight w:val="none"/>
        </w:rPr>
      </w:pPr>
      <w:r>
        <w:rPr>
          <w:rFonts w:hint="eastAsia"/>
          <w:highlight w:val="none"/>
        </w:rPr>
        <w:t>①收集：项目所产生的危险废物必须单独收集，严禁和一般固体废物混装。</w:t>
      </w:r>
    </w:p>
    <w:p>
      <w:pPr>
        <w:pStyle w:val="7"/>
        <w:ind w:firstLine="480"/>
        <w:rPr>
          <w:rFonts w:hint="eastAsia"/>
          <w:highlight w:val="none"/>
        </w:rPr>
      </w:pPr>
      <w:r>
        <w:rPr>
          <w:rFonts w:hint="eastAsia"/>
          <w:highlight w:val="none"/>
        </w:rPr>
        <w:t>②贮存：按照《危险废物贮存污染控制标准》（GB18597-2001）及其2013年修改单要求进行贮存，即“必须将危险废物装入容器内，容器及材质要满足相应的强度要求、装载危险废物的容器必须完好无损。</w:t>
      </w:r>
    </w:p>
    <w:p>
      <w:pPr>
        <w:pStyle w:val="7"/>
        <w:ind w:firstLine="480"/>
        <w:rPr>
          <w:rFonts w:hint="eastAsia"/>
          <w:highlight w:val="none"/>
        </w:rPr>
      </w:pPr>
      <w:r>
        <w:rPr>
          <w:rFonts w:hint="eastAsia"/>
          <w:highlight w:val="none"/>
        </w:rPr>
        <w:t>③委托转移：委托有资质的单位处理过程中必须严格按照《危险废物转移联单管理办法》相关要求，严格执行危险废物转移联单制度，设置台账。</w:t>
      </w:r>
    </w:p>
    <w:p>
      <w:pPr>
        <w:pStyle w:val="7"/>
        <w:ind w:firstLine="480"/>
        <w:rPr>
          <w:rFonts w:hint="eastAsia" w:eastAsia="宋体"/>
          <w:highlight w:val="none"/>
          <w:lang w:eastAsia="zh-CN"/>
        </w:rPr>
      </w:pPr>
      <w:r>
        <w:rPr>
          <w:rFonts w:hint="eastAsia"/>
          <w:highlight w:val="none"/>
        </w:rPr>
        <w:t>通过以上分析可知，该项目固体废物均可得到有效处置，处置率为100%，对环境影响较小</w:t>
      </w:r>
      <w:r>
        <w:rPr>
          <w:rFonts w:hint="eastAsia"/>
          <w:highlight w:val="none"/>
          <w:lang w:eastAsia="zh-CN"/>
        </w:rPr>
        <w:t>。</w:t>
      </w:r>
    </w:p>
    <w:p>
      <w:pPr>
        <w:pStyle w:val="7"/>
        <w:ind w:firstLine="480"/>
        <w:rPr>
          <w:rFonts w:hint="eastAsia" w:eastAsia="宋体"/>
          <w:highlight w:val="none"/>
          <w:lang w:val="en-US" w:eastAsia="zh-CN"/>
        </w:rPr>
      </w:pPr>
      <w:r>
        <w:rPr>
          <w:rFonts w:hint="eastAsia"/>
          <w:highlight w:val="none"/>
          <w:lang w:val="en-US" w:eastAsia="zh-CN"/>
        </w:rPr>
        <w:t>3、生活垃圾</w:t>
      </w:r>
    </w:p>
    <w:p>
      <w:pPr>
        <w:pStyle w:val="7"/>
        <w:ind w:firstLine="480"/>
        <w:rPr>
          <w:rFonts w:hint="eastAsia" w:eastAsia="宋体"/>
          <w:highlight w:val="none"/>
          <w:lang w:val="en-US" w:eastAsia="zh-CN"/>
        </w:rPr>
      </w:pPr>
      <w:r>
        <w:rPr>
          <w:rFonts w:hint="eastAsia"/>
          <w:highlight w:val="none"/>
        </w:rPr>
        <w:t>根据工程分析可知，该项目生活垃圾产生量约10kg/d（3t/a），定期外运至</w:t>
      </w:r>
      <w:r>
        <w:rPr>
          <w:rFonts w:hint="eastAsia"/>
          <w:highlight w:val="none"/>
          <w:lang w:eastAsia="zh-CN"/>
        </w:rPr>
        <w:t>卡子村</w:t>
      </w:r>
      <w:r>
        <w:rPr>
          <w:rFonts w:hint="eastAsia"/>
          <w:highlight w:val="none"/>
        </w:rPr>
        <w:t>指定垃圾堆放地点，由环卫部门清运处置，处置率为100%，对环境影响较小</w:t>
      </w:r>
      <w:r>
        <w:rPr>
          <w:rFonts w:hint="eastAsia"/>
          <w:highlight w:val="none"/>
          <w:lang w:eastAsia="zh-CN"/>
        </w:rPr>
        <w:t>。</w:t>
      </w:r>
    </w:p>
    <w:p>
      <w:pPr>
        <w:pStyle w:val="5"/>
        <w:keepNext w:val="0"/>
        <w:keepLines w:val="0"/>
        <w:spacing w:before="0" w:after="0" w:line="360" w:lineRule="auto"/>
        <w:ind w:firstLine="0" w:firstLineChars="0"/>
        <w:jc w:val="left"/>
        <w:rPr>
          <w:rFonts w:hint="default" w:ascii="Times New Roman" w:hAnsi="Times New Roman" w:eastAsia="宋体" w:cs="Times New Roman"/>
          <w:b/>
          <w:bCs w:val="0"/>
          <w:color w:val="auto"/>
          <w:kern w:val="0"/>
          <w:sz w:val="28"/>
          <w:szCs w:val="27"/>
          <w:highlight w:val="none"/>
          <w:lang w:val="en-US" w:eastAsia="zh-CN"/>
        </w:rPr>
      </w:pPr>
      <w:bookmarkStart w:id="434" w:name="_Toc1364"/>
      <w:r>
        <w:rPr>
          <w:rFonts w:hint="eastAsia" w:cs="Times New Roman"/>
          <w:b/>
          <w:bCs w:val="0"/>
          <w:color w:val="auto"/>
          <w:kern w:val="0"/>
          <w:sz w:val="28"/>
          <w:szCs w:val="27"/>
          <w:highlight w:val="none"/>
          <w:lang w:val="en-US" w:eastAsia="zh-CN"/>
        </w:rPr>
        <w:t>6.2.6土壤环境影响分析</w:t>
      </w:r>
      <w:bookmarkEnd w:id="434"/>
    </w:p>
    <w:p>
      <w:pPr>
        <w:spacing w:line="360" w:lineRule="auto"/>
        <w:ind w:firstLine="480" w:firstLineChars="200"/>
        <w:rPr>
          <w:rFonts w:hint="default" w:ascii="Times New Roman" w:hAnsi="Times New Roman" w:cs="Times New Roman"/>
          <w:bCs/>
          <w:color w:val="auto"/>
          <w:sz w:val="24"/>
          <w:highlight w:val="none"/>
          <w:vertAlign w:val="baseline"/>
          <w:lang w:val="en-US" w:eastAsia="zh-CN"/>
        </w:rPr>
      </w:pPr>
      <w:r>
        <w:rPr>
          <w:rFonts w:hint="eastAsia" w:cs="Times New Roman"/>
          <w:bCs/>
          <w:color w:val="auto"/>
          <w:sz w:val="24"/>
          <w:highlight w:val="none"/>
          <w:vertAlign w:val="baseline"/>
          <w:lang w:val="en-US" w:eastAsia="zh-CN"/>
        </w:rPr>
        <w:t>1、评价目的</w:t>
      </w:r>
    </w:p>
    <w:p>
      <w:pPr>
        <w:spacing w:line="360" w:lineRule="auto"/>
        <w:ind w:firstLine="480" w:firstLineChars="200"/>
        <w:rPr>
          <w:rFonts w:hint="eastAsia" w:ascii="Times New Roman" w:hAnsi="Times New Roman" w:cs="Times New Roman"/>
          <w:bCs/>
          <w:color w:val="auto"/>
          <w:sz w:val="24"/>
          <w:highlight w:val="none"/>
          <w:vertAlign w:val="baseline"/>
          <w:lang w:val="en-US" w:eastAsia="zh-CN"/>
        </w:rPr>
      </w:pPr>
      <w:r>
        <w:rPr>
          <w:rFonts w:hint="default" w:ascii="Times New Roman" w:hAnsi="Times New Roman" w:cs="Times New Roman"/>
          <w:bCs/>
          <w:color w:val="auto"/>
          <w:sz w:val="24"/>
          <w:highlight w:val="none"/>
          <w:vertAlign w:val="baseline"/>
          <w:lang w:val="en-US" w:eastAsia="zh-CN"/>
        </w:rPr>
        <w:t>1</w:t>
      </w:r>
      <w:r>
        <w:rPr>
          <w:rFonts w:hint="eastAsia" w:ascii="Times New Roman" w:hAnsi="Times New Roman" w:cs="Times New Roman"/>
          <w:bCs/>
          <w:color w:val="auto"/>
          <w:sz w:val="24"/>
          <w:highlight w:val="none"/>
          <w:vertAlign w:val="baseline"/>
          <w:lang w:val="en-US" w:eastAsia="zh-CN"/>
        </w:rPr>
        <w:t>）结合国家、地方土壤相关资料和实地调查，掌握拟建项目地区土壤类型及理化特性等，查明土壤环境现状与土壤利用现状；</w:t>
      </w:r>
    </w:p>
    <w:p>
      <w:pPr>
        <w:spacing w:line="360" w:lineRule="auto"/>
        <w:ind w:firstLine="480" w:firstLineChars="200"/>
        <w:rPr>
          <w:rFonts w:hint="eastAsia" w:ascii="Times New Roman" w:hAnsi="Times New Roman" w:cs="Times New Roman"/>
          <w:bCs/>
          <w:color w:val="auto"/>
          <w:sz w:val="24"/>
          <w:highlight w:val="none"/>
          <w:vertAlign w:val="baseline"/>
          <w:lang w:val="en-US" w:eastAsia="zh-CN"/>
        </w:rPr>
      </w:pPr>
      <w:r>
        <w:rPr>
          <w:rFonts w:hint="default" w:ascii="Times New Roman" w:hAnsi="Times New Roman" w:cs="Times New Roman"/>
          <w:bCs/>
          <w:color w:val="auto"/>
          <w:sz w:val="24"/>
          <w:highlight w:val="none"/>
          <w:vertAlign w:val="baseline"/>
          <w:lang w:val="en-US" w:eastAsia="zh-CN"/>
        </w:rPr>
        <w:t>2</w:t>
      </w:r>
      <w:r>
        <w:rPr>
          <w:rFonts w:hint="eastAsia" w:ascii="Times New Roman" w:hAnsi="Times New Roman" w:cs="Times New Roman"/>
          <w:bCs/>
          <w:color w:val="auto"/>
          <w:sz w:val="24"/>
          <w:highlight w:val="none"/>
          <w:vertAlign w:val="baseline"/>
          <w:lang w:val="en-US" w:eastAsia="zh-CN"/>
        </w:rPr>
        <w:t>）根据拟建项目工程分析及与土壤污染相关的地表水、地下水、大气等评价结果，分析并识别出可能进入土壤的污染物种类、数量、方式等，预测拟建项目可能对土壤环境产生的影响，评价其影响程度和范围及其可能导致的土壤环境变化趋势；</w:t>
      </w:r>
    </w:p>
    <w:p>
      <w:pPr>
        <w:spacing w:line="360" w:lineRule="auto"/>
        <w:ind w:firstLine="480" w:firstLineChars="200"/>
        <w:rPr>
          <w:rFonts w:hint="eastAsia" w:ascii="Times New Roman" w:hAnsi="Times New Roman" w:cs="Times New Roman"/>
          <w:bCs/>
          <w:color w:val="auto"/>
          <w:sz w:val="24"/>
          <w:highlight w:val="none"/>
          <w:vertAlign w:val="baseline"/>
          <w:lang w:val="en-US" w:eastAsia="zh-CN"/>
        </w:rPr>
      </w:pPr>
      <w:r>
        <w:rPr>
          <w:rFonts w:hint="default" w:ascii="Times New Roman" w:hAnsi="Times New Roman" w:cs="Times New Roman"/>
          <w:bCs/>
          <w:color w:val="auto"/>
          <w:sz w:val="24"/>
          <w:highlight w:val="none"/>
          <w:vertAlign w:val="baseline"/>
          <w:lang w:val="en-US" w:eastAsia="zh-CN"/>
        </w:rPr>
        <w:t>3</w:t>
      </w:r>
      <w:r>
        <w:rPr>
          <w:rFonts w:hint="eastAsia" w:ascii="Times New Roman" w:hAnsi="Times New Roman" w:cs="Times New Roman"/>
          <w:bCs/>
          <w:color w:val="auto"/>
          <w:sz w:val="24"/>
          <w:highlight w:val="none"/>
          <w:vertAlign w:val="baseline"/>
          <w:lang w:val="en-US" w:eastAsia="zh-CN"/>
        </w:rPr>
        <w:t>）针对项目建设可能产生的不利影响，提出合理、可行、操作性强的土壤环境影响防控措施，使工程建设带来的负面环境影响降至最低程度，达到项目建设和环境保护的协调发展；</w:t>
      </w:r>
    </w:p>
    <w:p>
      <w:pPr>
        <w:spacing w:line="360" w:lineRule="auto"/>
        <w:ind w:firstLine="480" w:firstLineChars="200"/>
        <w:rPr>
          <w:rFonts w:hint="eastAsia" w:ascii="Times New Roman" w:hAnsi="Times New Roman" w:cs="Times New Roman"/>
          <w:bCs/>
          <w:color w:val="auto"/>
          <w:sz w:val="24"/>
          <w:highlight w:val="none"/>
          <w:vertAlign w:val="baseline"/>
          <w:lang w:val="en-US" w:eastAsia="zh-CN"/>
        </w:rPr>
      </w:pPr>
      <w:r>
        <w:rPr>
          <w:rFonts w:hint="default" w:ascii="Times New Roman" w:hAnsi="Times New Roman" w:cs="Times New Roman"/>
          <w:bCs/>
          <w:color w:val="auto"/>
          <w:sz w:val="24"/>
          <w:highlight w:val="none"/>
          <w:vertAlign w:val="baseline"/>
          <w:lang w:val="en-US" w:eastAsia="zh-CN"/>
        </w:rPr>
        <w:t>4</w:t>
      </w:r>
      <w:r>
        <w:rPr>
          <w:rFonts w:hint="eastAsia" w:ascii="Times New Roman" w:hAnsi="Times New Roman" w:cs="Times New Roman"/>
          <w:bCs/>
          <w:color w:val="auto"/>
          <w:sz w:val="24"/>
          <w:highlight w:val="none"/>
          <w:vertAlign w:val="baseline"/>
          <w:lang w:val="en-US" w:eastAsia="zh-CN"/>
        </w:rPr>
        <w:t>）从土壤环境保护角度论证项目建设的可行性，为工程建设决策和环境管理提供科学依据。</w:t>
      </w:r>
    </w:p>
    <w:p>
      <w:pPr>
        <w:spacing w:line="360" w:lineRule="auto"/>
        <w:ind w:firstLine="480" w:firstLineChars="200"/>
        <w:rPr>
          <w:rFonts w:hint="default" w:ascii="Times New Roman" w:hAnsi="Times New Roman" w:cs="Times New Roman"/>
          <w:bCs/>
          <w:color w:val="auto"/>
          <w:sz w:val="24"/>
          <w:highlight w:val="none"/>
          <w:vertAlign w:val="baseline"/>
          <w:lang w:val="en-US" w:eastAsia="zh-CN"/>
        </w:rPr>
      </w:pPr>
      <w:r>
        <w:rPr>
          <w:rFonts w:hint="eastAsia" w:cs="Times New Roman"/>
          <w:bCs/>
          <w:color w:val="auto"/>
          <w:sz w:val="24"/>
          <w:highlight w:val="none"/>
          <w:vertAlign w:val="baseline"/>
          <w:lang w:val="en-US" w:eastAsia="zh-CN"/>
        </w:rPr>
        <w:t>2、土壤环境影响识别及评价等级</w:t>
      </w:r>
    </w:p>
    <w:p>
      <w:pPr>
        <w:spacing w:line="360" w:lineRule="auto"/>
        <w:ind w:firstLine="480" w:firstLineChars="200"/>
        <w:rPr>
          <w:rFonts w:hint="eastAsia" w:ascii="Times New Roman" w:hAnsi="Times New Roman" w:cs="Times New Roman"/>
          <w:bCs/>
          <w:color w:val="auto"/>
          <w:sz w:val="24"/>
          <w:highlight w:val="none"/>
          <w:vertAlign w:val="baseline"/>
          <w:lang w:val="en-US" w:eastAsia="zh-CN"/>
        </w:rPr>
      </w:pPr>
      <w:r>
        <w:rPr>
          <w:rFonts w:hint="eastAsia" w:ascii="Times New Roman" w:hAnsi="Times New Roman" w:cs="Times New Roman"/>
          <w:bCs/>
          <w:color w:val="auto"/>
          <w:sz w:val="24"/>
          <w:highlight w:val="none"/>
          <w:vertAlign w:val="baseline"/>
          <w:lang w:val="en-US" w:eastAsia="zh-CN"/>
        </w:rPr>
        <w:t>本项目石灰岩矿</w:t>
      </w:r>
      <w:r>
        <w:rPr>
          <w:rFonts w:hint="eastAsia" w:cs="Times New Roman"/>
          <w:bCs/>
          <w:color w:val="auto"/>
          <w:sz w:val="24"/>
          <w:highlight w:val="none"/>
          <w:vertAlign w:val="baseline"/>
          <w:lang w:val="en-US" w:eastAsia="zh-CN"/>
        </w:rPr>
        <w:t>新建</w:t>
      </w:r>
      <w:r>
        <w:rPr>
          <w:rFonts w:hint="eastAsia" w:ascii="Times New Roman" w:hAnsi="Times New Roman" w:cs="Times New Roman"/>
          <w:bCs/>
          <w:color w:val="auto"/>
          <w:sz w:val="24"/>
          <w:highlight w:val="none"/>
          <w:vertAlign w:val="baseline"/>
          <w:lang w:val="en-US" w:eastAsia="zh-CN"/>
        </w:rPr>
        <w:t>工程，根据项目建设内容及其对土壤环境可能产生的影响，判定本项目土壤影响类型为污染影响型和生态影响型。</w:t>
      </w:r>
    </w:p>
    <w:p>
      <w:pPr>
        <w:spacing w:line="360" w:lineRule="auto"/>
        <w:ind w:firstLine="482" w:firstLineChars="200"/>
        <w:rPr>
          <w:rFonts w:hint="default" w:ascii="Times New Roman" w:hAnsi="Times New Roman" w:cs="Times New Roman"/>
          <w:b/>
          <w:bCs w:val="0"/>
          <w:color w:val="auto"/>
          <w:sz w:val="24"/>
          <w:highlight w:val="none"/>
          <w:vertAlign w:val="baseline"/>
          <w:lang w:val="en-US" w:eastAsia="zh-CN"/>
        </w:rPr>
      </w:pPr>
      <w:r>
        <w:rPr>
          <w:rFonts w:hint="eastAsia" w:ascii="Times New Roman" w:hAnsi="Times New Roman" w:cs="Times New Roman"/>
          <w:b/>
          <w:bCs w:val="0"/>
          <w:color w:val="auto"/>
          <w:sz w:val="24"/>
          <w:highlight w:val="none"/>
          <w:vertAlign w:val="baseline"/>
          <w:lang w:val="en-US" w:eastAsia="zh-CN"/>
        </w:rPr>
        <w:t>（1）</w:t>
      </w:r>
      <w:r>
        <w:rPr>
          <w:rFonts w:hint="default" w:ascii="Times New Roman" w:hAnsi="Times New Roman" w:cs="Times New Roman"/>
          <w:b/>
          <w:bCs w:val="0"/>
          <w:color w:val="auto"/>
          <w:sz w:val="24"/>
          <w:highlight w:val="none"/>
          <w:vertAlign w:val="baseline"/>
          <w:lang w:val="en-US" w:eastAsia="zh-CN"/>
        </w:rPr>
        <w:t>项目类别</w:t>
      </w:r>
    </w:p>
    <w:p>
      <w:pPr>
        <w:spacing w:line="360" w:lineRule="auto"/>
        <w:ind w:firstLine="480" w:firstLineChars="200"/>
        <w:rPr>
          <w:rFonts w:hint="default" w:ascii="Times New Roman" w:hAnsi="Times New Roman" w:cs="Times New Roman"/>
          <w:bCs/>
          <w:color w:val="auto"/>
          <w:sz w:val="24"/>
          <w:highlight w:val="none"/>
          <w:vertAlign w:val="baseline"/>
          <w:lang w:val="en-US" w:eastAsia="zh-CN"/>
        </w:rPr>
      </w:pPr>
      <w:r>
        <w:rPr>
          <w:rFonts w:hint="default" w:ascii="Times New Roman" w:hAnsi="Times New Roman" w:cs="Times New Roman"/>
          <w:bCs/>
          <w:color w:val="auto"/>
          <w:sz w:val="24"/>
          <w:highlight w:val="none"/>
          <w:vertAlign w:val="baseline"/>
          <w:lang w:val="en-US" w:eastAsia="zh-CN"/>
        </w:rPr>
        <w:t>依据《环境影响评价技术导则——土壤环境（试行）》（HJ  964-2018）附录 A，本项目归类为</w:t>
      </w:r>
      <w:r>
        <w:rPr>
          <w:rFonts w:hint="eastAsia" w:ascii="Times New Roman" w:hAnsi="Times New Roman" w:cs="Times New Roman"/>
          <w:bCs/>
          <w:color w:val="auto"/>
          <w:sz w:val="24"/>
          <w:highlight w:val="none"/>
          <w:vertAlign w:val="baseline"/>
          <w:lang w:val="en-US" w:eastAsia="zh-CN"/>
        </w:rPr>
        <w:t>其他采矿业</w:t>
      </w:r>
      <w:r>
        <w:rPr>
          <w:rFonts w:hint="default" w:ascii="Times New Roman" w:hAnsi="Times New Roman" w:cs="Times New Roman"/>
          <w:bCs/>
          <w:color w:val="auto"/>
          <w:sz w:val="24"/>
          <w:highlight w:val="none"/>
          <w:vertAlign w:val="baseline"/>
          <w:lang w:val="en-US" w:eastAsia="zh-CN"/>
        </w:rPr>
        <w:t>，属</w:t>
      </w:r>
      <w:r>
        <w:rPr>
          <w:rFonts w:hint="eastAsia" w:ascii="Times New Roman" w:hAnsi="Times New Roman" w:cs="Times New Roman"/>
          <w:bCs/>
          <w:color w:val="auto"/>
          <w:sz w:val="24"/>
          <w:highlight w:val="none"/>
          <w:vertAlign w:val="baseline"/>
          <w:lang w:val="en-US" w:eastAsia="zh-CN"/>
        </w:rPr>
        <w:t>III</w:t>
      </w:r>
      <w:r>
        <w:rPr>
          <w:rFonts w:hint="default" w:ascii="Times New Roman" w:hAnsi="Times New Roman" w:cs="Times New Roman"/>
          <w:bCs/>
          <w:color w:val="auto"/>
          <w:sz w:val="24"/>
          <w:highlight w:val="none"/>
          <w:vertAlign w:val="baseline"/>
          <w:lang w:val="en-US" w:eastAsia="zh-CN"/>
        </w:rPr>
        <w:t>类项目。</w:t>
      </w:r>
    </w:p>
    <w:p>
      <w:pPr>
        <w:pStyle w:val="2"/>
        <w:rPr>
          <w:rFonts w:hint="default" w:ascii="Times New Roman" w:hAnsi="Times New Roman" w:cs="Times New Roman"/>
          <w:b/>
          <w:bCs w:val="0"/>
          <w:color w:val="auto"/>
          <w:sz w:val="24"/>
          <w:highlight w:val="none"/>
          <w:vertAlign w:val="baseline"/>
          <w:lang w:val="en-US" w:eastAsia="zh-CN"/>
        </w:rPr>
      </w:pPr>
      <w:r>
        <w:rPr>
          <w:rFonts w:hint="eastAsia" w:ascii="Times New Roman" w:hAnsi="Times New Roman" w:cs="Times New Roman"/>
          <w:b/>
          <w:bCs w:val="0"/>
          <w:color w:val="auto"/>
          <w:sz w:val="24"/>
          <w:highlight w:val="none"/>
          <w:vertAlign w:val="baseline"/>
          <w:lang w:val="en-US" w:eastAsia="zh-CN"/>
        </w:rPr>
        <w:t>（2）评价等级</w:t>
      </w:r>
    </w:p>
    <w:p>
      <w:pPr>
        <w:rPr>
          <w:rFonts w:hint="default" w:ascii="Times New Roman" w:hAnsi="Times New Roman" w:cs="Times New Roman"/>
          <w:bCs/>
          <w:color w:val="auto"/>
          <w:sz w:val="24"/>
          <w:highlight w:val="none"/>
          <w:vertAlign w:val="baseline"/>
          <w:lang w:val="en-US" w:eastAsia="zh-CN"/>
        </w:rPr>
      </w:pPr>
      <w:r>
        <w:rPr>
          <w:rFonts w:hint="eastAsia"/>
          <w:color w:val="auto"/>
          <w:highlight w:val="none"/>
          <w:lang w:val="en-US" w:eastAsia="zh-CN"/>
        </w:rPr>
        <w:t>根据《环境影响评价技术导则——土壤环境（试行）》（HJ  964-2018）6.2.3：建设项目同时设计土壤环境生态影响型与污染影响型时，应分别判定评价工作等级。本项目土壤</w:t>
      </w:r>
      <w:r>
        <w:rPr>
          <w:rFonts w:hint="eastAsia" w:ascii="Times New Roman" w:hAnsi="Times New Roman" w:cs="Times New Roman"/>
          <w:bCs/>
          <w:color w:val="auto"/>
          <w:sz w:val="24"/>
          <w:highlight w:val="none"/>
          <w:vertAlign w:val="baseline"/>
          <w:lang w:val="en-US" w:eastAsia="zh-CN"/>
        </w:rPr>
        <w:t>影响类型为污染影响型和生态影响型，土壤评价工作等级分别判定情况如下：</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rFonts w:hint="eastAsia"/>
          <w:b/>
          <w:bCs/>
          <w:color w:val="auto"/>
          <w:highlight w:val="none"/>
          <w:lang w:val="en-US" w:eastAsia="zh-CN"/>
        </w:rPr>
      </w:pPr>
      <w:r>
        <w:rPr>
          <w:rFonts w:hint="eastAsia"/>
          <w:b/>
          <w:bCs/>
          <w:color w:val="auto"/>
          <w:highlight w:val="none"/>
          <w:lang w:val="en-US" w:eastAsia="zh-CN"/>
        </w:rPr>
        <w:t>A、生态影响型</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color w:val="auto"/>
          <w:highlight w:val="none"/>
          <w:lang w:val="en-US" w:eastAsia="zh-CN"/>
        </w:rPr>
      </w:pPr>
      <w:r>
        <w:rPr>
          <w:rFonts w:hint="eastAsia"/>
          <w:color w:val="auto"/>
          <w:highlight w:val="none"/>
          <w:lang w:val="en-US" w:eastAsia="zh-CN"/>
        </w:rPr>
        <w:t>根据项目区域土壤环境质量现状监测结果，土壤pH值范围为6.18-6.54（5.5＜pH＜8.5），敏感程度分级为不敏感，且项目类型为III类，根据《环境影响评价技术导则——土壤环境（试行）》（HJ 964-2018）表2评价工作等级划分，本项目按生态影响型判定不设置评价等级。</w:t>
      </w:r>
    </w:p>
    <w:p>
      <w:pPr>
        <w:rPr>
          <w:rFonts w:hint="default"/>
          <w:color w:val="auto"/>
          <w:highlight w:val="none"/>
          <w:lang w:val="en-US" w:eastAsia="zh-CN"/>
        </w:rPr>
      </w:pPr>
      <w:r>
        <w:rPr>
          <w:rFonts w:hint="eastAsia"/>
          <w:b/>
          <w:bCs/>
          <w:color w:val="auto"/>
          <w:highlight w:val="none"/>
          <w:lang w:val="en-US" w:eastAsia="zh-CN"/>
        </w:rPr>
        <w:t>B、污染影响型</w:t>
      </w:r>
    </w:p>
    <w:p>
      <w:pPr>
        <w:pStyle w:val="2"/>
        <w:rPr>
          <w:rFonts w:hint="default" w:eastAsia="宋体"/>
          <w:color w:val="auto"/>
          <w:highlight w:val="none"/>
          <w:vertAlign w:val="baseline"/>
          <w:lang w:val="en-US" w:eastAsia="zh-CN"/>
        </w:rPr>
      </w:pPr>
      <w:r>
        <w:rPr>
          <w:rFonts w:hint="eastAsia"/>
          <w:color w:val="auto"/>
          <w:highlight w:val="none"/>
          <w:lang w:val="en-US" w:eastAsia="zh-CN"/>
        </w:rPr>
        <w:t>项目新建后矿区范围</w:t>
      </w:r>
      <w:r>
        <w:rPr>
          <w:rFonts w:hint="eastAsia"/>
          <w:color w:val="auto"/>
          <w:highlight w:val="none"/>
        </w:rPr>
        <w:t>矿区范围面积为0.</w:t>
      </w:r>
      <w:r>
        <w:rPr>
          <w:rFonts w:hint="eastAsia"/>
          <w:color w:val="auto"/>
          <w:highlight w:val="none"/>
          <w:lang w:val="en-US" w:eastAsia="zh-CN"/>
        </w:rPr>
        <w:t>095</w:t>
      </w:r>
      <w:r>
        <w:rPr>
          <w:rFonts w:hint="eastAsia"/>
          <w:color w:val="auto"/>
          <w:highlight w:val="none"/>
        </w:rPr>
        <w:t>km</w:t>
      </w:r>
      <w:r>
        <w:rPr>
          <w:rFonts w:hint="eastAsia"/>
          <w:color w:val="auto"/>
          <w:highlight w:val="none"/>
          <w:vertAlign w:val="superscript"/>
        </w:rPr>
        <w:t>2</w:t>
      </w:r>
      <w:r>
        <w:rPr>
          <w:rFonts w:hint="eastAsia"/>
          <w:color w:val="auto"/>
          <w:highlight w:val="none"/>
          <w:vertAlign w:val="baseline"/>
          <w:lang w:eastAsia="zh-CN"/>
        </w:rPr>
        <w:t>，约</w:t>
      </w:r>
      <w:r>
        <w:rPr>
          <w:rFonts w:hint="eastAsia"/>
          <w:color w:val="auto"/>
          <w:highlight w:val="none"/>
          <w:vertAlign w:val="baseline"/>
          <w:lang w:val="en-US" w:eastAsia="zh-CN"/>
        </w:rPr>
        <w:t>9.5公顷，属中型规模，矿区周边无耕地、园地、牧草地、饮用水源地、居民、学校、医院等土壤环境敏感目标，按</w:t>
      </w:r>
      <w:r>
        <w:rPr>
          <w:rFonts w:hint="eastAsia"/>
          <w:color w:val="auto"/>
          <w:highlight w:val="none"/>
          <w:lang w:val="en-US" w:eastAsia="zh-CN"/>
        </w:rPr>
        <w:t>《环境影响评价技术导则——土壤环境（试行）》（HJ  964-2018）表4评价工作等级划分，本项目按污染型划分，评价工作等级为三级。</w:t>
      </w:r>
    </w:p>
    <w:p>
      <w:pPr>
        <w:spacing w:line="360" w:lineRule="auto"/>
        <w:ind w:firstLine="480" w:firstLineChars="200"/>
        <w:rPr>
          <w:rFonts w:hint="default" w:eastAsia="宋体"/>
          <w:color w:val="auto"/>
          <w:highlight w:val="none"/>
          <w:vertAlign w:val="baseline"/>
          <w:lang w:val="en-US" w:eastAsia="zh-CN"/>
        </w:rPr>
      </w:pPr>
      <w:r>
        <w:rPr>
          <w:rFonts w:hint="eastAsia" w:cs="Times New Roman" w:eastAsiaTheme="minorEastAsia"/>
          <w:bCs/>
          <w:color w:val="auto"/>
          <w:sz w:val="24"/>
          <w:highlight w:val="none"/>
          <w:vertAlign w:val="baseline"/>
          <w:lang w:val="en-US" w:eastAsia="zh-CN"/>
        </w:rPr>
        <w:t>综上，本项目土壤评价按</w:t>
      </w:r>
      <w:r>
        <w:rPr>
          <w:rFonts w:hint="eastAsia" w:ascii="Times New Roman" w:hAnsi="Times New Roman" w:cs="Times New Roman"/>
          <w:bCs/>
          <w:color w:val="auto"/>
          <w:sz w:val="24"/>
          <w:highlight w:val="none"/>
          <w:vertAlign w:val="baseline"/>
          <w:lang w:val="en-US" w:eastAsia="zh-CN"/>
        </w:rPr>
        <w:t>污染影响型</w:t>
      </w:r>
      <w:r>
        <w:rPr>
          <w:rFonts w:hint="eastAsia" w:cs="Times New Roman"/>
          <w:bCs/>
          <w:color w:val="auto"/>
          <w:sz w:val="24"/>
          <w:highlight w:val="none"/>
          <w:vertAlign w:val="baseline"/>
          <w:lang w:val="en-US" w:eastAsia="zh-CN"/>
        </w:rPr>
        <w:t>进行判定，土壤评价评价等级为三级。</w:t>
      </w:r>
    </w:p>
    <w:p>
      <w:pPr>
        <w:spacing w:line="360" w:lineRule="auto"/>
        <w:ind w:firstLine="480" w:firstLineChars="200"/>
        <w:rPr>
          <w:rFonts w:hint="default" w:ascii="Times New Roman" w:hAnsi="Times New Roman" w:cs="Times New Roman"/>
          <w:bCs/>
          <w:color w:val="auto"/>
          <w:sz w:val="24"/>
          <w:highlight w:val="none"/>
          <w:vertAlign w:val="baseline"/>
          <w:lang w:val="en-US" w:eastAsia="zh-CN"/>
        </w:rPr>
      </w:pPr>
      <w:r>
        <w:rPr>
          <w:rFonts w:hint="eastAsia" w:cs="Times New Roman"/>
          <w:bCs/>
          <w:color w:val="auto"/>
          <w:sz w:val="24"/>
          <w:highlight w:val="none"/>
          <w:vertAlign w:val="baseline"/>
          <w:lang w:val="en-US" w:eastAsia="zh-CN"/>
        </w:rPr>
        <w:t>3、区域土壤环境现状</w:t>
      </w:r>
    </w:p>
    <w:p>
      <w:pPr>
        <w:spacing w:line="360" w:lineRule="auto"/>
        <w:ind w:firstLine="480" w:firstLineChars="200"/>
        <w:rPr>
          <w:rFonts w:hint="default" w:ascii="Times New Roman" w:hAnsi="Times New Roman" w:cs="Times New Roman"/>
          <w:bCs/>
          <w:color w:val="auto"/>
          <w:sz w:val="24"/>
          <w:highlight w:val="none"/>
          <w:vertAlign w:val="baseline"/>
          <w:lang w:val="en-US" w:eastAsia="zh-CN"/>
        </w:rPr>
      </w:pPr>
      <w:r>
        <w:rPr>
          <w:rFonts w:hint="default" w:ascii="Times New Roman" w:hAnsi="Times New Roman" w:cs="Times New Roman"/>
          <w:bCs/>
          <w:color w:val="auto"/>
          <w:sz w:val="24"/>
          <w:highlight w:val="none"/>
          <w:vertAlign w:val="baseline"/>
          <w:lang w:val="en-US" w:eastAsia="zh-CN"/>
        </w:rPr>
        <w:t>（1）土壤类型及理化特性</w:t>
      </w:r>
    </w:p>
    <w:p>
      <w:pPr>
        <w:spacing w:line="360" w:lineRule="auto"/>
        <w:ind w:firstLine="480" w:firstLineChars="200"/>
        <w:rPr>
          <w:rFonts w:hint="default" w:ascii="Times New Roman" w:hAnsi="Times New Roman" w:cs="Times New Roman"/>
          <w:bCs/>
          <w:color w:val="auto"/>
          <w:sz w:val="24"/>
          <w:highlight w:val="none"/>
          <w:vertAlign w:val="baseline"/>
          <w:lang w:val="en-US" w:eastAsia="zh-CN"/>
        </w:rPr>
      </w:pPr>
      <w:r>
        <w:rPr>
          <w:rFonts w:hint="default" w:ascii="Times New Roman" w:hAnsi="Times New Roman" w:cs="Times New Roman"/>
          <w:bCs/>
          <w:color w:val="auto"/>
          <w:sz w:val="24"/>
          <w:highlight w:val="none"/>
          <w:vertAlign w:val="baseline"/>
          <w:lang w:val="en-US" w:eastAsia="zh-CN"/>
        </w:rPr>
        <w:t>根据国家土壤信息平台（http://www.soilinfo.cn/MAP/index.aspx）查询及现场调查，本项目调查评价范围内土壤类型为</w:t>
      </w:r>
      <w:r>
        <w:rPr>
          <w:rFonts w:hint="eastAsia" w:ascii="Times New Roman" w:hAnsi="Times New Roman" w:cs="Times New Roman"/>
          <w:bCs/>
          <w:color w:val="auto"/>
          <w:sz w:val="24"/>
          <w:highlight w:val="none"/>
          <w:vertAlign w:val="baseline"/>
          <w:lang w:val="en-US" w:eastAsia="zh-CN"/>
        </w:rPr>
        <w:t>赤红壤和石灰土</w:t>
      </w:r>
      <w:r>
        <w:rPr>
          <w:rFonts w:hint="default" w:ascii="Times New Roman" w:hAnsi="Times New Roman" w:cs="Times New Roman"/>
          <w:bCs/>
          <w:color w:val="auto"/>
          <w:sz w:val="24"/>
          <w:highlight w:val="none"/>
          <w:vertAlign w:val="baseline"/>
          <w:lang w:val="en-US" w:eastAsia="zh-CN"/>
        </w:rPr>
        <w:t>，本次调查进行了土壤理化性质的调查</w:t>
      </w:r>
      <w:r>
        <w:rPr>
          <w:rFonts w:hint="eastAsia" w:ascii="Times New Roman" w:hAnsi="Times New Roman" w:cs="Times New Roman"/>
          <w:bCs/>
          <w:color w:val="auto"/>
          <w:sz w:val="24"/>
          <w:highlight w:val="none"/>
          <w:vertAlign w:val="baseline"/>
          <w:lang w:val="en-US" w:eastAsia="zh-CN"/>
        </w:rPr>
        <w:t>，根据调查结果，场内土壤容重平均为1.47g/cm</w:t>
      </w:r>
      <w:r>
        <w:rPr>
          <w:rFonts w:hint="eastAsia" w:ascii="Times New Roman" w:hAnsi="Times New Roman" w:cs="Times New Roman"/>
          <w:bCs/>
          <w:color w:val="auto"/>
          <w:sz w:val="24"/>
          <w:highlight w:val="none"/>
          <w:vertAlign w:val="superscript"/>
          <w:lang w:val="en-US" w:eastAsia="zh-CN"/>
        </w:rPr>
        <w:t>3</w:t>
      </w:r>
      <w:r>
        <w:rPr>
          <w:rFonts w:hint="default" w:ascii="Times New Roman" w:hAnsi="Times New Roman" w:cs="Times New Roman"/>
          <w:bCs/>
          <w:color w:val="auto"/>
          <w:sz w:val="24"/>
          <w:highlight w:val="none"/>
          <w:vertAlign w:val="baseline"/>
          <w:lang w:val="en-US" w:eastAsia="zh-CN"/>
        </w:rPr>
        <w:t>。</w:t>
      </w:r>
    </w:p>
    <w:p>
      <w:pPr>
        <w:spacing w:line="360" w:lineRule="auto"/>
        <w:ind w:firstLine="480" w:firstLineChars="200"/>
        <w:rPr>
          <w:rFonts w:hint="default" w:ascii="Times New Roman" w:hAnsi="Times New Roman" w:cs="Times New Roman"/>
          <w:bCs/>
          <w:color w:val="auto"/>
          <w:sz w:val="24"/>
          <w:highlight w:val="none"/>
          <w:vertAlign w:val="baseline"/>
          <w:lang w:val="en-US" w:eastAsia="zh-CN"/>
        </w:rPr>
      </w:pPr>
      <w:r>
        <w:rPr>
          <w:rFonts w:hint="default" w:ascii="Times New Roman" w:hAnsi="Times New Roman" w:cs="Times New Roman"/>
          <w:bCs/>
          <w:color w:val="auto"/>
          <w:sz w:val="24"/>
          <w:highlight w:val="none"/>
          <w:vertAlign w:val="baseline"/>
          <w:lang w:val="en-US" w:eastAsia="zh-CN"/>
        </w:rPr>
        <w:t>（</w:t>
      </w:r>
      <w:r>
        <w:rPr>
          <w:rFonts w:hint="eastAsia" w:cs="Times New Roman"/>
          <w:bCs/>
          <w:color w:val="auto"/>
          <w:sz w:val="24"/>
          <w:highlight w:val="none"/>
          <w:vertAlign w:val="baseline"/>
          <w:lang w:val="en-US" w:eastAsia="zh-CN"/>
        </w:rPr>
        <w:t>2</w:t>
      </w:r>
      <w:r>
        <w:rPr>
          <w:rFonts w:hint="default" w:ascii="Times New Roman" w:hAnsi="Times New Roman" w:cs="Times New Roman"/>
          <w:bCs/>
          <w:color w:val="auto"/>
          <w:sz w:val="24"/>
          <w:highlight w:val="none"/>
          <w:vertAlign w:val="baseline"/>
          <w:lang w:val="en-US" w:eastAsia="zh-CN"/>
        </w:rPr>
        <w:t>）土壤环境质量现状</w:t>
      </w:r>
    </w:p>
    <w:p>
      <w:pPr>
        <w:spacing w:line="360" w:lineRule="auto"/>
        <w:ind w:firstLine="480" w:firstLineChars="200"/>
        <w:rPr>
          <w:rFonts w:hint="default" w:ascii="Times New Roman" w:hAnsi="Times New Roman" w:cs="Times New Roman"/>
          <w:bCs/>
          <w:color w:val="auto"/>
          <w:sz w:val="24"/>
          <w:highlight w:val="none"/>
          <w:vertAlign w:val="baseline"/>
          <w:lang w:val="en-US" w:eastAsia="zh-CN"/>
        </w:rPr>
      </w:pPr>
      <w:r>
        <w:rPr>
          <w:rFonts w:hint="default" w:ascii="Times New Roman" w:hAnsi="Times New Roman" w:cs="Times New Roman"/>
          <w:bCs/>
          <w:color w:val="auto"/>
          <w:sz w:val="24"/>
          <w:highlight w:val="none"/>
          <w:vertAlign w:val="baseline"/>
          <w:lang w:val="en-US" w:eastAsia="zh-CN"/>
        </w:rPr>
        <w:t>根据本报告环境现状调查与评价章节可知</w:t>
      </w:r>
      <w:r>
        <w:rPr>
          <w:rFonts w:hint="eastAsia" w:ascii="Times New Roman" w:hAnsi="Times New Roman" w:cs="Times New Roman"/>
          <w:bCs/>
          <w:color w:val="auto"/>
          <w:sz w:val="24"/>
          <w:highlight w:val="none"/>
          <w:vertAlign w:val="baseline"/>
          <w:lang w:val="en-US" w:eastAsia="zh-CN"/>
        </w:rPr>
        <w:t>，</w:t>
      </w:r>
      <w:r>
        <w:rPr>
          <w:rFonts w:hint="default" w:ascii="Times New Roman" w:hAnsi="Times New Roman" w:cs="Times New Roman"/>
          <w:bCs/>
          <w:color w:val="auto"/>
          <w:sz w:val="24"/>
          <w:highlight w:val="none"/>
          <w:vertAlign w:val="baseline"/>
          <w:lang w:val="en-US" w:eastAsia="zh-CN"/>
        </w:rPr>
        <w:t>本项目</w:t>
      </w:r>
      <w:r>
        <w:rPr>
          <w:rFonts w:hint="eastAsia" w:ascii="Times New Roman" w:hAnsi="Times New Roman" w:cs="Times New Roman"/>
          <w:bCs/>
          <w:color w:val="auto"/>
          <w:sz w:val="24"/>
          <w:highlight w:val="none"/>
          <w:vertAlign w:val="baseline"/>
          <w:lang w:val="en-US" w:eastAsia="zh-CN"/>
        </w:rPr>
        <w:t>周边</w:t>
      </w:r>
      <w:r>
        <w:rPr>
          <w:rFonts w:hint="default" w:ascii="Times New Roman" w:hAnsi="Times New Roman" w:cs="Times New Roman"/>
          <w:bCs/>
          <w:color w:val="auto"/>
          <w:sz w:val="24"/>
          <w:highlight w:val="none"/>
          <w:vertAlign w:val="baseline"/>
          <w:lang w:val="en-US" w:eastAsia="zh-CN"/>
        </w:rPr>
        <w:t>土壤环境质量状况良好。</w:t>
      </w:r>
    </w:p>
    <w:p>
      <w:pPr>
        <w:rPr>
          <w:rFonts w:hint="default" w:cs="Times New Roman"/>
          <w:bCs/>
          <w:color w:val="auto"/>
          <w:sz w:val="24"/>
          <w:highlight w:val="none"/>
          <w:vertAlign w:val="baseline"/>
          <w:lang w:val="en-US" w:eastAsia="zh-CN"/>
        </w:rPr>
      </w:pPr>
      <w:r>
        <w:rPr>
          <w:rFonts w:hint="eastAsia" w:cs="Times New Roman"/>
          <w:bCs/>
          <w:color w:val="auto"/>
          <w:sz w:val="24"/>
          <w:highlight w:val="none"/>
          <w:vertAlign w:val="baseline"/>
          <w:lang w:val="en-US" w:eastAsia="zh-CN"/>
        </w:rPr>
        <w:t>4、土壤环境影响预测与评价</w:t>
      </w:r>
    </w:p>
    <w:p>
      <w:pPr>
        <w:rPr>
          <w:rFonts w:hint="eastAsia" w:ascii="Times New Roman" w:hAnsi="Times New Roman" w:cs="Times New Roman"/>
          <w:color w:val="auto"/>
          <w:sz w:val="24"/>
          <w:szCs w:val="24"/>
          <w:highlight w:val="none"/>
          <w:lang w:val="en-US" w:eastAsia="zh-CN"/>
        </w:rPr>
      </w:pPr>
      <w:r>
        <w:rPr>
          <w:rFonts w:hint="eastAsia" w:cs="Times New Roman"/>
          <w:bCs/>
          <w:color w:val="auto"/>
          <w:sz w:val="24"/>
          <w:highlight w:val="none"/>
          <w:vertAlign w:val="baseline"/>
          <w:lang w:val="en-US" w:eastAsia="zh-CN"/>
        </w:rPr>
        <w:t>项目为石灰岩矿山新建项目，</w:t>
      </w:r>
      <w:r>
        <w:rPr>
          <w:rFonts w:hint="eastAsia" w:ascii="Times New Roman" w:hAnsi="Times New Roman" w:cs="Times New Roman"/>
          <w:bCs/>
          <w:color w:val="auto"/>
          <w:sz w:val="24"/>
          <w:highlight w:val="none"/>
          <w:vertAlign w:val="baseline"/>
          <w:lang w:val="en-US" w:eastAsia="zh-CN"/>
        </w:rPr>
        <w:t>根据对矿界范围内表层土壤及矿界范围外土壤环境质量现状监测结果可知，</w:t>
      </w:r>
      <w:r>
        <w:rPr>
          <w:rFonts w:hint="eastAsia" w:ascii="Times New Roman" w:hAnsi="Times New Roman" w:cs="Times New Roman"/>
          <w:color w:val="auto"/>
          <w:sz w:val="24"/>
          <w:szCs w:val="24"/>
          <w:highlight w:val="none"/>
          <w:lang w:val="en-US" w:eastAsia="zh-CN"/>
        </w:rPr>
        <w:t>矿界范围外表层土壤现状监测值</w:t>
      </w:r>
      <w:r>
        <w:rPr>
          <w:rFonts w:hint="default" w:ascii="Times New Roman" w:hAnsi="Times New Roman" w:cs="Times New Roman"/>
          <w:color w:val="auto"/>
          <w:sz w:val="24"/>
          <w:szCs w:val="24"/>
          <w:highlight w:val="none"/>
          <w:lang w:val="en-US" w:eastAsia="zh-CN"/>
        </w:rPr>
        <w:t>均能满足《土壤环境质量-农用地土壤污染风险管控标准》（GB15618-218）筛选值要求</w:t>
      </w:r>
      <w:r>
        <w:rPr>
          <w:rFonts w:hint="eastAsia" w:ascii="Times New Roman" w:hAnsi="Times New Roman" w:cs="Times New Roman"/>
          <w:color w:val="auto"/>
          <w:sz w:val="24"/>
          <w:szCs w:val="24"/>
          <w:highlight w:val="none"/>
          <w:lang w:val="en-US" w:eastAsia="zh-CN"/>
        </w:rPr>
        <w:t>，土壤pH值范围为</w:t>
      </w:r>
      <w:r>
        <w:rPr>
          <w:rFonts w:hint="eastAsia" w:cs="Times New Roman"/>
          <w:color w:val="auto"/>
          <w:sz w:val="24"/>
          <w:szCs w:val="24"/>
          <w:highlight w:val="none"/>
          <w:lang w:val="en-US" w:eastAsia="zh-CN"/>
        </w:rPr>
        <w:t>6.18</w:t>
      </w:r>
      <w:r>
        <w:rPr>
          <w:rFonts w:hint="eastAsia"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6.43</w:t>
      </w:r>
      <w:r>
        <w:rPr>
          <w:rFonts w:hint="eastAsia" w:ascii="Times New Roman" w:hAnsi="Times New Roman" w:cs="Times New Roman"/>
          <w:color w:val="auto"/>
          <w:sz w:val="24"/>
          <w:szCs w:val="24"/>
          <w:highlight w:val="none"/>
          <w:lang w:val="en-US" w:eastAsia="zh-CN"/>
        </w:rPr>
        <w:t>（5.5＜pH＜8.5），无酸化、碱化现象；对照矿界范围内、外土壤监测结果，各土壤监测点位监测因子变化趋势很小，监测结果基本相近。</w:t>
      </w:r>
    </w:p>
    <w:p>
      <w:pPr>
        <w:rPr>
          <w:highlight w:val="none"/>
        </w:rPr>
        <w:sectPr>
          <w:pgSz w:w="11911" w:h="16838"/>
          <w:pgMar w:top="1417" w:right="1417" w:bottom="1417" w:left="1417" w:header="879" w:footer="952" w:gutter="0"/>
          <w:pgBorders>
            <w:top w:val="none" w:sz="0" w:space="0"/>
            <w:left w:val="none" w:sz="0" w:space="0"/>
            <w:bottom w:val="none" w:sz="0" w:space="0"/>
            <w:right w:val="none" w:sz="0" w:space="0"/>
          </w:pgBorders>
          <w:pgNumType w:fmt="decimal"/>
          <w:cols w:space="720" w:num="1"/>
          <w:docGrid w:linePitch="312" w:charSpace="0"/>
        </w:sectPr>
      </w:pPr>
      <w:r>
        <w:rPr>
          <w:rFonts w:hint="eastAsia" w:ascii="Times New Roman" w:hAnsi="Times New Roman" w:cs="Times New Roman"/>
          <w:bCs/>
          <w:color w:val="auto"/>
          <w:sz w:val="24"/>
          <w:highlight w:val="none"/>
          <w:vertAlign w:val="baseline"/>
          <w:lang w:val="en-US" w:eastAsia="zh-CN"/>
        </w:rPr>
        <w:t>本项目为</w:t>
      </w:r>
      <w:r>
        <w:rPr>
          <w:rFonts w:hint="eastAsia" w:cs="Times New Roman"/>
          <w:bCs/>
          <w:color w:val="auto"/>
          <w:sz w:val="24"/>
          <w:highlight w:val="none"/>
          <w:vertAlign w:val="baseline"/>
          <w:lang w:val="en-US" w:eastAsia="zh-CN"/>
        </w:rPr>
        <w:t>新建</w:t>
      </w:r>
      <w:r>
        <w:rPr>
          <w:rFonts w:hint="eastAsia" w:ascii="Times New Roman" w:hAnsi="Times New Roman" w:cs="Times New Roman"/>
          <w:bCs/>
          <w:color w:val="auto"/>
          <w:sz w:val="24"/>
          <w:highlight w:val="none"/>
          <w:vertAlign w:val="baseline"/>
          <w:lang w:val="en-US" w:eastAsia="zh-CN"/>
        </w:rPr>
        <w:t>工程，</w:t>
      </w:r>
      <w:r>
        <w:rPr>
          <w:rFonts w:hint="eastAsia" w:cs="Times New Roman"/>
          <w:bCs/>
          <w:color w:val="auto"/>
          <w:sz w:val="24"/>
          <w:highlight w:val="none"/>
          <w:vertAlign w:val="baseline"/>
          <w:lang w:val="en-US" w:eastAsia="zh-CN"/>
        </w:rPr>
        <w:t>建成</w:t>
      </w:r>
      <w:r>
        <w:rPr>
          <w:rFonts w:hint="eastAsia" w:ascii="Times New Roman" w:hAnsi="Times New Roman" w:cs="Times New Roman"/>
          <w:bCs/>
          <w:color w:val="auto"/>
          <w:sz w:val="24"/>
          <w:highlight w:val="none"/>
          <w:vertAlign w:val="baseline"/>
          <w:lang w:val="en-US" w:eastAsia="zh-CN"/>
        </w:rPr>
        <w:t>后排放污染物无含</w:t>
      </w:r>
      <w:r>
        <w:rPr>
          <w:rFonts w:hint="eastAsia" w:ascii="Times New Roman" w:hAnsi="Times New Roman"/>
          <w:color w:val="auto"/>
          <w:highlight w:val="none"/>
          <w:lang w:eastAsia="zh-CN"/>
        </w:rPr>
        <w:t>镉、汞、砷、铅、铬、六价铬、铜、镍、锌等污染物，</w:t>
      </w:r>
      <w:r>
        <w:rPr>
          <w:rFonts w:hint="eastAsia" w:ascii="Times New Roman" w:hAnsi="Times New Roman" w:cs="Times New Roman"/>
          <w:bCs/>
          <w:color w:val="auto"/>
          <w:sz w:val="24"/>
          <w:highlight w:val="none"/>
          <w:vertAlign w:val="baseline"/>
          <w:lang w:val="en-US" w:eastAsia="zh-CN"/>
        </w:rPr>
        <w:t>本项目</w:t>
      </w:r>
      <w:r>
        <w:rPr>
          <w:rFonts w:hint="eastAsia" w:cs="Times New Roman"/>
          <w:bCs/>
          <w:color w:val="auto"/>
          <w:sz w:val="24"/>
          <w:highlight w:val="none"/>
          <w:vertAlign w:val="baseline"/>
          <w:lang w:val="en-US" w:eastAsia="zh-CN"/>
        </w:rPr>
        <w:t>新建</w:t>
      </w:r>
      <w:r>
        <w:rPr>
          <w:rFonts w:hint="eastAsia" w:ascii="Times New Roman" w:hAnsi="Times New Roman" w:cs="Times New Roman"/>
          <w:bCs/>
          <w:color w:val="auto"/>
          <w:sz w:val="24"/>
          <w:highlight w:val="none"/>
          <w:vertAlign w:val="baseline"/>
          <w:lang w:val="en-US" w:eastAsia="zh-CN"/>
        </w:rPr>
        <w:t>后不会对土壤造成不利影响</w:t>
      </w:r>
      <w:r>
        <w:rPr>
          <w:rFonts w:hint="eastAsia" w:cs="Times New Roman"/>
          <w:bCs/>
          <w:color w:val="auto"/>
          <w:sz w:val="24"/>
          <w:highlight w:val="none"/>
          <w:vertAlign w:val="baseline"/>
          <w:lang w:val="en-US" w:eastAsia="zh-CN"/>
        </w:rPr>
        <w:t>，土壤环境影响可接受。</w:t>
      </w:r>
    </w:p>
    <w:p>
      <w:pPr>
        <w:pStyle w:val="17"/>
        <w:ind w:left="0" w:leftChars="0" w:firstLine="0" w:firstLineChars="0"/>
        <w:rPr>
          <w:rFonts w:hint="eastAsia"/>
          <w:color w:val="auto"/>
          <w:highlight w:val="none"/>
        </w:rPr>
      </w:pPr>
    </w:p>
    <w:p>
      <w:pPr>
        <w:pStyle w:val="4"/>
        <w:rPr>
          <w:highlight w:val="none"/>
        </w:rPr>
      </w:pPr>
      <w:bookmarkStart w:id="435" w:name="_Toc23706"/>
      <w:r>
        <w:rPr>
          <w:rFonts w:hint="eastAsia" w:cs="Times New Roman"/>
          <w:b/>
          <w:bCs w:val="0"/>
          <w:kern w:val="0"/>
          <w:sz w:val="28"/>
          <w:szCs w:val="27"/>
          <w:highlight w:val="none"/>
          <w:lang w:val="en-US" w:eastAsia="zh-CN" w:bidi="ar-SA"/>
        </w:rPr>
        <w:t>6.2.7</w:t>
      </w:r>
      <w:r>
        <w:rPr>
          <w:rFonts w:hint="eastAsia" w:ascii="Times New Roman" w:hAnsi="Times New Roman" w:eastAsia="宋体" w:cs="Times New Roman"/>
          <w:b/>
          <w:bCs w:val="0"/>
          <w:kern w:val="0"/>
          <w:sz w:val="28"/>
          <w:szCs w:val="27"/>
          <w:highlight w:val="none"/>
          <w:lang w:val="en-US" w:eastAsia="zh-CN" w:bidi="ar-SA"/>
        </w:rPr>
        <w:t xml:space="preserve"> 生态影响分析</w:t>
      </w:r>
      <w:bookmarkEnd w:id="435"/>
    </w:p>
    <w:p>
      <w:pPr>
        <w:adjustRightInd w:val="0"/>
        <w:snapToGrid w:val="0"/>
        <w:ind w:firstLine="480"/>
        <w:rPr>
          <w:highlight w:val="none"/>
        </w:rPr>
      </w:pPr>
      <w:r>
        <w:rPr>
          <w:highlight w:val="none"/>
        </w:rPr>
        <w:t>根据《环境影响评价技术导则 生态影响》（HJ19-2011）的划分依据，确定本项目生态环境影响评价工作等级为</w:t>
      </w:r>
      <w:r>
        <w:rPr>
          <w:rFonts w:hint="eastAsia"/>
          <w:highlight w:val="none"/>
          <w:lang w:eastAsia="zh-CN"/>
        </w:rPr>
        <w:t>二</w:t>
      </w:r>
      <w:r>
        <w:rPr>
          <w:highlight w:val="none"/>
        </w:rPr>
        <w:t>级，</w:t>
      </w:r>
      <w:r>
        <w:rPr>
          <w:rFonts w:hint="eastAsia"/>
          <w:highlight w:val="none"/>
        </w:rPr>
        <w:t>矿山建设及运营过程中将不可避免地导致一些生态环境的影响和破坏，本次环评主要对项目对土地利用、植被和植物、野生动物和景观环境等几个方面简要分析石灰岩矿开采对生态环境的影响。以下就该项目对生态环境的影响进行分析评价</w:t>
      </w:r>
      <w:r>
        <w:rPr>
          <w:rFonts w:hint="eastAsia"/>
          <w:highlight w:val="none"/>
          <w:lang w:eastAsia="zh-CN"/>
        </w:rPr>
        <w:t>。</w:t>
      </w:r>
    </w:p>
    <w:p>
      <w:pPr>
        <w:pStyle w:val="149"/>
        <w:adjustRightInd w:val="0"/>
        <w:snapToGrid w:val="0"/>
        <w:rPr>
          <w:rFonts w:hint="eastAsia"/>
          <w:b/>
          <w:bCs/>
          <w:highlight w:val="none"/>
        </w:rPr>
      </w:pPr>
      <w:r>
        <w:rPr>
          <w:rFonts w:hint="eastAsia"/>
          <w:b/>
          <w:bCs/>
          <w:highlight w:val="none"/>
        </w:rPr>
        <w:t>1、项目建设对土地利用的影响</w:t>
      </w:r>
    </w:p>
    <w:p>
      <w:pPr>
        <w:pStyle w:val="149"/>
        <w:adjustRightInd w:val="0"/>
        <w:snapToGrid w:val="0"/>
        <w:rPr>
          <w:rFonts w:hint="eastAsia"/>
          <w:highlight w:val="none"/>
          <w:lang w:eastAsia="zh-CN"/>
        </w:rPr>
      </w:pPr>
      <w:r>
        <w:rPr>
          <w:rFonts w:hint="eastAsia" w:ascii="宋体" w:hAnsi="宋体" w:eastAsia="宋体"/>
          <w:szCs w:val="24"/>
          <w:highlight w:val="none"/>
        </w:rPr>
        <w:t>本矿山项目区土地面积为</w:t>
      </w:r>
      <w:r>
        <w:rPr>
          <w:rFonts w:ascii="宋体" w:hAnsi="宋体" w:eastAsia="宋体"/>
          <w:szCs w:val="24"/>
          <w:highlight w:val="none"/>
        </w:rPr>
        <w:t>10.1371hm²</w:t>
      </w:r>
      <w:r>
        <w:rPr>
          <w:rFonts w:hint="eastAsia" w:ascii="宋体" w:hAnsi="宋体" w:eastAsia="宋体"/>
          <w:szCs w:val="24"/>
          <w:highlight w:val="none"/>
        </w:rPr>
        <w:t>，其中：旱地0.9479hm²、灌木林地0.5461hm²，其他草地0.1641hm²，农村道路0.0749hm²、裸地8.4041hm²。矿区范围内涉及土地面积9.5000hm²，矿区范围外涉及土地面积0.6371hm²</w:t>
      </w:r>
      <w:r>
        <w:rPr>
          <w:rFonts w:hint="eastAsia" w:ascii="Times New Roman" w:hAnsi="Times New Roman"/>
          <w:color w:val="auto"/>
          <w:highlight w:val="none"/>
          <w:lang w:eastAsia="zh-CN"/>
        </w:rPr>
        <w:t>（包括工业场地、运输道路、排土场等设施用地）</w:t>
      </w:r>
      <w:r>
        <w:rPr>
          <w:rFonts w:hint="eastAsia"/>
          <w:highlight w:val="none"/>
        </w:rPr>
        <w:t>。</w:t>
      </w:r>
      <w:r>
        <w:rPr>
          <w:sz w:val="24"/>
          <w:szCs w:val="24"/>
          <w:highlight w:val="none"/>
        </w:rPr>
        <w:t>本项目损毁土地方式主要有挖损、压占，</w:t>
      </w:r>
      <w:r>
        <w:rPr>
          <w:rFonts w:hint="eastAsia"/>
          <w:sz w:val="24"/>
          <w:szCs w:val="24"/>
          <w:highlight w:val="none"/>
          <w:lang w:eastAsia="zh-CN"/>
        </w:rPr>
        <w:t>项目</w:t>
      </w:r>
      <w:r>
        <w:rPr>
          <w:sz w:val="24"/>
          <w:szCs w:val="24"/>
          <w:highlight w:val="none"/>
        </w:rPr>
        <w:t>区范围内损毁土地总面积</w:t>
      </w:r>
      <w:r>
        <w:rPr>
          <w:rFonts w:hint="eastAsia"/>
          <w:sz w:val="24"/>
          <w:szCs w:val="24"/>
          <w:highlight w:val="none"/>
        </w:rPr>
        <w:t>4.7619</w:t>
      </w:r>
      <w:r>
        <w:rPr>
          <w:rFonts w:ascii="宋体" w:hAnsi="宋体" w:eastAsia="宋体"/>
          <w:szCs w:val="24"/>
          <w:highlight w:val="none"/>
        </w:rPr>
        <w:t>hm²</w:t>
      </w:r>
      <w:r>
        <w:rPr>
          <w:sz w:val="24"/>
          <w:szCs w:val="24"/>
          <w:highlight w:val="none"/>
        </w:rPr>
        <w:t>，其中已损毁土地面积</w:t>
      </w:r>
      <w:r>
        <w:rPr>
          <w:rFonts w:hint="eastAsia"/>
          <w:sz w:val="24"/>
          <w:szCs w:val="24"/>
          <w:highlight w:val="none"/>
        </w:rPr>
        <w:t>0</w:t>
      </w:r>
      <w:r>
        <w:rPr>
          <w:sz w:val="24"/>
          <w:szCs w:val="24"/>
          <w:highlight w:val="none"/>
        </w:rPr>
        <w:t>公顷，拟损毁土地面积</w:t>
      </w:r>
      <w:r>
        <w:rPr>
          <w:rFonts w:hint="eastAsia"/>
          <w:sz w:val="24"/>
          <w:szCs w:val="24"/>
          <w:highlight w:val="none"/>
        </w:rPr>
        <w:t>4.7619</w:t>
      </w:r>
      <w:r>
        <w:rPr>
          <w:rFonts w:ascii="宋体" w:hAnsi="宋体" w:eastAsia="宋体"/>
          <w:szCs w:val="24"/>
          <w:highlight w:val="none"/>
        </w:rPr>
        <w:t>hm²</w:t>
      </w:r>
      <w:r>
        <w:rPr>
          <w:sz w:val="24"/>
          <w:szCs w:val="24"/>
          <w:highlight w:val="none"/>
        </w:rPr>
        <w:t>；复垦责任范围面积</w:t>
      </w:r>
      <w:r>
        <w:rPr>
          <w:rFonts w:hint="eastAsia"/>
          <w:sz w:val="24"/>
          <w:szCs w:val="24"/>
          <w:highlight w:val="none"/>
        </w:rPr>
        <w:t>4.7619</w:t>
      </w:r>
      <w:r>
        <w:rPr>
          <w:rFonts w:ascii="宋体" w:hAnsi="宋体" w:eastAsia="宋体"/>
          <w:szCs w:val="24"/>
          <w:highlight w:val="none"/>
        </w:rPr>
        <w:t>hm²</w:t>
      </w:r>
      <w:r>
        <w:rPr>
          <w:sz w:val="24"/>
          <w:szCs w:val="24"/>
          <w:highlight w:val="none"/>
        </w:rPr>
        <w:t>，其中挖损损毁</w:t>
      </w:r>
      <w:r>
        <w:rPr>
          <w:rFonts w:hint="eastAsia"/>
          <w:sz w:val="24"/>
          <w:szCs w:val="24"/>
          <w:highlight w:val="none"/>
        </w:rPr>
        <w:t>4.2040</w:t>
      </w:r>
      <w:r>
        <w:rPr>
          <w:rFonts w:ascii="宋体" w:hAnsi="宋体" w:eastAsia="宋体"/>
          <w:szCs w:val="24"/>
          <w:highlight w:val="none"/>
        </w:rPr>
        <w:t>hm²</w:t>
      </w:r>
      <w:r>
        <w:rPr>
          <w:sz w:val="24"/>
          <w:szCs w:val="24"/>
          <w:highlight w:val="none"/>
        </w:rPr>
        <w:t>，压占损毁</w:t>
      </w:r>
      <w:r>
        <w:rPr>
          <w:rFonts w:hint="eastAsia"/>
          <w:sz w:val="24"/>
          <w:szCs w:val="24"/>
          <w:highlight w:val="none"/>
        </w:rPr>
        <w:t>0.3372</w:t>
      </w:r>
      <w:r>
        <w:rPr>
          <w:rFonts w:ascii="宋体" w:hAnsi="宋体" w:eastAsia="宋体"/>
          <w:szCs w:val="24"/>
          <w:highlight w:val="none"/>
        </w:rPr>
        <w:t>hm²</w:t>
      </w:r>
      <w:r>
        <w:rPr>
          <w:sz w:val="24"/>
          <w:szCs w:val="24"/>
          <w:highlight w:val="none"/>
        </w:rPr>
        <w:t>，</w:t>
      </w:r>
      <w:r>
        <w:rPr>
          <w:rFonts w:hint="eastAsia"/>
          <w:sz w:val="24"/>
          <w:szCs w:val="24"/>
          <w:highlight w:val="none"/>
        </w:rPr>
        <w:t>占用0.2207</w:t>
      </w:r>
      <w:r>
        <w:rPr>
          <w:rFonts w:ascii="宋体" w:hAnsi="宋体" w:eastAsia="宋体"/>
          <w:szCs w:val="24"/>
          <w:highlight w:val="none"/>
        </w:rPr>
        <w:t>hm²</w:t>
      </w:r>
      <w:r>
        <w:rPr>
          <w:sz w:val="24"/>
          <w:szCs w:val="24"/>
          <w:highlight w:val="none"/>
        </w:rPr>
        <w:t>，地类为：</w:t>
      </w:r>
      <w:r>
        <w:rPr>
          <w:rFonts w:hint="eastAsia"/>
          <w:sz w:val="24"/>
          <w:szCs w:val="24"/>
          <w:highlight w:val="none"/>
        </w:rPr>
        <w:t>旱地0.4786</w:t>
      </w:r>
      <w:r>
        <w:rPr>
          <w:rFonts w:ascii="宋体" w:hAnsi="宋体" w:eastAsia="宋体"/>
          <w:szCs w:val="24"/>
          <w:highlight w:val="none"/>
        </w:rPr>
        <w:t>hm²</w:t>
      </w:r>
      <w:r>
        <w:rPr>
          <w:rFonts w:hint="eastAsia"/>
          <w:sz w:val="24"/>
          <w:szCs w:val="24"/>
          <w:highlight w:val="none"/>
        </w:rPr>
        <w:t>，灌木林地2.2117</w:t>
      </w:r>
      <w:r>
        <w:rPr>
          <w:rFonts w:ascii="宋体" w:hAnsi="宋体" w:eastAsia="宋体"/>
          <w:szCs w:val="24"/>
          <w:highlight w:val="none"/>
        </w:rPr>
        <w:t>hm²</w:t>
      </w:r>
      <w:r>
        <w:rPr>
          <w:rFonts w:hint="eastAsia"/>
          <w:sz w:val="24"/>
          <w:szCs w:val="24"/>
          <w:highlight w:val="none"/>
        </w:rPr>
        <w:t>，其他草地0.1641</w:t>
      </w:r>
      <w:r>
        <w:rPr>
          <w:rFonts w:ascii="宋体" w:hAnsi="宋体" w:eastAsia="宋体"/>
          <w:szCs w:val="24"/>
          <w:highlight w:val="none"/>
        </w:rPr>
        <w:t>hm²</w:t>
      </w:r>
      <w:r>
        <w:rPr>
          <w:rFonts w:hint="eastAsia"/>
          <w:sz w:val="24"/>
          <w:szCs w:val="24"/>
          <w:highlight w:val="none"/>
        </w:rPr>
        <w:t>，农村道路0.0251</w:t>
      </w:r>
      <w:r>
        <w:rPr>
          <w:rFonts w:ascii="宋体" w:hAnsi="宋体" w:eastAsia="宋体"/>
          <w:szCs w:val="24"/>
          <w:highlight w:val="none"/>
        </w:rPr>
        <w:t>hm²</w:t>
      </w:r>
      <w:r>
        <w:rPr>
          <w:rFonts w:hint="eastAsia"/>
          <w:sz w:val="24"/>
          <w:szCs w:val="24"/>
          <w:highlight w:val="none"/>
        </w:rPr>
        <w:t>，裸地3.8824</w:t>
      </w:r>
      <w:r>
        <w:rPr>
          <w:rFonts w:ascii="宋体" w:hAnsi="宋体" w:eastAsia="宋体"/>
          <w:szCs w:val="24"/>
          <w:highlight w:val="none"/>
        </w:rPr>
        <w:t>hm²</w:t>
      </w:r>
      <w:r>
        <w:rPr>
          <w:highlight w:val="none"/>
        </w:rPr>
        <w:t>。</w:t>
      </w:r>
      <w:r>
        <w:rPr>
          <w:rFonts w:hint="eastAsia"/>
          <w:highlight w:val="none"/>
          <w:lang w:eastAsia="zh-CN"/>
        </w:rPr>
        <w:t>项目区土地利用类型见下表。</w:t>
      </w:r>
    </w:p>
    <w:p>
      <w:pPr>
        <w:pStyle w:val="149"/>
        <w:adjustRightInd w:val="0"/>
        <w:snapToGrid w:val="0"/>
        <w:jc w:val="center"/>
        <w:rPr>
          <w:rFonts w:hint="default"/>
          <w:b/>
          <w:bCs/>
          <w:sz w:val="21"/>
          <w:szCs w:val="21"/>
          <w:highlight w:val="none"/>
          <w:lang w:val="en-US" w:eastAsia="zh-CN"/>
        </w:rPr>
      </w:pPr>
      <w:r>
        <w:rPr>
          <w:rFonts w:hint="eastAsia"/>
          <w:b/>
          <w:bCs/>
          <w:sz w:val="21"/>
          <w:szCs w:val="21"/>
          <w:highlight w:val="none"/>
          <w:lang w:eastAsia="zh-CN"/>
        </w:rPr>
        <w:t>表</w:t>
      </w:r>
      <w:r>
        <w:rPr>
          <w:rFonts w:hint="eastAsia"/>
          <w:b/>
          <w:bCs/>
          <w:sz w:val="21"/>
          <w:szCs w:val="21"/>
          <w:highlight w:val="none"/>
          <w:lang w:val="en-US" w:eastAsia="zh-CN"/>
        </w:rPr>
        <w:t>6.2-1  项目区土地利用现状结构表</w:t>
      </w:r>
    </w:p>
    <w:tbl>
      <w:tblPr>
        <w:tblStyle w:val="29"/>
        <w:tblW w:w="9293" w:type="dxa"/>
        <w:tblInd w:w="0" w:type="dxa"/>
        <w:tblLayout w:type="fixed"/>
        <w:tblCellMar>
          <w:top w:w="0" w:type="dxa"/>
          <w:left w:w="108" w:type="dxa"/>
          <w:bottom w:w="0" w:type="dxa"/>
          <w:right w:w="108" w:type="dxa"/>
        </w:tblCellMar>
      </w:tblPr>
      <w:tblGrid>
        <w:gridCol w:w="431"/>
        <w:gridCol w:w="1479"/>
        <w:gridCol w:w="537"/>
        <w:gridCol w:w="1061"/>
        <w:gridCol w:w="1275"/>
        <w:gridCol w:w="1275"/>
        <w:gridCol w:w="1751"/>
        <w:gridCol w:w="1484"/>
      </w:tblGrid>
      <w:tr>
        <w:tblPrEx>
          <w:tblCellMar>
            <w:top w:w="0" w:type="dxa"/>
            <w:left w:w="108" w:type="dxa"/>
            <w:bottom w:w="0" w:type="dxa"/>
            <w:right w:w="108" w:type="dxa"/>
          </w:tblCellMar>
        </w:tblPrEx>
        <w:trPr>
          <w:trHeight w:val="397" w:hRule="atLeast"/>
        </w:trPr>
        <w:tc>
          <w:tcPr>
            <w:tcW w:w="191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360" w:firstLineChars="0"/>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一级地类</w:t>
            </w:r>
          </w:p>
        </w:tc>
        <w:tc>
          <w:tcPr>
            <w:tcW w:w="1598" w:type="dxa"/>
            <w:gridSpan w:val="2"/>
            <w:tcBorders>
              <w:top w:val="single" w:color="auto" w:sz="4" w:space="0"/>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二级地类</w:t>
            </w:r>
          </w:p>
        </w:tc>
        <w:tc>
          <w:tcPr>
            <w:tcW w:w="1275" w:type="dxa"/>
            <w:tcBorders>
              <w:top w:val="single" w:color="auto" w:sz="4" w:space="0"/>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矿区范围内</w:t>
            </w:r>
          </w:p>
        </w:tc>
        <w:tc>
          <w:tcPr>
            <w:tcW w:w="1275" w:type="dxa"/>
            <w:tcBorders>
              <w:top w:val="single" w:color="auto" w:sz="4" w:space="0"/>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矿区范围外</w:t>
            </w:r>
          </w:p>
        </w:tc>
        <w:tc>
          <w:tcPr>
            <w:tcW w:w="1751" w:type="dxa"/>
            <w:tcBorders>
              <w:top w:val="single" w:color="auto" w:sz="4" w:space="0"/>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合计面积（hm²）</w:t>
            </w:r>
          </w:p>
        </w:tc>
        <w:tc>
          <w:tcPr>
            <w:tcW w:w="1484" w:type="dxa"/>
            <w:tcBorders>
              <w:top w:val="single" w:color="auto" w:sz="4" w:space="0"/>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占总面积比例</w:t>
            </w:r>
          </w:p>
        </w:tc>
      </w:tr>
      <w:tr>
        <w:tblPrEx>
          <w:tblCellMar>
            <w:top w:w="0" w:type="dxa"/>
            <w:left w:w="108" w:type="dxa"/>
            <w:bottom w:w="0" w:type="dxa"/>
            <w:right w:w="108" w:type="dxa"/>
          </w:tblCellMar>
        </w:tblPrEx>
        <w:trPr>
          <w:trHeight w:val="397" w:hRule="atLeast"/>
        </w:trPr>
        <w:tc>
          <w:tcPr>
            <w:tcW w:w="431"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1</w:t>
            </w:r>
          </w:p>
        </w:tc>
        <w:tc>
          <w:tcPr>
            <w:tcW w:w="1479" w:type="dxa"/>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耕地</w:t>
            </w:r>
          </w:p>
        </w:tc>
        <w:tc>
          <w:tcPr>
            <w:tcW w:w="537" w:type="dxa"/>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13</w:t>
            </w:r>
          </w:p>
        </w:tc>
        <w:tc>
          <w:tcPr>
            <w:tcW w:w="1061" w:type="dxa"/>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旱地</w:t>
            </w:r>
          </w:p>
        </w:tc>
        <w:tc>
          <w:tcPr>
            <w:tcW w:w="1275" w:type="dxa"/>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0.7358</w:t>
            </w:r>
          </w:p>
        </w:tc>
        <w:tc>
          <w:tcPr>
            <w:tcW w:w="1275" w:type="dxa"/>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0.2121</w:t>
            </w:r>
          </w:p>
        </w:tc>
        <w:tc>
          <w:tcPr>
            <w:tcW w:w="1751" w:type="dxa"/>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0.9479</w:t>
            </w:r>
          </w:p>
        </w:tc>
        <w:tc>
          <w:tcPr>
            <w:tcW w:w="1484" w:type="dxa"/>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9.35%</w:t>
            </w:r>
          </w:p>
        </w:tc>
      </w:tr>
      <w:tr>
        <w:tblPrEx>
          <w:tblCellMar>
            <w:top w:w="0" w:type="dxa"/>
            <w:left w:w="108" w:type="dxa"/>
            <w:bottom w:w="0" w:type="dxa"/>
            <w:right w:w="108" w:type="dxa"/>
          </w:tblCellMar>
        </w:tblPrEx>
        <w:trPr>
          <w:trHeight w:val="397" w:hRule="atLeast"/>
        </w:trPr>
        <w:tc>
          <w:tcPr>
            <w:tcW w:w="431"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3</w:t>
            </w:r>
          </w:p>
        </w:tc>
        <w:tc>
          <w:tcPr>
            <w:tcW w:w="1479" w:type="dxa"/>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林地</w:t>
            </w:r>
          </w:p>
        </w:tc>
        <w:tc>
          <w:tcPr>
            <w:tcW w:w="537" w:type="dxa"/>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32</w:t>
            </w:r>
          </w:p>
        </w:tc>
        <w:tc>
          <w:tcPr>
            <w:tcW w:w="1061" w:type="dxa"/>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灌木林地</w:t>
            </w:r>
          </w:p>
        </w:tc>
        <w:tc>
          <w:tcPr>
            <w:tcW w:w="1275" w:type="dxa"/>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0.5461</w:t>
            </w:r>
          </w:p>
        </w:tc>
        <w:tc>
          <w:tcPr>
            <w:tcW w:w="1275" w:type="dxa"/>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0</w:t>
            </w:r>
          </w:p>
        </w:tc>
        <w:tc>
          <w:tcPr>
            <w:tcW w:w="1751" w:type="dxa"/>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0.5461</w:t>
            </w:r>
          </w:p>
        </w:tc>
        <w:tc>
          <w:tcPr>
            <w:tcW w:w="1484" w:type="dxa"/>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5.39%</w:t>
            </w:r>
          </w:p>
        </w:tc>
      </w:tr>
      <w:tr>
        <w:tblPrEx>
          <w:tblCellMar>
            <w:top w:w="0" w:type="dxa"/>
            <w:left w:w="108" w:type="dxa"/>
            <w:bottom w:w="0" w:type="dxa"/>
            <w:right w:w="108" w:type="dxa"/>
          </w:tblCellMar>
        </w:tblPrEx>
        <w:trPr>
          <w:trHeight w:val="397" w:hRule="atLeast"/>
        </w:trPr>
        <w:tc>
          <w:tcPr>
            <w:tcW w:w="431"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4</w:t>
            </w:r>
          </w:p>
        </w:tc>
        <w:tc>
          <w:tcPr>
            <w:tcW w:w="1479" w:type="dxa"/>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草地</w:t>
            </w:r>
          </w:p>
        </w:tc>
        <w:tc>
          <w:tcPr>
            <w:tcW w:w="537" w:type="dxa"/>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43</w:t>
            </w:r>
          </w:p>
        </w:tc>
        <w:tc>
          <w:tcPr>
            <w:tcW w:w="1061" w:type="dxa"/>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其他草地</w:t>
            </w:r>
          </w:p>
        </w:tc>
        <w:tc>
          <w:tcPr>
            <w:tcW w:w="1275" w:type="dxa"/>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0</w:t>
            </w:r>
          </w:p>
        </w:tc>
        <w:tc>
          <w:tcPr>
            <w:tcW w:w="1275" w:type="dxa"/>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0.1641</w:t>
            </w:r>
          </w:p>
        </w:tc>
        <w:tc>
          <w:tcPr>
            <w:tcW w:w="1751" w:type="dxa"/>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0.1641</w:t>
            </w:r>
          </w:p>
        </w:tc>
        <w:tc>
          <w:tcPr>
            <w:tcW w:w="1484" w:type="dxa"/>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1.62%</w:t>
            </w:r>
          </w:p>
        </w:tc>
      </w:tr>
      <w:tr>
        <w:tblPrEx>
          <w:tblCellMar>
            <w:top w:w="0" w:type="dxa"/>
            <w:left w:w="108" w:type="dxa"/>
            <w:bottom w:w="0" w:type="dxa"/>
            <w:right w:w="108" w:type="dxa"/>
          </w:tblCellMar>
        </w:tblPrEx>
        <w:trPr>
          <w:trHeight w:val="397" w:hRule="atLeast"/>
        </w:trPr>
        <w:tc>
          <w:tcPr>
            <w:tcW w:w="431"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10</w:t>
            </w:r>
          </w:p>
        </w:tc>
        <w:tc>
          <w:tcPr>
            <w:tcW w:w="1479" w:type="dxa"/>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交通运输用地</w:t>
            </w:r>
          </w:p>
        </w:tc>
        <w:tc>
          <w:tcPr>
            <w:tcW w:w="537" w:type="dxa"/>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104</w:t>
            </w:r>
          </w:p>
        </w:tc>
        <w:tc>
          <w:tcPr>
            <w:tcW w:w="1061" w:type="dxa"/>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农村道路</w:t>
            </w:r>
          </w:p>
        </w:tc>
        <w:tc>
          <w:tcPr>
            <w:tcW w:w="1275" w:type="dxa"/>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0.0498</w:t>
            </w:r>
          </w:p>
        </w:tc>
        <w:tc>
          <w:tcPr>
            <w:tcW w:w="1275" w:type="dxa"/>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0.0251</w:t>
            </w:r>
          </w:p>
        </w:tc>
        <w:tc>
          <w:tcPr>
            <w:tcW w:w="1751" w:type="dxa"/>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0.0749</w:t>
            </w:r>
          </w:p>
        </w:tc>
        <w:tc>
          <w:tcPr>
            <w:tcW w:w="1484" w:type="dxa"/>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0.74%</w:t>
            </w:r>
          </w:p>
        </w:tc>
      </w:tr>
      <w:tr>
        <w:tblPrEx>
          <w:tblCellMar>
            <w:top w:w="0" w:type="dxa"/>
            <w:left w:w="108" w:type="dxa"/>
            <w:bottom w:w="0" w:type="dxa"/>
            <w:right w:w="108" w:type="dxa"/>
          </w:tblCellMar>
        </w:tblPrEx>
        <w:trPr>
          <w:trHeight w:val="397" w:hRule="atLeast"/>
        </w:trPr>
        <w:tc>
          <w:tcPr>
            <w:tcW w:w="431"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12</w:t>
            </w:r>
          </w:p>
        </w:tc>
        <w:tc>
          <w:tcPr>
            <w:tcW w:w="1479" w:type="dxa"/>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其他土地</w:t>
            </w:r>
          </w:p>
        </w:tc>
        <w:tc>
          <w:tcPr>
            <w:tcW w:w="537" w:type="dxa"/>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127</w:t>
            </w:r>
          </w:p>
        </w:tc>
        <w:tc>
          <w:tcPr>
            <w:tcW w:w="1061" w:type="dxa"/>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裸地</w:t>
            </w:r>
          </w:p>
        </w:tc>
        <w:tc>
          <w:tcPr>
            <w:tcW w:w="1275" w:type="dxa"/>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8.1683</w:t>
            </w:r>
          </w:p>
        </w:tc>
        <w:tc>
          <w:tcPr>
            <w:tcW w:w="1275" w:type="dxa"/>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0.2358</w:t>
            </w:r>
          </w:p>
        </w:tc>
        <w:tc>
          <w:tcPr>
            <w:tcW w:w="1751" w:type="dxa"/>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8.4041</w:t>
            </w:r>
          </w:p>
        </w:tc>
        <w:tc>
          <w:tcPr>
            <w:tcW w:w="1484" w:type="dxa"/>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82.90%</w:t>
            </w:r>
          </w:p>
        </w:tc>
      </w:tr>
      <w:tr>
        <w:tblPrEx>
          <w:tblCellMar>
            <w:top w:w="0" w:type="dxa"/>
            <w:left w:w="108" w:type="dxa"/>
            <w:bottom w:w="0" w:type="dxa"/>
            <w:right w:w="108" w:type="dxa"/>
          </w:tblCellMar>
        </w:tblPrEx>
        <w:trPr>
          <w:trHeight w:val="397" w:hRule="atLeast"/>
        </w:trPr>
        <w:tc>
          <w:tcPr>
            <w:tcW w:w="3508" w:type="dxa"/>
            <w:gridSpan w:val="4"/>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合计</w:t>
            </w:r>
          </w:p>
        </w:tc>
        <w:tc>
          <w:tcPr>
            <w:tcW w:w="1275" w:type="dxa"/>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 xml:space="preserve">9.5000 </w:t>
            </w:r>
          </w:p>
        </w:tc>
        <w:tc>
          <w:tcPr>
            <w:tcW w:w="1275" w:type="dxa"/>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 xml:space="preserve">0.6371 </w:t>
            </w:r>
          </w:p>
        </w:tc>
        <w:tc>
          <w:tcPr>
            <w:tcW w:w="1751" w:type="dxa"/>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 xml:space="preserve">10.1371 </w:t>
            </w:r>
          </w:p>
        </w:tc>
        <w:tc>
          <w:tcPr>
            <w:tcW w:w="1484" w:type="dxa"/>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100.00%</w:t>
            </w:r>
          </w:p>
        </w:tc>
      </w:tr>
    </w:tbl>
    <w:p>
      <w:pPr>
        <w:pStyle w:val="133"/>
        <w:adjustRightInd w:val="0"/>
        <w:snapToGrid w:val="0"/>
        <w:ind w:firstLine="480"/>
        <w:rPr>
          <w:rFonts w:hint="eastAsia" w:ascii="宋体" w:hAnsi="宋体" w:eastAsia="宋体"/>
          <w:szCs w:val="24"/>
          <w:highlight w:val="none"/>
          <w:lang w:eastAsia="zh-CN"/>
        </w:rPr>
      </w:pPr>
      <w:r>
        <w:rPr>
          <w:rFonts w:hint="eastAsia" w:ascii="宋体" w:hAnsi="宋体" w:eastAsia="宋体"/>
          <w:szCs w:val="24"/>
          <w:highlight w:val="none"/>
        </w:rPr>
        <w:t>工程建设临时压占土地，主要是使这些土地失去原有的生物生产功能和生态服务功能，会对局部的土地利用产生一定的影响。但工程施工结束后，由于区域属</w:t>
      </w:r>
      <w:r>
        <w:rPr>
          <w:rFonts w:hint="eastAsia" w:hAnsi="宋体"/>
          <w:szCs w:val="24"/>
          <w:highlight w:val="none"/>
          <w:lang w:eastAsia="zh-CN"/>
        </w:rPr>
        <w:t>低纬北亚热带高原季风</w:t>
      </w:r>
      <w:r>
        <w:rPr>
          <w:rFonts w:hint="eastAsia" w:ascii="宋体" w:hAnsi="宋体" w:eastAsia="宋体"/>
          <w:szCs w:val="24"/>
          <w:highlight w:val="none"/>
        </w:rPr>
        <w:t>气候，植被生长和恢复能力较强，只要及时采取植被恢复，经过 1～3 年的植被恢复，一般都可以恢复原有的生产能力，不会彻底改变土地利用结构和功能，对区域生态系统的影响有限</w:t>
      </w:r>
      <w:r>
        <w:rPr>
          <w:rFonts w:hint="eastAsia" w:hAnsi="宋体"/>
          <w:szCs w:val="24"/>
          <w:highlight w:val="none"/>
          <w:lang w:eastAsia="zh-CN"/>
        </w:rPr>
        <w:t>。</w:t>
      </w:r>
    </w:p>
    <w:p>
      <w:pPr>
        <w:pStyle w:val="133"/>
        <w:adjustRightInd w:val="0"/>
        <w:snapToGrid w:val="0"/>
        <w:ind w:firstLine="480"/>
        <w:rPr>
          <w:rFonts w:hint="eastAsia" w:eastAsia="宋体"/>
          <w:highlight w:val="none"/>
          <w:lang w:eastAsia="zh-CN"/>
        </w:rPr>
      </w:pPr>
      <w:r>
        <w:rPr>
          <w:rFonts w:hint="eastAsia" w:ascii="宋体" w:hAnsi="宋体" w:eastAsia="宋体"/>
          <w:szCs w:val="24"/>
          <w:highlight w:val="none"/>
        </w:rPr>
        <w:t>经套合砚山县土地利用总体规划图（2015-2020），项目区内涉及耕地均为一般耕地</w:t>
      </w:r>
      <w:r>
        <w:rPr>
          <w:rFonts w:hint="eastAsia" w:ascii="宋体" w:hAnsi="宋体" w:eastAsia="宋体"/>
          <w:szCs w:val="24"/>
          <w:highlight w:val="none"/>
          <w:lang w:eastAsia="zh-CN"/>
        </w:rPr>
        <w:t>，</w:t>
      </w:r>
      <w:r>
        <w:rPr>
          <w:rFonts w:hint="eastAsia" w:ascii="Times New Roman"/>
          <w:highlight w:val="none"/>
        </w:rPr>
        <w:t>工程不占用基本农田，故不</w:t>
      </w:r>
      <w:r>
        <w:rPr>
          <w:rFonts w:hint="eastAsia"/>
          <w:highlight w:val="none"/>
        </w:rPr>
        <w:t>会对当地农户的生产生活方式造成较大影响，也不会降低矿区周围群众</w:t>
      </w:r>
      <w:r>
        <w:rPr>
          <w:highlight w:val="none"/>
        </w:rPr>
        <w:t>生活水平</w:t>
      </w:r>
      <w:r>
        <w:rPr>
          <w:rFonts w:hint="eastAsia"/>
          <w:highlight w:val="none"/>
          <w:lang w:eastAsia="zh-CN"/>
        </w:rPr>
        <w:t>。</w:t>
      </w:r>
    </w:p>
    <w:p>
      <w:pPr>
        <w:pStyle w:val="133"/>
        <w:adjustRightInd w:val="0"/>
        <w:snapToGrid w:val="0"/>
        <w:ind w:firstLine="480"/>
        <w:rPr>
          <w:rFonts w:ascii="Times New Roman"/>
          <w:highlight w:val="none"/>
        </w:rPr>
      </w:pPr>
      <w:r>
        <w:rPr>
          <w:rFonts w:hint="eastAsia"/>
          <w:highlight w:val="none"/>
          <w:lang w:eastAsia="zh-CN"/>
        </w:rPr>
        <w:t>项目区域土地利用规划图详见附图</w:t>
      </w:r>
      <w:r>
        <w:rPr>
          <w:rFonts w:hint="eastAsia"/>
          <w:highlight w:val="none"/>
          <w:lang w:val="en-US" w:eastAsia="zh-CN"/>
        </w:rPr>
        <w:t>7、8</w:t>
      </w:r>
      <w:r>
        <w:rPr>
          <w:rFonts w:hint="eastAsia"/>
          <w:highlight w:val="none"/>
        </w:rPr>
        <w:t>。</w:t>
      </w:r>
    </w:p>
    <w:p>
      <w:pPr>
        <w:pStyle w:val="6"/>
        <w:ind w:firstLine="482"/>
        <w:rPr>
          <w:rFonts w:cs="Times New Roman"/>
          <w:highlight w:val="none"/>
        </w:rPr>
      </w:pPr>
      <w:bookmarkStart w:id="436" w:name="_Toc504996446"/>
      <w:bookmarkStart w:id="437" w:name="_Toc505861685"/>
      <w:bookmarkStart w:id="438" w:name="_Toc504853244"/>
      <w:bookmarkStart w:id="439" w:name="_Toc501110052"/>
      <w:r>
        <w:rPr>
          <w:rFonts w:hint="eastAsia" w:cs="Times New Roman"/>
          <w:highlight w:val="none"/>
          <w:lang w:val="en-US" w:eastAsia="zh-CN"/>
        </w:rPr>
        <w:t>2、</w:t>
      </w:r>
      <w:r>
        <w:rPr>
          <w:rFonts w:hint="eastAsia" w:cs="Times New Roman"/>
          <w:highlight w:val="none"/>
        </w:rPr>
        <w:t>对动植物的影响分析</w:t>
      </w:r>
      <w:bookmarkEnd w:id="436"/>
      <w:bookmarkEnd w:id="437"/>
      <w:bookmarkEnd w:id="438"/>
      <w:bookmarkEnd w:id="439"/>
    </w:p>
    <w:p>
      <w:pPr>
        <w:pStyle w:val="133"/>
        <w:tabs>
          <w:tab w:val="center" w:pos="4538"/>
        </w:tabs>
        <w:adjustRightInd w:val="0"/>
        <w:snapToGrid w:val="0"/>
        <w:ind w:firstLine="480"/>
        <w:rPr>
          <w:rFonts w:ascii="Times New Roman"/>
          <w:highlight w:val="none"/>
        </w:rPr>
      </w:pPr>
      <w:r>
        <w:rPr>
          <w:rFonts w:ascii="Times New Roman"/>
          <w:highlight w:val="none"/>
        </w:rPr>
        <w:t>（1）对植物种类及数量的影响</w:t>
      </w:r>
    </w:p>
    <w:p>
      <w:pPr>
        <w:adjustRightInd w:val="0"/>
        <w:snapToGrid w:val="0"/>
        <w:ind w:firstLine="480"/>
        <w:rPr>
          <w:highlight w:val="none"/>
        </w:rPr>
      </w:pPr>
      <w:r>
        <w:rPr>
          <w:rFonts w:hint="eastAsia"/>
          <w:highlight w:val="none"/>
        </w:rPr>
        <w:t>随着石灰岩矿开采的推进，采场区内的地表植被将逐步被摧毁，受到影响的植被主要是石灰岩灌草丛，稀树灌木草丛以及坡耕地等人工植被。受影响植被受人为干扰严重，次生性质显著，区域内植物群落结构简单，生物多样性低下，组成植物种类多是一些常见种、广布种，受影响植被在评价区、评价区以外以及云南省的许多区域都有分布，是较为广布的植被类型。因此，该项目建设不会对区域内植被的多样性和分布格局造成较大影响，更不会造成某一植被类型的消失， 对评价区内植被的总体影响较小</w:t>
      </w:r>
      <w:r>
        <w:rPr>
          <w:highlight w:val="none"/>
        </w:rPr>
        <w:t>。</w:t>
      </w:r>
    </w:p>
    <w:p>
      <w:pPr>
        <w:adjustRightInd w:val="0"/>
        <w:snapToGrid w:val="0"/>
        <w:ind w:firstLine="480"/>
        <w:rPr>
          <w:highlight w:val="none"/>
        </w:rPr>
      </w:pPr>
      <w:r>
        <w:rPr>
          <w:highlight w:val="none"/>
        </w:rPr>
        <w:t>（2）对野生动物的影响</w:t>
      </w:r>
    </w:p>
    <w:p>
      <w:pPr>
        <w:adjustRightInd w:val="0"/>
        <w:snapToGrid w:val="0"/>
        <w:ind w:firstLine="480"/>
        <w:rPr>
          <w:highlight w:val="none"/>
        </w:rPr>
      </w:pPr>
      <w:r>
        <w:rPr>
          <w:rFonts w:hint="eastAsia"/>
          <w:highlight w:val="none"/>
        </w:rPr>
        <w:t>该项目的运行将破坏部分稀树灌木草丛、灌草丛以及人工植被等，使区域内陆栖脊椎动物的生境减少，工程运行过程中产生的扬尘、大气、噪声等将会影响附近生活的陆栖脊椎动物，迫使其迁移出该区域，使区域内陆栖脊椎动物的数量减少，但不会造成任何物种的灭绝，且矿山服务期满后，区域内的生境又将逐渐得到恢复，周边的动物又会陆续回迁，区域内的陆栖脊椎动物的种类和数量又会逐渐得以恢复，因此，本采石项目对陆栖脊椎动物的影响较小</w:t>
      </w:r>
      <w:r>
        <w:rPr>
          <w:highlight w:val="none"/>
        </w:rPr>
        <w:t>。</w:t>
      </w:r>
    </w:p>
    <w:p>
      <w:pPr>
        <w:adjustRightInd w:val="0"/>
        <w:snapToGrid w:val="0"/>
        <w:ind w:firstLine="480"/>
        <w:rPr>
          <w:highlight w:val="none"/>
        </w:rPr>
      </w:pPr>
      <w:bookmarkStart w:id="440" w:name="_Toc505861686"/>
      <w:bookmarkStart w:id="441" w:name="_Toc501110053"/>
      <w:bookmarkStart w:id="442" w:name="_Toc504996447"/>
      <w:bookmarkStart w:id="443" w:name="_Toc504853245"/>
      <w:r>
        <w:rPr>
          <w:highlight w:val="none"/>
        </w:rPr>
        <w:t>（3）对生物多样性的影响分析</w:t>
      </w:r>
    </w:p>
    <w:p>
      <w:pPr>
        <w:adjustRightInd w:val="0"/>
        <w:snapToGrid w:val="0"/>
        <w:ind w:firstLine="480"/>
        <w:rPr>
          <w:rFonts w:hint="eastAsia" w:eastAsia="宋体"/>
          <w:highlight w:val="none"/>
          <w:lang w:val="en-US" w:eastAsia="zh-CN"/>
        </w:rPr>
      </w:pPr>
      <w:r>
        <w:rPr>
          <w:highlight w:val="none"/>
        </w:rPr>
        <w:t>通过查阅矿山开采前矿区的土地利用资料，矿山已开采破坏的植被类型较为简单，主要为车桑子、桉树</w:t>
      </w:r>
      <w:r>
        <w:rPr>
          <w:rFonts w:hint="eastAsia"/>
          <w:highlight w:val="none"/>
        </w:rPr>
        <w:t>、</w:t>
      </w:r>
      <w:r>
        <w:rPr>
          <w:highlight w:val="none"/>
        </w:rPr>
        <w:t>栎类及低矮灌木草丛，均是</w:t>
      </w:r>
      <w:r>
        <w:rPr>
          <w:rFonts w:hint="eastAsia"/>
          <w:highlight w:val="none"/>
        </w:rPr>
        <w:t>当地</w:t>
      </w:r>
      <w:r>
        <w:rPr>
          <w:highlight w:val="none"/>
        </w:rPr>
        <w:t>分布较广较常见植被，工程活动没有造成植被类型和植物物种的灭绝。另外矿山开采影响区不是列入国家和省重点保护动物生存、迁徙的主要通道。因此，</w:t>
      </w:r>
      <w:r>
        <w:rPr>
          <w:rFonts w:hint="eastAsia"/>
          <w:highlight w:val="none"/>
        </w:rPr>
        <w:t>现状</w:t>
      </w:r>
      <w:r>
        <w:rPr>
          <w:highlight w:val="none"/>
        </w:rPr>
        <w:t>矿山的开采没有对该地区生物多样性和珍稀动植物资源的保护产生大的负面影响</w:t>
      </w:r>
      <w:r>
        <w:rPr>
          <w:rFonts w:hint="eastAsia"/>
          <w:highlight w:val="none"/>
          <w:lang w:eastAsia="zh-CN"/>
        </w:rPr>
        <w:t>。</w:t>
      </w:r>
    </w:p>
    <w:p>
      <w:pPr>
        <w:adjustRightInd w:val="0"/>
        <w:snapToGrid w:val="0"/>
        <w:ind w:firstLine="480"/>
        <w:rPr>
          <w:rFonts w:hint="eastAsia"/>
          <w:highlight w:val="none"/>
          <w:lang w:eastAsia="zh-CN"/>
        </w:rPr>
      </w:pPr>
      <w:r>
        <w:rPr>
          <w:rFonts w:hint="eastAsia"/>
          <w:highlight w:val="none"/>
          <w:lang w:eastAsia="zh-CN"/>
        </w:rPr>
        <w:t>（</w:t>
      </w:r>
      <w:r>
        <w:rPr>
          <w:rFonts w:hint="eastAsia"/>
          <w:highlight w:val="none"/>
          <w:lang w:val="en-US" w:eastAsia="zh-CN"/>
        </w:rPr>
        <w:t>4</w:t>
      </w:r>
      <w:r>
        <w:rPr>
          <w:rFonts w:hint="eastAsia"/>
          <w:highlight w:val="none"/>
          <w:lang w:eastAsia="zh-CN"/>
        </w:rPr>
        <w:t>）</w:t>
      </w:r>
      <w:r>
        <w:rPr>
          <w:rFonts w:hint="eastAsia"/>
          <w:highlight w:val="none"/>
        </w:rPr>
        <w:t>对景观的影响分析</w:t>
      </w:r>
      <w:bookmarkEnd w:id="440"/>
      <w:bookmarkEnd w:id="441"/>
      <w:bookmarkEnd w:id="442"/>
      <w:bookmarkEnd w:id="443"/>
    </w:p>
    <w:p>
      <w:pPr>
        <w:adjustRightInd w:val="0"/>
        <w:snapToGrid w:val="0"/>
        <w:ind w:firstLine="480"/>
        <w:rPr>
          <w:rFonts w:hint="eastAsia" w:eastAsia="宋体"/>
          <w:highlight w:val="none"/>
          <w:lang w:eastAsia="zh-CN"/>
        </w:rPr>
      </w:pPr>
      <w:r>
        <w:rPr>
          <w:rFonts w:hint="eastAsia"/>
          <w:highlight w:val="none"/>
        </w:rPr>
        <w:t>项目建成后，将原有景观不规则切割，开采面岩体直接裸露，如不及时进行覆土恢复植被则带来视觉上的不适。山体的开挖将原有的山体缀块一分为二，矿区开采面的颜色、造型与周边缀块产生一定的突兀。矿山开采对景观的影响主要是对矿区原自然景观和生态景观的影响，表现在基建期工程挖填方、表层剥采、工业场地、</w:t>
      </w:r>
      <w:r>
        <w:rPr>
          <w:rFonts w:hint="eastAsia"/>
          <w:highlight w:val="none"/>
          <w:lang w:eastAsia="zh-CN"/>
        </w:rPr>
        <w:t>表土堆场</w:t>
      </w:r>
      <w:r>
        <w:rPr>
          <w:rFonts w:hint="eastAsia"/>
          <w:highlight w:val="none"/>
        </w:rPr>
        <w:t>的建设，改变了原有地形、地貌，破坏地表结构，影响了地表形态的连续性和协调性；植被、土壤及山体的破坏造成剖面表土、地表裸露，人工痕迹明显，与地表生物群落景观不和谐，影响视感景观；矿区原始的植被被建（构）筑物遮掩，与周围环境的色彩、形态形成强烈对比，引起的视觉污染较大， 使区域生态景观原有的协调性和自然性受到破坏；频繁的开采活动会破坏高原原有的静谧。采石场应采取相应的工程措施和生态恢复措施，并加强采场工作人员行为来减轻本矿山开采对景观的影响</w:t>
      </w:r>
      <w:r>
        <w:rPr>
          <w:rFonts w:hint="eastAsia"/>
          <w:highlight w:val="none"/>
          <w:lang w:eastAsia="zh-CN"/>
        </w:rPr>
        <w:t>。</w:t>
      </w:r>
    </w:p>
    <w:p>
      <w:pPr>
        <w:adjustRightInd w:val="0"/>
        <w:snapToGrid w:val="0"/>
        <w:ind w:firstLine="480"/>
        <w:rPr>
          <w:rFonts w:hint="eastAsia"/>
          <w:highlight w:val="none"/>
          <w:lang w:eastAsia="zh-CN"/>
        </w:rPr>
      </w:pPr>
      <w:r>
        <w:rPr>
          <w:rFonts w:hint="eastAsia"/>
          <w:highlight w:val="none"/>
          <w:lang w:eastAsia="zh-CN"/>
        </w:rPr>
        <w:t>（</w:t>
      </w:r>
      <w:r>
        <w:rPr>
          <w:rFonts w:hint="eastAsia"/>
          <w:highlight w:val="none"/>
          <w:lang w:val="en-US" w:eastAsia="zh-CN"/>
        </w:rPr>
        <w:t>5</w:t>
      </w:r>
      <w:r>
        <w:rPr>
          <w:rFonts w:hint="eastAsia"/>
          <w:highlight w:val="none"/>
          <w:lang w:eastAsia="zh-CN"/>
        </w:rPr>
        <w:t>）粉尘对周边农作物的影响</w:t>
      </w:r>
    </w:p>
    <w:p>
      <w:pPr>
        <w:adjustRightInd w:val="0"/>
        <w:snapToGrid w:val="0"/>
        <w:ind w:firstLine="480"/>
        <w:rPr>
          <w:rFonts w:hint="eastAsia" w:eastAsia="宋体"/>
          <w:highlight w:val="none"/>
          <w:lang w:eastAsia="zh-CN"/>
        </w:rPr>
      </w:pPr>
      <w:r>
        <w:rPr>
          <w:highlight w:val="none"/>
        </w:rPr>
        <w:t>矿山在开采过程中产生</w:t>
      </w:r>
      <w:r>
        <w:rPr>
          <w:rFonts w:hint="eastAsia"/>
          <w:highlight w:val="none"/>
        </w:rPr>
        <w:t>的</w:t>
      </w:r>
      <w:r>
        <w:rPr>
          <w:highlight w:val="none"/>
        </w:rPr>
        <w:t>粉尘会对植物产生一定的影响。根据</w:t>
      </w:r>
      <w:r>
        <w:rPr>
          <w:rFonts w:hint="eastAsia"/>
          <w:highlight w:val="none"/>
        </w:rPr>
        <w:t>现场调查</w:t>
      </w:r>
      <w:r>
        <w:rPr>
          <w:rFonts w:hint="eastAsia"/>
          <w:highlight w:val="none"/>
          <w:lang w:eastAsia="zh-CN"/>
        </w:rPr>
        <w:t>以及</w:t>
      </w:r>
      <w:r>
        <w:rPr>
          <w:rFonts w:hint="eastAsia"/>
          <w:highlight w:val="none"/>
        </w:rPr>
        <w:t>建设单位</w:t>
      </w:r>
      <w:r>
        <w:rPr>
          <w:highlight w:val="none"/>
        </w:rPr>
        <w:t>介绍，</w:t>
      </w:r>
      <w:r>
        <w:rPr>
          <w:rFonts w:hint="eastAsia"/>
          <w:highlight w:val="none"/>
        </w:rPr>
        <w:t>现有工程在</w:t>
      </w:r>
      <w:r>
        <w:rPr>
          <w:highlight w:val="none"/>
        </w:rPr>
        <w:t>开采过程中，建设单位</w:t>
      </w:r>
      <w:r>
        <w:rPr>
          <w:rFonts w:hint="eastAsia"/>
          <w:highlight w:val="none"/>
        </w:rPr>
        <w:t>视天气情况不定时对露天</w:t>
      </w:r>
      <w:r>
        <w:rPr>
          <w:highlight w:val="none"/>
        </w:rPr>
        <w:t>采区、运输道路等</w:t>
      </w:r>
      <w:r>
        <w:rPr>
          <w:rFonts w:hint="eastAsia"/>
          <w:highlight w:val="none"/>
        </w:rPr>
        <w:t>采取洒水抑尘</w:t>
      </w:r>
      <w:r>
        <w:rPr>
          <w:highlight w:val="none"/>
        </w:rPr>
        <w:t>措施</w:t>
      </w:r>
      <w:r>
        <w:rPr>
          <w:rFonts w:hint="eastAsia"/>
          <w:highlight w:val="none"/>
        </w:rPr>
        <w:t>和破碎、</w:t>
      </w:r>
      <w:r>
        <w:rPr>
          <w:rFonts w:hint="eastAsia"/>
          <w:highlight w:val="none"/>
          <w:lang w:eastAsia="zh-CN"/>
        </w:rPr>
        <w:t>筛分</w:t>
      </w:r>
      <w:r>
        <w:rPr>
          <w:rFonts w:hint="eastAsia"/>
          <w:highlight w:val="none"/>
        </w:rPr>
        <w:t>等产尘点</w:t>
      </w:r>
      <w:r>
        <w:rPr>
          <w:rFonts w:hint="eastAsia"/>
          <w:highlight w:val="none"/>
          <w:lang w:eastAsia="zh-CN"/>
        </w:rPr>
        <w:t>进行封闭处理</w:t>
      </w:r>
      <w:r>
        <w:rPr>
          <w:rFonts w:hint="eastAsia"/>
          <w:highlight w:val="none"/>
        </w:rPr>
        <w:t>，有效减少粉尘外排量，未对周边农业系统造成大的不利影响</w:t>
      </w:r>
      <w:r>
        <w:rPr>
          <w:rFonts w:hint="eastAsia"/>
          <w:highlight w:val="none"/>
          <w:lang w:eastAsia="zh-CN"/>
        </w:rPr>
        <w:t>。</w:t>
      </w:r>
    </w:p>
    <w:p>
      <w:pPr>
        <w:adjustRightInd w:val="0"/>
        <w:snapToGrid w:val="0"/>
        <w:ind w:firstLine="480"/>
        <w:rPr>
          <w:rFonts w:hint="eastAsia"/>
          <w:highlight w:val="none"/>
          <w:lang w:eastAsia="zh-CN"/>
        </w:rPr>
      </w:pPr>
      <w:r>
        <w:rPr>
          <w:rFonts w:hint="eastAsia"/>
          <w:highlight w:val="none"/>
          <w:lang w:eastAsia="zh-CN"/>
        </w:rPr>
        <w:t>（</w:t>
      </w:r>
      <w:r>
        <w:rPr>
          <w:rFonts w:hint="eastAsia"/>
          <w:highlight w:val="none"/>
          <w:lang w:val="en-US" w:eastAsia="zh-CN"/>
        </w:rPr>
        <w:t>6</w:t>
      </w:r>
      <w:r>
        <w:rPr>
          <w:rFonts w:hint="eastAsia"/>
          <w:highlight w:val="none"/>
          <w:lang w:eastAsia="zh-CN"/>
        </w:rPr>
        <w:t>）对自然系统生态完整性的影响</w:t>
      </w:r>
    </w:p>
    <w:p>
      <w:pPr>
        <w:adjustRightInd w:val="0"/>
        <w:snapToGrid w:val="0"/>
        <w:ind w:firstLine="480"/>
        <w:rPr>
          <w:rFonts w:hint="eastAsia"/>
          <w:highlight w:val="none"/>
          <w:lang w:eastAsia="zh-CN"/>
        </w:rPr>
      </w:pPr>
      <w:r>
        <w:rPr>
          <w:rFonts w:hint="eastAsia"/>
          <w:highlight w:val="none"/>
          <w:lang w:eastAsia="zh-CN"/>
        </w:rPr>
        <w:t>由于自然资源开发项目的实施会影响到区域生境的生态，因而，该区域的生产能力和稳定状况将发生改变。</w:t>
      </w:r>
    </w:p>
    <w:p>
      <w:pPr>
        <w:adjustRightInd w:val="0"/>
        <w:snapToGrid w:val="0"/>
        <w:ind w:firstLine="480"/>
        <w:rPr>
          <w:rFonts w:hint="eastAsia"/>
          <w:highlight w:val="none"/>
          <w:lang w:eastAsia="zh-CN"/>
        </w:rPr>
      </w:pPr>
      <w:r>
        <w:rPr>
          <w:rFonts w:hint="eastAsia"/>
          <w:highlight w:val="none"/>
          <w:lang w:eastAsia="zh-CN"/>
        </w:rPr>
        <w:t>本评价从自然体系生产能力和稳定状况两方面对生态进行评价，预测内容是以背景区域生态学基本特征，建设项目的影响途径，区域生境抗御内外干扰的能力和受到破坏以后的恢复能力来进行的。</w:t>
      </w:r>
    </w:p>
    <w:p>
      <w:pPr>
        <w:adjustRightInd w:val="0"/>
        <w:snapToGrid w:val="0"/>
        <w:ind w:firstLine="480"/>
        <w:rPr>
          <w:rFonts w:hint="eastAsia"/>
          <w:highlight w:val="none"/>
          <w:lang w:eastAsia="zh-CN"/>
        </w:rPr>
      </w:pPr>
      <w:r>
        <w:rPr>
          <w:rFonts w:hint="eastAsia"/>
          <w:highlight w:val="none"/>
          <w:lang w:eastAsia="zh-CN"/>
        </w:rPr>
        <w:t>1）自然系统生产能力的变化</w:t>
      </w:r>
    </w:p>
    <w:p>
      <w:pPr>
        <w:adjustRightInd w:val="0"/>
        <w:snapToGrid w:val="0"/>
        <w:ind w:firstLine="480"/>
        <w:rPr>
          <w:rFonts w:hint="eastAsia"/>
          <w:highlight w:val="none"/>
          <w:lang w:eastAsia="zh-CN"/>
        </w:rPr>
      </w:pPr>
      <w:r>
        <w:rPr>
          <w:rFonts w:hint="eastAsia"/>
          <w:highlight w:val="none"/>
          <w:lang w:eastAsia="zh-CN"/>
        </w:rPr>
        <w:t>当评价区域内植被具有较强的生产能力时，可以对受到干扰的自然体系提供修补能力，有利于维持生态平衡。当人类活动大量占有植被面积，过多地干扰植被修补能力， 自然体系就有可能失去原有的平衡，由平均生产力较高的自然体系衰退到生产力较低级别的自然体系。</w:t>
      </w:r>
    </w:p>
    <w:p>
      <w:pPr>
        <w:adjustRightInd w:val="0"/>
        <w:snapToGrid w:val="0"/>
        <w:ind w:firstLine="480"/>
        <w:rPr>
          <w:rFonts w:hint="eastAsia"/>
          <w:highlight w:val="none"/>
          <w:lang w:eastAsia="zh-CN"/>
        </w:rPr>
      </w:pPr>
      <w:r>
        <w:rPr>
          <w:rFonts w:hint="eastAsia"/>
          <w:highlight w:val="none"/>
          <w:lang w:eastAsia="zh-CN"/>
        </w:rPr>
        <w:t>矿山的开采将不可避免的破坏一定面积的植被（灌草），第一性生产力的基质呈不可逆的破坏。工程占地引起生产力降低，因此平均生产能力呈下降趋势。</w:t>
      </w:r>
    </w:p>
    <w:p>
      <w:pPr>
        <w:adjustRightInd w:val="0"/>
        <w:snapToGrid w:val="0"/>
        <w:ind w:firstLine="480"/>
        <w:rPr>
          <w:rFonts w:hint="eastAsia"/>
          <w:highlight w:val="none"/>
          <w:lang w:eastAsia="zh-CN"/>
        </w:rPr>
      </w:pPr>
      <w:r>
        <w:rPr>
          <w:rFonts w:hint="eastAsia"/>
          <w:highlight w:val="none"/>
          <w:lang w:eastAsia="zh-CN"/>
        </w:rPr>
        <w:t>2）自然体系稳定状况</w:t>
      </w:r>
    </w:p>
    <w:p>
      <w:pPr>
        <w:adjustRightInd w:val="0"/>
        <w:snapToGrid w:val="0"/>
        <w:ind w:firstLine="480"/>
        <w:rPr>
          <w:rFonts w:hint="eastAsia"/>
          <w:highlight w:val="none"/>
          <w:lang w:eastAsia="zh-CN"/>
        </w:rPr>
      </w:pPr>
      <w:r>
        <w:rPr>
          <w:rFonts w:hint="eastAsia"/>
          <w:highlight w:val="none"/>
          <w:lang w:eastAsia="zh-CN"/>
        </w:rPr>
        <w:t>自然体系的稳定和不稳定是对立统一的，由于各种生态因素的变化，自然体系处于波动平衡状态。自然体系的稳定性有两个特征即阻抗和恢复，阻抗是系统在环境变化或潜在干扰时反抗或阻止变化的能力；恢复是系统被改变后返回原来状态的能力，用返回所需要的时间来衡量。因此本次评价该工程对自然体系稳定状况的影响，主要从阻抗和稳定性恢复两方面来度量。</w:t>
      </w:r>
    </w:p>
    <w:p>
      <w:pPr>
        <w:adjustRightInd w:val="0"/>
        <w:snapToGrid w:val="0"/>
        <w:ind w:firstLine="480"/>
        <w:rPr>
          <w:rFonts w:hint="eastAsia"/>
          <w:highlight w:val="none"/>
          <w:lang w:eastAsia="zh-CN"/>
        </w:rPr>
      </w:pPr>
      <w:r>
        <w:rPr>
          <w:rFonts w:hint="eastAsia"/>
          <w:highlight w:val="none"/>
          <w:lang w:eastAsia="zh-CN"/>
        </w:rPr>
        <w:t>A.自然体系恢复稳定性</w:t>
      </w:r>
    </w:p>
    <w:p>
      <w:pPr>
        <w:adjustRightInd w:val="0"/>
        <w:snapToGrid w:val="0"/>
        <w:ind w:firstLine="480"/>
        <w:rPr>
          <w:rFonts w:hint="eastAsia"/>
          <w:highlight w:val="none"/>
          <w:lang w:eastAsia="zh-CN"/>
        </w:rPr>
      </w:pPr>
      <w:r>
        <w:rPr>
          <w:rFonts w:hint="eastAsia"/>
          <w:highlight w:val="none"/>
          <w:lang w:eastAsia="zh-CN"/>
        </w:rPr>
        <w:t>评价区域生态体系由具备不同稳定性和不稳定性的元素构成的。裸岩、道路等为最稳定元素，储存于生物体内中的能量也很少，属于封闭系统。树木、哺乳动物为高亚稳定性元素，具有较高的生物量和生命周期较长的特点，属于开放系统。</w:t>
      </w:r>
    </w:p>
    <w:p>
      <w:pPr>
        <w:adjustRightInd w:val="0"/>
        <w:snapToGrid w:val="0"/>
        <w:ind w:firstLine="480"/>
        <w:rPr>
          <w:rFonts w:hint="eastAsia"/>
          <w:highlight w:val="none"/>
          <w:lang w:eastAsia="zh-CN"/>
        </w:rPr>
      </w:pPr>
      <w:r>
        <w:rPr>
          <w:rFonts w:hint="eastAsia"/>
          <w:highlight w:val="none"/>
          <w:lang w:eastAsia="zh-CN"/>
        </w:rPr>
        <w:t>因此，对生态体系恢复稳定性的度量，采取对植被生物量进行度量的方法来进行， 自然体系恢复稳定性的度量标准是生产能力。</w:t>
      </w:r>
    </w:p>
    <w:p>
      <w:pPr>
        <w:adjustRightInd w:val="0"/>
        <w:snapToGrid w:val="0"/>
        <w:ind w:firstLine="480"/>
        <w:rPr>
          <w:rFonts w:hint="eastAsia"/>
          <w:highlight w:val="none"/>
          <w:lang w:eastAsia="zh-CN"/>
        </w:rPr>
      </w:pPr>
      <w:r>
        <w:rPr>
          <w:rFonts w:hint="eastAsia"/>
          <w:highlight w:val="none"/>
          <w:lang w:eastAsia="zh-CN"/>
        </w:rPr>
        <w:t>该项目实施后，评价区内自然体系的平均生产能力减少约 0.05g/(m</w:t>
      </w:r>
      <w:r>
        <w:rPr>
          <w:rFonts w:hint="eastAsia"/>
          <w:highlight w:val="none"/>
          <w:vertAlign w:val="superscript"/>
          <w:lang w:eastAsia="zh-CN"/>
        </w:rPr>
        <w:t>2</w:t>
      </w:r>
      <w:r>
        <w:rPr>
          <w:rFonts w:hint="eastAsia"/>
          <w:highlight w:val="none"/>
          <w:lang w:eastAsia="zh-CN"/>
        </w:rPr>
        <w:t>•）d，下降幅度较小，仍接近原来的生产力水平，故工程实施后对自然体系恢复稳定性的影响不大， 系统是可以承受的。</w:t>
      </w:r>
    </w:p>
    <w:p>
      <w:pPr>
        <w:adjustRightInd w:val="0"/>
        <w:snapToGrid w:val="0"/>
        <w:ind w:firstLine="480"/>
        <w:rPr>
          <w:rFonts w:hint="eastAsia"/>
          <w:highlight w:val="none"/>
          <w:lang w:eastAsia="zh-CN"/>
        </w:rPr>
      </w:pPr>
      <w:r>
        <w:rPr>
          <w:rFonts w:hint="eastAsia"/>
          <w:highlight w:val="none"/>
          <w:lang w:eastAsia="zh-CN"/>
        </w:rPr>
        <w:t>B.自然体系阻抗稳定性</w:t>
      </w:r>
    </w:p>
    <w:p>
      <w:pPr>
        <w:adjustRightInd w:val="0"/>
        <w:snapToGrid w:val="0"/>
        <w:ind w:firstLine="480"/>
        <w:rPr>
          <w:rFonts w:hint="eastAsia"/>
          <w:highlight w:val="none"/>
          <w:lang w:eastAsia="zh-CN"/>
        </w:rPr>
      </w:pPr>
      <w:r>
        <w:rPr>
          <w:rFonts w:hint="eastAsia"/>
          <w:highlight w:val="none"/>
          <w:lang w:eastAsia="zh-CN"/>
        </w:rPr>
        <w:t>阻抗稳定性与高亚稳定性元素的数量、空间分布及其异质化程度密切相关。异质性使人类生存的生态体系具有长期的稳定性和必要的抵御干扰的柔韧性。由于异质性的组分具有不同的生态位，给动植物物种的栖息、移动以及抵御内外干扰提供了复杂和微妙的相应利用关系。自然体系阻抗稳定性的度量标准是异质性程度。</w:t>
      </w:r>
    </w:p>
    <w:p>
      <w:pPr>
        <w:adjustRightInd w:val="0"/>
        <w:snapToGrid w:val="0"/>
        <w:ind w:firstLine="480"/>
        <w:rPr>
          <w:rFonts w:hint="eastAsia"/>
          <w:highlight w:val="none"/>
          <w:lang w:eastAsia="zh-CN"/>
        </w:rPr>
      </w:pPr>
      <w:r>
        <w:rPr>
          <w:rFonts w:hint="eastAsia"/>
          <w:highlight w:val="none"/>
          <w:lang w:eastAsia="zh-CN"/>
        </w:rPr>
        <w:t>该工程实施和运行后对植被的空间分布影响不大，具有动态控制能力的组分在时间上、空间上、物种种类数量上均未发生大的变异，当某一特定嵌块是干扰源时，而相邻的嵌块就可能形成了障碍物，从而抗御生态体系内外干扰，因此， 该工程施工期和运行期对自然体系的异质优化程度影响不大。</w:t>
      </w:r>
    </w:p>
    <w:p>
      <w:pPr>
        <w:adjustRightInd w:val="0"/>
        <w:snapToGrid w:val="0"/>
        <w:ind w:firstLine="480"/>
        <w:rPr>
          <w:rFonts w:hint="eastAsia"/>
          <w:highlight w:val="none"/>
          <w:lang w:eastAsia="zh-CN"/>
        </w:rPr>
      </w:pPr>
      <w:r>
        <w:rPr>
          <w:rFonts w:hint="eastAsia"/>
          <w:highlight w:val="none"/>
          <w:lang w:eastAsia="zh-CN"/>
        </w:rPr>
        <w:t>C.生态完整性</w:t>
      </w:r>
    </w:p>
    <w:p>
      <w:pPr>
        <w:adjustRightInd w:val="0"/>
        <w:snapToGrid w:val="0"/>
        <w:ind w:firstLine="480"/>
        <w:rPr>
          <w:rFonts w:hint="eastAsia"/>
          <w:highlight w:val="none"/>
          <w:lang w:eastAsia="zh-CN"/>
        </w:rPr>
      </w:pPr>
      <w:r>
        <w:rPr>
          <w:rFonts w:hint="eastAsia"/>
          <w:highlight w:val="none"/>
          <w:lang w:eastAsia="zh-CN"/>
        </w:rPr>
        <w:t>该矿山开采工程，施工和运营将首先对评价区域自然体系的生态完整性带来影响， 施工和运营后使评价区内自然体系的平均生产能力会出现下降，矿石采掘完成后，通过对运输道路的治理，以及露天采坑的填充，区域内自然体系的生产能力应有所恢复。工程对自然体系生产能力和恢复稳定性的影响是可以接受的。又由于工程直接占地对评价区域自然组分的异质化影响不大，因此，对评价区自然体系生态现状的影响是可以接受的，但要加强生态环境保护措施，提出减少生态环境影响的工程措施，保护生态环境质量。</w:t>
      </w:r>
    </w:p>
    <w:p>
      <w:pPr>
        <w:numPr>
          <w:ilvl w:val="0"/>
          <w:numId w:val="11"/>
        </w:numPr>
        <w:adjustRightInd w:val="0"/>
        <w:snapToGrid w:val="0"/>
        <w:ind w:firstLine="480"/>
        <w:rPr>
          <w:rFonts w:hint="eastAsia"/>
          <w:highlight w:val="none"/>
          <w:lang w:eastAsia="zh-CN"/>
        </w:rPr>
      </w:pPr>
      <w:r>
        <w:rPr>
          <w:rFonts w:hint="eastAsia"/>
          <w:highlight w:val="none"/>
          <w:lang w:val="en-US" w:eastAsia="zh-CN"/>
        </w:rPr>
        <w:t>水土流失影响分析</w:t>
      </w:r>
    </w:p>
    <w:p>
      <w:pPr>
        <w:spacing w:line="480" w:lineRule="exact"/>
        <w:ind w:firstLine="520" w:firstLineChars="200"/>
        <w:rPr>
          <w:rFonts w:eastAsiaTheme="minorEastAsia"/>
          <w:color w:val="auto"/>
          <w:sz w:val="26"/>
          <w:szCs w:val="26"/>
          <w:highlight w:val="none"/>
        </w:rPr>
      </w:pPr>
      <w:r>
        <w:rPr>
          <w:rFonts w:hAnsiTheme="minorEastAsia" w:eastAsiaTheme="minorEastAsia"/>
          <w:color w:val="auto"/>
          <w:sz w:val="26"/>
          <w:szCs w:val="26"/>
          <w:highlight w:val="none"/>
        </w:rPr>
        <w:t>项目在建设和生产运行过程中，项目占地区内的地表将遭受不同程度的扰动、破坏，局部地貌将发生较大的改变，本项目主要为矿山开采、成品堆场等引起的水土流失，扰动使得地面植被、地形、土壤及含水层的改变，从而形成加速侵蚀；植被恢复区域未及时实施植物绿化措施而造成绿化区地表裸露，会引起水土流失，对自身造成不利影响。</w:t>
      </w:r>
    </w:p>
    <w:p>
      <w:pPr>
        <w:spacing w:line="480" w:lineRule="exact"/>
        <w:ind w:firstLine="520" w:firstLineChars="200"/>
        <w:rPr>
          <w:rFonts w:eastAsiaTheme="minorEastAsia"/>
          <w:color w:val="auto"/>
          <w:sz w:val="26"/>
          <w:szCs w:val="26"/>
          <w:highlight w:val="none"/>
        </w:rPr>
      </w:pPr>
      <w:r>
        <w:rPr>
          <w:rFonts w:hAnsiTheme="minorEastAsia" w:eastAsiaTheme="minorEastAsia"/>
          <w:color w:val="auto"/>
          <w:sz w:val="26"/>
          <w:szCs w:val="26"/>
          <w:highlight w:val="none"/>
        </w:rPr>
        <w:t>根据</w:t>
      </w:r>
      <w:r>
        <w:rPr>
          <w:rFonts w:hint="eastAsia" w:hAnsiTheme="minorEastAsia" w:eastAsiaTheme="minorEastAsia"/>
          <w:color w:val="auto"/>
          <w:sz w:val="26"/>
          <w:szCs w:val="26"/>
          <w:highlight w:val="none"/>
          <w:lang w:eastAsia="zh-CN"/>
        </w:rPr>
        <w:t>《</w:t>
      </w:r>
      <w:r>
        <w:rPr>
          <w:rFonts w:hint="eastAsia"/>
          <w:color w:val="auto"/>
          <w:highlight w:val="none"/>
          <w:lang w:eastAsia="zh-CN"/>
        </w:rPr>
        <w:t>砚山县阿猛镇倮基黑卡子凹塘石料厂年产30万吨建筑石料用灰岩建设项目水土保持方案报告书</w:t>
      </w:r>
      <w:r>
        <w:rPr>
          <w:rFonts w:hint="eastAsia" w:hAnsiTheme="minorEastAsia" w:eastAsiaTheme="minorEastAsia"/>
          <w:color w:val="auto"/>
          <w:sz w:val="26"/>
          <w:szCs w:val="26"/>
          <w:highlight w:val="none"/>
          <w:lang w:eastAsia="zh-CN"/>
        </w:rPr>
        <w:t>》</w:t>
      </w:r>
      <w:r>
        <w:rPr>
          <w:rFonts w:hAnsiTheme="minorEastAsia" w:eastAsiaTheme="minorEastAsia"/>
          <w:color w:val="auto"/>
          <w:sz w:val="26"/>
          <w:szCs w:val="26"/>
          <w:highlight w:val="none"/>
        </w:rPr>
        <w:t>中预测可能造成的水土流失量为</w:t>
      </w:r>
      <w:r>
        <w:rPr>
          <w:rFonts w:hint="eastAsia" w:eastAsiaTheme="minorEastAsia"/>
          <w:color w:val="auto"/>
          <w:sz w:val="26"/>
          <w:szCs w:val="26"/>
          <w:highlight w:val="none"/>
          <w:lang w:val="en-US" w:eastAsia="zh-CN"/>
        </w:rPr>
        <w:t>2471.77</w:t>
      </w:r>
      <w:r>
        <w:rPr>
          <w:rFonts w:eastAsiaTheme="minorEastAsia"/>
          <w:color w:val="auto"/>
          <w:sz w:val="26"/>
          <w:szCs w:val="26"/>
          <w:highlight w:val="none"/>
        </w:rPr>
        <w:t>t</w:t>
      </w:r>
      <w:r>
        <w:rPr>
          <w:rFonts w:hAnsiTheme="minorEastAsia" w:eastAsiaTheme="minorEastAsia"/>
          <w:color w:val="auto"/>
          <w:sz w:val="26"/>
          <w:szCs w:val="26"/>
          <w:highlight w:val="none"/>
        </w:rPr>
        <w:t>，原生水土流失量为</w:t>
      </w:r>
      <w:r>
        <w:rPr>
          <w:rFonts w:hint="eastAsia" w:eastAsiaTheme="minorEastAsia"/>
          <w:bCs/>
          <w:color w:val="auto"/>
          <w:sz w:val="26"/>
          <w:szCs w:val="26"/>
          <w:highlight w:val="none"/>
          <w:lang w:val="en-US" w:eastAsia="zh-CN"/>
        </w:rPr>
        <w:t>59.13</w:t>
      </w:r>
      <w:r>
        <w:rPr>
          <w:rFonts w:eastAsiaTheme="minorEastAsia"/>
          <w:color w:val="auto"/>
          <w:sz w:val="26"/>
          <w:szCs w:val="26"/>
          <w:highlight w:val="none"/>
        </w:rPr>
        <w:t>t</w:t>
      </w:r>
      <w:r>
        <w:rPr>
          <w:rFonts w:hAnsiTheme="minorEastAsia" w:eastAsiaTheme="minorEastAsia"/>
          <w:color w:val="auto"/>
          <w:sz w:val="26"/>
          <w:szCs w:val="26"/>
          <w:highlight w:val="none"/>
        </w:rPr>
        <w:t>，新增水土流失量为</w:t>
      </w:r>
      <w:r>
        <w:rPr>
          <w:rFonts w:hint="eastAsia" w:eastAsiaTheme="minorEastAsia"/>
          <w:color w:val="auto"/>
          <w:sz w:val="26"/>
          <w:szCs w:val="26"/>
          <w:highlight w:val="none"/>
          <w:lang w:val="en-US" w:eastAsia="zh-CN"/>
        </w:rPr>
        <w:t>2412.64</w:t>
      </w:r>
      <w:r>
        <w:rPr>
          <w:rFonts w:eastAsiaTheme="minorEastAsia"/>
          <w:color w:val="auto"/>
          <w:sz w:val="26"/>
          <w:szCs w:val="26"/>
          <w:highlight w:val="none"/>
        </w:rPr>
        <w:t>t</w:t>
      </w:r>
      <w:r>
        <w:rPr>
          <w:rFonts w:hAnsiTheme="minorEastAsia" w:eastAsiaTheme="minorEastAsia"/>
          <w:color w:val="auto"/>
          <w:sz w:val="26"/>
          <w:szCs w:val="26"/>
          <w:highlight w:val="none"/>
        </w:rPr>
        <w:t>。从预测结果看，矿山露天采场及排土场可能新增的水土流失量最大，是水土流失防治的重点。其危害主要表现为以下几方面：</w:t>
      </w:r>
    </w:p>
    <w:p>
      <w:pPr>
        <w:spacing w:line="480" w:lineRule="exact"/>
        <w:ind w:firstLine="520" w:firstLineChars="200"/>
        <w:rPr>
          <w:rFonts w:eastAsiaTheme="minorEastAsia"/>
          <w:color w:val="auto"/>
          <w:sz w:val="26"/>
          <w:szCs w:val="26"/>
          <w:highlight w:val="none"/>
        </w:rPr>
      </w:pPr>
      <w:r>
        <w:rPr>
          <w:rFonts w:hAnsiTheme="minorEastAsia" w:eastAsiaTheme="minorEastAsia"/>
          <w:color w:val="auto"/>
          <w:sz w:val="26"/>
          <w:szCs w:val="26"/>
          <w:highlight w:val="none"/>
        </w:rPr>
        <w:t>①对周边生态环境的影响</w:t>
      </w:r>
    </w:p>
    <w:p>
      <w:pPr>
        <w:spacing w:line="480" w:lineRule="exact"/>
        <w:ind w:firstLine="520" w:firstLineChars="200"/>
        <w:rPr>
          <w:rFonts w:eastAsiaTheme="minorEastAsia"/>
          <w:color w:val="auto"/>
          <w:sz w:val="26"/>
          <w:szCs w:val="26"/>
          <w:highlight w:val="none"/>
        </w:rPr>
      </w:pPr>
      <w:r>
        <w:rPr>
          <w:rFonts w:hAnsiTheme="minorEastAsia" w:eastAsiaTheme="minorEastAsia"/>
          <w:color w:val="auto"/>
          <w:sz w:val="26"/>
          <w:szCs w:val="26"/>
          <w:highlight w:val="none"/>
        </w:rPr>
        <w:t>工程建设过程中，大量的地表受到扰动，原生植被受到破坏，使地表抗侵蚀能力急剧下降，加之施工期间部分废石渣堆放，为水土流失提供了松散物质源，施工期间若不注重水土保持，将在整个区域内形成严重的水土流失，破坏区域内生态环境。</w:t>
      </w:r>
    </w:p>
    <w:p>
      <w:pPr>
        <w:spacing w:line="480" w:lineRule="exact"/>
        <w:ind w:firstLine="520" w:firstLineChars="200"/>
        <w:rPr>
          <w:rFonts w:eastAsiaTheme="minorEastAsia"/>
          <w:color w:val="auto"/>
          <w:sz w:val="26"/>
          <w:szCs w:val="26"/>
          <w:highlight w:val="none"/>
        </w:rPr>
      </w:pPr>
      <w:r>
        <w:rPr>
          <w:rFonts w:hAnsiTheme="minorEastAsia" w:eastAsiaTheme="minorEastAsia"/>
          <w:color w:val="auto"/>
          <w:sz w:val="26"/>
          <w:szCs w:val="26"/>
          <w:highlight w:val="none"/>
        </w:rPr>
        <w:t>②土壤流失量增加</w:t>
      </w:r>
    </w:p>
    <w:p>
      <w:pPr>
        <w:spacing w:line="480" w:lineRule="exact"/>
        <w:ind w:firstLine="520" w:firstLineChars="200"/>
        <w:rPr>
          <w:rFonts w:eastAsiaTheme="minorEastAsia"/>
          <w:color w:val="auto"/>
          <w:sz w:val="26"/>
          <w:szCs w:val="26"/>
          <w:highlight w:val="none"/>
        </w:rPr>
      </w:pPr>
      <w:r>
        <w:rPr>
          <w:rFonts w:hAnsiTheme="minorEastAsia" w:eastAsiaTheme="minorEastAsia"/>
          <w:color w:val="auto"/>
          <w:sz w:val="26"/>
          <w:szCs w:val="26"/>
          <w:highlight w:val="none"/>
        </w:rPr>
        <w:t>由于工程建设中的开挖，破坏了原来的地表形态，使这一地区土壤侵蚀强度增加，从而增加了土壤的流失量。</w:t>
      </w:r>
    </w:p>
    <w:p>
      <w:pPr>
        <w:spacing w:line="480" w:lineRule="exact"/>
        <w:ind w:firstLine="520" w:firstLineChars="200"/>
        <w:rPr>
          <w:rFonts w:eastAsiaTheme="minorEastAsia"/>
          <w:color w:val="auto"/>
          <w:sz w:val="26"/>
          <w:szCs w:val="26"/>
          <w:highlight w:val="none"/>
        </w:rPr>
      </w:pPr>
      <w:r>
        <w:rPr>
          <w:rFonts w:hAnsiTheme="minorEastAsia" w:eastAsiaTheme="minorEastAsia"/>
          <w:color w:val="auto"/>
          <w:sz w:val="26"/>
          <w:szCs w:val="26"/>
          <w:highlight w:val="none"/>
        </w:rPr>
        <w:t>③对景观影响</w:t>
      </w:r>
    </w:p>
    <w:p>
      <w:pPr>
        <w:keepNext w:val="0"/>
        <w:keepLines w:val="0"/>
        <w:pageBreakBefore w:val="0"/>
        <w:widowControl w:val="0"/>
        <w:numPr>
          <w:ilvl w:val="0"/>
          <w:numId w:val="0"/>
        </w:numPr>
        <w:kinsoku/>
        <w:wordWrap/>
        <w:overflowPunct/>
        <w:topLinePunct w:val="0"/>
        <w:autoSpaceDE/>
        <w:autoSpaceDN/>
        <w:bidi w:val="0"/>
        <w:adjustRightInd w:val="0"/>
        <w:snapToGrid w:val="0"/>
        <w:ind w:firstLine="520" w:firstLineChars="200"/>
        <w:textAlignment w:val="auto"/>
        <w:rPr>
          <w:rFonts w:hint="eastAsia" w:hAnsiTheme="minorEastAsia" w:eastAsiaTheme="minorEastAsia"/>
          <w:color w:val="auto"/>
          <w:sz w:val="26"/>
          <w:szCs w:val="26"/>
          <w:highlight w:val="none"/>
          <w:lang w:eastAsia="zh-CN"/>
        </w:rPr>
      </w:pPr>
      <w:r>
        <w:rPr>
          <w:rFonts w:hAnsiTheme="minorEastAsia" w:eastAsiaTheme="minorEastAsia"/>
          <w:color w:val="auto"/>
          <w:sz w:val="26"/>
          <w:szCs w:val="26"/>
          <w:highlight w:val="none"/>
        </w:rPr>
        <w:t>从景观角度出发，由于矿山为露天开采，破坏了的原有地表景观</w:t>
      </w:r>
      <w:r>
        <w:rPr>
          <w:rFonts w:hint="eastAsia" w:hAnsiTheme="minorEastAsia" w:eastAsiaTheme="minorEastAsia"/>
          <w:color w:val="auto"/>
          <w:sz w:val="26"/>
          <w:szCs w:val="26"/>
          <w:highlight w:val="none"/>
          <w:lang w:eastAsia="zh-CN"/>
        </w:rPr>
        <w:t>。</w:t>
      </w:r>
    </w:p>
    <w:p>
      <w:pPr>
        <w:tabs>
          <w:tab w:val="left" w:pos="3495"/>
        </w:tabs>
        <w:autoSpaceDE w:val="0"/>
        <w:autoSpaceDN w:val="0"/>
        <w:adjustRightInd w:val="0"/>
        <w:spacing w:line="360" w:lineRule="auto"/>
        <w:ind w:firstLine="482"/>
        <w:rPr>
          <w:rFonts w:hint="eastAsia" w:ascii="宋体" w:hAnsi="宋体" w:eastAsia="宋体"/>
          <w:color w:val="auto"/>
          <w:kern w:val="0"/>
          <w:sz w:val="24"/>
          <w:lang w:eastAsia="zh-CN"/>
        </w:rPr>
      </w:pPr>
      <w:r>
        <w:rPr>
          <w:rFonts w:hint="eastAsia"/>
          <w:color w:val="auto"/>
          <w:highlight w:val="none"/>
          <w:lang w:eastAsia="zh-CN"/>
        </w:rPr>
        <w:t>根据项目水土保持方案，</w:t>
      </w:r>
      <w:r>
        <w:rPr>
          <w:rFonts w:hAnsiTheme="minorEastAsia" w:eastAsiaTheme="minorEastAsia"/>
          <w:color w:val="auto"/>
          <w:sz w:val="26"/>
          <w:szCs w:val="26"/>
          <w:highlight w:val="none"/>
        </w:rPr>
        <w:t>建设期水土流失基本得到了控制，植被恢复期各区域水土流失得到控制，</w:t>
      </w:r>
      <w:r>
        <w:rPr>
          <w:rFonts w:hint="eastAsia" w:ascii="宋体" w:hAnsi="宋体"/>
          <w:color w:val="auto"/>
          <w:kern w:val="0"/>
          <w:sz w:val="24"/>
          <w:highlight w:val="none"/>
        </w:rPr>
        <w:t>施工期，</w:t>
      </w:r>
      <w:r>
        <w:rPr>
          <w:rFonts w:hint="eastAsia" w:ascii="宋体" w:hAnsi="宋体"/>
          <w:color w:val="auto"/>
          <w:kern w:val="0"/>
          <w:sz w:val="24"/>
          <w:highlight w:val="none"/>
          <w:lang w:eastAsia="zh-CN"/>
        </w:rPr>
        <w:t>扰动土地治理率</w:t>
      </w:r>
      <w:r>
        <w:rPr>
          <w:rFonts w:hint="eastAsia" w:ascii="宋体" w:hAnsi="宋体"/>
          <w:color w:val="auto"/>
          <w:kern w:val="0"/>
          <w:sz w:val="24"/>
          <w:highlight w:val="none"/>
        </w:rPr>
        <w:t>95%；设计水平年，水土流失治理度达到9</w:t>
      </w:r>
      <w:r>
        <w:rPr>
          <w:rFonts w:hint="eastAsia" w:ascii="宋体" w:hAnsi="宋体"/>
          <w:color w:val="auto"/>
          <w:kern w:val="0"/>
          <w:sz w:val="24"/>
          <w:highlight w:val="none"/>
          <w:lang w:val="en-US" w:eastAsia="zh-CN"/>
        </w:rPr>
        <w:t>2</w:t>
      </w:r>
      <w:r>
        <w:rPr>
          <w:rFonts w:hint="eastAsia" w:ascii="宋体" w:hAnsi="宋体"/>
          <w:color w:val="auto"/>
          <w:kern w:val="0"/>
          <w:sz w:val="24"/>
          <w:highlight w:val="none"/>
        </w:rPr>
        <w:t>%，土壤流失控制比达到</w:t>
      </w:r>
      <w:r>
        <w:rPr>
          <w:rFonts w:hint="eastAsia" w:ascii="宋体" w:hAnsi="宋体"/>
          <w:color w:val="auto"/>
          <w:kern w:val="0"/>
          <w:sz w:val="24"/>
          <w:highlight w:val="none"/>
          <w:lang w:val="en-US" w:eastAsia="zh-CN"/>
        </w:rPr>
        <w:t>0.9</w:t>
      </w:r>
      <w:r>
        <w:rPr>
          <w:rFonts w:hint="eastAsia" w:ascii="宋体" w:hAnsi="宋体"/>
          <w:color w:val="auto"/>
          <w:kern w:val="0"/>
          <w:sz w:val="24"/>
          <w:highlight w:val="none"/>
        </w:rPr>
        <w:t>，渣土防治率92</w:t>
      </w:r>
      <w:r>
        <w:rPr>
          <w:rFonts w:hint="eastAsia" w:ascii="宋体" w:hAnsi="宋体"/>
          <w:color w:val="auto"/>
          <w:kern w:val="0"/>
          <w:sz w:val="24"/>
          <w:highlight w:val="none"/>
          <w:lang w:val="en-US" w:eastAsia="zh-CN"/>
        </w:rPr>
        <w:t>%</w:t>
      </w:r>
      <w:r>
        <w:rPr>
          <w:rFonts w:hint="eastAsia" w:ascii="宋体" w:hAnsi="宋体"/>
          <w:color w:val="auto"/>
          <w:kern w:val="0"/>
          <w:sz w:val="24"/>
          <w:highlight w:val="none"/>
        </w:rPr>
        <w:t>，林草植被恢复率达到96%，林草覆盖率达到21%；生产期，水土流失治理度达到97%，渣土防治率</w:t>
      </w:r>
      <w:r>
        <w:rPr>
          <w:rFonts w:hint="eastAsia" w:ascii="宋体" w:hAnsi="宋体"/>
          <w:color w:val="auto"/>
          <w:kern w:val="0"/>
          <w:sz w:val="24"/>
          <w:highlight w:val="none"/>
          <w:lang w:val="en-US" w:eastAsia="zh-CN"/>
        </w:rPr>
        <w:t>98%，</w:t>
      </w:r>
      <w:r>
        <w:rPr>
          <w:rFonts w:hint="eastAsia" w:ascii="宋体" w:hAnsi="宋体"/>
          <w:color w:val="auto"/>
          <w:kern w:val="0"/>
          <w:sz w:val="24"/>
          <w:highlight w:val="none"/>
        </w:rPr>
        <w:t>林草植被恢复率达到</w:t>
      </w:r>
      <w:r>
        <w:rPr>
          <w:rFonts w:hint="eastAsia" w:ascii="宋体" w:hAnsi="宋体"/>
          <w:color w:val="auto"/>
          <w:kern w:val="0"/>
          <w:sz w:val="24"/>
          <w:highlight w:val="none"/>
          <w:lang w:val="en-US" w:eastAsia="zh-CN"/>
        </w:rPr>
        <w:t>99</w:t>
      </w:r>
      <w:r>
        <w:rPr>
          <w:rFonts w:hint="eastAsia" w:ascii="宋体" w:hAnsi="宋体"/>
          <w:color w:val="auto"/>
          <w:kern w:val="0"/>
          <w:sz w:val="24"/>
          <w:highlight w:val="none"/>
        </w:rPr>
        <w:t>%，林草覆盖率达到</w:t>
      </w:r>
      <w:r>
        <w:rPr>
          <w:rFonts w:hint="eastAsia" w:ascii="宋体" w:hAnsi="宋体"/>
          <w:color w:val="auto"/>
          <w:kern w:val="0"/>
          <w:sz w:val="24"/>
          <w:highlight w:val="none"/>
          <w:lang w:val="en-US" w:eastAsia="zh-CN"/>
        </w:rPr>
        <w:t>27</w:t>
      </w:r>
      <w:r>
        <w:rPr>
          <w:rFonts w:hint="eastAsia" w:ascii="宋体" w:hAnsi="宋体"/>
          <w:color w:val="auto"/>
          <w:kern w:val="0"/>
          <w:sz w:val="24"/>
          <w:highlight w:val="none"/>
        </w:rPr>
        <w:t>%</w:t>
      </w:r>
      <w:r>
        <w:rPr>
          <w:rFonts w:hint="eastAsia" w:ascii="宋体" w:hAnsi="宋体"/>
          <w:color w:val="auto"/>
          <w:kern w:val="0"/>
          <w:sz w:val="24"/>
          <w:highlight w:val="none"/>
          <w:lang w:eastAsia="zh-CN"/>
        </w:rPr>
        <w:t>。</w:t>
      </w:r>
    </w:p>
    <w:p>
      <w:pPr>
        <w:tabs>
          <w:tab w:val="left" w:pos="3495"/>
        </w:tabs>
        <w:autoSpaceDE w:val="0"/>
        <w:autoSpaceDN w:val="0"/>
        <w:adjustRightInd w:val="0"/>
        <w:spacing w:line="360" w:lineRule="auto"/>
        <w:ind w:firstLine="482"/>
        <w:rPr>
          <w:rFonts w:hint="eastAsia" w:ascii="宋体" w:hAnsi="宋体"/>
          <w:color w:val="auto"/>
          <w:kern w:val="0"/>
          <w:sz w:val="24"/>
        </w:rPr>
      </w:pPr>
      <w:r>
        <w:rPr>
          <w:rFonts w:hint="eastAsia" w:ascii="宋体" w:hAnsi="宋体"/>
          <w:color w:val="auto"/>
          <w:kern w:val="0"/>
          <w:sz w:val="24"/>
        </w:rPr>
        <w:t>项目水土流失防治目标详见下表：</w:t>
      </w:r>
    </w:p>
    <w:p>
      <w:pPr>
        <w:tabs>
          <w:tab w:val="left" w:pos="3495"/>
        </w:tabs>
        <w:autoSpaceDE w:val="0"/>
        <w:autoSpaceDN w:val="0"/>
        <w:adjustRightInd w:val="0"/>
        <w:spacing w:line="360" w:lineRule="auto"/>
        <w:ind w:firstLine="482"/>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表</w:t>
      </w:r>
      <w:r>
        <w:rPr>
          <w:rFonts w:hint="eastAsia" w:cs="Times New Roman"/>
          <w:b/>
          <w:color w:val="auto"/>
          <w:kern w:val="0"/>
          <w:sz w:val="21"/>
          <w:szCs w:val="21"/>
          <w:lang w:val="en-US" w:eastAsia="zh-CN"/>
        </w:rPr>
        <w:t>6.2-2</w:t>
      </w:r>
      <w:r>
        <w:rPr>
          <w:rFonts w:hint="default" w:ascii="Times New Roman" w:hAnsi="Times New Roman" w:cs="Times New Roman"/>
          <w:b/>
          <w:color w:val="auto"/>
          <w:kern w:val="0"/>
          <w:sz w:val="21"/>
          <w:szCs w:val="21"/>
        </w:rPr>
        <w:t xml:space="preserve">    水土流失防治目标一览表</w:t>
      </w:r>
    </w:p>
    <w:tbl>
      <w:tblPr>
        <w:tblStyle w:val="29"/>
        <w:tblW w:w="89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610"/>
        <w:gridCol w:w="1933"/>
        <w:gridCol w:w="586"/>
        <w:gridCol w:w="744"/>
        <w:gridCol w:w="931"/>
        <w:gridCol w:w="1300"/>
        <w:gridCol w:w="1094"/>
        <w:gridCol w:w="831"/>
        <w:gridCol w:w="9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37" w:hRule="atLeast"/>
          <w:jc w:val="center"/>
        </w:trPr>
        <w:tc>
          <w:tcPr>
            <w:tcW w:w="610" w:type="dxa"/>
            <w:vMerge w:val="restart"/>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序号</w:t>
            </w:r>
          </w:p>
        </w:tc>
        <w:tc>
          <w:tcPr>
            <w:tcW w:w="1933" w:type="dxa"/>
            <w:vMerge w:val="restart"/>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防治标准（%）</w:t>
            </w:r>
          </w:p>
        </w:tc>
        <w:tc>
          <w:tcPr>
            <w:tcW w:w="1330" w:type="dxa"/>
            <w:gridSpan w:val="2"/>
            <w:tcBorders>
              <w:bottom w:val="single" w:color="auto" w:sz="4" w:space="0"/>
            </w:tcBorders>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标准规定</w:t>
            </w:r>
          </w:p>
        </w:tc>
        <w:tc>
          <w:tcPr>
            <w:tcW w:w="931" w:type="dxa"/>
            <w:vMerge w:val="restart"/>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按降水量</w:t>
            </w:r>
          </w:p>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修正</w:t>
            </w:r>
          </w:p>
        </w:tc>
        <w:tc>
          <w:tcPr>
            <w:tcW w:w="1300" w:type="dxa"/>
            <w:vMerge w:val="restart"/>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按土壤侵蚀强度修正</w:t>
            </w:r>
          </w:p>
        </w:tc>
        <w:tc>
          <w:tcPr>
            <w:tcW w:w="1094" w:type="dxa"/>
            <w:vMerge w:val="restart"/>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按地形修正</w:t>
            </w:r>
          </w:p>
        </w:tc>
        <w:tc>
          <w:tcPr>
            <w:tcW w:w="1742" w:type="dxa"/>
            <w:gridSpan w:val="2"/>
            <w:tcBorders>
              <w:bottom w:val="single" w:color="auto" w:sz="4" w:space="0"/>
            </w:tcBorders>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采用标准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829" w:hRule="atLeast"/>
          <w:jc w:val="center"/>
        </w:trPr>
        <w:tc>
          <w:tcPr>
            <w:tcW w:w="610" w:type="dxa"/>
            <w:vMerge w:val="continue"/>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933" w:type="dxa"/>
            <w:vMerge w:val="continue"/>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586" w:type="dxa"/>
            <w:tcBorders>
              <w:top w:val="single" w:color="auto" w:sz="4" w:space="0"/>
              <w:right w:val="single" w:color="auto" w:sz="4" w:space="0"/>
            </w:tcBorders>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试运行期</w:t>
            </w:r>
          </w:p>
        </w:tc>
        <w:tc>
          <w:tcPr>
            <w:tcW w:w="744" w:type="dxa"/>
            <w:tcBorders>
              <w:top w:val="single" w:color="auto" w:sz="4" w:space="0"/>
              <w:left w:val="single" w:color="auto" w:sz="4" w:space="0"/>
            </w:tcBorders>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生产运行期</w:t>
            </w:r>
          </w:p>
        </w:tc>
        <w:tc>
          <w:tcPr>
            <w:tcW w:w="931" w:type="dxa"/>
            <w:vMerge w:val="continue"/>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300" w:type="dxa"/>
            <w:vMerge w:val="continue"/>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094" w:type="dxa"/>
            <w:vMerge w:val="continue"/>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831" w:type="dxa"/>
            <w:tcBorders>
              <w:top w:val="single" w:color="auto" w:sz="4" w:space="0"/>
              <w:right w:val="single" w:color="auto" w:sz="4" w:space="0"/>
            </w:tcBorders>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试运行期</w:t>
            </w:r>
          </w:p>
        </w:tc>
        <w:tc>
          <w:tcPr>
            <w:tcW w:w="911" w:type="dxa"/>
            <w:tcBorders>
              <w:top w:val="single" w:color="auto" w:sz="4" w:space="0"/>
              <w:left w:val="single" w:color="auto" w:sz="4" w:space="0"/>
            </w:tcBorders>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生产运行期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22" w:hRule="atLeast"/>
          <w:jc w:val="center"/>
        </w:trPr>
        <w:tc>
          <w:tcPr>
            <w:tcW w:w="610" w:type="dxa"/>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1933" w:type="dxa"/>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扰动土地治理率</w:t>
            </w:r>
          </w:p>
        </w:tc>
        <w:tc>
          <w:tcPr>
            <w:tcW w:w="586" w:type="dxa"/>
            <w:tcBorders>
              <w:right w:val="single" w:color="auto" w:sz="4" w:space="0"/>
            </w:tcBorders>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95</w:t>
            </w:r>
          </w:p>
        </w:tc>
        <w:tc>
          <w:tcPr>
            <w:tcW w:w="744" w:type="dxa"/>
            <w:tcBorders>
              <w:left w:val="single" w:color="auto" w:sz="4" w:space="0"/>
            </w:tcBorders>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＞95</w:t>
            </w:r>
          </w:p>
        </w:tc>
        <w:tc>
          <w:tcPr>
            <w:tcW w:w="931" w:type="dxa"/>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w:t>
            </w:r>
          </w:p>
        </w:tc>
        <w:tc>
          <w:tcPr>
            <w:tcW w:w="1300" w:type="dxa"/>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w:t>
            </w:r>
          </w:p>
        </w:tc>
        <w:tc>
          <w:tcPr>
            <w:tcW w:w="1094" w:type="dxa"/>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w:t>
            </w:r>
          </w:p>
        </w:tc>
        <w:tc>
          <w:tcPr>
            <w:tcW w:w="831" w:type="dxa"/>
            <w:tcBorders>
              <w:right w:val="single" w:color="auto" w:sz="4" w:space="0"/>
            </w:tcBorders>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95</w:t>
            </w:r>
          </w:p>
        </w:tc>
        <w:tc>
          <w:tcPr>
            <w:tcW w:w="911" w:type="dxa"/>
            <w:tcBorders>
              <w:left w:val="single" w:color="auto" w:sz="4" w:space="0"/>
            </w:tcBorders>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22" w:hRule="atLeast"/>
          <w:jc w:val="center"/>
        </w:trPr>
        <w:tc>
          <w:tcPr>
            <w:tcW w:w="610" w:type="dxa"/>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c>
          <w:tcPr>
            <w:tcW w:w="1933" w:type="dxa"/>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水土流失总治理度</w:t>
            </w:r>
          </w:p>
        </w:tc>
        <w:tc>
          <w:tcPr>
            <w:tcW w:w="586" w:type="dxa"/>
            <w:tcBorders>
              <w:right w:val="single" w:color="auto" w:sz="4" w:space="0"/>
            </w:tcBorders>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90</w:t>
            </w:r>
          </w:p>
        </w:tc>
        <w:tc>
          <w:tcPr>
            <w:tcW w:w="744" w:type="dxa"/>
            <w:tcBorders>
              <w:left w:val="single" w:color="auto" w:sz="4" w:space="0"/>
            </w:tcBorders>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＞90</w:t>
            </w:r>
          </w:p>
        </w:tc>
        <w:tc>
          <w:tcPr>
            <w:tcW w:w="931" w:type="dxa"/>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c>
          <w:tcPr>
            <w:tcW w:w="1300" w:type="dxa"/>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w:t>
            </w:r>
          </w:p>
        </w:tc>
        <w:tc>
          <w:tcPr>
            <w:tcW w:w="1094" w:type="dxa"/>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w:t>
            </w:r>
          </w:p>
        </w:tc>
        <w:tc>
          <w:tcPr>
            <w:tcW w:w="831" w:type="dxa"/>
            <w:tcBorders>
              <w:right w:val="single" w:color="auto" w:sz="4" w:space="0"/>
            </w:tcBorders>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92</w:t>
            </w:r>
          </w:p>
        </w:tc>
        <w:tc>
          <w:tcPr>
            <w:tcW w:w="911" w:type="dxa"/>
            <w:tcBorders>
              <w:left w:val="single" w:color="auto" w:sz="4" w:space="0"/>
            </w:tcBorders>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22" w:hRule="atLeast"/>
          <w:jc w:val="center"/>
        </w:trPr>
        <w:tc>
          <w:tcPr>
            <w:tcW w:w="610" w:type="dxa"/>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w:t>
            </w:r>
          </w:p>
        </w:tc>
        <w:tc>
          <w:tcPr>
            <w:tcW w:w="1933" w:type="dxa"/>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土壤流失控制比</w:t>
            </w:r>
          </w:p>
        </w:tc>
        <w:tc>
          <w:tcPr>
            <w:tcW w:w="586" w:type="dxa"/>
            <w:tcBorders>
              <w:right w:val="single" w:color="auto" w:sz="4" w:space="0"/>
            </w:tcBorders>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0.8</w:t>
            </w:r>
          </w:p>
        </w:tc>
        <w:tc>
          <w:tcPr>
            <w:tcW w:w="744" w:type="dxa"/>
            <w:tcBorders>
              <w:left w:val="single" w:color="auto" w:sz="4" w:space="0"/>
            </w:tcBorders>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0.7</w:t>
            </w:r>
          </w:p>
        </w:tc>
        <w:tc>
          <w:tcPr>
            <w:tcW w:w="931" w:type="dxa"/>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w:t>
            </w:r>
          </w:p>
        </w:tc>
        <w:tc>
          <w:tcPr>
            <w:tcW w:w="1300" w:type="dxa"/>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＋0.2</w:t>
            </w:r>
          </w:p>
        </w:tc>
        <w:tc>
          <w:tcPr>
            <w:tcW w:w="1094" w:type="dxa"/>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w:t>
            </w:r>
          </w:p>
        </w:tc>
        <w:tc>
          <w:tcPr>
            <w:tcW w:w="831" w:type="dxa"/>
            <w:tcBorders>
              <w:right w:val="single" w:color="auto" w:sz="4" w:space="0"/>
            </w:tcBorders>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w:t>
            </w:r>
          </w:p>
        </w:tc>
        <w:tc>
          <w:tcPr>
            <w:tcW w:w="911" w:type="dxa"/>
            <w:tcBorders>
              <w:left w:val="single" w:color="auto" w:sz="4" w:space="0"/>
            </w:tcBorders>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22" w:hRule="atLeast"/>
          <w:jc w:val="center"/>
        </w:trPr>
        <w:tc>
          <w:tcPr>
            <w:tcW w:w="610" w:type="dxa"/>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w:t>
            </w:r>
          </w:p>
        </w:tc>
        <w:tc>
          <w:tcPr>
            <w:tcW w:w="1933" w:type="dxa"/>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拦渣率</w:t>
            </w:r>
          </w:p>
        </w:tc>
        <w:tc>
          <w:tcPr>
            <w:tcW w:w="586" w:type="dxa"/>
            <w:tcBorders>
              <w:right w:val="single" w:color="auto" w:sz="4" w:space="0"/>
            </w:tcBorders>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98</w:t>
            </w:r>
          </w:p>
        </w:tc>
        <w:tc>
          <w:tcPr>
            <w:tcW w:w="744" w:type="dxa"/>
            <w:tcBorders>
              <w:left w:val="single" w:color="auto" w:sz="4" w:space="0"/>
            </w:tcBorders>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98</w:t>
            </w:r>
          </w:p>
        </w:tc>
        <w:tc>
          <w:tcPr>
            <w:tcW w:w="931" w:type="dxa"/>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w:t>
            </w:r>
          </w:p>
        </w:tc>
        <w:tc>
          <w:tcPr>
            <w:tcW w:w="1300" w:type="dxa"/>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w:t>
            </w:r>
          </w:p>
        </w:tc>
        <w:tc>
          <w:tcPr>
            <w:tcW w:w="1094" w:type="dxa"/>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w:t>
            </w:r>
          </w:p>
        </w:tc>
        <w:tc>
          <w:tcPr>
            <w:tcW w:w="831" w:type="dxa"/>
            <w:tcBorders>
              <w:right w:val="single" w:color="auto" w:sz="4" w:space="0"/>
            </w:tcBorders>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98</w:t>
            </w:r>
          </w:p>
        </w:tc>
        <w:tc>
          <w:tcPr>
            <w:tcW w:w="911" w:type="dxa"/>
            <w:tcBorders>
              <w:left w:val="single" w:color="auto" w:sz="4" w:space="0"/>
            </w:tcBorders>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22" w:hRule="atLeast"/>
          <w:jc w:val="center"/>
        </w:trPr>
        <w:tc>
          <w:tcPr>
            <w:tcW w:w="610" w:type="dxa"/>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w:t>
            </w:r>
          </w:p>
        </w:tc>
        <w:tc>
          <w:tcPr>
            <w:tcW w:w="1933" w:type="dxa"/>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林草植被恢复率</w:t>
            </w:r>
          </w:p>
        </w:tc>
        <w:tc>
          <w:tcPr>
            <w:tcW w:w="586" w:type="dxa"/>
            <w:tcBorders>
              <w:right w:val="single" w:color="auto" w:sz="4" w:space="0"/>
            </w:tcBorders>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97</w:t>
            </w:r>
          </w:p>
        </w:tc>
        <w:tc>
          <w:tcPr>
            <w:tcW w:w="744" w:type="dxa"/>
            <w:tcBorders>
              <w:left w:val="single" w:color="auto" w:sz="4" w:space="0"/>
            </w:tcBorders>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97</w:t>
            </w:r>
          </w:p>
        </w:tc>
        <w:tc>
          <w:tcPr>
            <w:tcW w:w="931" w:type="dxa"/>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c>
          <w:tcPr>
            <w:tcW w:w="1300" w:type="dxa"/>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w:t>
            </w:r>
          </w:p>
        </w:tc>
        <w:tc>
          <w:tcPr>
            <w:tcW w:w="1094" w:type="dxa"/>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w:t>
            </w:r>
          </w:p>
        </w:tc>
        <w:tc>
          <w:tcPr>
            <w:tcW w:w="831" w:type="dxa"/>
            <w:tcBorders>
              <w:right w:val="single" w:color="auto" w:sz="4" w:space="0"/>
            </w:tcBorders>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99</w:t>
            </w:r>
          </w:p>
        </w:tc>
        <w:tc>
          <w:tcPr>
            <w:tcW w:w="911" w:type="dxa"/>
            <w:tcBorders>
              <w:left w:val="single" w:color="auto" w:sz="4" w:space="0"/>
            </w:tcBorders>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2" w:hRule="atLeast"/>
          <w:jc w:val="center"/>
        </w:trPr>
        <w:tc>
          <w:tcPr>
            <w:tcW w:w="610" w:type="dxa"/>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w:t>
            </w:r>
          </w:p>
        </w:tc>
        <w:tc>
          <w:tcPr>
            <w:tcW w:w="1933" w:type="dxa"/>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林草覆盖率</w:t>
            </w:r>
          </w:p>
        </w:tc>
        <w:tc>
          <w:tcPr>
            <w:tcW w:w="586" w:type="dxa"/>
            <w:tcBorders>
              <w:right w:val="single" w:color="auto" w:sz="4" w:space="0"/>
            </w:tcBorders>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25</w:t>
            </w:r>
          </w:p>
        </w:tc>
        <w:tc>
          <w:tcPr>
            <w:tcW w:w="744" w:type="dxa"/>
            <w:tcBorders>
              <w:left w:val="single" w:color="auto" w:sz="4" w:space="0"/>
            </w:tcBorders>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＞25</w:t>
            </w:r>
          </w:p>
        </w:tc>
        <w:tc>
          <w:tcPr>
            <w:tcW w:w="931" w:type="dxa"/>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c>
          <w:tcPr>
            <w:tcW w:w="1300" w:type="dxa"/>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w:t>
            </w:r>
          </w:p>
        </w:tc>
        <w:tc>
          <w:tcPr>
            <w:tcW w:w="1094" w:type="dxa"/>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w:t>
            </w:r>
          </w:p>
        </w:tc>
        <w:tc>
          <w:tcPr>
            <w:tcW w:w="831" w:type="dxa"/>
            <w:tcBorders>
              <w:right w:val="single" w:color="auto" w:sz="4" w:space="0"/>
            </w:tcBorders>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27</w:t>
            </w:r>
          </w:p>
        </w:tc>
        <w:tc>
          <w:tcPr>
            <w:tcW w:w="911" w:type="dxa"/>
            <w:tcBorders>
              <w:left w:val="single" w:color="auto" w:sz="4" w:space="0"/>
            </w:tcBorders>
            <w:noWrap w:val="0"/>
            <w:vAlign w:val="center"/>
          </w:tcPr>
          <w:p>
            <w:pPr>
              <w:spacing w:line="36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＞27</w:t>
            </w:r>
          </w:p>
        </w:tc>
      </w:tr>
    </w:tbl>
    <w:p>
      <w:pPr>
        <w:keepNext w:val="0"/>
        <w:keepLines w:val="0"/>
        <w:pageBreakBefore w:val="0"/>
        <w:widowControl w:val="0"/>
        <w:numPr>
          <w:ilvl w:val="0"/>
          <w:numId w:val="0"/>
        </w:numPr>
        <w:kinsoku/>
        <w:wordWrap/>
        <w:overflowPunct/>
        <w:topLinePunct w:val="0"/>
        <w:autoSpaceDE/>
        <w:autoSpaceDN/>
        <w:bidi w:val="0"/>
        <w:adjustRightInd w:val="0"/>
        <w:snapToGrid w:val="0"/>
        <w:ind w:firstLine="520" w:firstLineChars="200"/>
        <w:textAlignment w:val="auto"/>
        <w:rPr>
          <w:rFonts w:hint="eastAsia"/>
          <w:highlight w:val="none"/>
          <w:lang w:eastAsia="zh-CN"/>
        </w:rPr>
      </w:pPr>
      <w:r>
        <w:rPr>
          <w:rFonts w:hAnsiTheme="minorEastAsia" w:eastAsiaTheme="minorEastAsia"/>
          <w:color w:val="auto"/>
          <w:sz w:val="26"/>
          <w:szCs w:val="26"/>
          <w:highlight w:val="none"/>
        </w:rPr>
        <w:t>综上所述，本工程水土保持综合防治措施体系实施后，可以有效控制新增水土流失数量，提高项目区林草覆盖率，改善项目区生态环境质量，具有较好的生态效益</w:t>
      </w:r>
      <w:r>
        <w:rPr>
          <w:rFonts w:hint="eastAsia" w:hAnsiTheme="minorEastAsia" w:eastAsiaTheme="minorEastAsia"/>
          <w:color w:val="auto"/>
          <w:sz w:val="26"/>
          <w:szCs w:val="26"/>
          <w:highlight w:val="none"/>
          <w:lang w:eastAsia="zh-CN"/>
        </w:rPr>
        <w:t>，</w:t>
      </w:r>
      <w:r>
        <w:rPr>
          <w:rFonts w:hint="eastAsia" w:ascii="宋体" w:hAnsi="宋体"/>
          <w:color w:val="auto"/>
          <w:sz w:val="24"/>
          <w:highlight w:val="none"/>
        </w:rPr>
        <w:t>工程是可行的，不存在制约工程建设的水土保持问题</w:t>
      </w:r>
      <w:r>
        <w:rPr>
          <w:rFonts w:hint="eastAsia"/>
          <w:highlight w:val="none"/>
          <w:lang w:eastAsia="zh-CN"/>
        </w:rPr>
        <w:t>。</w:t>
      </w:r>
    </w:p>
    <w:p>
      <w:pPr>
        <w:adjustRightInd w:val="0"/>
        <w:snapToGrid w:val="0"/>
        <w:ind w:firstLine="480"/>
        <w:rPr>
          <w:rFonts w:hint="eastAsia"/>
          <w:color w:val="auto"/>
          <w:highlight w:val="none"/>
          <w:lang w:eastAsia="zh-CN"/>
        </w:rPr>
      </w:pPr>
      <w:r>
        <w:rPr>
          <w:rFonts w:hint="eastAsia"/>
          <w:color w:val="auto"/>
          <w:highlight w:val="none"/>
          <w:lang w:eastAsia="zh-CN"/>
        </w:rPr>
        <w:t>综合以上生态环境影响分析，本报告提出以下预防控制措施：</w:t>
      </w:r>
    </w:p>
    <w:p>
      <w:pPr>
        <w:spacing w:line="480" w:lineRule="exact"/>
        <w:ind w:firstLine="480" w:firstLineChars="200"/>
        <w:rPr>
          <w:color w:val="auto"/>
          <w:sz w:val="24"/>
          <w:szCs w:val="24"/>
          <w:highlight w:val="none"/>
        </w:rPr>
      </w:pPr>
      <w:r>
        <w:rPr>
          <w:rFonts w:hint="eastAsia"/>
          <w:color w:val="auto"/>
          <w:sz w:val="24"/>
          <w:szCs w:val="24"/>
          <w:highlight w:val="none"/>
        </w:rPr>
        <w:t>1、对策措施：</w:t>
      </w:r>
    </w:p>
    <w:p>
      <w:pPr>
        <w:spacing w:line="480" w:lineRule="exact"/>
        <w:ind w:firstLine="480" w:firstLineChars="200"/>
        <w:rPr>
          <w:color w:val="auto"/>
          <w:sz w:val="24"/>
          <w:szCs w:val="24"/>
          <w:highlight w:val="none"/>
        </w:rPr>
      </w:pPr>
      <w:r>
        <w:rPr>
          <w:rFonts w:hint="eastAsia"/>
          <w:color w:val="auto"/>
          <w:sz w:val="24"/>
          <w:szCs w:val="24"/>
          <w:highlight w:val="none"/>
        </w:rPr>
        <w:t>a．采场和排土场边坡治理</w:t>
      </w:r>
    </w:p>
    <w:p>
      <w:pPr>
        <w:spacing w:line="480" w:lineRule="exact"/>
        <w:ind w:firstLine="480" w:firstLineChars="200"/>
        <w:rPr>
          <w:color w:val="auto"/>
          <w:sz w:val="24"/>
          <w:szCs w:val="24"/>
          <w:highlight w:val="none"/>
        </w:rPr>
      </w:pPr>
      <w:r>
        <w:rPr>
          <w:rFonts w:hint="eastAsia"/>
          <w:color w:val="auto"/>
          <w:sz w:val="24"/>
          <w:szCs w:val="24"/>
          <w:highlight w:val="none"/>
        </w:rPr>
        <w:t>为了维护边坡的稳定，防止坍塌滑坡，应根据具体情况合理设计开采要素，并严格按照设计进行施工和生产。采取各种措施提高边坡的稳定性，建立边坡监测网，定期进行边坡监测及稳定性分析和评价，积极预防崩塌、滑坡、泥石流等灾害的产生。加强采场和排土场排水系统的管理，防止径流对采场和排土场冲刷和侵蚀。</w:t>
      </w:r>
    </w:p>
    <w:p>
      <w:pPr>
        <w:spacing w:line="480" w:lineRule="exact"/>
        <w:ind w:firstLine="480" w:firstLineChars="200"/>
        <w:rPr>
          <w:color w:val="auto"/>
          <w:sz w:val="24"/>
          <w:szCs w:val="24"/>
          <w:highlight w:val="none"/>
        </w:rPr>
      </w:pPr>
      <w:r>
        <w:rPr>
          <w:rFonts w:hint="eastAsia"/>
          <w:color w:val="auto"/>
          <w:sz w:val="24"/>
          <w:szCs w:val="24"/>
          <w:highlight w:val="none"/>
        </w:rPr>
        <w:t>b．进行矿区复垦、保护生态环境</w:t>
      </w:r>
    </w:p>
    <w:p>
      <w:pPr>
        <w:spacing w:line="480" w:lineRule="exact"/>
        <w:ind w:firstLine="480" w:firstLineChars="200"/>
        <w:rPr>
          <w:color w:val="auto"/>
          <w:sz w:val="24"/>
          <w:szCs w:val="24"/>
          <w:highlight w:val="none"/>
        </w:rPr>
      </w:pPr>
      <w:r>
        <w:rPr>
          <w:rFonts w:hint="eastAsia"/>
          <w:color w:val="auto"/>
          <w:sz w:val="24"/>
          <w:szCs w:val="24"/>
          <w:highlight w:val="none"/>
        </w:rPr>
        <w:t>矿产资源开发废弃地的恢复利用成为我国一条重要的增加土地资源的途径，也是一项生态环境保护的重要战略措施。项目在生产期间必须进行边开采边复垦，以恢复和造就新的生态环境。需复垦的场地有采场和排土场。复垦采用林业复垦和农业复垦相结合的方式，亦林部分则恢复植被，亦农部分则恢复为农田。建设单位应编制复垦规划，制定具体实施方案，落实复垦资金。</w:t>
      </w:r>
    </w:p>
    <w:p>
      <w:pPr>
        <w:spacing w:line="480" w:lineRule="exact"/>
        <w:ind w:firstLine="480" w:firstLineChars="200"/>
        <w:rPr>
          <w:color w:val="auto"/>
          <w:sz w:val="24"/>
          <w:szCs w:val="24"/>
          <w:highlight w:val="none"/>
        </w:rPr>
      </w:pPr>
      <w:r>
        <w:rPr>
          <w:rFonts w:hint="eastAsia"/>
          <w:color w:val="auto"/>
          <w:sz w:val="24"/>
          <w:szCs w:val="24"/>
          <w:highlight w:val="none"/>
        </w:rPr>
        <w:t>c.土地复垦措施</w:t>
      </w:r>
    </w:p>
    <w:p>
      <w:pPr>
        <w:spacing w:line="480" w:lineRule="exact"/>
        <w:ind w:firstLine="480" w:firstLineChars="200"/>
        <w:rPr>
          <w:color w:val="auto"/>
          <w:sz w:val="24"/>
          <w:szCs w:val="24"/>
          <w:highlight w:val="none"/>
        </w:rPr>
      </w:pPr>
      <w:r>
        <w:rPr>
          <w:rFonts w:hint="eastAsia"/>
          <w:color w:val="auto"/>
          <w:sz w:val="24"/>
          <w:szCs w:val="24"/>
          <w:highlight w:val="none"/>
        </w:rPr>
        <w:t>在土地复垦和防治水土流失方面，首先搞好排土场覆土复垦工作，废弃或完成使命的排土场必须进行复垦工作，在开采设计的同时编制复垦设计，使复垦和采矿组成一个完整的工艺体系，这样既能经济有效的发展生产，同时也提高了复垦的效果，利于恢复和改善环境。</w:t>
      </w:r>
    </w:p>
    <w:p>
      <w:pPr>
        <w:spacing w:line="480" w:lineRule="exact"/>
        <w:ind w:firstLine="480" w:firstLineChars="200"/>
        <w:rPr>
          <w:color w:val="auto"/>
          <w:sz w:val="24"/>
          <w:szCs w:val="24"/>
          <w:highlight w:val="none"/>
        </w:rPr>
      </w:pPr>
      <w:r>
        <w:rPr>
          <w:rFonts w:hint="eastAsia"/>
          <w:color w:val="auto"/>
          <w:sz w:val="24"/>
          <w:szCs w:val="24"/>
          <w:highlight w:val="none"/>
        </w:rPr>
        <w:t>为保证矿区生态环境的可持续性，建设单位应采取以下措施：</w:t>
      </w:r>
    </w:p>
    <w:p>
      <w:pPr>
        <w:spacing w:line="480" w:lineRule="exact"/>
        <w:ind w:firstLine="480" w:firstLineChars="200"/>
        <w:rPr>
          <w:color w:val="auto"/>
          <w:sz w:val="24"/>
          <w:szCs w:val="24"/>
          <w:highlight w:val="none"/>
        </w:rPr>
      </w:pPr>
      <w:r>
        <w:rPr>
          <w:rFonts w:hint="eastAsia"/>
          <w:color w:val="auto"/>
          <w:sz w:val="24"/>
          <w:szCs w:val="24"/>
          <w:highlight w:val="none"/>
        </w:rPr>
        <w:t>①复垦工作是一项常年工作，对于复垦区，要做到采完一片，及时复垦处理一片。不允许复垦区裸地暴露时间超过一年。</w:t>
      </w:r>
    </w:p>
    <w:p>
      <w:pPr>
        <w:spacing w:line="480" w:lineRule="exact"/>
        <w:ind w:firstLine="480" w:firstLineChars="200"/>
        <w:rPr>
          <w:color w:val="auto"/>
          <w:sz w:val="24"/>
          <w:szCs w:val="24"/>
          <w:highlight w:val="none"/>
        </w:rPr>
      </w:pPr>
      <w:r>
        <w:rPr>
          <w:rFonts w:hint="eastAsia"/>
          <w:color w:val="auto"/>
          <w:sz w:val="24"/>
          <w:szCs w:val="24"/>
          <w:highlight w:val="none"/>
        </w:rPr>
        <w:t>②根据复垦区的立地条件，选择当地适生性强的种植种类分批计划种植。在复垦前期，可考虑种植一些易成活的种类，能迅速生长的先锋植物，利用它们能较快固土保水，熟化土壤，种植成本低的特性为首期选择种植的种类。在经过1～3年后，考虑实施后期复垦，应考虑适生性强、耐污性好的乔木种植。</w:t>
      </w:r>
    </w:p>
    <w:p>
      <w:pPr>
        <w:spacing w:line="480" w:lineRule="exact"/>
        <w:ind w:firstLine="480" w:firstLineChars="200"/>
        <w:rPr>
          <w:color w:val="auto"/>
          <w:sz w:val="24"/>
          <w:szCs w:val="24"/>
          <w:highlight w:val="none"/>
        </w:rPr>
      </w:pPr>
      <w:r>
        <w:rPr>
          <w:rFonts w:hint="eastAsia"/>
          <w:color w:val="auto"/>
          <w:sz w:val="24"/>
          <w:szCs w:val="24"/>
          <w:highlight w:val="none"/>
        </w:rPr>
        <w:t>③林带方向要沿等高线布设，并且要集中连片造林。根据地形地势，宜林则林、宜灌则灌、宜草则草。建设以灌、草结合，片、带、网结合，长期效益与短期效益结合的人工生态体系。</w:t>
      </w:r>
    </w:p>
    <w:p>
      <w:pPr>
        <w:spacing w:line="480" w:lineRule="exact"/>
        <w:ind w:firstLine="480" w:firstLineChars="200"/>
        <w:rPr>
          <w:color w:val="auto"/>
          <w:sz w:val="24"/>
          <w:szCs w:val="24"/>
          <w:highlight w:val="none"/>
        </w:rPr>
      </w:pPr>
      <w:r>
        <w:rPr>
          <w:rFonts w:hint="eastAsia"/>
          <w:color w:val="auto"/>
          <w:sz w:val="24"/>
          <w:szCs w:val="24"/>
          <w:highlight w:val="none"/>
        </w:rPr>
        <w:t>④在整个复垦区，可将生物措施与工程措施结合起来实施。造林与水土流失治理相结合，使之加快发挥生态效益。</w:t>
      </w:r>
    </w:p>
    <w:p>
      <w:pPr>
        <w:spacing w:line="480" w:lineRule="exact"/>
        <w:ind w:firstLine="480" w:firstLineChars="200"/>
        <w:rPr>
          <w:rFonts w:hAnsiTheme="minorEastAsia" w:eastAsiaTheme="minorEastAsia"/>
          <w:color w:val="auto"/>
          <w:sz w:val="24"/>
          <w:szCs w:val="24"/>
          <w:highlight w:val="none"/>
        </w:rPr>
      </w:pPr>
      <w:r>
        <w:rPr>
          <w:rFonts w:hint="eastAsia" w:hAnsiTheme="minorEastAsia" w:eastAsiaTheme="minorEastAsia"/>
          <w:color w:val="auto"/>
          <w:sz w:val="24"/>
          <w:szCs w:val="24"/>
          <w:highlight w:val="none"/>
        </w:rPr>
        <w:t>d.采空区恢复措施</w:t>
      </w:r>
    </w:p>
    <w:p>
      <w:pPr>
        <w:spacing w:line="480" w:lineRule="exact"/>
        <w:ind w:firstLine="480" w:firstLineChars="200"/>
        <w:rPr>
          <w:rFonts w:hAnsiTheme="minorEastAsia" w:eastAsiaTheme="minorEastAsia"/>
          <w:color w:val="auto"/>
          <w:sz w:val="24"/>
          <w:szCs w:val="24"/>
          <w:highlight w:val="none"/>
        </w:rPr>
      </w:pPr>
      <w:r>
        <w:rPr>
          <w:rFonts w:hint="eastAsia" w:hAnsiTheme="minorEastAsia" w:eastAsiaTheme="minorEastAsia"/>
          <w:color w:val="auto"/>
          <w:sz w:val="24"/>
          <w:szCs w:val="24"/>
          <w:highlight w:val="none"/>
        </w:rPr>
        <w:t>采空区采取覆土、穴状整地对采空区进行植被恢复重建。复垦为林地，进行乔（灌）栽种和草籽撒播，为了恢复损毁土地的利用，对此部分的林地进行监护，发现问题及时补种，并根据复垦植物的特性，采取施肥、浇水、防病虫害、喷药等措施。</w:t>
      </w:r>
    </w:p>
    <w:p>
      <w:pPr>
        <w:spacing w:line="480" w:lineRule="exact"/>
        <w:ind w:firstLine="480" w:firstLineChars="200"/>
        <w:rPr>
          <w:color w:val="auto"/>
          <w:sz w:val="24"/>
          <w:szCs w:val="24"/>
          <w:highlight w:val="none"/>
        </w:rPr>
      </w:pPr>
      <w:r>
        <w:rPr>
          <w:rFonts w:hint="eastAsia"/>
          <w:color w:val="auto"/>
          <w:sz w:val="24"/>
          <w:szCs w:val="24"/>
          <w:highlight w:val="none"/>
        </w:rPr>
        <w:t>2、绿化方案的建议</w:t>
      </w:r>
    </w:p>
    <w:p>
      <w:pPr>
        <w:spacing w:line="480" w:lineRule="exact"/>
        <w:ind w:firstLine="480" w:firstLineChars="200"/>
        <w:rPr>
          <w:color w:val="auto"/>
          <w:sz w:val="24"/>
          <w:szCs w:val="24"/>
          <w:highlight w:val="none"/>
        </w:rPr>
      </w:pPr>
      <w:r>
        <w:rPr>
          <w:rFonts w:hint="eastAsia"/>
          <w:color w:val="auto"/>
          <w:sz w:val="24"/>
          <w:szCs w:val="24"/>
          <w:highlight w:val="none"/>
        </w:rPr>
        <w:t>矿区进行绿化的主要目的在于充分发挥植物对于环境生态系统的平衡调节功能。迄今为止，加强绿化造林措施是在场址范围内净化空气、降低噪声、调节生态系统最为有效的环境生物学措施。所以，搞好建设项目区域内的绿化工作，充分发挥植物绿化、净化、美化环境的作用，实为减缓环境污染对策的重要手段。</w:t>
      </w:r>
    </w:p>
    <w:p>
      <w:pPr>
        <w:adjustRightInd w:val="0"/>
        <w:snapToGrid w:val="0"/>
        <w:ind w:firstLine="480"/>
        <w:rPr>
          <w:rFonts w:hint="eastAsia" w:eastAsia="宋体"/>
          <w:color w:val="auto"/>
          <w:sz w:val="24"/>
          <w:szCs w:val="24"/>
          <w:highlight w:val="yellow"/>
          <w:lang w:eastAsia="zh-CN"/>
        </w:rPr>
      </w:pPr>
      <w:r>
        <w:rPr>
          <w:rFonts w:hint="eastAsia"/>
          <w:color w:val="auto"/>
          <w:sz w:val="24"/>
          <w:szCs w:val="24"/>
          <w:highlight w:val="none"/>
          <w:lang w:eastAsia="zh-CN"/>
        </w:rPr>
        <w:t>本项目应严格按照《</w:t>
      </w:r>
      <w:r>
        <w:rPr>
          <w:rFonts w:hint="eastAsia"/>
          <w:color w:val="auto"/>
          <w:highlight w:val="none"/>
          <w:lang w:eastAsia="zh-CN"/>
        </w:rPr>
        <w:t>砚山县阿猛镇倮基黑卡子凹塘石料厂年产30万吨建筑石料用灰岩建设项目水土保持方案</w:t>
      </w:r>
      <w:r>
        <w:rPr>
          <w:rFonts w:hint="eastAsia"/>
          <w:color w:val="auto"/>
          <w:sz w:val="24"/>
          <w:szCs w:val="24"/>
          <w:highlight w:val="none"/>
          <w:lang w:eastAsia="zh-CN"/>
        </w:rPr>
        <w:t>》和《</w:t>
      </w:r>
      <w:r>
        <w:rPr>
          <w:rFonts w:hint="eastAsia"/>
          <w:color w:val="auto"/>
          <w:highlight w:val="none"/>
          <w:lang w:eastAsia="zh-CN"/>
        </w:rPr>
        <w:t>砚山县阿猛镇倮基黑卡子凹塘石料厂年产30万吨建筑石料用灰岩建设项目矿山地质环境保护与土地复垦方案</w:t>
      </w:r>
      <w:r>
        <w:rPr>
          <w:rFonts w:hint="eastAsia"/>
          <w:color w:val="auto"/>
          <w:sz w:val="24"/>
          <w:szCs w:val="24"/>
          <w:highlight w:val="none"/>
          <w:lang w:eastAsia="zh-CN"/>
        </w:rPr>
        <w:t>》提出的治理措施执行，</w:t>
      </w:r>
      <w:r>
        <w:rPr>
          <w:rFonts w:hint="eastAsia"/>
          <w:color w:val="auto"/>
          <w:sz w:val="24"/>
          <w:szCs w:val="24"/>
          <w:highlight w:val="none"/>
        </w:rPr>
        <w:t>做好矿区整体绿化工作，建立绿化保护体系，合理规划行道树、防护林带，以达到净化空气、防风固土</w:t>
      </w:r>
      <w:r>
        <w:rPr>
          <w:rFonts w:hint="eastAsia"/>
          <w:color w:val="auto"/>
          <w:sz w:val="24"/>
          <w:szCs w:val="24"/>
          <w:highlight w:val="none"/>
          <w:lang w:eastAsia="zh-CN"/>
        </w:rPr>
        <w:t>。</w:t>
      </w:r>
    </w:p>
    <w:p>
      <w:pPr>
        <w:adjustRightInd w:val="0"/>
        <w:snapToGrid w:val="0"/>
        <w:ind w:firstLine="480"/>
        <w:rPr>
          <w:rFonts w:hint="eastAsia"/>
          <w:highlight w:val="none"/>
        </w:rPr>
        <w:sectPr>
          <w:pgSz w:w="11911" w:h="16838"/>
          <w:pgMar w:top="1417" w:right="1417" w:bottom="1417" w:left="1417" w:header="879" w:footer="952" w:gutter="0"/>
          <w:pgBorders>
            <w:top w:val="none" w:sz="0" w:space="0"/>
            <w:left w:val="none" w:sz="0" w:space="0"/>
            <w:bottom w:val="none" w:sz="0" w:space="0"/>
            <w:right w:val="none" w:sz="0" w:space="0"/>
          </w:pgBorders>
          <w:pgNumType w:fmt="decimal"/>
          <w:cols w:space="720" w:num="1"/>
          <w:docGrid w:linePitch="312" w:charSpace="0"/>
        </w:sectPr>
      </w:pPr>
    </w:p>
    <w:p>
      <w:pPr>
        <w:pStyle w:val="4"/>
        <w:rPr>
          <w:highlight w:val="none"/>
        </w:rPr>
      </w:pPr>
      <w:bookmarkStart w:id="444" w:name="_Toc6278"/>
      <w:r>
        <w:rPr>
          <w:rFonts w:hint="eastAsia"/>
          <w:highlight w:val="none"/>
          <w:lang w:val="en-US" w:eastAsia="zh-CN"/>
        </w:rPr>
        <w:t>6.3</w:t>
      </w:r>
      <w:r>
        <w:rPr>
          <w:rFonts w:hint="eastAsia"/>
          <w:highlight w:val="none"/>
        </w:rPr>
        <w:t>闭矿期环境影响分析</w:t>
      </w:r>
      <w:bookmarkEnd w:id="444"/>
    </w:p>
    <w:p>
      <w:pPr>
        <w:pStyle w:val="5"/>
        <w:rPr>
          <w:rFonts w:hint="default" w:cs="宋体"/>
          <w:highlight w:val="none"/>
        </w:rPr>
      </w:pPr>
      <w:bookmarkStart w:id="445" w:name="_Toc30075"/>
      <w:r>
        <w:rPr>
          <w:rFonts w:hint="eastAsia" w:cs="宋体"/>
          <w:highlight w:val="none"/>
          <w:lang w:val="en-US" w:eastAsia="zh-CN"/>
        </w:rPr>
        <w:t>6.3</w:t>
      </w:r>
      <w:r>
        <w:rPr>
          <w:rFonts w:cs="宋体"/>
          <w:highlight w:val="none"/>
        </w:rPr>
        <w:t>.1闭矿对环境的影响分析</w:t>
      </w:r>
      <w:bookmarkEnd w:id="445"/>
    </w:p>
    <w:p>
      <w:pPr>
        <w:adjustRightInd w:val="0"/>
        <w:snapToGrid w:val="0"/>
        <w:ind w:firstLine="480"/>
        <w:rPr>
          <w:highlight w:val="none"/>
        </w:rPr>
      </w:pPr>
      <w:r>
        <w:rPr>
          <w:rFonts w:hint="eastAsia"/>
          <w:highlight w:val="none"/>
        </w:rPr>
        <w:t>根据露天开采石灰石矿的特点，决定了闭矿后的一段时期内还会对周围环境产生一定的影响，但与矿山在生产运营期相比，其对环境诸要素的影响将趋于减缓，主要体现在以下方面：</w:t>
      </w:r>
    </w:p>
    <w:p>
      <w:pPr>
        <w:adjustRightInd w:val="0"/>
        <w:snapToGrid w:val="0"/>
        <w:ind w:firstLine="480"/>
        <w:rPr>
          <w:highlight w:val="none"/>
        </w:rPr>
      </w:pPr>
      <w:r>
        <w:rPr>
          <w:rFonts w:hint="eastAsia"/>
          <w:highlight w:val="none"/>
        </w:rPr>
        <w:t>（1）随着资源的枯竭，石灰石矿体的开采、加工和利用的各产污设备也将停止运行，如无组织粉尘等环境空气污染物、生产设备噪声等产污环节也将减弱或消失，从而使露天采区和工业场地附近区域的生态环节将逐渐得到自然恢复或较大改善。</w:t>
      </w:r>
    </w:p>
    <w:p>
      <w:pPr>
        <w:adjustRightInd w:val="0"/>
        <w:snapToGrid w:val="0"/>
        <w:ind w:firstLine="480"/>
        <w:rPr>
          <w:highlight w:val="none"/>
        </w:rPr>
      </w:pPr>
      <w:r>
        <w:rPr>
          <w:rFonts w:hint="eastAsia"/>
          <w:highlight w:val="none"/>
        </w:rPr>
        <w:t>（2）开采完之后，由于矿区物质间的相互作用，使矿区物质物理性质、力学性质、工程地质性质发生根本的变化，有可能产生新的环境问题，如台阶不稳定滑坡、边坡出现塌方等。这些问题的出现将对区域环境造成直接的影响。</w:t>
      </w:r>
    </w:p>
    <w:p>
      <w:pPr>
        <w:adjustRightInd w:val="0"/>
        <w:snapToGrid w:val="0"/>
        <w:ind w:firstLine="480"/>
        <w:rPr>
          <w:highlight w:val="none"/>
        </w:rPr>
      </w:pPr>
      <w:r>
        <w:rPr>
          <w:rFonts w:hint="eastAsia"/>
          <w:highlight w:val="none"/>
        </w:rPr>
        <w:t>（3）通过对露天采区及工业场地全部复垦或绿化以后，对环境的影响也逐步消失。</w:t>
      </w:r>
    </w:p>
    <w:p>
      <w:pPr>
        <w:adjustRightInd w:val="0"/>
        <w:snapToGrid w:val="0"/>
        <w:ind w:firstLine="480"/>
        <w:rPr>
          <w:highlight w:val="none"/>
        </w:rPr>
      </w:pPr>
      <w:r>
        <w:rPr>
          <w:rFonts w:hint="eastAsia"/>
          <w:highlight w:val="none"/>
        </w:rPr>
        <w:t>（4）通过对露天采区、工业场地、运输道路等进行覆土植被，周边的生态环境得到慢慢改善。</w:t>
      </w:r>
    </w:p>
    <w:p>
      <w:pPr>
        <w:adjustRightInd w:val="0"/>
        <w:snapToGrid w:val="0"/>
        <w:ind w:firstLine="480"/>
        <w:rPr>
          <w:rFonts w:hint="eastAsia"/>
          <w:highlight w:val="none"/>
        </w:rPr>
      </w:pPr>
      <w:r>
        <w:rPr>
          <w:rFonts w:hint="eastAsia"/>
          <w:highlight w:val="none"/>
        </w:rPr>
        <w:t>从以上分析可以看出，矿山闭矿后，各产污设备将停止运行，“三废”等排放也将停止，闭矿后不存在“三废”等污染问题。</w:t>
      </w:r>
    </w:p>
    <w:p>
      <w:pPr>
        <w:pStyle w:val="5"/>
        <w:rPr>
          <w:rFonts w:hint="default" w:cs="宋体"/>
          <w:highlight w:val="none"/>
        </w:rPr>
      </w:pPr>
      <w:bookmarkStart w:id="446" w:name="_Toc27296"/>
      <w:r>
        <w:rPr>
          <w:rFonts w:hint="eastAsia" w:cs="宋体"/>
          <w:highlight w:val="none"/>
          <w:lang w:val="en-US" w:eastAsia="zh-CN"/>
        </w:rPr>
        <w:t>6.3.2</w:t>
      </w:r>
      <w:r>
        <w:rPr>
          <w:rFonts w:cs="宋体"/>
          <w:highlight w:val="none"/>
        </w:rPr>
        <w:t>闭矿后的环境保护</w:t>
      </w:r>
      <w:r>
        <w:rPr>
          <w:rFonts w:hint="eastAsia" w:cs="宋体"/>
          <w:highlight w:val="none"/>
          <w:lang w:eastAsia="zh-CN"/>
        </w:rPr>
        <w:t>措施</w:t>
      </w:r>
      <w:bookmarkEnd w:id="446"/>
    </w:p>
    <w:p>
      <w:pPr>
        <w:spacing w:line="360" w:lineRule="auto"/>
        <w:ind w:firstLine="482" w:firstLineChars="200"/>
        <w:rPr>
          <w:rFonts w:hint="default" w:ascii="Times New Roman" w:hAnsi="Times New Roman"/>
          <w:b/>
          <w:bCs/>
          <w:color w:val="auto"/>
          <w:sz w:val="24"/>
          <w:szCs w:val="24"/>
          <w:highlight w:val="none"/>
          <w:lang w:val="en-US" w:eastAsia="zh-CN"/>
        </w:rPr>
      </w:pPr>
      <w:r>
        <w:rPr>
          <w:rFonts w:hint="eastAsia" w:ascii="Times New Roman" w:hAnsi="Times New Roman"/>
          <w:b/>
          <w:bCs/>
          <w:color w:val="auto"/>
          <w:sz w:val="24"/>
          <w:szCs w:val="24"/>
          <w:highlight w:val="none"/>
          <w:lang w:val="en-US" w:eastAsia="zh-CN"/>
        </w:rPr>
        <w:t>1、复垦计划</w:t>
      </w:r>
    </w:p>
    <w:p>
      <w:pPr>
        <w:adjustRightInd w:val="0"/>
        <w:snapToGrid w:val="0"/>
        <w:ind w:firstLine="480"/>
        <w:rPr>
          <w:color w:val="auto"/>
          <w:highlight w:val="none"/>
        </w:rPr>
      </w:pPr>
      <w:r>
        <w:rPr>
          <w:rFonts w:hint="eastAsia"/>
          <w:color w:val="auto"/>
          <w:highlight w:val="none"/>
        </w:rPr>
        <w:t>（1）编制关闭或封场计划和实施方案</w:t>
      </w:r>
    </w:p>
    <w:p>
      <w:pPr>
        <w:adjustRightInd w:val="0"/>
        <w:snapToGrid w:val="0"/>
        <w:ind w:firstLine="480"/>
        <w:rPr>
          <w:color w:val="auto"/>
          <w:highlight w:val="none"/>
        </w:rPr>
      </w:pPr>
      <w:r>
        <w:rPr>
          <w:rFonts w:hint="eastAsia"/>
          <w:color w:val="auto"/>
          <w:highlight w:val="none"/>
        </w:rPr>
        <w:t>本项目在服务期即将到期前，必须编制关闭或封场计划和实施方案，并报请当地环境保护行政主管部门核准，并采取污染防</w:t>
      </w:r>
      <w:r>
        <w:rPr>
          <w:rFonts w:hint="eastAsia"/>
          <w:color w:val="auto"/>
          <w:highlight w:val="none"/>
          <w:lang w:eastAsia="zh-CN"/>
        </w:rPr>
        <w:t>治</w:t>
      </w:r>
      <w:r>
        <w:rPr>
          <w:rFonts w:hint="eastAsia"/>
          <w:color w:val="auto"/>
          <w:highlight w:val="none"/>
        </w:rPr>
        <w:t>措施。在服务期满后立即实施关闭或封场计划。</w:t>
      </w:r>
    </w:p>
    <w:p>
      <w:pPr>
        <w:adjustRightInd w:val="0"/>
        <w:snapToGrid w:val="0"/>
        <w:ind w:firstLine="480"/>
        <w:rPr>
          <w:color w:val="auto"/>
          <w:highlight w:val="none"/>
        </w:rPr>
      </w:pPr>
      <w:r>
        <w:rPr>
          <w:rFonts w:hint="eastAsia"/>
          <w:color w:val="auto"/>
          <w:highlight w:val="none"/>
        </w:rPr>
        <w:t>（2）土地复垦</w:t>
      </w:r>
    </w:p>
    <w:p>
      <w:pPr>
        <w:adjustRightInd w:val="0"/>
        <w:snapToGrid w:val="0"/>
        <w:ind w:firstLine="480"/>
        <w:rPr>
          <w:color w:val="auto"/>
          <w:highlight w:val="none"/>
        </w:rPr>
      </w:pPr>
      <w:r>
        <w:rPr>
          <w:rFonts w:hint="eastAsia"/>
          <w:color w:val="auto"/>
          <w:highlight w:val="none"/>
        </w:rPr>
        <w:t>土地复垦是露天采场服务期满后治理的最佳途径，不仅改善了矿山环境，而且恢复大量土地。因而复垦具有深远的社会效益、环境效益和经济效益。根据国家有关规定，破坏土地复垦率达到75%以上。</w:t>
      </w:r>
    </w:p>
    <w:p>
      <w:pPr>
        <w:adjustRightInd w:val="0"/>
        <w:snapToGrid w:val="0"/>
        <w:ind w:firstLine="480"/>
        <w:rPr>
          <w:color w:val="auto"/>
          <w:highlight w:val="none"/>
        </w:rPr>
      </w:pPr>
      <w:r>
        <w:rPr>
          <w:rFonts w:hint="eastAsia"/>
          <w:color w:val="auto"/>
          <w:highlight w:val="none"/>
        </w:rPr>
        <w:t>在这方面国内有许多成功的经验，在表面覆土0.3~0.4m后种植草或植树，采取最合理的方式进行废弃地复垦。对本项目的废弃地是否可开发为农牧业用地，应请有关部门对其进行全面的监测和评估后，方可确定其用地性质。复垦工作宜在旱季完成整坡，雨季来临前配合栽植，以春、秋两季为宜。</w:t>
      </w:r>
    </w:p>
    <w:p>
      <w:pPr>
        <w:adjustRightInd w:val="0"/>
        <w:snapToGrid w:val="0"/>
        <w:ind w:firstLine="480"/>
        <w:rPr>
          <w:color w:val="auto"/>
          <w:highlight w:val="none"/>
        </w:rPr>
      </w:pPr>
      <w:r>
        <w:rPr>
          <w:rFonts w:hint="eastAsia"/>
          <w:color w:val="auto"/>
          <w:highlight w:val="none"/>
        </w:rPr>
        <w:t>（3）植被恢复</w:t>
      </w:r>
    </w:p>
    <w:p>
      <w:pPr>
        <w:adjustRightInd w:val="0"/>
        <w:snapToGrid w:val="0"/>
        <w:ind w:firstLine="480"/>
        <w:rPr>
          <w:color w:val="auto"/>
          <w:highlight w:val="none"/>
        </w:rPr>
      </w:pPr>
      <w:r>
        <w:rPr>
          <w:rFonts w:hint="eastAsia"/>
          <w:color w:val="auto"/>
          <w:highlight w:val="none"/>
        </w:rPr>
        <w:t>根据矿区植被种类和土壤特性，宜种植水保型薪炭林和灌木及种草。形成乔、灌、草相结合的立体型林草面，以利涵养水土、改善生态环境。</w:t>
      </w:r>
    </w:p>
    <w:p>
      <w:pPr>
        <w:adjustRightInd w:val="0"/>
        <w:snapToGrid w:val="0"/>
        <w:ind w:firstLine="480"/>
        <w:rPr>
          <w:color w:val="auto"/>
          <w:highlight w:val="none"/>
        </w:rPr>
      </w:pPr>
      <w:r>
        <w:rPr>
          <w:rFonts w:hint="eastAsia"/>
          <w:color w:val="auto"/>
          <w:highlight w:val="none"/>
        </w:rPr>
        <w:t>（4）加强管理</w:t>
      </w:r>
    </w:p>
    <w:p>
      <w:pPr>
        <w:adjustRightInd w:val="0"/>
        <w:snapToGrid w:val="0"/>
        <w:ind w:firstLine="480"/>
        <w:rPr>
          <w:rFonts w:hint="eastAsia"/>
          <w:color w:val="auto"/>
          <w:highlight w:val="none"/>
        </w:rPr>
      </w:pPr>
      <w:r>
        <w:rPr>
          <w:rFonts w:hint="eastAsia"/>
          <w:color w:val="auto"/>
          <w:highlight w:val="none"/>
        </w:rPr>
        <w:t>关闭或封场后，露天开采场的开采面、开采平台以及露天开采场区等仍存在很大的水土流失隐患，仍需继续维护管理。</w:t>
      </w:r>
    </w:p>
    <w:p>
      <w:pPr>
        <w:spacing w:line="360" w:lineRule="auto"/>
        <w:ind w:firstLine="482" w:firstLineChars="200"/>
        <w:rPr>
          <w:rFonts w:ascii="Times New Roman" w:hAnsi="Times New Roman"/>
          <w:b/>
          <w:bCs/>
          <w:color w:val="auto"/>
          <w:sz w:val="24"/>
          <w:szCs w:val="24"/>
          <w:highlight w:val="none"/>
        </w:rPr>
      </w:pPr>
      <w:r>
        <w:rPr>
          <w:rFonts w:hint="eastAsia" w:ascii="Times New Roman" w:hAnsi="Times New Roman"/>
          <w:b/>
          <w:bCs/>
          <w:color w:val="auto"/>
          <w:sz w:val="24"/>
          <w:szCs w:val="24"/>
          <w:highlight w:val="none"/>
          <w:lang w:val="en-US" w:eastAsia="zh-CN"/>
        </w:rPr>
        <w:t>2、</w:t>
      </w:r>
      <w:r>
        <w:rPr>
          <w:rFonts w:ascii="Times New Roman" w:hAnsi="Times New Roman"/>
          <w:b/>
          <w:bCs/>
          <w:color w:val="auto"/>
          <w:sz w:val="24"/>
          <w:szCs w:val="24"/>
          <w:highlight w:val="none"/>
        </w:rPr>
        <w:t>工程措施</w:t>
      </w:r>
    </w:p>
    <w:p>
      <w:pPr>
        <w:spacing w:line="360" w:lineRule="auto"/>
        <w:ind w:firstLine="482" w:firstLineChars="200"/>
        <w:rPr>
          <w:rFonts w:hint="eastAsia" w:ascii="Times New Roman" w:hAnsi="Times New Roman"/>
          <w:color w:val="auto"/>
          <w:sz w:val="24"/>
          <w:szCs w:val="24"/>
          <w:highlight w:val="none"/>
        </w:rPr>
      </w:pPr>
      <w:r>
        <w:rPr>
          <w:rFonts w:hint="eastAsia" w:ascii="Times New Roman" w:hAnsi="Times New Roman"/>
          <w:b/>
          <w:bCs/>
          <w:color w:val="auto"/>
          <w:sz w:val="24"/>
          <w:szCs w:val="24"/>
          <w:highlight w:val="none"/>
          <w:lang w:eastAsia="zh-CN"/>
        </w:rPr>
        <w:t>采场：</w:t>
      </w:r>
      <w:r>
        <w:rPr>
          <w:rFonts w:hint="eastAsia" w:ascii="Times New Roman" w:hAnsi="Times New Roman"/>
          <w:color w:val="auto"/>
          <w:sz w:val="24"/>
          <w:szCs w:val="24"/>
          <w:highlight w:val="none"/>
        </w:rPr>
        <w:t>在四周竖立警示牌，采矿结束后对采场底部及各平台进行覆土，覆土厚度为0.5m。</w:t>
      </w:r>
    </w:p>
    <w:p>
      <w:pPr>
        <w:spacing w:line="360" w:lineRule="auto"/>
        <w:ind w:firstLine="482" w:firstLineChars="200"/>
        <w:rPr>
          <w:rFonts w:ascii="Times New Roman" w:hAnsi="Times New Roman"/>
          <w:color w:val="auto"/>
          <w:sz w:val="24"/>
          <w:szCs w:val="24"/>
          <w:highlight w:val="none"/>
        </w:rPr>
      </w:pPr>
      <w:r>
        <w:rPr>
          <w:rFonts w:hint="eastAsia" w:ascii="Times New Roman" w:hAnsi="Times New Roman"/>
          <w:b/>
          <w:bCs/>
          <w:color w:val="auto"/>
          <w:sz w:val="24"/>
          <w:szCs w:val="24"/>
          <w:highlight w:val="none"/>
          <w:lang w:eastAsia="zh-CN"/>
        </w:rPr>
        <w:t>工业场地：</w:t>
      </w:r>
      <w:r>
        <w:rPr>
          <w:rFonts w:hint="eastAsia" w:ascii="Times New Roman" w:hAnsi="Times New Roman"/>
          <w:color w:val="auto"/>
          <w:sz w:val="24"/>
          <w:szCs w:val="24"/>
          <w:highlight w:val="none"/>
        </w:rPr>
        <w:t>对工业场地等建筑进行拆除，对场地进行整地，然后按水土保持方案和地质环境保护与恢复治理方案相应生态恢复措施对工业场地和办公生活区进行生态恢复，覆土植被。</w:t>
      </w:r>
    </w:p>
    <w:p>
      <w:pPr>
        <w:spacing w:line="360" w:lineRule="auto"/>
        <w:ind w:firstLine="482" w:firstLineChars="200"/>
        <w:rPr>
          <w:rFonts w:hint="eastAsia" w:ascii="Times New Roman" w:hAnsi="Times New Roman" w:eastAsia="宋体"/>
          <w:color w:val="auto"/>
          <w:sz w:val="24"/>
          <w:szCs w:val="24"/>
          <w:highlight w:val="none"/>
          <w:lang w:eastAsia="zh-CN"/>
        </w:rPr>
      </w:pPr>
      <w:r>
        <w:rPr>
          <w:rFonts w:hint="eastAsia" w:ascii="Times New Roman" w:hAnsi="Times New Roman"/>
          <w:b/>
          <w:bCs/>
          <w:color w:val="auto"/>
          <w:sz w:val="24"/>
          <w:szCs w:val="24"/>
          <w:highlight w:val="none"/>
          <w:lang w:eastAsia="zh-CN"/>
        </w:rPr>
        <w:t>矿区道路：</w:t>
      </w:r>
      <w:r>
        <w:rPr>
          <w:rFonts w:hint="eastAsia" w:ascii="Times New Roman" w:hAnsi="Times New Roman"/>
          <w:color w:val="auto"/>
          <w:sz w:val="24"/>
          <w:szCs w:val="24"/>
          <w:highlight w:val="none"/>
        </w:rPr>
        <w:t>在矿区公路设置安全警示牌</w:t>
      </w:r>
      <w:r>
        <w:rPr>
          <w:rFonts w:hint="eastAsia" w:ascii="Times New Roman" w:hAnsi="Times New Roman"/>
          <w:color w:val="auto"/>
          <w:sz w:val="24"/>
          <w:szCs w:val="24"/>
          <w:highlight w:val="none"/>
          <w:lang w:eastAsia="zh-CN"/>
        </w:rPr>
        <w:t>若干</w:t>
      </w:r>
      <w:r>
        <w:rPr>
          <w:rFonts w:hint="eastAsia" w:ascii="Times New Roman" w:hAnsi="Times New Roman"/>
          <w:color w:val="auto"/>
          <w:sz w:val="24"/>
          <w:szCs w:val="24"/>
          <w:highlight w:val="none"/>
        </w:rPr>
        <w:t>，</w:t>
      </w:r>
      <w:r>
        <w:rPr>
          <w:rFonts w:hint="eastAsia" w:ascii="Times New Roman" w:hAnsi="Times New Roman"/>
          <w:color w:val="auto"/>
          <w:sz w:val="24"/>
          <w:szCs w:val="24"/>
          <w:highlight w:val="none"/>
          <w:lang w:eastAsia="zh-CN"/>
        </w:rPr>
        <w:t>道路</w:t>
      </w:r>
      <w:r>
        <w:rPr>
          <w:rFonts w:hint="eastAsia" w:ascii="Times New Roman" w:hAnsi="Times New Roman"/>
          <w:color w:val="auto"/>
          <w:sz w:val="24"/>
          <w:szCs w:val="24"/>
          <w:highlight w:val="none"/>
        </w:rPr>
        <w:t>一侧种植行道树</w:t>
      </w:r>
      <w:r>
        <w:rPr>
          <w:rFonts w:hint="eastAsia"/>
          <w:color w:val="auto"/>
          <w:sz w:val="24"/>
          <w:szCs w:val="24"/>
          <w:highlight w:val="none"/>
          <w:lang w:eastAsia="zh-CN"/>
        </w:rPr>
        <w:t>。</w:t>
      </w:r>
    </w:p>
    <w:p>
      <w:pPr>
        <w:pStyle w:val="2"/>
        <w:rPr>
          <w:rFonts w:hint="eastAsia"/>
          <w:highlight w:val="none"/>
          <w:lang w:eastAsia="zh-CN"/>
        </w:rPr>
      </w:pPr>
      <w:r>
        <w:rPr>
          <w:rFonts w:hint="eastAsia"/>
          <w:highlight w:val="none"/>
          <w:lang w:eastAsia="zh-CN"/>
        </w:rPr>
        <w:t>具体工程技术措施：①办公生活区和工业场地采取砌体拆除、表土剥离、场地平整、覆土、土壤培肥、修建灌溉设施，复垦为旱地。②表土堆场复垦采取表土剥离、场地平整、覆土、土壤培肥、修建灌溉设施，复垦为旱地。③露天采场和矿山道路采取表土剥离、场地平整、覆土、植被恢复，复垦为有林地和其他草地。④复垦监测措施：对整个复垦过程的复垦措施、复垦效果等动态监测。</w:t>
      </w:r>
    </w:p>
    <w:p>
      <w:pPr>
        <w:spacing w:line="360" w:lineRule="auto"/>
        <w:ind w:firstLine="480" w:firstLineChars="200"/>
        <w:rPr>
          <w:rFonts w:hint="eastAsia"/>
          <w:highlight w:val="none"/>
          <w:lang w:eastAsia="zh-CN"/>
        </w:rPr>
      </w:pPr>
      <w:r>
        <w:rPr>
          <w:rFonts w:hint="eastAsia"/>
          <w:highlight w:val="none"/>
          <w:lang w:eastAsia="zh-CN"/>
        </w:rPr>
        <w:t>生物化学措施：①对于绿化新增的林地、草地，优选当地优势树种，进行科学种植和精心管理。②对林地进行适时管理，包括浇水、施肥、除草、除虫等，同时淘汰劣质树种。③土壤改良，采用客土法、绿肥法、酸碱中和法等方法，对复垦后的土层进行改良，提高土体有机质含量。</w:t>
      </w:r>
    </w:p>
    <w:p>
      <w:pPr>
        <w:spacing w:line="360" w:lineRule="auto"/>
        <w:ind w:firstLine="480" w:firstLineChars="200"/>
        <w:rPr>
          <w:rFonts w:hint="eastAsia" w:ascii="Times New Roman" w:hAnsi="Times New Roman" w:eastAsia="宋体"/>
          <w:color w:val="auto"/>
          <w:sz w:val="24"/>
          <w:szCs w:val="24"/>
          <w:highlight w:val="none"/>
          <w:lang w:eastAsia="zh-CN"/>
        </w:rPr>
      </w:pPr>
      <w:r>
        <w:rPr>
          <w:rFonts w:hint="eastAsia"/>
          <w:color w:val="auto"/>
          <w:sz w:val="24"/>
          <w:szCs w:val="24"/>
          <w:highlight w:val="none"/>
          <w:lang w:eastAsia="zh-CN"/>
        </w:rPr>
        <w:t>项目区复垦规划图详见附图</w:t>
      </w:r>
      <w:r>
        <w:rPr>
          <w:rFonts w:hint="eastAsia"/>
          <w:color w:val="auto"/>
          <w:sz w:val="24"/>
          <w:szCs w:val="24"/>
          <w:highlight w:val="none"/>
          <w:lang w:val="en-US" w:eastAsia="zh-CN"/>
        </w:rPr>
        <w:t>9</w:t>
      </w:r>
      <w:r>
        <w:rPr>
          <w:rFonts w:hint="eastAsia"/>
          <w:color w:val="auto"/>
          <w:sz w:val="24"/>
          <w:szCs w:val="24"/>
          <w:highlight w:val="none"/>
          <w:lang w:eastAsia="zh-CN"/>
        </w:rPr>
        <w:t>。</w:t>
      </w:r>
    </w:p>
    <w:p>
      <w:pPr>
        <w:spacing w:line="360" w:lineRule="auto"/>
        <w:ind w:firstLine="482" w:firstLineChars="200"/>
        <w:rPr>
          <w:rFonts w:ascii="Times New Roman" w:hAnsi="Times New Roman"/>
          <w:b/>
          <w:bCs/>
          <w:color w:val="auto"/>
          <w:sz w:val="24"/>
          <w:szCs w:val="24"/>
          <w:highlight w:val="none"/>
        </w:rPr>
      </w:pPr>
      <w:r>
        <w:rPr>
          <w:rFonts w:hint="eastAsia" w:ascii="Times New Roman" w:hAnsi="Times New Roman"/>
          <w:b/>
          <w:bCs/>
          <w:color w:val="auto"/>
          <w:sz w:val="24"/>
          <w:szCs w:val="24"/>
          <w:highlight w:val="none"/>
          <w:lang w:val="en-US" w:eastAsia="zh-CN"/>
        </w:rPr>
        <w:t>3、</w:t>
      </w:r>
      <w:r>
        <w:rPr>
          <w:rFonts w:ascii="Times New Roman" w:hAnsi="Times New Roman"/>
          <w:b/>
          <w:bCs/>
          <w:color w:val="auto"/>
          <w:sz w:val="24"/>
          <w:szCs w:val="24"/>
          <w:highlight w:val="none"/>
        </w:rPr>
        <w:t>植物措施</w:t>
      </w:r>
    </w:p>
    <w:p>
      <w:pPr>
        <w:spacing w:line="360" w:lineRule="auto"/>
        <w:ind w:firstLine="480" w:firstLineChars="200"/>
        <w:rPr>
          <w:rFonts w:hint="eastAsia" w:ascii="Times New Roman" w:hAnsi="Times New Roman" w:cs="Times New Roman"/>
          <w:color w:val="auto"/>
          <w:sz w:val="24"/>
          <w:szCs w:val="24"/>
          <w:highlight w:val="none"/>
        </w:rPr>
      </w:pPr>
      <w:r>
        <w:rPr>
          <w:rFonts w:ascii="Times New Roman" w:hAnsi="Times New Roman"/>
          <w:color w:val="auto"/>
          <w:sz w:val="24"/>
          <w:szCs w:val="24"/>
          <w:highlight w:val="none"/>
        </w:rPr>
        <w:t>根据当地的气象、降雨及土壤</w:t>
      </w:r>
      <w:r>
        <w:rPr>
          <w:rFonts w:hint="eastAsia" w:ascii="Times New Roman" w:hAnsi="Times New Roman"/>
          <w:color w:val="auto"/>
          <w:sz w:val="24"/>
          <w:szCs w:val="24"/>
          <w:highlight w:val="none"/>
          <w:lang w:eastAsia="zh-CN"/>
        </w:rPr>
        <w:t>等条件，</w:t>
      </w:r>
      <w:r>
        <w:rPr>
          <w:rFonts w:ascii="宋体" w:hAnsi="宋体"/>
          <w:color w:val="auto"/>
          <w:sz w:val="24"/>
          <w:highlight w:val="none"/>
        </w:rPr>
        <w:t>选择生长快、适应性强、抗逆性好的植物；优先考虑选择固磷物种和乡土物种，并且需要综合考虑经济价值和生态效益。进行植被恢复时，应将乔、灌、草综合起来进行恢复</w:t>
      </w:r>
      <w:r>
        <w:rPr>
          <w:rFonts w:hint="eastAsia" w:ascii="宋体" w:hAnsi="宋体"/>
          <w:color w:val="auto"/>
          <w:sz w:val="24"/>
          <w:highlight w:val="none"/>
          <w:lang w:eastAsia="zh-CN"/>
        </w:rPr>
        <w:t>，</w:t>
      </w:r>
      <w:r>
        <w:rPr>
          <w:rFonts w:hint="eastAsia" w:ascii="Times New Roman" w:hAnsi="Times New Roman" w:cs="Times New Roman"/>
          <w:color w:val="auto"/>
          <w:sz w:val="24"/>
          <w:szCs w:val="24"/>
          <w:highlight w:val="none"/>
        </w:rPr>
        <w:t>达到防治水土流失和改善生态环境的目的。</w:t>
      </w:r>
    </w:p>
    <w:p>
      <w:pPr>
        <w:pStyle w:val="5"/>
        <w:rPr>
          <w:rFonts w:hint="eastAsia" w:ascii="Times New Roman" w:hAnsi="Times New Roman" w:cs="宋体"/>
          <w:highlight w:val="none"/>
          <w:lang w:eastAsia="zh-CN"/>
        </w:rPr>
      </w:pPr>
      <w:bookmarkStart w:id="447" w:name="_Toc27801"/>
      <w:r>
        <w:rPr>
          <w:rFonts w:hint="eastAsia" w:cs="宋体"/>
          <w:highlight w:val="none"/>
          <w:lang w:val="en-US" w:eastAsia="zh-CN"/>
        </w:rPr>
        <w:t>6.3.3</w:t>
      </w:r>
      <w:r>
        <w:rPr>
          <w:rFonts w:hint="eastAsia" w:ascii="Times New Roman" w:hAnsi="Times New Roman" w:cs="宋体"/>
          <w:highlight w:val="none"/>
          <w:lang w:eastAsia="zh-CN"/>
        </w:rPr>
        <w:t>闭矿后环境保护要求</w:t>
      </w:r>
      <w:bookmarkEnd w:id="447"/>
    </w:p>
    <w:p>
      <w:pPr>
        <w:adjustRightInd w:val="0"/>
        <w:snapToGrid w:val="0"/>
        <w:ind w:firstLine="480"/>
        <w:rPr>
          <w:highlight w:val="none"/>
        </w:rPr>
      </w:pPr>
      <w:r>
        <w:rPr>
          <w:rFonts w:hint="eastAsia"/>
          <w:highlight w:val="none"/>
        </w:rPr>
        <w:t>（1）矿山在开采末期应建立详细的闭矿计划，采取相应的环境对策，利用矿山现有的人员和设备，开展土地复垦和环境治理等工作，减少相应的资金投入。</w:t>
      </w:r>
    </w:p>
    <w:p>
      <w:pPr>
        <w:adjustRightInd w:val="0"/>
        <w:snapToGrid w:val="0"/>
        <w:ind w:firstLine="480"/>
        <w:rPr>
          <w:highlight w:val="none"/>
        </w:rPr>
      </w:pPr>
      <w:r>
        <w:rPr>
          <w:rFonts w:hint="eastAsia"/>
          <w:highlight w:val="none"/>
        </w:rPr>
        <w:t>（2）闭矿后保持露天采场截排水设施通畅。</w:t>
      </w:r>
    </w:p>
    <w:p>
      <w:pPr>
        <w:adjustRightInd w:val="0"/>
        <w:snapToGrid w:val="0"/>
        <w:ind w:firstLine="480"/>
        <w:rPr>
          <w:rFonts w:hint="eastAsia"/>
          <w:highlight w:val="none"/>
        </w:rPr>
      </w:pPr>
      <w:r>
        <w:rPr>
          <w:rFonts w:hint="eastAsia"/>
          <w:highlight w:val="none"/>
        </w:rPr>
        <w:t>（</w:t>
      </w:r>
      <w:r>
        <w:rPr>
          <w:rFonts w:hint="eastAsia"/>
          <w:highlight w:val="none"/>
          <w:lang w:val="en-US" w:eastAsia="zh-CN"/>
        </w:rPr>
        <w:t>3</w:t>
      </w:r>
      <w:r>
        <w:rPr>
          <w:rFonts w:hint="eastAsia"/>
          <w:highlight w:val="none"/>
        </w:rPr>
        <w:t>）矿山闭矿经过收合格后，方能正式宣布闭矿。</w:t>
      </w:r>
    </w:p>
    <w:p>
      <w:pPr>
        <w:pStyle w:val="17"/>
        <w:ind w:firstLine="480"/>
        <w:rPr>
          <w:rFonts w:hint="eastAsia" w:ascii="Times New Roman" w:hAnsi="Times New Roman" w:eastAsia="宋体"/>
          <w:highlight w:val="none"/>
          <w:lang w:eastAsia="zh-CN"/>
        </w:rPr>
      </w:pPr>
      <w:r>
        <w:rPr>
          <w:rFonts w:hint="eastAsia" w:ascii="Times New Roman" w:hAnsi="Times New Roman"/>
          <w:highlight w:val="none"/>
          <w:lang w:eastAsia="zh-CN"/>
        </w:rPr>
        <w:t>（</w:t>
      </w:r>
      <w:r>
        <w:rPr>
          <w:rFonts w:hint="eastAsia" w:ascii="Times New Roman" w:hAnsi="Times New Roman"/>
          <w:highlight w:val="none"/>
          <w:lang w:val="en-US" w:eastAsia="zh-CN"/>
        </w:rPr>
        <w:t>4</w:t>
      </w:r>
      <w:r>
        <w:rPr>
          <w:rFonts w:hint="eastAsia" w:ascii="Times New Roman" w:hAnsi="Times New Roman"/>
          <w:highlight w:val="none"/>
          <w:lang w:eastAsia="zh-CN"/>
        </w:rPr>
        <w:t>）</w:t>
      </w:r>
      <w:r>
        <w:rPr>
          <w:rFonts w:hint="eastAsia" w:ascii="Times New Roman" w:hAnsi="Times New Roman"/>
          <w:highlight w:val="none"/>
        </w:rPr>
        <w:t>根据财政部、国土资源部、环保总局《关于逐步建立矿石环境治理和生态恢复责任机制的指导意见》，建设单位每年必须从年销售收入中提取0.4％作为环境治理和矿山生态恢复保证金，并列入成本计划</w:t>
      </w:r>
      <w:r>
        <w:rPr>
          <w:rFonts w:hint="eastAsia" w:ascii="Times New Roman" w:hAnsi="Times New Roman"/>
          <w:highlight w:val="none"/>
          <w:lang w:eastAsia="zh-CN"/>
        </w:rPr>
        <w:t>。</w:t>
      </w:r>
    </w:p>
    <w:p>
      <w:pPr>
        <w:pStyle w:val="17"/>
        <w:ind w:firstLine="480"/>
        <w:rPr>
          <w:rFonts w:hint="eastAsia" w:ascii="Times New Roman" w:hAnsi="Times New Roman"/>
          <w:highlight w:val="none"/>
        </w:rPr>
        <w:sectPr>
          <w:pgSz w:w="11911" w:h="16838"/>
          <w:pgMar w:top="1417" w:right="1417" w:bottom="1417" w:left="1417" w:header="879" w:footer="952" w:gutter="0"/>
          <w:pgBorders>
            <w:top w:val="none" w:sz="0" w:space="0"/>
            <w:left w:val="none" w:sz="0" w:space="0"/>
            <w:bottom w:val="none" w:sz="0" w:space="0"/>
            <w:right w:val="none" w:sz="0" w:space="0"/>
          </w:pgBorders>
          <w:pgNumType w:fmt="decimal"/>
          <w:cols w:space="720" w:num="1"/>
          <w:docGrid w:linePitch="312" w:charSpace="0"/>
        </w:sectPr>
      </w:pPr>
      <w:r>
        <w:rPr>
          <w:rFonts w:hint="eastAsia" w:ascii="Times New Roman" w:hAnsi="Times New Roman"/>
          <w:highlight w:val="none"/>
          <w:lang w:eastAsia="zh-CN"/>
        </w:rPr>
        <w:t>（</w:t>
      </w:r>
      <w:r>
        <w:rPr>
          <w:rFonts w:hint="eastAsia" w:ascii="Times New Roman" w:hAnsi="Times New Roman"/>
          <w:highlight w:val="none"/>
          <w:lang w:val="en-US" w:eastAsia="zh-CN"/>
        </w:rPr>
        <w:t>5</w:t>
      </w:r>
      <w:r>
        <w:rPr>
          <w:rFonts w:hint="eastAsia" w:ascii="Times New Roman" w:hAnsi="Times New Roman"/>
          <w:highlight w:val="none"/>
          <w:lang w:eastAsia="zh-CN"/>
        </w:rPr>
        <w:t>）项目生态恢复治理严格按照《砚山县江那镇真元饲料添加剂沸石粉厂阿猛镇倮基黑卡子凹塘石料场矿山地质环境保护与土地复垦方案》提出的复垦措施执行。</w:t>
      </w:r>
    </w:p>
    <w:p>
      <w:pPr>
        <w:pStyle w:val="4"/>
        <w:rPr>
          <w:rFonts w:hint="default"/>
          <w:color w:val="auto"/>
          <w:highlight w:val="none"/>
          <w:lang w:val="en-US" w:eastAsia="zh-CN"/>
        </w:rPr>
      </w:pPr>
      <w:bookmarkStart w:id="448" w:name="_Toc10707"/>
      <w:r>
        <w:rPr>
          <w:rFonts w:hint="eastAsia"/>
          <w:color w:val="auto"/>
          <w:highlight w:val="none"/>
          <w:lang w:val="en-US" w:eastAsia="zh-CN"/>
        </w:rPr>
        <w:t>6.4相关符合性分析</w:t>
      </w:r>
      <w:bookmarkEnd w:id="448"/>
    </w:p>
    <w:p>
      <w:pPr>
        <w:pStyle w:val="5"/>
        <w:bidi w:val="0"/>
        <w:rPr>
          <w:rFonts w:hint="eastAsia"/>
          <w:color w:val="auto"/>
          <w:highlight w:val="none"/>
          <w:lang w:val="en-US" w:eastAsia="zh-CN"/>
        </w:rPr>
      </w:pPr>
      <w:bookmarkStart w:id="449" w:name="_Toc19597"/>
      <w:r>
        <w:rPr>
          <w:rFonts w:hint="eastAsia"/>
          <w:color w:val="auto"/>
          <w:highlight w:val="none"/>
          <w:lang w:val="en-US" w:eastAsia="zh-CN"/>
        </w:rPr>
        <w:t>6.4.1与国家产业政策符合性分析</w:t>
      </w:r>
      <w:bookmarkEnd w:id="449"/>
    </w:p>
    <w:p>
      <w:pPr>
        <w:pStyle w:val="17"/>
        <w:ind w:firstLine="480"/>
        <w:rPr>
          <w:rFonts w:ascii="Times New Roman" w:hAnsi="Times New Roman"/>
          <w:color w:val="auto"/>
          <w:highlight w:val="none"/>
        </w:rPr>
      </w:pPr>
      <w:r>
        <w:rPr>
          <w:rFonts w:hint="eastAsia" w:ascii="Times New Roman" w:hAnsi="Times New Roman"/>
          <w:color w:val="auto"/>
          <w:highlight w:val="none"/>
        </w:rPr>
        <w:t>根据《产业结构调整指导目录(20</w:t>
      </w:r>
      <w:r>
        <w:rPr>
          <w:rFonts w:hint="eastAsia" w:ascii="Times New Roman" w:hAnsi="Times New Roman"/>
          <w:color w:val="auto"/>
          <w:highlight w:val="none"/>
          <w:lang w:val="en-US" w:eastAsia="zh-CN"/>
        </w:rPr>
        <w:t>19</w:t>
      </w:r>
      <w:r>
        <w:rPr>
          <w:rFonts w:hint="eastAsia" w:ascii="Times New Roman" w:hAnsi="Times New Roman"/>
          <w:color w:val="auto"/>
          <w:highlight w:val="none"/>
        </w:rPr>
        <w:t>年本)</w:t>
      </w:r>
      <w:r>
        <w:rPr>
          <w:rFonts w:hint="eastAsia" w:ascii="Times New Roman" w:hAnsi="Times New Roman"/>
          <w:color w:val="auto"/>
          <w:highlight w:val="none"/>
          <w:lang w:eastAsia="zh-CN"/>
        </w:rPr>
        <w:t>》</w:t>
      </w:r>
      <w:r>
        <w:rPr>
          <w:rFonts w:hint="eastAsia" w:ascii="Times New Roman" w:hAnsi="Times New Roman"/>
          <w:color w:val="auto"/>
          <w:highlight w:val="none"/>
        </w:rPr>
        <w:t>(国家发改委令第2</w:t>
      </w:r>
      <w:r>
        <w:rPr>
          <w:rFonts w:hint="eastAsia" w:ascii="Times New Roman" w:hAnsi="Times New Roman"/>
          <w:color w:val="auto"/>
          <w:highlight w:val="none"/>
          <w:lang w:val="en-US" w:eastAsia="zh-CN"/>
        </w:rPr>
        <w:t>9</w:t>
      </w:r>
      <w:r>
        <w:rPr>
          <w:rFonts w:hint="eastAsia" w:ascii="Times New Roman" w:hAnsi="Times New Roman"/>
          <w:color w:val="auto"/>
          <w:highlight w:val="none"/>
        </w:rPr>
        <w:t>号)，本项目未列入目录中的淘汰类，属于“十二、建材鼓励类（机械化石材矿山开采）”，本项目的建设符合国家产业政策。</w:t>
      </w:r>
    </w:p>
    <w:p>
      <w:pPr>
        <w:pStyle w:val="17"/>
        <w:ind w:firstLine="480"/>
        <w:rPr>
          <w:rFonts w:ascii="Times New Roman" w:hAnsi="Times New Roman"/>
          <w:color w:val="auto"/>
          <w:highlight w:val="none"/>
        </w:rPr>
      </w:pPr>
      <w:r>
        <w:rPr>
          <w:rFonts w:hint="eastAsia" w:ascii="Times New Roman" w:hAnsi="Times New Roman"/>
          <w:color w:val="auto"/>
          <w:highlight w:val="none"/>
        </w:rPr>
        <w:t>项目开采也不属于《云南省工业产业结构调整指导目录（2006年本）》中所规定的淘汰类和限制类项目，符合云南省产业政策。</w:t>
      </w:r>
    </w:p>
    <w:p>
      <w:pPr>
        <w:pStyle w:val="17"/>
        <w:ind w:firstLine="480"/>
        <w:rPr>
          <w:rFonts w:ascii="Times New Roman" w:hAnsi="Times New Roman"/>
          <w:color w:val="auto"/>
          <w:highlight w:val="none"/>
        </w:rPr>
      </w:pPr>
      <w:r>
        <w:rPr>
          <w:rFonts w:hint="eastAsia" w:ascii="Times New Roman" w:hAnsi="Times New Roman"/>
          <w:color w:val="auto"/>
          <w:highlight w:val="none"/>
        </w:rPr>
        <w:t>综上，项目建设符合国家及云南省相关产业政策。</w:t>
      </w:r>
    </w:p>
    <w:p>
      <w:pPr>
        <w:pStyle w:val="5"/>
        <w:bidi w:val="0"/>
        <w:rPr>
          <w:rFonts w:hint="eastAsia"/>
          <w:color w:val="auto"/>
          <w:highlight w:val="none"/>
          <w:lang w:val="en-US" w:eastAsia="zh-CN"/>
        </w:rPr>
      </w:pPr>
      <w:bookmarkStart w:id="450" w:name="_Toc12045"/>
      <w:r>
        <w:rPr>
          <w:rFonts w:hint="eastAsia"/>
          <w:color w:val="auto"/>
          <w:highlight w:val="none"/>
          <w:lang w:val="en-US" w:eastAsia="zh-CN"/>
        </w:rPr>
        <w:t>6.4.2规划符合性分析</w:t>
      </w:r>
      <w:bookmarkEnd w:id="450"/>
    </w:p>
    <w:p>
      <w:pPr>
        <w:ind w:firstLine="482"/>
        <w:rPr>
          <w:rFonts w:ascii="宋体" w:hAnsi="宋体" w:cs="宋体"/>
          <w:b/>
          <w:bCs/>
          <w:color w:val="auto"/>
          <w:kern w:val="0"/>
          <w:highlight w:val="none"/>
        </w:rPr>
      </w:pPr>
      <w:r>
        <w:rPr>
          <w:rFonts w:hint="eastAsia" w:ascii="宋体" w:hAnsi="宋体" w:cs="宋体"/>
          <w:b/>
          <w:bCs/>
          <w:color w:val="auto"/>
          <w:kern w:val="0"/>
          <w:highlight w:val="none"/>
          <w:lang w:val="en-US" w:eastAsia="zh-CN"/>
        </w:rPr>
        <w:t>1、</w:t>
      </w:r>
      <w:r>
        <w:rPr>
          <w:rFonts w:ascii="宋体" w:hAnsi="宋体" w:cs="宋体"/>
          <w:b/>
          <w:bCs/>
          <w:color w:val="auto"/>
          <w:kern w:val="0"/>
          <w:highlight w:val="none"/>
        </w:rPr>
        <w:t>与</w:t>
      </w:r>
      <w:r>
        <w:rPr>
          <w:rFonts w:hint="eastAsia" w:ascii="宋体" w:hAnsi="宋体" w:cs="宋体"/>
          <w:b/>
          <w:bCs/>
          <w:color w:val="auto"/>
          <w:kern w:val="0"/>
          <w:highlight w:val="none"/>
        </w:rPr>
        <w:t>《云南省主体功能区划》</w:t>
      </w:r>
      <w:r>
        <w:rPr>
          <w:rFonts w:ascii="宋体" w:hAnsi="宋体" w:cs="宋体"/>
          <w:b/>
          <w:bCs/>
          <w:color w:val="auto"/>
          <w:kern w:val="0"/>
          <w:highlight w:val="none"/>
        </w:rPr>
        <w:t>的符合性</w:t>
      </w:r>
      <w:r>
        <w:rPr>
          <w:rFonts w:hint="eastAsia" w:ascii="宋体" w:hAnsi="宋体" w:cs="宋体"/>
          <w:b/>
          <w:bCs/>
          <w:color w:val="auto"/>
          <w:kern w:val="0"/>
          <w:highlight w:val="none"/>
        </w:rPr>
        <w:t>分析</w:t>
      </w:r>
    </w:p>
    <w:p>
      <w:pPr>
        <w:ind w:firstLine="0" w:firstLineChars="0"/>
        <w:jc w:val="center"/>
        <w:rPr>
          <w:b/>
          <w:color w:val="auto"/>
          <w:sz w:val="21"/>
          <w:szCs w:val="21"/>
          <w:highlight w:val="none"/>
        </w:rPr>
      </w:pPr>
      <w:r>
        <w:rPr>
          <w:b/>
          <w:color w:val="auto"/>
          <w:sz w:val="21"/>
          <w:szCs w:val="21"/>
          <w:highlight w:val="none"/>
        </w:rPr>
        <w:t>表</w:t>
      </w:r>
      <w:r>
        <w:rPr>
          <w:rFonts w:hint="eastAsia"/>
          <w:b/>
          <w:color w:val="auto"/>
          <w:sz w:val="21"/>
          <w:szCs w:val="21"/>
          <w:highlight w:val="none"/>
          <w:lang w:val="en-US" w:eastAsia="zh-CN"/>
        </w:rPr>
        <w:t>6.4-1</w:t>
      </w:r>
      <w:r>
        <w:rPr>
          <w:b/>
          <w:color w:val="auto"/>
          <w:sz w:val="21"/>
          <w:szCs w:val="21"/>
          <w:highlight w:val="none"/>
        </w:rPr>
        <w:t xml:space="preserve">  本矿山与《云南省主体功能区划》的符合性分析</w:t>
      </w:r>
    </w:p>
    <w:tbl>
      <w:tblPr>
        <w:tblStyle w:val="29"/>
        <w:tblW w:w="88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6"/>
        <w:gridCol w:w="4344"/>
        <w:gridCol w:w="2080"/>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920" w:type="dxa"/>
            <w:gridSpan w:val="2"/>
            <w:shd w:val="clear" w:color="auto" w:fill="auto"/>
            <w:vAlign w:val="center"/>
          </w:tcPr>
          <w:p>
            <w:pPr>
              <w:ind w:firstLine="0" w:firstLineChars="0"/>
              <w:jc w:val="center"/>
              <w:rPr>
                <w:b/>
                <w:color w:val="auto"/>
                <w:kern w:val="0"/>
                <w:sz w:val="21"/>
                <w:szCs w:val="21"/>
                <w:highlight w:val="none"/>
              </w:rPr>
            </w:pPr>
            <w:r>
              <w:rPr>
                <w:rFonts w:hint="eastAsia"/>
                <w:b/>
                <w:color w:val="auto"/>
                <w:kern w:val="0"/>
                <w:sz w:val="21"/>
                <w:szCs w:val="21"/>
                <w:highlight w:val="none"/>
              </w:rPr>
              <w:t>《云南省主体功能区划》</w:t>
            </w:r>
          </w:p>
        </w:tc>
        <w:tc>
          <w:tcPr>
            <w:tcW w:w="2080" w:type="dxa"/>
            <w:shd w:val="clear" w:color="auto" w:fill="auto"/>
            <w:vAlign w:val="center"/>
          </w:tcPr>
          <w:p>
            <w:pPr>
              <w:ind w:firstLine="0" w:firstLineChars="0"/>
              <w:jc w:val="center"/>
              <w:rPr>
                <w:b/>
                <w:color w:val="auto"/>
                <w:kern w:val="0"/>
                <w:sz w:val="21"/>
                <w:szCs w:val="21"/>
                <w:highlight w:val="none"/>
              </w:rPr>
            </w:pPr>
            <w:r>
              <w:rPr>
                <w:b/>
                <w:color w:val="auto"/>
                <w:kern w:val="0"/>
                <w:sz w:val="21"/>
                <w:szCs w:val="21"/>
                <w:highlight w:val="none"/>
              </w:rPr>
              <w:t>本矿山情况</w:t>
            </w:r>
          </w:p>
        </w:tc>
        <w:tc>
          <w:tcPr>
            <w:tcW w:w="840" w:type="dxa"/>
            <w:shd w:val="clear" w:color="auto" w:fill="auto"/>
            <w:vAlign w:val="center"/>
          </w:tcPr>
          <w:p>
            <w:pPr>
              <w:ind w:firstLine="0" w:firstLineChars="0"/>
              <w:jc w:val="center"/>
              <w:rPr>
                <w:b/>
                <w:color w:val="auto"/>
                <w:kern w:val="0"/>
                <w:sz w:val="21"/>
                <w:szCs w:val="21"/>
                <w:highlight w:val="none"/>
              </w:rPr>
            </w:pPr>
            <w:r>
              <w:rPr>
                <w:rFonts w:hint="eastAsia"/>
                <w:b/>
                <w:color w:val="auto"/>
                <w:kern w:val="0"/>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6" w:type="dxa"/>
            <w:vAlign w:val="center"/>
          </w:tcPr>
          <w:p>
            <w:pPr>
              <w:ind w:left="-72" w:leftChars="-30" w:right="-72" w:rightChars="-30" w:firstLine="0" w:firstLineChars="0"/>
              <w:jc w:val="center"/>
              <w:rPr>
                <w:color w:val="auto"/>
                <w:kern w:val="0"/>
                <w:sz w:val="21"/>
                <w:szCs w:val="21"/>
                <w:highlight w:val="none"/>
              </w:rPr>
            </w:pPr>
            <w:r>
              <w:rPr>
                <w:rFonts w:hint="eastAsia"/>
                <w:color w:val="auto"/>
                <w:kern w:val="0"/>
                <w:sz w:val="21"/>
                <w:szCs w:val="21"/>
                <w:highlight w:val="none"/>
              </w:rPr>
              <w:t>第七章第二节“主要</w:t>
            </w:r>
            <w:r>
              <w:rPr>
                <w:color w:val="auto"/>
                <w:kern w:val="0"/>
                <w:sz w:val="21"/>
                <w:szCs w:val="21"/>
                <w:highlight w:val="none"/>
              </w:rPr>
              <w:t>矿产资源开发与布局</w:t>
            </w:r>
            <w:r>
              <w:rPr>
                <w:rFonts w:hint="eastAsia"/>
                <w:color w:val="auto"/>
                <w:kern w:val="0"/>
                <w:sz w:val="21"/>
                <w:szCs w:val="21"/>
                <w:highlight w:val="none"/>
              </w:rPr>
              <w:t>”第</w:t>
            </w:r>
            <w:r>
              <w:rPr>
                <w:color w:val="auto"/>
                <w:kern w:val="0"/>
                <w:sz w:val="21"/>
                <w:szCs w:val="21"/>
                <w:highlight w:val="none"/>
              </w:rPr>
              <w:t>一</w:t>
            </w:r>
            <w:r>
              <w:rPr>
                <w:rFonts w:hint="eastAsia"/>
                <w:color w:val="auto"/>
                <w:kern w:val="0"/>
                <w:sz w:val="21"/>
                <w:szCs w:val="21"/>
                <w:highlight w:val="none"/>
              </w:rPr>
              <w:t>条“开发原则”</w:t>
            </w:r>
          </w:p>
        </w:tc>
        <w:tc>
          <w:tcPr>
            <w:tcW w:w="4344" w:type="dxa"/>
            <w:vAlign w:val="center"/>
          </w:tcPr>
          <w:p>
            <w:pPr>
              <w:ind w:left="-72" w:leftChars="-30" w:right="-72" w:rightChars="-30" w:firstLine="0" w:firstLineChars="0"/>
              <w:rPr>
                <w:color w:val="auto"/>
                <w:kern w:val="0"/>
                <w:sz w:val="21"/>
                <w:szCs w:val="21"/>
                <w:highlight w:val="none"/>
              </w:rPr>
            </w:pPr>
            <w:r>
              <w:rPr>
                <w:color w:val="auto"/>
                <w:kern w:val="0"/>
                <w:sz w:val="21"/>
                <w:szCs w:val="21"/>
                <w:highlight w:val="none"/>
              </w:rPr>
              <w:t>——</w:t>
            </w:r>
            <w:r>
              <w:rPr>
                <w:rFonts w:hint="eastAsia"/>
                <w:color w:val="auto"/>
                <w:kern w:val="0"/>
                <w:sz w:val="21"/>
                <w:szCs w:val="21"/>
                <w:highlight w:val="none"/>
              </w:rPr>
              <w:t>坚持在</w:t>
            </w:r>
            <w:r>
              <w:rPr>
                <w:color w:val="auto"/>
                <w:kern w:val="0"/>
                <w:sz w:val="21"/>
                <w:szCs w:val="21"/>
                <w:highlight w:val="none"/>
              </w:rPr>
              <w:t>保护中开发，在开发中保护的方针</w:t>
            </w:r>
            <w:r>
              <w:rPr>
                <w:rFonts w:hint="eastAsia"/>
                <w:color w:val="auto"/>
                <w:kern w:val="0"/>
                <w:sz w:val="21"/>
                <w:szCs w:val="21"/>
                <w:highlight w:val="none"/>
              </w:rPr>
              <w:t>。</w:t>
            </w:r>
          </w:p>
          <w:p>
            <w:pPr>
              <w:ind w:left="-72" w:leftChars="-30" w:right="-72" w:rightChars="-30" w:firstLine="0" w:firstLineChars="0"/>
              <w:rPr>
                <w:color w:val="auto"/>
                <w:kern w:val="0"/>
                <w:sz w:val="21"/>
                <w:szCs w:val="21"/>
                <w:highlight w:val="none"/>
              </w:rPr>
            </w:pPr>
            <w:r>
              <w:rPr>
                <w:color w:val="auto"/>
                <w:kern w:val="0"/>
                <w:sz w:val="21"/>
                <w:szCs w:val="21"/>
                <w:highlight w:val="none"/>
              </w:rPr>
              <w:t>——</w:t>
            </w:r>
            <w:r>
              <w:rPr>
                <w:rFonts w:hint="eastAsia"/>
                <w:color w:val="auto"/>
                <w:kern w:val="0"/>
                <w:sz w:val="21"/>
                <w:szCs w:val="21"/>
                <w:highlight w:val="none"/>
              </w:rPr>
              <w:t>根据</w:t>
            </w:r>
            <w:r>
              <w:rPr>
                <w:color w:val="auto"/>
                <w:kern w:val="0"/>
                <w:sz w:val="21"/>
                <w:szCs w:val="21"/>
                <w:highlight w:val="none"/>
              </w:rPr>
              <w:t>矿产资源开发利用总量与经济社会发展、市场需求相适应，符合国家产业政策的原则，鼓励开采云南省优势、国内紧缺的煤、磷、</w:t>
            </w:r>
            <w:r>
              <w:rPr>
                <w:rFonts w:hint="eastAsia"/>
                <w:color w:val="auto"/>
                <w:kern w:val="0"/>
                <w:sz w:val="21"/>
                <w:szCs w:val="21"/>
                <w:highlight w:val="none"/>
              </w:rPr>
              <w:t>铜</w:t>
            </w:r>
            <w:r>
              <w:rPr>
                <w:color w:val="auto"/>
                <w:kern w:val="0"/>
                <w:sz w:val="21"/>
                <w:szCs w:val="21"/>
                <w:highlight w:val="none"/>
              </w:rPr>
              <w:t>、铅</w:t>
            </w:r>
            <w:r>
              <w:rPr>
                <w:rFonts w:hint="eastAsia"/>
                <w:color w:val="auto"/>
                <w:kern w:val="0"/>
                <w:sz w:val="21"/>
                <w:szCs w:val="21"/>
                <w:highlight w:val="none"/>
              </w:rPr>
              <w:t>、</w:t>
            </w:r>
            <w:r>
              <w:rPr>
                <w:color w:val="auto"/>
                <w:kern w:val="0"/>
                <w:sz w:val="21"/>
                <w:szCs w:val="21"/>
                <w:highlight w:val="none"/>
              </w:rPr>
              <w:t>锌、金</w:t>
            </w:r>
            <w:r>
              <w:rPr>
                <w:rFonts w:hint="eastAsia"/>
                <w:color w:val="auto"/>
                <w:kern w:val="0"/>
                <w:sz w:val="21"/>
                <w:szCs w:val="21"/>
                <w:highlight w:val="none"/>
              </w:rPr>
              <w:t>、</w:t>
            </w:r>
            <w:r>
              <w:rPr>
                <w:color w:val="auto"/>
                <w:kern w:val="0"/>
                <w:sz w:val="21"/>
                <w:szCs w:val="21"/>
                <w:highlight w:val="none"/>
              </w:rPr>
              <w:t>银</w:t>
            </w:r>
            <w:r>
              <w:rPr>
                <w:rFonts w:hint="eastAsia"/>
                <w:color w:val="auto"/>
                <w:kern w:val="0"/>
                <w:sz w:val="21"/>
                <w:szCs w:val="21"/>
                <w:highlight w:val="none"/>
              </w:rPr>
              <w:t>、</w:t>
            </w:r>
            <w:r>
              <w:rPr>
                <w:color w:val="auto"/>
                <w:kern w:val="0"/>
                <w:sz w:val="21"/>
                <w:szCs w:val="21"/>
                <w:highlight w:val="none"/>
              </w:rPr>
              <w:t>铂</w:t>
            </w:r>
            <w:r>
              <w:rPr>
                <w:rFonts w:hint="eastAsia"/>
                <w:color w:val="auto"/>
                <w:kern w:val="0"/>
                <w:sz w:val="21"/>
                <w:szCs w:val="21"/>
                <w:highlight w:val="none"/>
              </w:rPr>
              <w:t>、</w:t>
            </w:r>
            <w:r>
              <w:rPr>
                <w:color w:val="auto"/>
                <w:kern w:val="0"/>
                <w:sz w:val="21"/>
                <w:szCs w:val="21"/>
                <w:highlight w:val="none"/>
              </w:rPr>
              <w:t>镍、铁、锰、钛等矿产，同时综合回收利用锗、铟、镉等伴生矿产；限制开采锡</w:t>
            </w:r>
            <w:r>
              <w:rPr>
                <w:rFonts w:hint="eastAsia"/>
                <w:color w:val="auto"/>
                <w:kern w:val="0"/>
                <w:sz w:val="21"/>
                <w:szCs w:val="21"/>
                <w:highlight w:val="none"/>
              </w:rPr>
              <w:t>、</w:t>
            </w:r>
            <w:r>
              <w:rPr>
                <w:color w:val="auto"/>
                <w:kern w:val="0"/>
                <w:sz w:val="21"/>
                <w:szCs w:val="21"/>
                <w:highlight w:val="none"/>
              </w:rPr>
              <w:t>钨、稀土和高硫煤、高灰煤；禁止开采蓝石棉、砷和可耕地的砖瓦用黏土。</w:t>
            </w:r>
          </w:p>
          <w:p>
            <w:pPr>
              <w:ind w:left="-72" w:leftChars="-30" w:right="-72" w:rightChars="-30" w:firstLine="0" w:firstLineChars="0"/>
              <w:rPr>
                <w:color w:val="auto"/>
                <w:kern w:val="0"/>
                <w:sz w:val="21"/>
                <w:szCs w:val="21"/>
                <w:highlight w:val="none"/>
              </w:rPr>
            </w:pPr>
            <w:r>
              <w:rPr>
                <w:color w:val="auto"/>
                <w:kern w:val="0"/>
                <w:sz w:val="21"/>
                <w:szCs w:val="21"/>
                <w:highlight w:val="none"/>
              </w:rPr>
              <w:t>——</w:t>
            </w:r>
            <w:r>
              <w:rPr>
                <w:rFonts w:hint="eastAsia"/>
                <w:color w:val="auto"/>
                <w:kern w:val="0"/>
                <w:sz w:val="21"/>
                <w:szCs w:val="21"/>
                <w:highlight w:val="none"/>
              </w:rPr>
              <w:t>全面</w:t>
            </w:r>
            <w:r>
              <w:rPr>
                <w:color w:val="auto"/>
                <w:kern w:val="0"/>
                <w:sz w:val="21"/>
                <w:szCs w:val="21"/>
                <w:highlight w:val="none"/>
              </w:rPr>
              <w:t>建立适应社会主义市场经济的矿产资源勘查、开发</w:t>
            </w:r>
            <w:r>
              <w:rPr>
                <w:rFonts w:hint="eastAsia"/>
                <w:color w:val="auto"/>
                <w:kern w:val="0"/>
                <w:sz w:val="21"/>
                <w:szCs w:val="21"/>
                <w:highlight w:val="none"/>
              </w:rPr>
              <w:t>管理</w:t>
            </w:r>
            <w:r>
              <w:rPr>
                <w:color w:val="auto"/>
                <w:kern w:val="0"/>
                <w:sz w:val="21"/>
                <w:szCs w:val="21"/>
                <w:highlight w:val="none"/>
              </w:rPr>
              <w:t>体制，实现矿产资源利用方式和管理方式的根本转变。</w:t>
            </w:r>
          </w:p>
          <w:p>
            <w:pPr>
              <w:ind w:left="-72" w:leftChars="-30" w:right="-72" w:rightChars="-30" w:firstLine="0" w:firstLineChars="0"/>
              <w:rPr>
                <w:color w:val="auto"/>
                <w:kern w:val="0"/>
                <w:sz w:val="21"/>
                <w:szCs w:val="21"/>
                <w:highlight w:val="none"/>
              </w:rPr>
            </w:pPr>
            <w:r>
              <w:rPr>
                <w:color w:val="auto"/>
                <w:kern w:val="0"/>
                <w:sz w:val="21"/>
                <w:szCs w:val="21"/>
                <w:highlight w:val="none"/>
              </w:rPr>
              <w:t>——</w:t>
            </w:r>
            <w:r>
              <w:rPr>
                <w:rFonts w:hint="eastAsia"/>
                <w:color w:val="auto"/>
                <w:kern w:val="0"/>
                <w:sz w:val="21"/>
                <w:szCs w:val="21"/>
                <w:highlight w:val="none"/>
              </w:rPr>
              <w:t>坚持</w:t>
            </w:r>
            <w:r>
              <w:rPr>
                <w:color w:val="auto"/>
                <w:kern w:val="0"/>
                <w:sz w:val="21"/>
                <w:szCs w:val="21"/>
                <w:highlight w:val="none"/>
              </w:rPr>
              <w:t>谁开发谁保护、谁破坏谁恢复、谁使用谁付费的原则</w:t>
            </w:r>
            <w:r>
              <w:rPr>
                <w:rFonts w:hint="eastAsia"/>
                <w:color w:val="auto"/>
                <w:kern w:val="0"/>
                <w:sz w:val="21"/>
                <w:szCs w:val="21"/>
                <w:highlight w:val="none"/>
              </w:rPr>
              <w:t>，</w:t>
            </w:r>
            <w:r>
              <w:rPr>
                <w:color w:val="auto"/>
                <w:kern w:val="0"/>
                <w:sz w:val="21"/>
                <w:szCs w:val="21"/>
                <w:highlight w:val="none"/>
              </w:rPr>
              <w:t>综合运用各种手段加大矿山生态恢复治理力度，严格矿山准入条件</w:t>
            </w:r>
            <w:r>
              <w:rPr>
                <w:rFonts w:hint="eastAsia"/>
                <w:color w:val="auto"/>
                <w:kern w:val="0"/>
                <w:sz w:val="21"/>
                <w:szCs w:val="21"/>
                <w:highlight w:val="none"/>
              </w:rPr>
              <w:t>。</w:t>
            </w:r>
          </w:p>
          <w:p>
            <w:pPr>
              <w:ind w:left="-72" w:leftChars="-30" w:right="-72" w:rightChars="-30" w:firstLine="0" w:firstLineChars="0"/>
              <w:rPr>
                <w:color w:val="auto"/>
                <w:kern w:val="0"/>
                <w:sz w:val="21"/>
                <w:szCs w:val="21"/>
                <w:highlight w:val="none"/>
              </w:rPr>
            </w:pPr>
            <w:r>
              <w:rPr>
                <w:color w:val="auto"/>
                <w:kern w:val="0"/>
                <w:sz w:val="21"/>
                <w:szCs w:val="21"/>
                <w:highlight w:val="none"/>
              </w:rPr>
              <w:t>——</w:t>
            </w:r>
            <w:r>
              <w:rPr>
                <w:rFonts w:hint="eastAsia"/>
                <w:color w:val="auto"/>
                <w:kern w:val="0"/>
                <w:sz w:val="21"/>
                <w:szCs w:val="21"/>
                <w:highlight w:val="none"/>
              </w:rPr>
              <w:t>在限制</w:t>
            </w:r>
            <w:r>
              <w:rPr>
                <w:color w:val="auto"/>
                <w:kern w:val="0"/>
                <w:sz w:val="21"/>
                <w:szCs w:val="21"/>
                <w:highlight w:val="none"/>
              </w:rPr>
              <w:t>开发的重点生态功能区进行矿产开发基地建设，必须进行生态环境影响评价，尽可能减少对生态空间的占用。</w:t>
            </w:r>
          </w:p>
        </w:tc>
        <w:tc>
          <w:tcPr>
            <w:tcW w:w="2080" w:type="dxa"/>
            <w:vAlign w:val="center"/>
          </w:tcPr>
          <w:p>
            <w:pPr>
              <w:ind w:left="-72" w:leftChars="-30" w:right="-72" w:rightChars="-30" w:firstLine="0" w:firstLineChars="0"/>
              <w:jc w:val="center"/>
              <w:rPr>
                <w:color w:val="auto"/>
                <w:kern w:val="0"/>
                <w:sz w:val="21"/>
                <w:szCs w:val="21"/>
                <w:highlight w:val="none"/>
              </w:rPr>
            </w:pPr>
            <w:r>
              <w:rPr>
                <w:rFonts w:hint="eastAsia"/>
                <w:color w:val="auto"/>
                <w:kern w:val="0"/>
                <w:sz w:val="21"/>
                <w:szCs w:val="21"/>
                <w:highlight w:val="none"/>
              </w:rPr>
              <w:t>建设单位</w:t>
            </w:r>
            <w:r>
              <w:rPr>
                <w:color w:val="auto"/>
                <w:kern w:val="0"/>
                <w:sz w:val="21"/>
                <w:szCs w:val="21"/>
                <w:highlight w:val="none"/>
              </w:rPr>
              <w:t>在今后的</w:t>
            </w:r>
            <w:r>
              <w:rPr>
                <w:rFonts w:hint="eastAsia"/>
                <w:color w:val="auto"/>
                <w:kern w:val="0"/>
                <w:sz w:val="21"/>
                <w:szCs w:val="21"/>
                <w:highlight w:val="none"/>
              </w:rPr>
              <w:t>开采</w:t>
            </w:r>
            <w:r>
              <w:rPr>
                <w:color w:val="auto"/>
                <w:kern w:val="0"/>
                <w:sz w:val="21"/>
                <w:szCs w:val="21"/>
                <w:highlight w:val="none"/>
              </w:rPr>
              <w:t>过程中严格落实各项环保措施</w:t>
            </w:r>
            <w:r>
              <w:rPr>
                <w:rFonts w:hint="eastAsia"/>
                <w:color w:val="auto"/>
                <w:kern w:val="0"/>
                <w:sz w:val="21"/>
                <w:szCs w:val="21"/>
                <w:highlight w:val="none"/>
              </w:rPr>
              <w:t>，</w:t>
            </w:r>
            <w:r>
              <w:rPr>
                <w:color w:val="auto"/>
                <w:kern w:val="0"/>
                <w:sz w:val="21"/>
                <w:szCs w:val="21"/>
                <w:highlight w:val="none"/>
              </w:rPr>
              <w:t>其废气、废水、噪声、固废及生态影响可降至最低</w:t>
            </w:r>
            <w:r>
              <w:rPr>
                <w:rFonts w:hint="eastAsia"/>
                <w:color w:val="auto"/>
                <w:kern w:val="0"/>
                <w:sz w:val="21"/>
                <w:szCs w:val="21"/>
                <w:highlight w:val="none"/>
              </w:rPr>
              <w:t>，</w:t>
            </w:r>
            <w:r>
              <w:rPr>
                <w:color w:val="auto"/>
                <w:kern w:val="0"/>
                <w:sz w:val="21"/>
                <w:szCs w:val="21"/>
                <w:highlight w:val="none"/>
              </w:rPr>
              <w:t>在矿山服务期满后对其进行生态恢复及土地</w:t>
            </w:r>
            <w:r>
              <w:rPr>
                <w:rFonts w:hint="eastAsia"/>
                <w:color w:val="auto"/>
                <w:kern w:val="0"/>
                <w:sz w:val="21"/>
                <w:szCs w:val="21"/>
                <w:highlight w:val="none"/>
              </w:rPr>
              <w:t>复垦</w:t>
            </w:r>
            <w:r>
              <w:rPr>
                <w:color w:val="auto"/>
                <w:kern w:val="0"/>
                <w:sz w:val="21"/>
                <w:szCs w:val="21"/>
                <w:highlight w:val="none"/>
              </w:rPr>
              <w:t>。</w:t>
            </w:r>
            <w:r>
              <w:rPr>
                <w:rFonts w:hint="eastAsia"/>
                <w:color w:val="auto"/>
                <w:kern w:val="0"/>
                <w:sz w:val="21"/>
                <w:szCs w:val="21"/>
                <w:highlight w:val="none"/>
              </w:rPr>
              <w:t>本项目为石灰岩矿开采，</w:t>
            </w:r>
            <w:r>
              <w:rPr>
                <w:color w:val="auto"/>
                <w:kern w:val="0"/>
                <w:sz w:val="21"/>
                <w:szCs w:val="21"/>
                <w:highlight w:val="none"/>
              </w:rPr>
              <w:t>不属于</w:t>
            </w:r>
            <w:r>
              <w:rPr>
                <w:rFonts w:hint="eastAsia"/>
                <w:color w:val="auto"/>
                <w:kern w:val="0"/>
                <w:sz w:val="21"/>
                <w:szCs w:val="21"/>
                <w:highlight w:val="none"/>
              </w:rPr>
              <w:t>限制类</w:t>
            </w:r>
            <w:r>
              <w:rPr>
                <w:color w:val="auto"/>
                <w:kern w:val="0"/>
                <w:sz w:val="21"/>
                <w:szCs w:val="21"/>
                <w:highlight w:val="none"/>
              </w:rPr>
              <w:t>和禁止类</w:t>
            </w:r>
            <w:r>
              <w:rPr>
                <w:rFonts w:hint="eastAsia"/>
                <w:color w:val="auto"/>
                <w:kern w:val="0"/>
                <w:sz w:val="21"/>
                <w:szCs w:val="21"/>
                <w:highlight w:val="none"/>
              </w:rPr>
              <w:t>采矿</w:t>
            </w:r>
            <w:r>
              <w:rPr>
                <w:color w:val="auto"/>
                <w:kern w:val="0"/>
                <w:sz w:val="21"/>
                <w:szCs w:val="21"/>
                <w:highlight w:val="none"/>
              </w:rPr>
              <w:t>矿种</w:t>
            </w:r>
            <w:r>
              <w:rPr>
                <w:rFonts w:hint="eastAsia"/>
                <w:color w:val="auto"/>
                <w:kern w:val="0"/>
                <w:sz w:val="21"/>
                <w:szCs w:val="21"/>
                <w:highlight w:val="none"/>
              </w:rPr>
              <w:t>，</w:t>
            </w:r>
            <w:r>
              <w:rPr>
                <w:color w:val="auto"/>
                <w:kern w:val="0"/>
                <w:sz w:val="21"/>
                <w:szCs w:val="21"/>
                <w:highlight w:val="none"/>
              </w:rPr>
              <w:t>矿山开采规模、开采方式均符合矿山准入条件</w:t>
            </w:r>
            <w:r>
              <w:rPr>
                <w:rFonts w:hint="eastAsia"/>
                <w:color w:val="auto"/>
                <w:kern w:val="0"/>
                <w:sz w:val="21"/>
                <w:szCs w:val="21"/>
                <w:highlight w:val="none"/>
              </w:rPr>
              <w:t>。矿山</w:t>
            </w:r>
            <w:r>
              <w:rPr>
                <w:color w:val="auto"/>
                <w:kern w:val="0"/>
                <w:sz w:val="21"/>
                <w:szCs w:val="21"/>
                <w:highlight w:val="none"/>
              </w:rPr>
              <w:t>不属于</w:t>
            </w:r>
            <w:r>
              <w:rPr>
                <w:rFonts w:hint="eastAsia"/>
                <w:color w:val="auto"/>
                <w:kern w:val="0"/>
                <w:sz w:val="21"/>
                <w:szCs w:val="21"/>
                <w:highlight w:val="none"/>
              </w:rPr>
              <w:t>在限制</w:t>
            </w:r>
            <w:r>
              <w:rPr>
                <w:color w:val="auto"/>
                <w:kern w:val="0"/>
                <w:sz w:val="21"/>
                <w:szCs w:val="21"/>
                <w:highlight w:val="none"/>
              </w:rPr>
              <w:t>开发的重点生态功能区</w:t>
            </w:r>
            <w:r>
              <w:rPr>
                <w:rFonts w:hint="eastAsia"/>
                <w:color w:val="auto"/>
                <w:kern w:val="0"/>
                <w:sz w:val="21"/>
                <w:szCs w:val="21"/>
                <w:highlight w:val="none"/>
              </w:rPr>
              <w:t>。</w:t>
            </w:r>
          </w:p>
        </w:tc>
        <w:tc>
          <w:tcPr>
            <w:tcW w:w="840" w:type="dxa"/>
            <w:vAlign w:val="center"/>
          </w:tcPr>
          <w:p>
            <w:pPr>
              <w:ind w:left="-72" w:leftChars="-30" w:right="-72" w:rightChars="-30" w:firstLine="0" w:firstLineChars="0"/>
              <w:jc w:val="center"/>
              <w:rPr>
                <w:color w:val="auto"/>
                <w:kern w:val="0"/>
                <w:sz w:val="21"/>
                <w:szCs w:val="21"/>
                <w:highlight w:val="none"/>
              </w:rPr>
            </w:pPr>
            <w:r>
              <w:rPr>
                <w:rFonts w:hint="eastAsia"/>
                <w:color w:val="auto"/>
                <w:kern w:val="0"/>
                <w:sz w:val="21"/>
                <w:szCs w:val="21"/>
                <w:highlight w:val="none"/>
              </w:rPr>
              <w:t>符合</w:t>
            </w:r>
          </w:p>
        </w:tc>
      </w:tr>
    </w:tbl>
    <w:p>
      <w:pPr>
        <w:ind w:firstLine="480"/>
        <w:rPr>
          <w:color w:val="auto"/>
          <w:highlight w:val="none"/>
        </w:rPr>
      </w:pPr>
      <w:r>
        <w:rPr>
          <w:rFonts w:hint="eastAsia"/>
          <w:color w:val="auto"/>
          <w:highlight w:val="none"/>
        </w:rPr>
        <w:t>综上，项目</w:t>
      </w:r>
      <w:r>
        <w:rPr>
          <w:color w:val="auto"/>
          <w:highlight w:val="none"/>
        </w:rPr>
        <w:t>建设符合</w:t>
      </w:r>
      <w:r>
        <w:rPr>
          <w:rFonts w:hint="eastAsia"/>
          <w:color w:val="auto"/>
          <w:highlight w:val="none"/>
        </w:rPr>
        <w:t>《云南省主体功能区划》</w:t>
      </w:r>
      <w:r>
        <w:rPr>
          <w:color w:val="auto"/>
          <w:highlight w:val="none"/>
        </w:rPr>
        <w:t>相关要求。</w:t>
      </w:r>
    </w:p>
    <w:p>
      <w:pPr>
        <w:pStyle w:val="2"/>
        <w:rPr>
          <w:highlight w:val="none"/>
        </w:rPr>
      </w:pPr>
    </w:p>
    <w:p>
      <w:pPr>
        <w:ind w:firstLine="482"/>
        <w:rPr>
          <w:b/>
          <w:bCs/>
          <w:color w:val="auto"/>
          <w:kern w:val="0"/>
          <w:highlight w:val="none"/>
          <w:lang w:eastAsia="ja-JP"/>
        </w:rPr>
      </w:pPr>
      <w:r>
        <w:rPr>
          <w:rFonts w:hint="eastAsia"/>
          <w:b/>
          <w:bCs/>
          <w:color w:val="auto"/>
          <w:kern w:val="0"/>
          <w:highlight w:val="none"/>
          <w:lang w:val="en-US" w:eastAsia="zh-CN"/>
        </w:rPr>
        <w:t>2、</w:t>
      </w:r>
      <w:r>
        <w:rPr>
          <w:b/>
          <w:bCs/>
          <w:color w:val="auto"/>
          <w:kern w:val="0"/>
          <w:highlight w:val="none"/>
          <w:lang w:eastAsia="ja-JP"/>
        </w:rPr>
        <w:t>与《云南省生态功能区划》的协调性分析</w:t>
      </w:r>
    </w:p>
    <w:p>
      <w:pPr>
        <w:ind w:firstLine="480"/>
        <w:rPr>
          <w:color w:val="auto"/>
          <w:highlight w:val="none"/>
        </w:rPr>
      </w:pPr>
      <w:r>
        <w:rPr>
          <w:rFonts w:hint="eastAsia"/>
          <w:color w:val="auto"/>
          <w:highlight w:val="none"/>
        </w:rPr>
        <w:t>根据《云南省生态功能区划》中生态功能的划分，云南省生态功能区共分一级区（生态区）5个，二级区（生态亚区）19个，三级区（生态功能区）65个。</w:t>
      </w:r>
    </w:p>
    <w:p>
      <w:pPr>
        <w:ind w:firstLine="480"/>
        <w:rPr>
          <w:color w:val="auto"/>
          <w:highlight w:val="none"/>
        </w:rPr>
      </w:pPr>
      <w:r>
        <w:rPr>
          <w:rFonts w:hint="eastAsia"/>
          <w:color w:val="auto"/>
          <w:highlight w:val="none"/>
        </w:rPr>
        <w:t>本项目所在区域属Ⅲ高原亚热带北部常绿阔叶林生态区——Ⅲ1 滇中高原谷盆半湿润常绿阔叶林、暖性针叶林生态亚区——Ⅲ1-15邱北、砚山岩溶盆地水土保持生态功能区。</w:t>
      </w:r>
    </w:p>
    <w:p>
      <w:pPr>
        <w:ind w:firstLine="480"/>
        <w:rPr>
          <w:color w:val="auto"/>
          <w:highlight w:val="none"/>
        </w:rPr>
      </w:pPr>
      <w:r>
        <w:rPr>
          <w:rFonts w:hint="eastAsia"/>
          <w:color w:val="auto"/>
          <w:highlight w:val="none"/>
        </w:rPr>
        <w:t>该区主要特点是：以岩溶盆地地貌为主，石灰岩大量出露。年降雨量900-1000毫米，现存植被主要是云南松林。土壤以红壤、石灰土和水稻土为主；</w:t>
      </w:r>
    </w:p>
    <w:p>
      <w:pPr>
        <w:ind w:firstLine="480"/>
        <w:rPr>
          <w:color w:val="auto"/>
          <w:highlight w:val="none"/>
        </w:rPr>
      </w:pPr>
      <w:r>
        <w:rPr>
          <w:rFonts w:hint="eastAsia"/>
          <w:color w:val="auto"/>
          <w:highlight w:val="none"/>
        </w:rPr>
        <w:t>主要生态环境问题是：土地利用过度带来的石漠化</w:t>
      </w:r>
    </w:p>
    <w:p>
      <w:pPr>
        <w:ind w:firstLine="480"/>
        <w:rPr>
          <w:color w:val="auto"/>
          <w:highlight w:val="none"/>
        </w:rPr>
      </w:pPr>
      <w:r>
        <w:rPr>
          <w:rFonts w:hint="eastAsia"/>
          <w:color w:val="auto"/>
          <w:highlight w:val="none"/>
        </w:rPr>
        <w:t>生态环境敏感性特点为：石漠化高度敏感</w:t>
      </w:r>
    </w:p>
    <w:p>
      <w:pPr>
        <w:ind w:firstLine="480"/>
        <w:rPr>
          <w:color w:val="auto"/>
          <w:highlight w:val="none"/>
        </w:rPr>
      </w:pPr>
      <w:r>
        <w:rPr>
          <w:rFonts w:hint="eastAsia"/>
          <w:color w:val="auto"/>
          <w:highlight w:val="none"/>
        </w:rPr>
        <w:t>主要生态系统服务功能为：石漠化地区的生态恢复和治理；</w:t>
      </w:r>
    </w:p>
    <w:p>
      <w:pPr>
        <w:ind w:firstLine="480"/>
        <w:rPr>
          <w:color w:val="auto"/>
          <w:highlight w:val="none"/>
        </w:rPr>
      </w:pPr>
      <w:r>
        <w:rPr>
          <w:rFonts w:hint="eastAsia"/>
          <w:color w:val="auto"/>
          <w:highlight w:val="none"/>
        </w:rPr>
        <w:t>保护措施和发展的方向是：加强石漠化的生物治理和工程治理，调整产业结构，防止土地的进一步退化。</w:t>
      </w:r>
    </w:p>
    <w:p>
      <w:pPr>
        <w:ind w:firstLine="480"/>
        <w:rPr>
          <w:color w:val="auto"/>
          <w:highlight w:val="none"/>
        </w:rPr>
      </w:pPr>
      <w:r>
        <w:rPr>
          <w:rFonts w:hint="eastAsia"/>
          <w:color w:val="auto"/>
          <w:highlight w:val="none"/>
        </w:rPr>
        <w:t>本项目矿山开采后虽然对矿区地表造成一定的生态破坏，但矿山将对建设前后可能造成的生态破坏负责，加强生态保护、生态恢复治理等，确保矿山建设和开采前后矿区内生态环境不恶化或有所改善。本评价提出的生态恢复措施有助于对项目建设后造成的生态环境影响进行恢复。因此矿山建设符合区域生态环境功能区规划。</w:t>
      </w:r>
    </w:p>
    <w:p>
      <w:pPr>
        <w:ind w:firstLine="482"/>
        <w:rPr>
          <w:b/>
          <w:bCs/>
          <w:color w:val="auto"/>
          <w:kern w:val="0"/>
          <w:highlight w:val="none"/>
        </w:rPr>
      </w:pPr>
      <w:r>
        <w:rPr>
          <w:rFonts w:hint="eastAsia"/>
          <w:b/>
          <w:bCs/>
          <w:color w:val="auto"/>
          <w:kern w:val="0"/>
          <w:highlight w:val="none"/>
          <w:lang w:val="en-US" w:eastAsia="zh-CN"/>
        </w:rPr>
        <w:t>3、</w:t>
      </w:r>
      <w:r>
        <w:rPr>
          <w:b/>
          <w:bCs/>
          <w:color w:val="auto"/>
          <w:kern w:val="0"/>
          <w:highlight w:val="none"/>
        </w:rPr>
        <w:t>与《云南省矿产资源总体规划(2016-2020)》的符合性分析</w:t>
      </w:r>
    </w:p>
    <w:p>
      <w:pPr>
        <w:pStyle w:val="8"/>
        <w:snapToGrid w:val="0"/>
        <w:ind w:firstLine="0" w:firstLineChars="0"/>
        <w:jc w:val="center"/>
        <w:rPr>
          <w:b/>
          <w:color w:val="auto"/>
          <w:sz w:val="21"/>
          <w:szCs w:val="21"/>
          <w:highlight w:val="none"/>
        </w:rPr>
      </w:pPr>
      <w:r>
        <w:rPr>
          <w:b/>
          <w:color w:val="auto"/>
          <w:sz w:val="21"/>
          <w:szCs w:val="21"/>
          <w:highlight w:val="none"/>
        </w:rPr>
        <w:t>表</w:t>
      </w:r>
      <w:r>
        <w:rPr>
          <w:rFonts w:hint="eastAsia"/>
          <w:b/>
          <w:color w:val="auto"/>
          <w:sz w:val="21"/>
          <w:szCs w:val="21"/>
          <w:highlight w:val="none"/>
          <w:lang w:val="en-US" w:eastAsia="zh-CN"/>
        </w:rPr>
        <w:t>6.4-2</w:t>
      </w:r>
      <w:r>
        <w:rPr>
          <w:b/>
          <w:color w:val="auto"/>
          <w:sz w:val="21"/>
          <w:szCs w:val="21"/>
          <w:highlight w:val="none"/>
        </w:rPr>
        <w:t xml:space="preserve">  本矿山与《云南省矿产资源总体规划(2016-2020)》的符合性分析</w:t>
      </w:r>
    </w:p>
    <w:tbl>
      <w:tblPr>
        <w:tblStyle w:val="29"/>
        <w:tblW w:w="8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9"/>
        <w:gridCol w:w="4561"/>
        <w:gridCol w:w="1819"/>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90" w:type="dxa"/>
            <w:gridSpan w:val="2"/>
            <w:shd w:val="clear" w:color="auto" w:fill="auto"/>
            <w:vAlign w:val="center"/>
          </w:tcPr>
          <w:p>
            <w:pPr>
              <w:ind w:firstLine="0" w:firstLineChars="0"/>
              <w:jc w:val="center"/>
              <w:rPr>
                <w:b/>
                <w:color w:val="auto"/>
                <w:kern w:val="0"/>
                <w:sz w:val="21"/>
                <w:szCs w:val="21"/>
                <w:highlight w:val="none"/>
              </w:rPr>
            </w:pPr>
            <w:r>
              <w:rPr>
                <w:rFonts w:hint="eastAsia"/>
                <w:b/>
                <w:color w:val="auto"/>
                <w:kern w:val="0"/>
                <w:sz w:val="21"/>
                <w:szCs w:val="21"/>
                <w:highlight w:val="none"/>
              </w:rPr>
              <w:t>《云南省矿产资源总体规划(2016-2020)》</w:t>
            </w:r>
          </w:p>
        </w:tc>
        <w:tc>
          <w:tcPr>
            <w:tcW w:w="1819" w:type="dxa"/>
            <w:shd w:val="clear" w:color="auto" w:fill="auto"/>
            <w:vAlign w:val="center"/>
          </w:tcPr>
          <w:p>
            <w:pPr>
              <w:ind w:firstLine="0" w:firstLineChars="0"/>
              <w:jc w:val="center"/>
              <w:rPr>
                <w:b/>
                <w:color w:val="auto"/>
                <w:kern w:val="0"/>
                <w:sz w:val="21"/>
                <w:szCs w:val="21"/>
                <w:highlight w:val="none"/>
              </w:rPr>
            </w:pPr>
            <w:r>
              <w:rPr>
                <w:b/>
                <w:color w:val="auto"/>
                <w:kern w:val="0"/>
                <w:sz w:val="21"/>
                <w:szCs w:val="21"/>
                <w:highlight w:val="none"/>
              </w:rPr>
              <w:t>本矿山情况</w:t>
            </w:r>
          </w:p>
        </w:tc>
        <w:tc>
          <w:tcPr>
            <w:tcW w:w="691" w:type="dxa"/>
            <w:shd w:val="clear" w:color="auto" w:fill="auto"/>
            <w:vAlign w:val="center"/>
          </w:tcPr>
          <w:p>
            <w:pPr>
              <w:ind w:left="-120" w:leftChars="-50" w:right="-120" w:rightChars="-50" w:firstLine="0" w:firstLineChars="0"/>
              <w:jc w:val="center"/>
              <w:rPr>
                <w:b/>
                <w:color w:val="auto"/>
                <w:kern w:val="0"/>
                <w:sz w:val="21"/>
                <w:szCs w:val="21"/>
                <w:highlight w:val="none"/>
              </w:rPr>
            </w:pPr>
            <w:r>
              <w:rPr>
                <w:rFonts w:hint="eastAsia"/>
                <w:b/>
                <w:color w:val="auto"/>
                <w:kern w:val="0"/>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29" w:type="dxa"/>
            <w:vAlign w:val="center"/>
          </w:tcPr>
          <w:p>
            <w:pPr>
              <w:ind w:left="-72" w:leftChars="-30" w:right="-72" w:rightChars="-30" w:firstLine="0" w:firstLineChars="0"/>
              <w:jc w:val="center"/>
              <w:rPr>
                <w:color w:val="auto"/>
                <w:kern w:val="0"/>
                <w:sz w:val="21"/>
                <w:szCs w:val="21"/>
                <w:highlight w:val="none"/>
              </w:rPr>
            </w:pPr>
            <w:r>
              <w:rPr>
                <w:rFonts w:hint="eastAsia"/>
                <w:color w:val="auto"/>
                <w:kern w:val="0"/>
                <w:sz w:val="21"/>
                <w:szCs w:val="21"/>
                <w:highlight w:val="none"/>
              </w:rPr>
              <w:t>第五章第一节“勘查方向与规划分区”第一条</w:t>
            </w:r>
          </w:p>
        </w:tc>
        <w:tc>
          <w:tcPr>
            <w:tcW w:w="4561" w:type="dxa"/>
            <w:vAlign w:val="center"/>
          </w:tcPr>
          <w:p>
            <w:pPr>
              <w:ind w:left="-72" w:leftChars="-30" w:right="-72" w:rightChars="-30" w:firstLine="0" w:firstLineChars="0"/>
              <w:rPr>
                <w:color w:val="auto"/>
                <w:kern w:val="0"/>
                <w:sz w:val="21"/>
                <w:szCs w:val="21"/>
                <w:highlight w:val="none"/>
              </w:rPr>
            </w:pPr>
            <w:r>
              <w:rPr>
                <w:rFonts w:hint="eastAsia"/>
                <w:color w:val="auto"/>
                <w:kern w:val="0"/>
                <w:sz w:val="21"/>
                <w:szCs w:val="21"/>
                <w:highlight w:val="none"/>
              </w:rPr>
              <w:t>重点勘查的矿种是铜、锡、钨、金、银、磷、铁、锗、稀土、煤层气、页岩气、石棉石材，兼顾煤、钼、锰、镍、铝、锑、稀有金属、稀散金属、晶质石墨、宝玉石等矿产勘查。限制勘查蓝石棉、可耕地砖瓦用黏土等矿产。</w:t>
            </w:r>
          </w:p>
        </w:tc>
        <w:tc>
          <w:tcPr>
            <w:tcW w:w="1819" w:type="dxa"/>
            <w:vAlign w:val="center"/>
          </w:tcPr>
          <w:p>
            <w:pPr>
              <w:ind w:left="-72" w:leftChars="-30" w:right="-72" w:rightChars="-30" w:firstLine="0" w:firstLineChars="0"/>
              <w:rPr>
                <w:color w:val="auto"/>
                <w:kern w:val="0"/>
                <w:sz w:val="21"/>
                <w:szCs w:val="21"/>
                <w:highlight w:val="none"/>
              </w:rPr>
            </w:pPr>
            <w:r>
              <w:rPr>
                <w:rFonts w:hint="eastAsia"/>
                <w:color w:val="auto"/>
                <w:kern w:val="0"/>
                <w:sz w:val="21"/>
                <w:szCs w:val="21"/>
                <w:highlight w:val="none"/>
              </w:rPr>
              <w:t>本项目为石灰岩矿开采，</w:t>
            </w:r>
            <w:r>
              <w:rPr>
                <w:color w:val="auto"/>
                <w:kern w:val="0"/>
                <w:sz w:val="21"/>
                <w:szCs w:val="21"/>
                <w:highlight w:val="none"/>
              </w:rPr>
              <w:t>不属于</w:t>
            </w:r>
            <w:r>
              <w:rPr>
                <w:rFonts w:hint="eastAsia"/>
                <w:color w:val="auto"/>
                <w:kern w:val="0"/>
                <w:sz w:val="21"/>
                <w:szCs w:val="21"/>
                <w:highlight w:val="none"/>
              </w:rPr>
              <w:t>限制探矿</w:t>
            </w:r>
            <w:r>
              <w:rPr>
                <w:color w:val="auto"/>
                <w:kern w:val="0"/>
                <w:sz w:val="21"/>
                <w:szCs w:val="21"/>
                <w:highlight w:val="none"/>
              </w:rPr>
              <w:t>类矿种</w:t>
            </w:r>
            <w:r>
              <w:rPr>
                <w:rFonts w:hint="eastAsia"/>
                <w:color w:val="auto"/>
                <w:kern w:val="0"/>
                <w:sz w:val="21"/>
                <w:szCs w:val="21"/>
                <w:highlight w:val="none"/>
              </w:rPr>
              <w:t>。</w:t>
            </w:r>
          </w:p>
        </w:tc>
        <w:tc>
          <w:tcPr>
            <w:tcW w:w="691" w:type="dxa"/>
            <w:vAlign w:val="center"/>
          </w:tcPr>
          <w:p>
            <w:pPr>
              <w:ind w:left="-72" w:leftChars="-30" w:right="-72" w:rightChars="-30" w:firstLine="0" w:firstLineChars="0"/>
              <w:jc w:val="center"/>
              <w:rPr>
                <w:color w:val="auto"/>
                <w:kern w:val="0"/>
                <w:sz w:val="21"/>
                <w:szCs w:val="21"/>
                <w:highlight w:val="none"/>
              </w:rPr>
            </w:pPr>
            <w:r>
              <w:rPr>
                <w:rFonts w:hint="eastAsia"/>
                <w:color w:val="auto"/>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29" w:type="dxa"/>
            <w:vAlign w:val="center"/>
          </w:tcPr>
          <w:p>
            <w:pPr>
              <w:ind w:left="-72" w:leftChars="-30" w:right="-72" w:rightChars="-30" w:firstLine="0" w:firstLineChars="0"/>
              <w:jc w:val="center"/>
              <w:rPr>
                <w:color w:val="auto"/>
                <w:kern w:val="0"/>
                <w:sz w:val="21"/>
                <w:szCs w:val="21"/>
                <w:highlight w:val="none"/>
              </w:rPr>
            </w:pPr>
            <w:r>
              <w:rPr>
                <w:rFonts w:hint="eastAsia"/>
                <w:color w:val="auto"/>
                <w:kern w:val="0"/>
                <w:sz w:val="21"/>
                <w:szCs w:val="21"/>
                <w:highlight w:val="none"/>
              </w:rPr>
              <w:t>第五章第一节“勘查方向与规划分区”第二条</w:t>
            </w:r>
          </w:p>
        </w:tc>
        <w:tc>
          <w:tcPr>
            <w:tcW w:w="4561" w:type="dxa"/>
            <w:vAlign w:val="center"/>
          </w:tcPr>
          <w:p>
            <w:pPr>
              <w:ind w:left="-72" w:leftChars="-30" w:right="-72" w:rightChars="-30" w:firstLine="0" w:firstLineChars="0"/>
              <w:rPr>
                <w:color w:val="auto"/>
                <w:kern w:val="0"/>
                <w:sz w:val="21"/>
                <w:szCs w:val="21"/>
                <w:highlight w:val="none"/>
              </w:rPr>
            </w:pPr>
            <w:r>
              <w:rPr>
                <w:rFonts w:hint="eastAsia"/>
                <w:color w:val="auto"/>
                <w:kern w:val="0"/>
                <w:sz w:val="21"/>
                <w:szCs w:val="21"/>
                <w:highlight w:val="none"/>
              </w:rPr>
              <w:t>全省规划重点勘查区65个。将世界自然遗产地、自然保护区、重要风景名胜区，国家重点保护的不能移动的历史文物和名胜古迹所在地以及国家和地方规定的其他限制勘查矿产资源的区域划定为限制勘查区。</w:t>
            </w:r>
          </w:p>
        </w:tc>
        <w:tc>
          <w:tcPr>
            <w:tcW w:w="1819" w:type="dxa"/>
            <w:vAlign w:val="center"/>
          </w:tcPr>
          <w:p>
            <w:pPr>
              <w:ind w:left="-72" w:leftChars="-30" w:right="-72" w:rightChars="-30" w:firstLine="0" w:firstLineChars="0"/>
              <w:rPr>
                <w:color w:val="auto"/>
                <w:kern w:val="0"/>
                <w:sz w:val="21"/>
                <w:szCs w:val="21"/>
                <w:highlight w:val="none"/>
              </w:rPr>
            </w:pPr>
            <w:r>
              <w:rPr>
                <w:rFonts w:hint="eastAsia"/>
                <w:color w:val="auto"/>
                <w:kern w:val="0"/>
                <w:sz w:val="21"/>
                <w:szCs w:val="21"/>
                <w:highlight w:val="none"/>
              </w:rPr>
              <w:t>本项目</w:t>
            </w:r>
            <w:r>
              <w:rPr>
                <w:color w:val="auto"/>
                <w:kern w:val="0"/>
                <w:sz w:val="21"/>
                <w:szCs w:val="21"/>
                <w:highlight w:val="none"/>
              </w:rPr>
              <w:t>不属于</w:t>
            </w:r>
            <w:r>
              <w:rPr>
                <w:rFonts w:hint="eastAsia"/>
                <w:color w:val="auto"/>
                <w:kern w:val="0"/>
                <w:sz w:val="21"/>
                <w:szCs w:val="21"/>
                <w:highlight w:val="none"/>
              </w:rPr>
              <w:t>限值</w:t>
            </w:r>
            <w:r>
              <w:rPr>
                <w:color w:val="auto"/>
                <w:kern w:val="0"/>
                <w:sz w:val="21"/>
                <w:szCs w:val="21"/>
                <w:highlight w:val="none"/>
              </w:rPr>
              <w:t>勘查区</w:t>
            </w:r>
            <w:r>
              <w:rPr>
                <w:rFonts w:hint="eastAsia"/>
                <w:color w:val="auto"/>
                <w:kern w:val="0"/>
                <w:sz w:val="21"/>
                <w:szCs w:val="21"/>
                <w:highlight w:val="none"/>
              </w:rPr>
              <w:t>。</w:t>
            </w:r>
          </w:p>
        </w:tc>
        <w:tc>
          <w:tcPr>
            <w:tcW w:w="691" w:type="dxa"/>
            <w:vAlign w:val="center"/>
          </w:tcPr>
          <w:p>
            <w:pPr>
              <w:ind w:left="-72" w:leftChars="-30" w:right="-72" w:rightChars="-30" w:firstLine="0" w:firstLineChars="0"/>
              <w:jc w:val="center"/>
              <w:rPr>
                <w:color w:val="auto"/>
                <w:kern w:val="0"/>
                <w:sz w:val="21"/>
                <w:szCs w:val="21"/>
                <w:highlight w:val="none"/>
              </w:rPr>
            </w:pPr>
            <w:r>
              <w:rPr>
                <w:rFonts w:hint="eastAsia"/>
                <w:color w:val="auto"/>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29" w:type="dxa"/>
            <w:vAlign w:val="center"/>
          </w:tcPr>
          <w:p>
            <w:pPr>
              <w:ind w:left="-72" w:leftChars="-30" w:right="-72" w:rightChars="-30" w:firstLine="0" w:firstLineChars="0"/>
              <w:jc w:val="center"/>
              <w:rPr>
                <w:color w:val="auto"/>
                <w:kern w:val="0"/>
                <w:sz w:val="21"/>
                <w:szCs w:val="21"/>
                <w:highlight w:val="none"/>
              </w:rPr>
            </w:pPr>
            <w:r>
              <w:rPr>
                <w:rFonts w:hint="eastAsia"/>
                <w:color w:val="auto"/>
                <w:kern w:val="0"/>
                <w:sz w:val="21"/>
                <w:szCs w:val="21"/>
                <w:highlight w:val="none"/>
              </w:rPr>
              <w:t>第六章第一节“开发利用总量调控”第二条</w:t>
            </w:r>
          </w:p>
        </w:tc>
        <w:tc>
          <w:tcPr>
            <w:tcW w:w="4561" w:type="dxa"/>
            <w:vAlign w:val="center"/>
          </w:tcPr>
          <w:p>
            <w:pPr>
              <w:ind w:left="-72" w:leftChars="-30" w:right="-72" w:rightChars="-30" w:firstLine="0" w:firstLineChars="0"/>
              <w:rPr>
                <w:color w:val="auto"/>
                <w:kern w:val="0"/>
                <w:sz w:val="21"/>
                <w:szCs w:val="21"/>
                <w:highlight w:val="none"/>
              </w:rPr>
            </w:pPr>
            <w:r>
              <w:rPr>
                <w:rFonts w:hint="eastAsia"/>
                <w:color w:val="auto"/>
                <w:kern w:val="0"/>
                <w:sz w:val="21"/>
                <w:szCs w:val="21"/>
                <w:highlight w:val="none"/>
              </w:rPr>
              <w:t>继续实施钨矿、稀土矿开采总量控制。鼓励伴生钨矿综合利用。限制钼矿等产能过剩矿产开发。</w:t>
            </w:r>
          </w:p>
        </w:tc>
        <w:tc>
          <w:tcPr>
            <w:tcW w:w="1819" w:type="dxa"/>
            <w:vAlign w:val="center"/>
          </w:tcPr>
          <w:p>
            <w:pPr>
              <w:ind w:left="-72" w:leftChars="-30" w:right="-72" w:rightChars="-30" w:firstLine="0" w:firstLineChars="0"/>
              <w:rPr>
                <w:color w:val="auto"/>
                <w:kern w:val="0"/>
                <w:sz w:val="21"/>
                <w:szCs w:val="21"/>
                <w:highlight w:val="none"/>
              </w:rPr>
            </w:pPr>
            <w:r>
              <w:rPr>
                <w:rFonts w:hint="eastAsia"/>
                <w:color w:val="auto"/>
                <w:kern w:val="0"/>
                <w:sz w:val="21"/>
                <w:szCs w:val="21"/>
                <w:highlight w:val="none"/>
              </w:rPr>
              <w:t>本项目为石灰岩矿开采，</w:t>
            </w:r>
            <w:r>
              <w:rPr>
                <w:color w:val="auto"/>
                <w:kern w:val="0"/>
                <w:sz w:val="21"/>
                <w:szCs w:val="21"/>
                <w:highlight w:val="none"/>
              </w:rPr>
              <w:t>不属于</w:t>
            </w:r>
            <w:r>
              <w:rPr>
                <w:rFonts w:hint="eastAsia"/>
                <w:color w:val="auto"/>
                <w:kern w:val="0"/>
                <w:sz w:val="21"/>
                <w:szCs w:val="21"/>
                <w:highlight w:val="none"/>
              </w:rPr>
              <w:t>限制</w:t>
            </w:r>
            <w:r>
              <w:rPr>
                <w:color w:val="auto"/>
                <w:kern w:val="0"/>
                <w:sz w:val="21"/>
                <w:szCs w:val="21"/>
                <w:highlight w:val="none"/>
              </w:rPr>
              <w:t>开发利用总量调控类矿种</w:t>
            </w:r>
            <w:r>
              <w:rPr>
                <w:rFonts w:hint="eastAsia"/>
                <w:color w:val="auto"/>
                <w:kern w:val="0"/>
                <w:sz w:val="21"/>
                <w:szCs w:val="21"/>
                <w:highlight w:val="none"/>
              </w:rPr>
              <w:t>。</w:t>
            </w:r>
          </w:p>
        </w:tc>
        <w:tc>
          <w:tcPr>
            <w:tcW w:w="691" w:type="dxa"/>
            <w:vAlign w:val="center"/>
          </w:tcPr>
          <w:p>
            <w:pPr>
              <w:ind w:left="-72" w:leftChars="-30" w:right="-72" w:rightChars="-30" w:firstLine="0" w:firstLineChars="0"/>
              <w:jc w:val="center"/>
              <w:rPr>
                <w:color w:val="auto"/>
                <w:kern w:val="0"/>
                <w:sz w:val="21"/>
                <w:szCs w:val="21"/>
                <w:highlight w:val="none"/>
              </w:rPr>
            </w:pPr>
            <w:r>
              <w:rPr>
                <w:rFonts w:hint="eastAsia"/>
                <w:color w:val="auto"/>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29" w:type="dxa"/>
            <w:vAlign w:val="center"/>
          </w:tcPr>
          <w:p>
            <w:pPr>
              <w:ind w:left="-72" w:leftChars="-30" w:right="-72" w:rightChars="-30" w:firstLine="0" w:firstLineChars="0"/>
              <w:jc w:val="center"/>
              <w:rPr>
                <w:color w:val="auto"/>
                <w:kern w:val="0"/>
                <w:sz w:val="21"/>
                <w:szCs w:val="21"/>
                <w:highlight w:val="none"/>
              </w:rPr>
            </w:pPr>
            <w:r>
              <w:rPr>
                <w:rFonts w:hint="eastAsia"/>
                <w:color w:val="auto"/>
                <w:kern w:val="0"/>
                <w:sz w:val="21"/>
                <w:szCs w:val="21"/>
                <w:highlight w:val="none"/>
              </w:rPr>
              <w:t>第六章第一节“开采规划分区”第二、三条</w:t>
            </w:r>
          </w:p>
        </w:tc>
        <w:tc>
          <w:tcPr>
            <w:tcW w:w="4561" w:type="dxa"/>
            <w:vAlign w:val="center"/>
          </w:tcPr>
          <w:p>
            <w:pPr>
              <w:ind w:left="-72" w:leftChars="-30" w:right="-72" w:rightChars="-30" w:firstLine="0" w:firstLineChars="0"/>
              <w:rPr>
                <w:color w:val="auto"/>
                <w:kern w:val="0"/>
                <w:sz w:val="21"/>
                <w:szCs w:val="21"/>
                <w:highlight w:val="none"/>
              </w:rPr>
            </w:pPr>
            <w:r>
              <w:rPr>
                <w:rFonts w:hint="eastAsia"/>
                <w:color w:val="auto"/>
                <w:kern w:val="0"/>
                <w:sz w:val="21"/>
                <w:szCs w:val="21"/>
                <w:highlight w:val="none"/>
              </w:rPr>
              <w:t>限制开采区内钨矿、稀土矿采矿权必须符合限制开采区的准入条件，达到绿色矿山建设要求，实行按国家下达计划开采，控制开采总量。允许设置其他矿种采矿权。禁止开采区包括世界自然遗产地、国家级和省级自然保护区、世界级和国家级（含地质公园）、重要饮用水水源保护区、国家公园，国家级和省级风景名胜区、国家级和省级森林公园、重要湿地，国家级和省级重点保护的不能移动的历史文物和名胜古迹所在地等，矿产资源开发对生态环境具有不可恢复的影响的区域，国家和地方法律法规规定的其他不得开采矿产资源的区域；禁止开采区内不再新设采矿权，对各类保护区内已设置的商业探矿权和采矿权依法退出，对各类保护区设立之前已存在的合法探矿权和采矿权，以及各类保护区设立之后各项手续完备且已征得保护区主管部门同意设立的探矿权和采矿权，要分类提出差别化的补偿和退出方案，在保障探矿权和采矿权合法权益的前提下依法有序退出。</w:t>
            </w:r>
          </w:p>
        </w:tc>
        <w:tc>
          <w:tcPr>
            <w:tcW w:w="1819" w:type="dxa"/>
            <w:vAlign w:val="center"/>
          </w:tcPr>
          <w:p>
            <w:pPr>
              <w:ind w:left="-72" w:leftChars="-30" w:right="-72" w:rightChars="-30" w:firstLine="0" w:firstLineChars="0"/>
              <w:rPr>
                <w:color w:val="auto"/>
                <w:kern w:val="0"/>
                <w:sz w:val="21"/>
                <w:szCs w:val="21"/>
                <w:highlight w:val="none"/>
              </w:rPr>
            </w:pPr>
            <w:r>
              <w:rPr>
                <w:rFonts w:hint="eastAsia"/>
                <w:color w:val="auto"/>
                <w:kern w:val="0"/>
                <w:sz w:val="21"/>
                <w:szCs w:val="21"/>
                <w:highlight w:val="none"/>
              </w:rPr>
              <w:t>本项目开采区</w:t>
            </w:r>
            <w:r>
              <w:rPr>
                <w:color w:val="auto"/>
                <w:kern w:val="0"/>
                <w:sz w:val="21"/>
                <w:szCs w:val="21"/>
                <w:highlight w:val="none"/>
              </w:rPr>
              <w:t>不属于</w:t>
            </w:r>
            <w:r>
              <w:rPr>
                <w:rFonts w:hint="eastAsia"/>
                <w:color w:val="auto"/>
                <w:kern w:val="0"/>
                <w:sz w:val="21"/>
                <w:szCs w:val="21"/>
                <w:highlight w:val="none"/>
              </w:rPr>
              <w:t>限制开采区</w:t>
            </w:r>
            <w:r>
              <w:rPr>
                <w:color w:val="auto"/>
                <w:kern w:val="0"/>
                <w:sz w:val="21"/>
                <w:szCs w:val="21"/>
                <w:highlight w:val="none"/>
              </w:rPr>
              <w:t>及禁止开采区</w:t>
            </w:r>
            <w:r>
              <w:rPr>
                <w:rFonts w:hint="eastAsia"/>
                <w:color w:val="auto"/>
                <w:kern w:val="0"/>
                <w:sz w:val="21"/>
                <w:szCs w:val="21"/>
                <w:highlight w:val="none"/>
              </w:rPr>
              <w:t>。</w:t>
            </w:r>
          </w:p>
        </w:tc>
        <w:tc>
          <w:tcPr>
            <w:tcW w:w="691" w:type="dxa"/>
            <w:vAlign w:val="center"/>
          </w:tcPr>
          <w:p>
            <w:pPr>
              <w:ind w:left="-72" w:leftChars="-30" w:right="-72" w:rightChars="-30" w:firstLine="0" w:firstLineChars="0"/>
              <w:jc w:val="center"/>
              <w:rPr>
                <w:color w:val="auto"/>
                <w:kern w:val="0"/>
                <w:sz w:val="21"/>
                <w:szCs w:val="21"/>
                <w:highlight w:val="none"/>
              </w:rPr>
            </w:pPr>
            <w:r>
              <w:rPr>
                <w:rFonts w:hint="eastAsia"/>
                <w:color w:val="auto"/>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29" w:type="dxa"/>
            <w:vAlign w:val="center"/>
          </w:tcPr>
          <w:p>
            <w:pPr>
              <w:ind w:left="-72" w:leftChars="-30" w:right="-72" w:rightChars="-30" w:firstLine="0" w:firstLineChars="0"/>
              <w:jc w:val="center"/>
              <w:rPr>
                <w:color w:val="auto"/>
                <w:kern w:val="0"/>
                <w:sz w:val="21"/>
                <w:szCs w:val="21"/>
                <w:highlight w:val="none"/>
              </w:rPr>
            </w:pPr>
            <w:r>
              <w:rPr>
                <w:rFonts w:hint="eastAsia"/>
                <w:color w:val="auto"/>
                <w:kern w:val="0"/>
                <w:sz w:val="21"/>
                <w:szCs w:val="21"/>
                <w:highlight w:val="none"/>
              </w:rPr>
              <w:t>第七章第一节“严格矿产开发准入条件”第一条</w:t>
            </w:r>
          </w:p>
        </w:tc>
        <w:tc>
          <w:tcPr>
            <w:tcW w:w="4561" w:type="dxa"/>
            <w:vAlign w:val="center"/>
          </w:tcPr>
          <w:p>
            <w:pPr>
              <w:ind w:left="-72" w:leftChars="-30" w:right="-72" w:rightChars="-30" w:firstLine="0" w:firstLineChars="0"/>
              <w:rPr>
                <w:color w:val="auto"/>
                <w:kern w:val="0"/>
                <w:sz w:val="21"/>
                <w:szCs w:val="21"/>
                <w:highlight w:val="none"/>
              </w:rPr>
            </w:pPr>
            <w:r>
              <w:rPr>
                <w:rFonts w:hint="eastAsia"/>
                <w:color w:val="auto"/>
                <w:kern w:val="0"/>
                <w:sz w:val="21"/>
                <w:szCs w:val="21"/>
                <w:highlight w:val="none"/>
              </w:rPr>
              <w:t>限制开采高硫、高灰、高氟煤炭和湿地泥炭，以及砂金、砂铁等重砂矿物。禁止开采蓝石棉、可耕地砖瓦用黏土等矿产。不再新建汞矿山，逐步停止汞矿开采。严格砂石黏土矿开采布局管控，避免滥采滥挖破坏环境。严格控制河砂（砾）开采、合理确定开采范围，开采时段和开采量。</w:t>
            </w:r>
          </w:p>
        </w:tc>
        <w:tc>
          <w:tcPr>
            <w:tcW w:w="1819" w:type="dxa"/>
            <w:vAlign w:val="center"/>
          </w:tcPr>
          <w:p>
            <w:pPr>
              <w:ind w:left="-72" w:leftChars="-30" w:right="-72" w:rightChars="-30" w:firstLine="0" w:firstLineChars="0"/>
              <w:rPr>
                <w:color w:val="auto"/>
                <w:kern w:val="0"/>
                <w:sz w:val="21"/>
                <w:szCs w:val="21"/>
                <w:highlight w:val="none"/>
              </w:rPr>
            </w:pPr>
            <w:r>
              <w:rPr>
                <w:rFonts w:hint="eastAsia"/>
                <w:color w:val="auto"/>
                <w:kern w:val="0"/>
                <w:sz w:val="21"/>
                <w:szCs w:val="21"/>
                <w:highlight w:val="none"/>
              </w:rPr>
              <w:t>本项目为石灰岩矿开采，</w:t>
            </w:r>
            <w:r>
              <w:rPr>
                <w:color w:val="auto"/>
                <w:kern w:val="0"/>
                <w:sz w:val="21"/>
                <w:szCs w:val="21"/>
                <w:highlight w:val="none"/>
              </w:rPr>
              <w:t>不属于</w:t>
            </w:r>
            <w:r>
              <w:rPr>
                <w:rFonts w:hint="eastAsia"/>
                <w:color w:val="auto"/>
                <w:kern w:val="0"/>
                <w:sz w:val="21"/>
                <w:szCs w:val="21"/>
                <w:highlight w:val="none"/>
              </w:rPr>
              <w:t>限制类</w:t>
            </w:r>
            <w:r>
              <w:rPr>
                <w:color w:val="auto"/>
                <w:kern w:val="0"/>
                <w:sz w:val="21"/>
                <w:szCs w:val="21"/>
                <w:highlight w:val="none"/>
              </w:rPr>
              <w:t>和禁止类</w:t>
            </w:r>
            <w:r>
              <w:rPr>
                <w:rFonts w:hint="eastAsia"/>
                <w:color w:val="auto"/>
                <w:kern w:val="0"/>
                <w:sz w:val="21"/>
                <w:szCs w:val="21"/>
                <w:highlight w:val="none"/>
              </w:rPr>
              <w:t>采矿</w:t>
            </w:r>
            <w:r>
              <w:rPr>
                <w:color w:val="auto"/>
                <w:kern w:val="0"/>
                <w:sz w:val="21"/>
                <w:szCs w:val="21"/>
                <w:highlight w:val="none"/>
              </w:rPr>
              <w:t>矿种</w:t>
            </w:r>
            <w:r>
              <w:rPr>
                <w:rFonts w:hint="eastAsia"/>
                <w:color w:val="auto"/>
                <w:kern w:val="0"/>
                <w:sz w:val="21"/>
                <w:szCs w:val="21"/>
                <w:highlight w:val="none"/>
              </w:rPr>
              <w:t>。</w:t>
            </w:r>
          </w:p>
        </w:tc>
        <w:tc>
          <w:tcPr>
            <w:tcW w:w="691" w:type="dxa"/>
            <w:vAlign w:val="center"/>
          </w:tcPr>
          <w:p>
            <w:pPr>
              <w:ind w:left="-72" w:leftChars="-30" w:right="-72" w:rightChars="-30" w:firstLine="0" w:firstLineChars="0"/>
              <w:jc w:val="center"/>
              <w:rPr>
                <w:color w:val="auto"/>
                <w:kern w:val="0"/>
                <w:sz w:val="21"/>
                <w:szCs w:val="21"/>
                <w:highlight w:val="none"/>
              </w:rPr>
            </w:pPr>
            <w:r>
              <w:rPr>
                <w:rFonts w:hint="eastAsia"/>
                <w:color w:val="auto"/>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29" w:type="dxa"/>
            <w:vAlign w:val="center"/>
          </w:tcPr>
          <w:p>
            <w:pPr>
              <w:ind w:left="-72" w:leftChars="-30" w:right="-72" w:rightChars="-30" w:firstLine="0" w:firstLineChars="0"/>
              <w:jc w:val="center"/>
              <w:rPr>
                <w:color w:val="auto"/>
                <w:kern w:val="0"/>
                <w:sz w:val="21"/>
                <w:szCs w:val="21"/>
                <w:highlight w:val="none"/>
              </w:rPr>
            </w:pPr>
            <w:r>
              <w:rPr>
                <w:rFonts w:hint="eastAsia"/>
                <w:color w:val="auto"/>
                <w:kern w:val="0"/>
                <w:sz w:val="21"/>
                <w:szCs w:val="21"/>
                <w:highlight w:val="none"/>
              </w:rPr>
              <w:t>第七章第二节“矿产资源节约与综合利用”第三条</w:t>
            </w:r>
          </w:p>
        </w:tc>
        <w:tc>
          <w:tcPr>
            <w:tcW w:w="4561" w:type="dxa"/>
            <w:vAlign w:val="center"/>
          </w:tcPr>
          <w:p>
            <w:pPr>
              <w:ind w:left="-72" w:leftChars="-30" w:right="-72" w:rightChars="-30" w:firstLine="0" w:firstLineChars="0"/>
              <w:rPr>
                <w:color w:val="auto"/>
                <w:kern w:val="0"/>
                <w:sz w:val="21"/>
                <w:szCs w:val="21"/>
                <w:highlight w:val="none"/>
              </w:rPr>
            </w:pPr>
            <w:r>
              <w:rPr>
                <w:rFonts w:hint="eastAsia"/>
                <w:color w:val="auto"/>
                <w:kern w:val="0"/>
                <w:sz w:val="21"/>
                <w:szCs w:val="21"/>
                <w:highlight w:val="none"/>
              </w:rPr>
              <w:t>严格执行矿产资源节约与综合利用鼓励、限制、淘汰技术目录，新建或改</w:t>
            </w:r>
            <w:r>
              <w:rPr>
                <w:rFonts w:hint="eastAsia"/>
                <w:color w:val="auto"/>
                <w:kern w:val="0"/>
                <w:sz w:val="21"/>
                <w:szCs w:val="21"/>
                <w:highlight w:val="none"/>
                <w:lang w:eastAsia="zh-CN"/>
              </w:rPr>
              <w:t>新建</w:t>
            </w:r>
            <w:r>
              <w:rPr>
                <w:rFonts w:hint="eastAsia"/>
                <w:color w:val="auto"/>
                <w:kern w:val="0"/>
                <w:sz w:val="21"/>
                <w:szCs w:val="21"/>
                <w:highlight w:val="none"/>
              </w:rPr>
              <w:t>矿山不得采用国家限制和淘汰的采选技术、工艺和设备。</w:t>
            </w:r>
          </w:p>
        </w:tc>
        <w:tc>
          <w:tcPr>
            <w:tcW w:w="1819" w:type="dxa"/>
            <w:vAlign w:val="center"/>
          </w:tcPr>
          <w:p>
            <w:pPr>
              <w:ind w:left="-72" w:leftChars="-30" w:right="-72" w:rightChars="-30" w:firstLine="0" w:firstLineChars="0"/>
              <w:rPr>
                <w:color w:val="auto"/>
                <w:kern w:val="0"/>
                <w:sz w:val="21"/>
                <w:szCs w:val="21"/>
                <w:highlight w:val="none"/>
              </w:rPr>
            </w:pPr>
            <w:r>
              <w:rPr>
                <w:rFonts w:hint="eastAsia"/>
                <w:color w:val="auto"/>
                <w:kern w:val="0"/>
                <w:sz w:val="21"/>
                <w:szCs w:val="21"/>
                <w:highlight w:val="none"/>
              </w:rPr>
              <w:t>本项目</w:t>
            </w:r>
            <w:r>
              <w:rPr>
                <w:color w:val="auto"/>
                <w:kern w:val="0"/>
                <w:sz w:val="21"/>
                <w:szCs w:val="21"/>
                <w:highlight w:val="none"/>
              </w:rPr>
              <w:t>为</w:t>
            </w:r>
            <w:r>
              <w:rPr>
                <w:rFonts w:hint="eastAsia"/>
                <w:color w:val="auto"/>
                <w:kern w:val="0"/>
                <w:sz w:val="21"/>
                <w:szCs w:val="21"/>
                <w:highlight w:val="none"/>
                <w:lang w:eastAsia="zh-CN"/>
              </w:rPr>
              <w:t>新建</w:t>
            </w:r>
            <w:r>
              <w:rPr>
                <w:color w:val="auto"/>
                <w:kern w:val="0"/>
                <w:sz w:val="21"/>
                <w:szCs w:val="21"/>
                <w:highlight w:val="none"/>
              </w:rPr>
              <w:t>项目，</w:t>
            </w:r>
            <w:r>
              <w:rPr>
                <w:rFonts w:hint="eastAsia"/>
                <w:color w:val="auto"/>
                <w:kern w:val="0"/>
                <w:sz w:val="21"/>
                <w:szCs w:val="21"/>
                <w:highlight w:val="none"/>
              </w:rPr>
              <w:t>开采方式</w:t>
            </w:r>
            <w:r>
              <w:rPr>
                <w:color w:val="auto"/>
                <w:kern w:val="0"/>
                <w:sz w:val="21"/>
                <w:szCs w:val="21"/>
                <w:highlight w:val="none"/>
              </w:rPr>
              <w:t>为露天开采</w:t>
            </w:r>
            <w:r>
              <w:rPr>
                <w:rFonts w:hint="eastAsia"/>
                <w:color w:val="auto"/>
                <w:kern w:val="0"/>
                <w:sz w:val="21"/>
                <w:szCs w:val="21"/>
                <w:highlight w:val="none"/>
                <w:lang w:eastAsia="zh-CN"/>
              </w:rPr>
              <w:t>（从上往下分台阶（层）水平开采）</w:t>
            </w:r>
            <w:r>
              <w:rPr>
                <w:rFonts w:hint="eastAsia"/>
                <w:color w:val="auto"/>
                <w:kern w:val="0"/>
                <w:sz w:val="21"/>
                <w:szCs w:val="21"/>
                <w:highlight w:val="none"/>
              </w:rPr>
              <w:t>工艺和设备不属于</w:t>
            </w:r>
            <w:r>
              <w:rPr>
                <w:color w:val="auto"/>
                <w:kern w:val="0"/>
                <w:sz w:val="21"/>
                <w:szCs w:val="21"/>
                <w:highlight w:val="none"/>
              </w:rPr>
              <w:t>限制类和淘汰类</w:t>
            </w:r>
            <w:r>
              <w:rPr>
                <w:rFonts w:hint="eastAsia"/>
                <w:color w:val="auto"/>
                <w:kern w:val="0"/>
                <w:sz w:val="21"/>
                <w:szCs w:val="21"/>
                <w:highlight w:val="none"/>
              </w:rPr>
              <w:t>。</w:t>
            </w:r>
          </w:p>
        </w:tc>
        <w:tc>
          <w:tcPr>
            <w:tcW w:w="691" w:type="dxa"/>
            <w:vAlign w:val="center"/>
          </w:tcPr>
          <w:p>
            <w:pPr>
              <w:ind w:left="-72" w:leftChars="-30" w:right="-72" w:rightChars="-30" w:firstLine="0" w:firstLineChars="0"/>
              <w:jc w:val="center"/>
              <w:rPr>
                <w:color w:val="auto"/>
                <w:kern w:val="0"/>
                <w:sz w:val="21"/>
                <w:szCs w:val="21"/>
                <w:highlight w:val="none"/>
              </w:rPr>
            </w:pPr>
            <w:r>
              <w:rPr>
                <w:rFonts w:hint="eastAsia"/>
                <w:color w:val="auto"/>
                <w:kern w:val="0"/>
                <w:sz w:val="21"/>
                <w:szCs w:val="21"/>
                <w:highlight w:val="none"/>
              </w:rPr>
              <w:t>符合</w:t>
            </w:r>
          </w:p>
        </w:tc>
      </w:tr>
    </w:tbl>
    <w:p>
      <w:pPr>
        <w:ind w:firstLine="480"/>
        <w:rPr>
          <w:b/>
          <w:bCs/>
          <w:color w:val="auto"/>
          <w:kern w:val="0"/>
          <w:highlight w:val="none"/>
        </w:rPr>
      </w:pPr>
      <w:r>
        <w:rPr>
          <w:rFonts w:hint="eastAsia"/>
          <w:color w:val="auto"/>
          <w:highlight w:val="none"/>
        </w:rPr>
        <w:t>综上</w:t>
      </w:r>
      <w:r>
        <w:rPr>
          <w:color w:val="auto"/>
          <w:highlight w:val="none"/>
        </w:rPr>
        <w:t>，</w:t>
      </w:r>
      <w:r>
        <w:rPr>
          <w:rFonts w:hint="eastAsia"/>
          <w:color w:val="auto"/>
          <w:highlight w:val="none"/>
        </w:rPr>
        <w:t>项目</w:t>
      </w:r>
      <w:r>
        <w:rPr>
          <w:color w:val="auto"/>
          <w:highlight w:val="none"/>
        </w:rPr>
        <w:t>建设符合《云南省矿产资源总体规划(2016-2020)》相关要求。</w:t>
      </w:r>
    </w:p>
    <w:p>
      <w:pPr>
        <w:ind w:firstLine="482"/>
        <w:rPr>
          <w:b/>
          <w:bCs/>
          <w:color w:val="auto"/>
          <w:kern w:val="0"/>
          <w:highlight w:val="none"/>
        </w:rPr>
      </w:pPr>
      <w:r>
        <w:rPr>
          <w:rFonts w:hint="eastAsia"/>
          <w:b/>
          <w:bCs/>
          <w:color w:val="auto"/>
          <w:kern w:val="0"/>
          <w:highlight w:val="none"/>
          <w:lang w:val="en-US" w:eastAsia="zh-CN"/>
        </w:rPr>
        <w:t>4、</w:t>
      </w:r>
      <w:r>
        <w:rPr>
          <w:b/>
          <w:bCs/>
          <w:color w:val="auto"/>
          <w:kern w:val="0"/>
          <w:highlight w:val="none"/>
        </w:rPr>
        <w:t>与《云南省人民政府关于促进非煤矿山转型升级的实施意见（云政发〔2015〕38号）》的符合性分析</w:t>
      </w:r>
    </w:p>
    <w:p>
      <w:pPr>
        <w:ind w:firstLine="0" w:firstLineChars="0"/>
        <w:jc w:val="center"/>
        <w:rPr>
          <w:b/>
          <w:color w:val="auto"/>
          <w:sz w:val="21"/>
          <w:szCs w:val="21"/>
          <w:highlight w:val="none"/>
        </w:rPr>
      </w:pPr>
      <w:r>
        <w:rPr>
          <w:b/>
          <w:color w:val="auto"/>
          <w:sz w:val="21"/>
          <w:szCs w:val="21"/>
          <w:highlight w:val="none"/>
        </w:rPr>
        <w:t>表</w:t>
      </w:r>
      <w:r>
        <w:rPr>
          <w:rFonts w:hint="eastAsia"/>
          <w:b/>
          <w:color w:val="auto"/>
          <w:sz w:val="21"/>
          <w:szCs w:val="21"/>
          <w:highlight w:val="none"/>
          <w:lang w:val="en-US" w:eastAsia="zh-CN"/>
        </w:rPr>
        <w:t>6.4-3</w:t>
      </w:r>
      <w:r>
        <w:rPr>
          <w:b/>
          <w:color w:val="auto"/>
          <w:sz w:val="21"/>
          <w:szCs w:val="21"/>
          <w:highlight w:val="none"/>
        </w:rPr>
        <w:t xml:space="preserve">  与云南省人民政府关于促进非煤矿山转型升级的实施意见的符合性对表</w:t>
      </w:r>
    </w:p>
    <w:tbl>
      <w:tblPr>
        <w:tblStyle w:val="29"/>
        <w:tblW w:w="902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44"/>
        <w:gridCol w:w="760"/>
        <w:gridCol w:w="3248"/>
        <w:gridCol w:w="3495"/>
        <w:gridCol w:w="87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44" w:type="dxa"/>
            <w:shd w:val="clear" w:color="auto" w:fill="auto"/>
            <w:vAlign w:val="center"/>
          </w:tcPr>
          <w:p>
            <w:pPr>
              <w:adjustRightInd w:val="0"/>
              <w:snapToGrid w:val="0"/>
              <w:ind w:firstLine="0" w:firstLineChars="0"/>
              <w:jc w:val="center"/>
              <w:rPr>
                <w:b/>
                <w:bCs/>
                <w:color w:val="auto"/>
                <w:sz w:val="21"/>
                <w:szCs w:val="21"/>
                <w:highlight w:val="none"/>
              </w:rPr>
            </w:pPr>
            <w:r>
              <w:rPr>
                <w:b/>
                <w:bCs/>
                <w:color w:val="auto"/>
                <w:sz w:val="21"/>
                <w:szCs w:val="21"/>
                <w:highlight w:val="none"/>
              </w:rPr>
              <w:t>序号</w:t>
            </w:r>
          </w:p>
        </w:tc>
        <w:tc>
          <w:tcPr>
            <w:tcW w:w="4008" w:type="dxa"/>
            <w:gridSpan w:val="2"/>
            <w:shd w:val="clear" w:color="auto" w:fill="auto"/>
            <w:vAlign w:val="center"/>
          </w:tcPr>
          <w:p>
            <w:pPr>
              <w:adjustRightInd w:val="0"/>
              <w:snapToGrid w:val="0"/>
              <w:ind w:firstLine="0" w:firstLineChars="0"/>
              <w:jc w:val="center"/>
              <w:rPr>
                <w:b/>
                <w:bCs/>
                <w:color w:val="auto"/>
                <w:sz w:val="21"/>
                <w:szCs w:val="21"/>
                <w:highlight w:val="none"/>
              </w:rPr>
            </w:pPr>
            <w:r>
              <w:rPr>
                <w:b/>
                <w:bCs/>
                <w:color w:val="auto"/>
                <w:sz w:val="21"/>
                <w:szCs w:val="21"/>
                <w:highlight w:val="none"/>
              </w:rPr>
              <w:t>要求</w:t>
            </w:r>
          </w:p>
        </w:tc>
        <w:tc>
          <w:tcPr>
            <w:tcW w:w="3495" w:type="dxa"/>
            <w:shd w:val="clear" w:color="auto" w:fill="auto"/>
            <w:vAlign w:val="center"/>
          </w:tcPr>
          <w:p>
            <w:pPr>
              <w:adjustRightInd w:val="0"/>
              <w:snapToGrid w:val="0"/>
              <w:ind w:firstLine="0" w:firstLineChars="0"/>
              <w:jc w:val="center"/>
              <w:rPr>
                <w:b/>
                <w:bCs/>
                <w:color w:val="auto"/>
                <w:sz w:val="21"/>
                <w:szCs w:val="21"/>
                <w:highlight w:val="none"/>
              </w:rPr>
            </w:pPr>
            <w:r>
              <w:rPr>
                <w:b/>
                <w:bCs/>
                <w:color w:val="auto"/>
                <w:kern w:val="0"/>
                <w:sz w:val="21"/>
                <w:szCs w:val="21"/>
                <w:highlight w:val="none"/>
              </w:rPr>
              <w:t>本矿山情况</w:t>
            </w:r>
          </w:p>
        </w:tc>
        <w:tc>
          <w:tcPr>
            <w:tcW w:w="873" w:type="dxa"/>
            <w:shd w:val="clear" w:color="auto" w:fill="auto"/>
            <w:vAlign w:val="center"/>
          </w:tcPr>
          <w:p>
            <w:pPr>
              <w:adjustRightInd w:val="0"/>
              <w:snapToGrid w:val="0"/>
              <w:ind w:firstLine="0" w:firstLineChars="0"/>
              <w:jc w:val="center"/>
              <w:rPr>
                <w:b/>
                <w:bCs/>
                <w:color w:val="auto"/>
                <w:sz w:val="21"/>
                <w:szCs w:val="21"/>
                <w:highlight w:val="none"/>
              </w:rPr>
            </w:pPr>
            <w:r>
              <w:rPr>
                <w:b/>
                <w:bCs/>
                <w:color w:val="auto"/>
                <w:kern w:val="0"/>
                <w:sz w:val="21"/>
                <w:szCs w:val="21"/>
                <w:highlight w:val="none"/>
              </w:rPr>
              <w:t>符合性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44" w:type="dxa"/>
            <w:vAlign w:val="center"/>
          </w:tcPr>
          <w:p>
            <w:pPr>
              <w:widowControl/>
              <w:adjustRightInd w:val="0"/>
              <w:snapToGrid w:val="0"/>
              <w:ind w:firstLine="0" w:firstLineChars="0"/>
              <w:jc w:val="center"/>
              <w:rPr>
                <w:color w:val="auto"/>
                <w:kern w:val="0"/>
                <w:sz w:val="21"/>
                <w:szCs w:val="21"/>
                <w:highlight w:val="none"/>
              </w:rPr>
            </w:pPr>
            <w:r>
              <w:rPr>
                <w:color w:val="auto"/>
                <w:kern w:val="0"/>
                <w:sz w:val="21"/>
                <w:szCs w:val="21"/>
                <w:highlight w:val="none"/>
              </w:rPr>
              <w:t>1</w:t>
            </w:r>
          </w:p>
        </w:tc>
        <w:tc>
          <w:tcPr>
            <w:tcW w:w="760" w:type="dxa"/>
            <w:vMerge w:val="restart"/>
            <w:vAlign w:val="center"/>
          </w:tcPr>
          <w:p>
            <w:pPr>
              <w:widowControl/>
              <w:adjustRightInd w:val="0"/>
              <w:snapToGrid w:val="0"/>
              <w:ind w:firstLine="0" w:firstLineChars="0"/>
              <w:jc w:val="center"/>
              <w:rPr>
                <w:bCs/>
                <w:color w:val="auto"/>
                <w:kern w:val="0"/>
                <w:sz w:val="21"/>
                <w:szCs w:val="21"/>
                <w:highlight w:val="none"/>
              </w:rPr>
            </w:pPr>
            <w:r>
              <w:rPr>
                <w:color w:val="auto"/>
                <w:sz w:val="21"/>
                <w:szCs w:val="21"/>
                <w:highlight w:val="none"/>
              </w:rPr>
              <w:t>非煤矿山项目存在下列情形之一的，各地、有关部门一律不予批准</w:t>
            </w:r>
          </w:p>
        </w:tc>
        <w:tc>
          <w:tcPr>
            <w:tcW w:w="3248" w:type="dxa"/>
            <w:vAlign w:val="center"/>
          </w:tcPr>
          <w:p>
            <w:pPr>
              <w:widowControl/>
              <w:adjustRightInd w:val="0"/>
              <w:snapToGrid w:val="0"/>
              <w:ind w:firstLine="0" w:firstLineChars="0"/>
              <w:jc w:val="center"/>
              <w:rPr>
                <w:color w:val="auto"/>
                <w:sz w:val="21"/>
                <w:szCs w:val="21"/>
                <w:highlight w:val="none"/>
              </w:rPr>
            </w:pPr>
            <w:r>
              <w:rPr>
                <w:color w:val="auto"/>
                <w:sz w:val="21"/>
                <w:szCs w:val="21"/>
                <w:highlight w:val="none"/>
              </w:rPr>
              <w:t>生产建设规模和服务年限低于</w:t>
            </w:r>
            <w:r>
              <w:rPr>
                <w:color w:val="auto"/>
                <w:spacing w:val="-15"/>
                <w:sz w:val="21"/>
                <w:szCs w:val="21"/>
                <w:highlight w:val="none"/>
              </w:rPr>
              <w:t>《云</w:t>
            </w:r>
            <w:r>
              <w:rPr>
                <w:color w:val="auto"/>
                <w:sz w:val="21"/>
                <w:szCs w:val="21"/>
                <w:highlight w:val="none"/>
              </w:rPr>
              <w:t>南省非煤矿山最小开采规模和最低服务年限标准》规定的</w:t>
            </w:r>
            <w:r>
              <w:rPr>
                <w:rFonts w:hint="eastAsia"/>
                <w:color w:val="auto"/>
                <w:sz w:val="21"/>
                <w:szCs w:val="21"/>
                <w:highlight w:val="none"/>
              </w:rPr>
              <w:t>（建筑用</w:t>
            </w:r>
            <w:r>
              <w:rPr>
                <w:color w:val="auto"/>
                <w:sz w:val="21"/>
                <w:szCs w:val="21"/>
                <w:highlight w:val="none"/>
              </w:rPr>
              <w:t>石料类（</w:t>
            </w:r>
            <w:r>
              <w:rPr>
                <w:rFonts w:hint="eastAsia"/>
                <w:color w:val="auto"/>
                <w:sz w:val="21"/>
                <w:szCs w:val="21"/>
                <w:highlight w:val="none"/>
              </w:rPr>
              <w:t>饰面用</w:t>
            </w:r>
            <w:r>
              <w:rPr>
                <w:color w:val="auto"/>
                <w:sz w:val="21"/>
                <w:szCs w:val="21"/>
                <w:highlight w:val="none"/>
              </w:rPr>
              <w:t>除外）</w:t>
            </w:r>
            <w:r>
              <w:rPr>
                <w:rFonts w:hint="eastAsia"/>
                <w:color w:val="auto"/>
                <w:sz w:val="21"/>
                <w:szCs w:val="21"/>
                <w:highlight w:val="none"/>
              </w:rPr>
              <w:t>，新建、改建、</w:t>
            </w:r>
            <w:r>
              <w:rPr>
                <w:rFonts w:hint="eastAsia"/>
                <w:color w:val="auto"/>
                <w:sz w:val="21"/>
                <w:szCs w:val="21"/>
                <w:highlight w:val="none"/>
                <w:lang w:eastAsia="zh-CN"/>
              </w:rPr>
              <w:t>新建</w:t>
            </w:r>
            <w:r>
              <w:rPr>
                <w:rFonts w:hint="eastAsia"/>
                <w:color w:val="auto"/>
                <w:sz w:val="21"/>
                <w:szCs w:val="21"/>
                <w:highlight w:val="none"/>
              </w:rPr>
              <w:t>、整合重组矿山最小开采规模</w:t>
            </w:r>
            <w:r>
              <w:rPr>
                <w:color w:val="auto"/>
                <w:sz w:val="21"/>
                <w:szCs w:val="21"/>
                <w:highlight w:val="none"/>
              </w:rPr>
              <w:t>矿山最小开采规模≥30</w:t>
            </w:r>
            <w:r>
              <w:rPr>
                <w:rFonts w:hint="eastAsia"/>
                <w:color w:val="auto"/>
                <w:sz w:val="21"/>
                <w:szCs w:val="21"/>
                <w:highlight w:val="none"/>
              </w:rPr>
              <w:t>万吨；已有矿山最小开采规模≥10万吨</w:t>
            </w:r>
            <w:r>
              <w:rPr>
                <w:color w:val="auto"/>
                <w:sz w:val="21"/>
                <w:szCs w:val="21"/>
                <w:highlight w:val="none"/>
              </w:rPr>
              <w:t>，最低服务年限</w:t>
            </w:r>
            <w:r>
              <w:rPr>
                <w:rFonts w:hint="eastAsia"/>
                <w:color w:val="auto"/>
                <w:sz w:val="21"/>
                <w:szCs w:val="21"/>
                <w:highlight w:val="none"/>
              </w:rPr>
              <w:t>露天开采</w:t>
            </w:r>
            <w:r>
              <w:rPr>
                <w:color w:val="auto"/>
                <w:sz w:val="21"/>
                <w:szCs w:val="21"/>
                <w:highlight w:val="none"/>
              </w:rPr>
              <w:t>矿山</w:t>
            </w:r>
            <w:r>
              <w:rPr>
                <w:rFonts w:hint="eastAsia"/>
                <w:color w:val="auto"/>
                <w:sz w:val="21"/>
                <w:szCs w:val="21"/>
                <w:highlight w:val="none"/>
              </w:rPr>
              <w:t>6年）</w:t>
            </w:r>
          </w:p>
        </w:tc>
        <w:tc>
          <w:tcPr>
            <w:tcW w:w="3495" w:type="dxa"/>
            <w:vAlign w:val="center"/>
          </w:tcPr>
          <w:p>
            <w:pPr>
              <w:adjustRightInd w:val="0"/>
              <w:snapToGrid w:val="0"/>
              <w:ind w:firstLine="0" w:firstLineChars="0"/>
              <w:jc w:val="both"/>
              <w:rPr>
                <w:bCs/>
                <w:color w:val="auto"/>
                <w:kern w:val="0"/>
                <w:sz w:val="21"/>
                <w:szCs w:val="21"/>
                <w:highlight w:val="none"/>
              </w:rPr>
            </w:pPr>
            <w:r>
              <w:rPr>
                <w:rFonts w:hint="eastAsia"/>
                <w:color w:val="auto"/>
                <w:kern w:val="0"/>
                <w:sz w:val="21"/>
                <w:szCs w:val="21"/>
                <w:highlight w:val="none"/>
              </w:rPr>
              <w:t>本项目为石灰岩矿开采，</w:t>
            </w:r>
            <w:r>
              <w:rPr>
                <w:bCs/>
                <w:color w:val="auto"/>
                <w:kern w:val="0"/>
                <w:sz w:val="21"/>
                <w:szCs w:val="21"/>
                <w:highlight w:val="none"/>
              </w:rPr>
              <w:t>本矿山</w:t>
            </w:r>
            <w:r>
              <w:rPr>
                <w:rFonts w:hint="eastAsia"/>
                <w:bCs/>
                <w:color w:val="auto"/>
                <w:kern w:val="0"/>
                <w:sz w:val="21"/>
                <w:szCs w:val="21"/>
                <w:highlight w:val="none"/>
                <w:lang w:eastAsia="zh-CN"/>
              </w:rPr>
              <w:t>新建</w:t>
            </w:r>
            <w:r>
              <w:rPr>
                <w:bCs/>
                <w:color w:val="auto"/>
                <w:kern w:val="0"/>
                <w:sz w:val="21"/>
                <w:szCs w:val="21"/>
                <w:highlight w:val="none"/>
              </w:rPr>
              <w:t>设计生产规模为</w:t>
            </w:r>
            <w:r>
              <w:rPr>
                <w:rFonts w:hint="eastAsia"/>
                <w:bCs/>
                <w:color w:val="auto"/>
                <w:sz w:val="21"/>
                <w:szCs w:val="21"/>
                <w:highlight w:val="none"/>
                <w:lang w:val="en-US" w:eastAsia="zh-CN"/>
              </w:rPr>
              <w:t>30</w:t>
            </w:r>
            <w:r>
              <w:rPr>
                <w:bCs/>
                <w:color w:val="auto"/>
                <w:sz w:val="21"/>
                <w:szCs w:val="21"/>
                <w:highlight w:val="none"/>
              </w:rPr>
              <w:t>万t/a，服务年限为</w:t>
            </w:r>
            <w:r>
              <w:rPr>
                <w:rFonts w:hint="eastAsia"/>
                <w:bCs/>
                <w:color w:val="auto"/>
                <w:sz w:val="21"/>
                <w:szCs w:val="21"/>
                <w:highlight w:val="none"/>
                <w:lang w:val="en-US" w:eastAsia="zh-CN"/>
              </w:rPr>
              <w:t>6.8</w:t>
            </w:r>
            <w:r>
              <w:rPr>
                <w:bCs/>
                <w:color w:val="auto"/>
                <w:sz w:val="21"/>
                <w:szCs w:val="21"/>
                <w:highlight w:val="none"/>
              </w:rPr>
              <w:t>年，</w:t>
            </w:r>
            <w:r>
              <w:rPr>
                <w:rFonts w:hint="eastAsia"/>
                <w:bCs/>
                <w:color w:val="auto"/>
                <w:sz w:val="21"/>
                <w:szCs w:val="21"/>
                <w:highlight w:val="none"/>
              </w:rPr>
              <w:t>不属于所列最小开采规模和服务年限</w:t>
            </w:r>
            <w:r>
              <w:rPr>
                <w:rFonts w:hint="eastAsia"/>
                <w:color w:val="auto"/>
                <w:kern w:val="0"/>
                <w:sz w:val="21"/>
                <w:szCs w:val="21"/>
                <w:highlight w:val="none"/>
              </w:rPr>
              <w:t>。</w:t>
            </w:r>
          </w:p>
        </w:tc>
        <w:tc>
          <w:tcPr>
            <w:tcW w:w="873" w:type="dxa"/>
            <w:vMerge w:val="restart"/>
            <w:vAlign w:val="center"/>
          </w:tcPr>
          <w:p>
            <w:pPr>
              <w:adjustRightInd w:val="0"/>
              <w:snapToGrid w:val="0"/>
              <w:ind w:firstLine="0" w:firstLineChars="0"/>
              <w:jc w:val="center"/>
              <w:rPr>
                <w:bCs/>
                <w:color w:val="auto"/>
                <w:kern w:val="0"/>
                <w:sz w:val="21"/>
                <w:szCs w:val="21"/>
                <w:highlight w:val="none"/>
              </w:rPr>
            </w:pPr>
            <w:r>
              <w:rPr>
                <w:bCs/>
                <w:color w:val="auto"/>
                <w:kern w:val="0"/>
                <w:sz w:val="21"/>
                <w:szCs w:val="21"/>
                <w:highlight w:val="none"/>
              </w:rPr>
              <w:t>本矿山符合符合</w:t>
            </w:r>
            <w:r>
              <w:rPr>
                <w:color w:val="auto"/>
                <w:spacing w:val="-15"/>
                <w:sz w:val="21"/>
                <w:szCs w:val="21"/>
                <w:highlight w:val="none"/>
              </w:rPr>
              <w:t>《云</w:t>
            </w:r>
            <w:r>
              <w:rPr>
                <w:color w:val="auto"/>
                <w:sz w:val="21"/>
                <w:szCs w:val="21"/>
                <w:highlight w:val="none"/>
              </w:rPr>
              <w:t>南省非煤矿山最小开采规模和最低服务年限标准》要求，本矿山不属于实施意见</w:t>
            </w:r>
            <w:r>
              <w:rPr>
                <w:color w:val="auto"/>
                <w:spacing w:val="-15"/>
                <w:sz w:val="21"/>
                <w:szCs w:val="21"/>
                <w:highlight w:val="none"/>
              </w:rPr>
              <w:t>不予批准的范畴。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44" w:type="dxa"/>
            <w:vAlign w:val="center"/>
          </w:tcPr>
          <w:p>
            <w:pPr>
              <w:widowControl/>
              <w:adjustRightInd w:val="0"/>
              <w:snapToGrid w:val="0"/>
              <w:ind w:firstLine="0" w:firstLineChars="0"/>
              <w:jc w:val="center"/>
              <w:rPr>
                <w:color w:val="auto"/>
                <w:kern w:val="0"/>
                <w:sz w:val="21"/>
                <w:szCs w:val="21"/>
                <w:highlight w:val="none"/>
              </w:rPr>
            </w:pPr>
            <w:r>
              <w:rPr>
                <w:color w:val="auto"/>
                <w:kern w:val="0"/>
                <w:sz w:val="21"/>
                <w:szCs w:val="21"/>
                <w:highlight w:val="none"/>
              </w:rPr>
              <w:t>2</w:t>
            </w:r>
          </w:p>
        </w:tc>
        <w:tc>
          <w:tcPr>
            <w:tcW w:w="760" w:type="dxa"/>
            <w:vMerge w:val="continue"/>
            <w:vAlign w:val="center"/>
          </w:tcPr>
          <w:p>
            <w:pPr>
              <w:widowControl/>
              <w:adjustRightInd w:val="0"/>
              <w:snapToGrid w:val="0"/>
              <w:ind w:firstLine="0" w:firstLineChars="0"/>
              <w:jc w:val="center"/>
              <w:rPr>
                <w:bCs/>
                <w:color w:val="auto"/>
                <w:kern w:val="0"/>
                <w:sz w:val="21"/>
                <w:szCs w:val="21"/>
                <w:highlight w:val="none"/>
              </w:rPr>
            </w:pPr>
          </w:p>
        </w:tc>
        <w:tc>
          <w:tcPr>
            <w:tcW w:w="3248" w:type="dxa"/>
            <w:vAlign w:val="center"/>
          </w:tcPr>
          <w:p>
            <w:pPr>
              <w:widowControl/>
              <w:adjustRightInd w:val="0"/>
              <w:snapToGrid w:val="0"/>
              <w:ind w:firstLine="0" w:firstLineChars="0"/>
              <w:jc w:val="center"/>
              <w:rPr>
                <w:color w:val="auto"/>
                <w:sz w:val="21"/>
                <w:szCs w:val="21"/>
                <w:highlight w:val="none"/>
              </w:rPr>
            </w:pPr>
            <w:r>
              <w:rPr>
                <w:color w:val="auto"/>
                <w:sz w:val="21"/>
                <w:szCs w:val="21"/>
                <w:highlight w:val="none"/>
              </w:rPr>
              <w:t>与铁路、高等级公路、石油天然气输送管道和高压输电线路等重要设施的安全距离不能满足有关法律法规规定的，矿山申请划定的矿区范围与周边毗邻的采矿权间距不满足设计规范规定保留安全间距要求的</w:t>
            </w:r>
          </w:p>
        </w:tc>
        <w:tc>
          <w:tcPr>
            <w:tcW w:w="3495" w:type="dxa"/>
            <w:vAlign w:val="center"/>
          </w:tcPr>
          <w:p>
            <w:pPr>
              <w:adjustRightInd w:val="0"/>
              <w:snapToGrid w:val="0"/>
              <w:ind w:firstLine="0" w:firstLineChars="0"/>
              <w:jc w:val="both"/>
              <w:rPr>
                <w:bCs/>
                <w:color w:val="auto"/>
                <w:kern w:val="0"/>
                <w:sz w:val="21"/>
                <w:szCs w:val="21"/>
                <w:highlight w:val="none"/>
              </w:rPr>
            </w:pPr>
            <w:r>
              <w:rPr>
                <w:bCs/>
                <w:color w:val="auto"/>
                <w:kern w:val="0"/>
                <w:sz w:val="21"/>
                <w:szCs w:val="21"/>
                <w:highlight w:val="none"/>
              </w:rPr>
              <w:t>矿山周边无铁路、高等级公路、石油天然气输送管道等重要设施；且</w:t>
            </w:r>
            <w:r>
              <w:rPr>
                <w:rFonts w:hint="eastAsia"/>
                <w:bCs/>
                <w:color w:val="auto"/>
                <w:kern w:val="0"/>
                <w:sz w:val="21"/>
                <w:szCs w:val="21"/>
                <w:highlight w:val="none"/>
              </w:rPr>
              <w:t>矿区周边300m范围内无矿权设置</w:t>
            </w:r>
            <w:r>
              <w:rPr>
                <w:bCs/>
                <w:color w:val="auto"/>
                <w:kern w:val="0"/>
                <w:sz w:val="21"/>
                <w:szCs w:val="21"/>
                <w:highlight w:val="none"/>
              </w:rPr>
              <w:t>。</w:t>
            </w:r>
          </w:p>
        </w:tc>
        <w:tc>
          <w:tcPr>
            <w:tcW w:w="873" w:type="dxa"/>
            <w:vMerge w:val="continue"/>
            <w:vAlign w:val="center"/>
          </w:tcPr>
          <w:p>
            <w:pPr>
              <w:adjustRightInd w:val="0"/>
              <w:snapToGrid w:val="0"/>
              <w:ind w:firstLine="0" w:firstLineChars="0"/>
              <w:jc w:val="center"/>
              <w:rPr>
                <w:bCs/>
                <w:color w:val="auto"/>
                <w:kern w:val="0"/>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44" w:type="dxa"/>
            <w:vAlign w:val="center"/>
          </w:tcPr>
          <w:p>
            <w:pPr>
              <w:widowControl/>
              <w:adjustRightInd w:val="0"/>
              <w:snapToGrid w:val="0"/>
              <w:ind w:firstLine="0" w:firstLineChars="0"/>
              <w:jc w:val="center"/>
              <w:rPr>
                <w:color w:val="auto"/>
                <w:kern w:val="0"/>
                <w:sz w:val="21"/>
                <w:szCs w:val="21"/>
                <w:highlight w:val="none"/>
              </w:rPr>
            </w:pPr>
            <w:r>
              <w:rPr>
                <w:color w:val="auto"/>
                <w:kern w:val="0"/>
                <w:sz w:val="21"/>
                <w:szCs w:val="21"/>
                <w:highlight w:val="none"/>
              </w:rPr>
              <w:t>3</w:t>
            </w:r>
          </w:p>
        </w:tc>
        <w:tc>
          <w:tcPr>
            <w:tcW w:w="760" w:type="dxa"/>
            <w:vMerge w:val="continue"/>
            <w:vAlign w:val="center"/>
          </w:tcPr>
          <w:p>
            <w:pPr>
              <w:widowControl/>
              <w:adjustRightInd w:val="0"/>
              <w:snapToGrid w:val="0"/>
              <w:ind w:firstLine="0" w:firstLineChars="0"/>
              <w:jc w:val="center"/>
              <w:rPr>
                <w:bCs/>
                <w:color w:val="auto"/>
                <w:kern w:val="0"/>
                <w:sz w:val="21"/>
                <w:szCs w:val="21"/>
                <w:highlight w:val="none"/>
              </w:rPr>
            </w:pPr>
          </w:p>
        </w:tc>
        <w:tc>
          <w:tcPr>
            <w:tcW w:w="3248" w:type="dxa"/>
            <w:vAlign w:val="center"/>
          </w:tcPr>
          <w:p>
            <w:pPr>
              <w:widowControl/>
              <w:adjustRightInd w:val="0"/>
              <w:snapToGrid w:val="0"/>
              <w:ind w:firstLine="0" w:firstLineChars="0"/>
              <w:jc w:val="center"/>
              <w:rPr>
                <w:color w:val="auto"/>
                <w:sz w:val="21"/>
                <w:szCs w:val="21"/>
                <w:highlight w:val="none"/>
              </w:rPr>
            </w:pPr>
            <w:r>
              <w:rPr>
                <w:color w:val="auto"/>
                <w:sz w:val="21"/>
                <w:szCs w:val="21"/>
                <w:highlight w:val="none"/>
              </w:rPr>
              <w:t>位于国家划定的自然保护区、重要风景区，国家重点保护的不能移动的历史文物和名胜古迹所在地等区域</w:t>
            </w:r>
            <w:r>
              <w:rPr>
                <w:rFonts w:hint="eastAsia"/>
                <w:color w:val="auto"/>
                <w:sz w:val="21"/>
                <w:szCs w:val="21"/>
                <w:highlight w:val="none"/>
              </w:rPr>
              <w:t>，</w:t>
            </w:r>
            <w:r>
              <w:rPr>
                <w:color w:val="auto"/>
                <w:sz w:val="21"/>
                <w:szCs w:val="21"/>
                <w:highlight w:val="none"/>
              </w:rPr>
              <w:t>以及位于重要城镇、城市面山的</w:t>
            </w:r>
            <w:r>
              <w:rPr>
                <w:rFonts w:hint="eastAsia"/>
                <w:color w:val="auto"/>
                <w:sz w:val="21"/>
                <w:szCs w:val="21"/>
                <w:highlight w:val="none"/>
              </w:rPr>
              <w:t>一侧</w:t>
            </w:r>
            <w:r>
              <w:rPr>
                <w:color w:val="auto"/>
                <w:sz w:val="21"/>
                <w:szCs w:val="21"/>
                <w:highlight w:val="none"/>
              </w:rPr>
              <w:t>。</w:t>
            </w:r>
          </w:p>
        </w:tc>
        <w:tc>
          <w:tcPr>
            <w:tcW w:w="3495" w:type="dxa"/>
            <w:vAlign w:val="center"/>
          </w:tcPr>
          <w:p>
            <w:pPr>
              <w:adjustRightInd w:val="0"/>
              <w:snapToGrid w:val="0"/>
              <w:ind w:firstLine="0" w:firstLineChars="0"/>
              <w:jc w:val="center"/>
              <w:rPr>
                <w:bCs/>
                <w:color w:val="auto"/>
                <w:kern w:val="0"/>
                <w:sz w:val="21"/>
                <w:szCs w:val="21"/>
                <w:highlight w:val="none"/>
              </w:rPr>
            </w:pPr>
            <w:r>
              <w:rPr>
                <w:bCs/>
                <w:color w:val="auto"/>
                <w:kern w:val="0"/>
                <w:sz w:val="21"/>
                <w:szCs w:val="21"/>
                <w:highlight w:val="none"/>
              </w:rPr>
              <w:t>矿山周边均无</w:t>
            </w:r>
            <w:r>
              <w:rPr>
                <w:bCs/>
                <w:color w:val="auto"/>
                <w:sz w:val="21"/>
                <w:szCs w:val="21"/>
                <w:highlight w:val="none"/>
              </w:rPr>
              <w:t>国家划定的自然保护区、重要风景区、历史文物和名胜古迹，同时矿山均不在重要城镇面山一侧。</w:t>
            </w:r>
          </w:p>
        </w:tc>
        <w:tc>
          <w:tcPr>
            <w:tcW w:w="873" w:type="dxa"/>
            <w:vMerge w:val="continue"/>
            <w:vAlign w:val="center"/>
          </w:tcPr>
          <w:p>
            <w:pPr>
              <w:adjustRightInd w:val="0"/>
              <w:snapToGrid w:val="0"/>
              <w:ind w:firstLine="0" w:firstLineChars="0"/>
              <w:jc w:val="center"/>
              <w:rPr>
                <w:bCs/>
                <w:color w:val="auto"/>
                <w:kern w:val="0"/>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44" w:type="dxa"/>
            <w:vAlign w:val="center"/>
          </w:tcPr>
          <w:p>
            <w:pPr>
              <w:widowControl/>
              <w:adjustRightInd w:val="0"/>
              <w:snapToGrid w:val="0"/>
              <w:ind w:firstLine="0" w:firstLineChars="0"/>
              <w:jc w:val="center"/>
              <w:rPr>
                <w:color w:val="auto"/>
                <w:kern w:val="0"/>
                <w:sz w:val="21"/>
                <w:szCs w:val="21"/>
                <w:highlight w:val="none"/>
              </w:rPr>
            </w:pPr>
            <w:r>
              <w:rPr>
                <w:color w:val="auto"/>
                <w:kern w:val="0"/>
                <w:sz w:val="21"/>
                <w:szCs w:val="21"/>
                <w:highlight w:val="none"/>
              </w:rPr>
              <w:t>4</w:t>
            </w:r>
          </w:p>
        </w:tc>
        <w:tc>
          <w:tcPr>
            <w:tcW w:w="760" w:type="dxa"/>
            <w:vMerge w:val="continue"/>
            <w:vAlign w:val="center"/>
          </w:tcPr>
          <w:p>
            <w:pPr>
              <w:widowControl/>
              <w:adjustRightInd w:val="0"/>
              <w:snapToGrid w:val="0"/>
              <w:ind w:firstLine="0" w:firstLineChars="0"/>
              <w:jc w:val="center"/>
              <w:rPr>
                <w:bCs/>
                <w:color w:val="auto"/>
                <w:kern w:val="0"/>
                <w:sz w:val="21"/>
                <w:szCs w:val="21"/>
                <w:highlight w:val="none"/>
              </w:rPr>
            </w:pPr>
          </w:p>
        </w:tc>
        <w:tc>
          <w:tcPr>
            <w:tcW w:w="3248" w:type="dxa"/>
            <w:vAlign w:val="center"/>
          </w:tcPr>
          <w:p>
            <w:pPr>
              <w:widowControl/>
              <w:adjustRightInd w:val="0"/>
              <w:snapToGrid w:val="0"/>
              <w:ind w:firstLine="0" w:firstLineChars="0"/>
              <w:jc w:val="center"/>
              <w:rPr>
                <w:bCs/>
                <w:color w:val="auto"/>
                <w:kern w:val="0"/>
                <w:sz w:val="21"/>
                <w:szCs w:val="21"/>
                <w:highlight w:val="none"/>
              </w:rPr>
            </w:pPr>
            <w:r>
              <w:rPr>
                <w:color w:val="auto"/>
                <w:sz w:val="21"/>
                <w:szCs w:val="21"/>
                <w:highlight w:val="none"/>
              </w:rPr>
              <w:t>露天采石 (砂)场矿界与村庄的距离小于500米，矿界与矿界之间安全距离小于300米，2个以上 (含2个)露天采石( 砂)场开</w:t>
            </w:r>
            <w:r>
              <w:rPr>
                <w:color w:val="auto"/>
                <w:spacing w:val="-15"/>
                <w:sz w:val="21"/>
                <w:szCs w:val="21"/>
                <w:highlight w:val="none"/>
              </w:rPr>
              <w:t xml:space="preserve">采同一独立山头，难以实现自上而下分台阶 ( 层) </w:t>
            </w:r>
            <w:r>
              <w:rPr>
                <w:color w:val="auto"/>
                <w:sz w:val="21"/>
                <w:szCs w:val="21"/>
                <w:highlight w:val="none"/>
              </w:rPr>
              <w:t>开采，位于铁路、高速公路、国道、省道等重要交通干线和重要旅游线路两侧可视范围内的(本文印发之前已取得合法探矿权的除外)</w:t>
            </w:r>
          </w:p>
        </w:tc>
        <w:tc>
          <w:tcPr>
            <w:tcW w:w="3495" w:type="dxa"/>
            <w:vAlign w:val="center"/>
          </w:tcPr>
          <w:p>
            <w:pPr>
              <w:adjustRightInd w:val="0"/>
              <w:snapToGrid w:val="0"/>
              <w:ind w:firstLine="0" w:firstLineChars="0"/>
              <w:jc w:val="center"/>
              <w:rPr>
                <w:bCs/>
                <w:color w:val="auto"/>
                <w:kern w:val="0"/>
                <w:sz w:val="21"/>
                <w:szCs w:val="21"/>
                <w:highlight w:val="none"/>
              </w:rPr>
            </w:pPr>
            <w:r>
              <w:rPr>
                <w:rFonts w:hint="eastAsia"/>
                <w:bCs/>
                <w:color w:val="auto"/>
                <w:kern w:val="0"/>
                <w:sz w:val="21"/>
                <w:szCs w:val="21"/>
                <w:highlight w:val="none"/>
              </w:rPr>
              <w:t>项目</w:t>
            </w:r>
            <w:r>
              <w:rPr>
                <w:rFonts w:hint="eastAsia"/>
                <w:bCs/>
                <w:color w:val="auto"/>
                <w:kern w:val="0"/>
                <w:sz w:val="21"/>
                <w:szCs w:val="21"/>
                <w:highlight w:val="none"/>
                <w:lang w:eastAsia="zh-CN"/>
              </w:rPr>
              <w:t>新建</w:t>
            </w:r>
            <w:r>
              <w:rPr>
                <w:rFonts w:hint="eastAsia"/>
                <w:bCs/>
                <w:color w:val="auto"/>
                <w:kern w:val="0"/>
                <w:sz w:val="21"/>
                <w:szCs w:val="21"/>
                <w:highlight w:val="none"/>
              </w:rPr>
              <w:t>后矿界范围不变</w:t>
            </w:r>
            <w:r>
              <w:rPr>
                <w:bCs/>
                <w:color w:val="auto"/>
                <w:kern w:val="0"/>
                <w:sz w:val="21"/>
                <w:szCs w:val="21"/>
                <w:highlight w:val="none"/>
              </w:rPr>
              <w:t>，矿区周边300m范围内无其他采矿权；本矿山</w:t>
            </w:r>
            <w:r>
              <w:rPr>
                <w:rFonts w:hint="eastAsia"/>
                <w:bCs/>
                <w:color w:val="auto"/>
                <w:kern w:val="0"/>
                <w:sz w:val="21"/>
                <w:szCs w:val="21"/>
                <w:highlight w:val="none"/>
                <w:lang w:eastAsia="zh-CN"/>
              </w:rPr>
              <w:t>新建</w:t>
            </w:r>
            <w:r>
              <w:rPr>
                <w:rFonts w:hint="eastAsia"/>
                <w:bCs/>
                <w:color w:val="auto"/>
                <w:kern w:val="0"/>
                <w:sz w:val="21"/>
                <w:szCs w:val="21"/>
                <w:highlight w:val="none"/>
              </w:rPr>
              <w:t>后</w:t>
            </w:r>
            <w:r>
              <w:rPr>
                <w:bCs/>
                <w:color w:val="auto"/>
                <w:kern w:val="0"/>
                <w:sz w:val="21"/>
                <w:szCs w:val="21"/>
                <w:highlight w:val="none"/>
              </w:rPr>
              <w:t>设计按照自上而下分台阶 (层) 进行开采；矿山均不在铁路、高速公路、国道、省道等重要交通干线和重要旅游线路可视范围内；</w:t>
            </w:r>
            <w:r>
              <w:rPr>
                <w:rFonts w:hint="eastAsia"/>
                <w:bCs/>
                <w:color w:val="auto"/>
                <w:kern w:val="0"/>
                <w:sz w:val="21"/>
                <w:szCs w:val="21"/>
                <w:highlight w:val="none"/>
              </w:rPr>
              <w:t>距离本矿区最近村庄为矿区西面约</w:t>
            </w:r>
            <w:r>
              <w:rPr>
                <w:rFonts w:hint="eastAsia"/>
                <w:bCs/>
                <w:color w:val="auto"/>
                <w:kern w:val="0"/>
                <w:sz w:val="21"/>
                <w:szCs w:val="21"/>
                <w:highlight w:val="none"/>
                <w:lang w:val="en-US" w:eastAsia="zh-CN"/>
              </w:rPr>
              <w:t>860</w:t>
            </w:r>
            <w:r>
              <w:rPr>
                <w:bCs/>
                <w:color w:val="auto"/>
                <w:kern w:val="0"/>
                <w:sz w:val="21"/>
                <w:szCs w:val="21"/>
                <w:highlight w:val="none"/>
              </w:rPr>
              <w:t>m</w:t>
            </w:r>
            <w:r>
              <w:rPr>
                <w:rFonts w:hint="eastAsia"/>
                <w:bCs/>
                <w:color w:val="auto"/>
                <w:kern w:val="0"/>
                <w:sz w:val="21"/>
                <w:szCs w:val="21"/>
                <w:highlight w:val="none"/>
              </w:rPr>
              <w:t>处的</w:t>
            </w:r>
            <w:r>
              <w:rPr>
                <w:rFonts w:hint="eastAsia"/>
                <w:bCs/>
                <w:color w:val="auto"/>
                <w:kern w:val="0"/>
                <w:sz w:val="21"/>
                <w:szCs w:val="21"/>
                <w:highlight w:val="none"/>
                <w:lang w:eastAsia="zh-CN"/>
              </w:rPr>
              <w:t>卡子</w:t>
            </w:r>
            <w:r>
              <w:rPr>
                <w:rFonts w:hint="eastAsia"/>
                <w:bCs/>
                <w:color w:val="auto"/>
                <w:kern w:val="0"/>
                <w:sz w:val="21"/>
                <w:szCs w:val="21"/>
                <w:highlight w:val="none"/>
              </w:rPr>
              <w:t>村</w:t>
            </w:r>
            <w:r>
              <w:rPr>
                <w:bCs/>
                <w:color w:val="auto"/>
                <w:kern w:val="0"/>
                <w:sz w:val="21"/>
                <w:szCs w:val="21"/>
                <w:highlight w:val="none"/>
              </w:rPr>
              <w:t>。</w:t>
            </w:r>
          </w:p>
        </w:tc>
        <w:tc>
          <w:tcPr>
            <w:tcW w:w="873" w:type="dxa"/>
            <w:vMerge w:val="continue"/>
            <w:vAlign w:val="center"/>
          </w:tcPr>
          <w:p>
            <w:pPr>
              <w:adjustRightInd w:val="0"/>
              <w:snapToGrid w:val="0"/>
              <w:ind w:firstLine="0" w:firstLineChars="0"/>
              <w:jc w:val="center"/>
              <w:rPr>
                <w:bCs/>
                <w:color w:val="auto"/>
                <w:kern w:val="0"/>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44" w:type="dxa"/>
            <w:vAlign w:val="center"/>
          </w:tcPr>
          <w:p>
            <w:pPr>
              <w:widowControl/>
              <w:adjustRightInd w:val="0"/>
              <w:snapToGrid w:val="0"/>
              <w:ind w:firstLine="0" w:firstLineChars="0"/>
              <w:jc w:val="center"/>
              <w:rPr>
                <w:color w:val="auto"/>
                <w:kern w:val="0"/>
                <w:sz w:val="21"/>
                <w:szCs w:val="21"/>
                <w:highlight w:val="none"/>
              </w:rPr>
            </w:pPr>
            <w:r>
              <w:rPr>
                <w:color w:val="auto"/>
                <w:kern w:val="0"/>
                <w:sz w:val="21"/>
                <w:szCs w:val="21"/>
                <w:highlight w:val="none"/>
              </w:rPr>
              <w:t>5</w:t>
            </w:r>
          </w:p>
        </w:tc>
        <w:tc>
          <w:tcPr>
            <w:tcW w:w="4008" w:type="dxa"/>
            <w:gridSpan w:val="2"/>
            <w:vAlign w:val="center"/>
          </w:tcPr>
          <w:p>
            <w:pPr>
              <w:widowControl/>
              <w:adjustRightInd w:val="0"/>
              <w:snapToGrid w:val="0"/>
              <w:ind w:firstLine="0" w:firstLineChars="0"/>
              <w:jc w:val="center"/>
              <w:rPr>
                <w:bCs/>
                <w:color w:val="auto"/>
                <w:kern w:val="0"/>
                <w:sz w:val="21"/>
                <w:szCs w:val="21"/>
                <w:highlight w:val="none"/>
              </w:rPr>
            </w:pPr>
            <w:r>
              <w:rPr>
                <w:color w:val="auto"/>
                <w:sz w:val="21"/>
                <w:szCs w:val="21"/>
                <w:highlight w:val="none"/>
              </w:rPr>
              <w:t>新设采矿权必须符合矿产资源规划、产业政策和矿业权设置方案，除同属1个矿业权人的情形外，矿业权在垂直投影范围内不得重叠；依据固体矿产勘查评价的基本单元及开采规划，应统一开采的矿床，只能设立1个采矿权</w:t>
            </w:r>
          </w:p>
        </w:tc>
        <w:tc>
          <w:tcPr>
            <w:tcW w:w="3495" w:type="dxa"/>
            <w:vAlign w:val="center"/>
          </w:tcPr>
          <w:p>
            <w:pPr>
              <w:adjustRightInd w:val="0"/>
              <w:snapToGrid w:val="0"/>
              <w:ind w:firstLine="0" w:firstLineChars="0"/>
              <w:jc w:val="center"/>
              <w:rPr>
                <w:bCs/>
                <w:color w:val="auto"/>
                <w:kern w:val="0"/>
                <w:sz w:val="21"/>
                <w:szCs w:val="21"/>
                <w:highlight w:val="none"/>
              </w:rPr>
            </w:pPr>
            <w:r>
              <w:rPr>
                <w:bCs/>
                <w:color w:val="auto"/>
                <w:kern w:val="0"/>
                <w:sz w:val="21"/>
                <w:szCs w:val="21"/>
                <w:highlight w:val="none"/>
              </w:rPr>
              <w:t>建设单位</w:t>
            </w:r>
            <w:r>
              <w:rPr>
                <w:rFonts w:hint="eastAsia"/>
                <w:bCs/>
                <w:color w:val="auto"/>
                <w:kern w:val="0"/>
                <w:sz w:val="21"/>
                <w:szCs w:val="21"/>
                <w:highlight w:val="none"/>
              </w:rPr>
              <w:t>已</w:t>
            </w:r>
            <w:r>
              <w:rPr>
                <w:bCs/>
                <w:color w:val="auto"/>
                <w:kern w:val="0"/>
                <w:sz w:val="21"/>
                <w:szCs w:val="21"/>
                <w:highlight w:val="none"/>
              </w:rPr>
              <w:t>依法取得</w:t>
            </w:r>
            <w:r>
              <w:rPr>
                <w:rFonts w:hint="eastAsia"/>
                <w:bCs/>
                <w:color w:val="auto"/>
                <w:kern w:val="0"/>
                <w:sz w:val="21"/>
                <w:szCs w:val="21"/>
                <w:highlight w:val="none"/>
              </w:rPr>
              <w:t>采矿许可证（C5326222009027120006016），</w:t>
            </w:r>
            <w:r>
              <w:rPr>
                <w:rFonts w:hint="eastAsia"/>
                <w:bCs/>
                <w:color w:val="auto"/>
                <w:kern w:val="0"/>
                <w:sz w:val="21"/>
                <w:szCs w:val="21"/>
                <w:highlight w:val="none"/>
                <w:lang w:eastAsia="zh-CN"/>
              </w:rPr>
              <w:t>新建</w:t>
            </w:r>
            <w:r>
              <w:rPr>
                <w:rFonts w:hint="eastAsia"/>
                <w:bCs/>
                <w:color w:val="auto"/>
                <w:kern w:val="0"/>
                <w:sz w:val="21"/>
                <w:szCs w:val="21"/>
                <w:highlight w:val="none"/>
              </w:rPr>
              <w:t>后采矿范围位于许可证矿区范围内</w:t>
            </w:r>
            <w:r>
              <w:rPr>
                <w:bCs/>
                <w:color w:val="auto"/>
                <w:kern w:val="0"/>
                <w:sz w:val="21"/>
                <w:szCs w:val="21"/>
                <w:highlight w:val="none"/>
              </w:rPr>
              <w:t>，符合矿产资源规划。</w:t>
            </w:r>
          </w:p>
        </w:tc>
        <w:tc>
          <w:tcPr>
            <w:tcW w:w="873" w:type="dxa"/>
            <w:vAlign w:val="center"/>
          </w:tcPr>
          <w:p>
            <w:pPr>
              <w:adjustRightInd w:val="0"/>
              <w:snapToGrid w:val="0"/>
              <w:ind w:firstLine="0" w:firstLineChars="0"/>
              <w:jc w:val="center"/>
              <w:rPr>
                <w:bCs/>
                <w:color w:val="auto"/>
                <w:kern w:val="0"/>
                <w:sz w:val="21"/>
                <w:szCs w:val="21"/>
                <w:highlight w:val="none"/>
              </w:rPr>
            </w:pPr>
            <w:r>
              <w:rPr>
                <w:bCs/>
                <w:color w:val="auto"/>
                <w:kern w:val="0"/>
                <w:sz w:val="21"/>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44" w:type="dxa"/>
            <w:vAlign w:val="center"/>
          </w:tcPr>
          <w:p>
            <w:pPr>
              <w:widowControl/>
              <w:adjustRightInd w:val="0"/>
              <w:snapToGrid w:val="0"/>
              <w:ind w:firstLine="0" w:firstLineChars="0"/>
              <w:jc w:val="center"/>
              <w:rPr>
                <w:color w:val="auto"/>
                <w:kern w:val="0"/>
                <w:sz w:val="21"/>
                <w:szCs w:val="21"/>
                <w:highlight w:val="none"/>
              </w:rPr>
            </w:pPr>
            <w:r>
              <w:rPr>
                <w:color w:val="auto"/>
                <w:kern w:val="0"/>
                <w:sz w:val="21"/>
                <w:szCs w:val="21"/>
                <w:highlight w:val="none"/>
              </w:rPr>
              <w:t>6</w:t>
            </w:r>
          </w:p>
        </w:tc>
        <w:tc>
          <w:tcPr>
            <w:tcW w:w="4008" w:type="dxa"/>
            <w:gridSpan w:val="2"/>
            <w:vAlign w:val="center"/>
          </w:tcPr>
          <w:p>
            <w:pPr>
              <w:widowControl/>
              <w:adjustRightInd w:val="0"/>
              <w:snapToGrid w:val="0"/>
              <w:ind w:firstLine="0" w:firstLineChars="0"/>
              <w:jc w:val="center"/>
              <w:rPr>
                <w:bCs/>
                <w:color w:val="auto"/>
                <w:kern w:val="0"/>
                <w:sz w:val="21"/>
                <w:szCs w:val="21"/>
                <w:highlight w:val="none"/>
              </w:rPr>
            </w:pPr>
            <w:r>
              <w:rPr>
                <w:color w:val="auto"/>
                <w:sz w:val="21"/>
                <w:szCs w:val="21"/>
                <w:highlight w:val="none"/>
              </w:rPr>
              <w:t>采矿权新立、扩大、缩小、变更，应通过同级有关主管部门安全条件初步审查和环境影响评价</w:t>
            </w:r>
          </w:p>
        </w:tc>
        <w:tc>
          <w:tcPr>
            <w:tcW w:w="3495" w:type="dxa"/>
            <w:vAlign w:val="center"/>
          </w:tcPr>
          <w:p>
            <w:pPr>
              <w:adjustRightInd w:val="0"/>
              <w:snapToGrid w:val="0"/>
              <w:ind w:firstLine="0" w:firstLineChars="0"/>
              <w:jc w:val="center"/>
              <w:rPr>
                <w:bCs/>
                <w:color w:val="auto"/>
                <w:kern w:val="0"/>
                <w:sz w:val="21"/>
                <w:szCs w:val="21"/>
                <w:highlight w:val="none"/>
              </w:rPr>
            </w:pPr>
            <w:r>
              <w:rPr>
                <w:bCs/>
                <w:color w:val="auto"/>
                <w:kern w:val="0"/>
                <w:sz w:val="21"/>
                <w:szCs w:val="21"/>
                <w:highlight w:val="none"/>
              </w:rPr>
              <w:t>目前矿山正在办理环评手续和安全评价。</w:t>
            </w:r>
          </w:p>
        </w:tc>
        <w:tc>
          <w:tcPr>
            <w:tcW w:w="873" w:type="dxa"/>
            <w:vAlign w:val="center"/>
          </w:tcPr>
          <w:p>
            <w:pPr>
              <w:adjustRightInd w:val="0"/>
              <w:snapToGrid w:val="0"/>
              <w:ind w:firstLine="0" w:firstLineChars="0"/>
              <w:jc w:val="center"/>
              <w:rPr>
                <w:bCs/>
                <w:color w:val="auto"/>
                <w:kern w:val="0"/>
                <w:sz w:val="21"/>
                <w:szCs w:val="21"/>
                <w:highlight w:val="none"/>
              </w:rPr>
            </w:pPr>
            <w:r>
              <w:rPr>
                <w:bCs/>
                <w:color w:val="auto"/>
                <w:kern w:val="0"/>
                <w:sz w:val="21"/>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44" w:type="dxa"/>
            <w:vAlign w:val="center"/>
          </w:tcPr>
          <w:p>
            <w:pPr>
              <w:widowControl/>
              <w:adjustRightInd w:val="0"/>
              <w:snapToGrid w:val="0"/>
              <w:ind w:firstLine="0" w:firstLineChars="0"/>
              <w:jc w:val="center"/>
              <w:rPr>
                <w:color w:val="auto"/>
                <w:kern w:val="0"/>
                <w:sz w:val="21"/>
                <w:szCs w:val="21"/>
                <w:highlight w:val="none"/>
              </w:rPr>
            </w:pPr>
            <w:r>
              <w:rPr>
                <w:color w:val="auto"/>
                <w:kern w:val="0"/>
                <w:sz w:val="21"/>
                <w:szCs w:val="21"/>
                <w:highlight w:val="none"/>
              </w:rPr>
              <w:t>7</w:t>
            </w:r>
          </w:p>
        </w:tc>
        <w:tc>
          <w:tcPr>
            <w:tcW w:w="4008" w:type="dxa"/>
            <w:gridSpan w:val="2"/>
            <w:vAlign w:val="center"/>
          </w:tcPr>
          <w:p>
            <w:pPr>
              <w:widowControl/>
              <w:adjustRightInd w:val="0"/>
              <w:snapToGrid w:val="0"/>
              <w:ind w:firstLine="0" w:firstLineChars="0"/>
              <w:jc w:val="center"/>
              <w:rPr>
                <w:color w:val="auto"/>
                <w:sz w:val="21"/>
                <w:szCs w:val="21"/>
                <w:highlight w:val="none"/>
              </w:rPr>
            </w:pPr>
            <w:r>
              <w:rPr>
                <w:color w:val="auto"/>
                <w:sz w:val="21"/>
                <w:szCs w:val="21"/>
                <w:highlight w:val="none"/>
              </w:rPr>
              <w:t>非煤矿山新、改、</w:t>
            </w:r>
            <w:r>
              <w:rPr>
                <w:rFonts w:hint="eastAsia"/>
                <w:color w:val="auto"/>
                <w:sz w:val="21"/>
                <w:szCs w:val="21"/>
                <w:highlight w:val="none"/>
                <w:lang w:eastAsia="zh-CN"/>
              </w:rPr>
              <w:t>新建</w:t>
            </w:r>
            <w:r>
              <w:rPr>
                <w:color w:val="auto"/>
                <w:sz w:val="21"/>
                <w:szCs w:val="21"/>
                <w:highlight w:val="none"/>
              </w:rPr>
              <w:t>项目以及对矿山进行整合，应按照国家有关规定严格履行安全设施和职业卫</w:t>
            </w:r>
            <w:r>
              <w:rPr>
                <w:rFonts w:hint="eastAsia" w:ascii="宋体" w:hAnsi="宋体" w:cs="宋体"/>
                <w:color w:val="auto"/>
                <w:sz w:val="21"/>
                <w:szCs w:val="21"/>
                <w:highlight w:val="none"/>
              </w:rPr>
              <w:t>生“三同时”手</w:t>
            </w:r>
            <w:r>
              <w:rPr>
                <w:color w:val="auto"/>
                <w:sz w:val="21"/>
                <w:szCs w:val="21"/>
                <w:highlight w:val="none"/>
              </w:rPr>
              <w:t>续。</w:t>
            </w:r>
          </w:p>
        </w:tc>
        <w:tc>
          <w:tcPr>
            <w:tcW w:w="3495" w:type="dxa"/>
            <w:vAlign w:val="center"/>
          </w:tcPr>
          <w:p>
            <w:pPr>
              <w:adjustRightInd w:val="0"/>
              <w:snapToGrid w:val="0"/>
              <w:ind w:firstLine="0" w:firstLineChars="0"/>
              <w:jc w:val="center"/>
              <w:rPr>
                <w:bCs/>
                <w:color w:val="auto"/>
                <w:kern w:val="0"/>
                <w:sz w:val="21"/>
                <w:szCs w:val="21"/>
                <w:highlight w:val="none"/>
              </w:rPr>
            </w:pPr>
            <w:r>
              <w:rPr>
                <w:bCs/>
                <w:color w:val="auto"/>
                <w:kern w:val="0"/>
                <w:sz w:val="21"/>
                <w:szCs w:val="21"/>
                <w:highlight w:val="none"/>
              </w:rPr>
              <w:t>目前矿山正在办理安全评价和职业卫生手续。</w:t>
            </w:r>
          </w:p>
        </w:tc>
        <w:tc>
          <w:tcPr>
            <w:tcW w:w="873" w:type="dxa"/>
            <w:vAlign w:val="center"/>
          </w:tcPr>
          <w:p>
            <w:pPr>
              <w:adjustRightInd w:val="0"/>
              <w:snapToGrid w:val="0"/>
              <w:ind w:firstLine="0" w:firstLineChars="0"/>
              <w:jc w:val="center"/>
              <w:rPr>
                <w:bCs/>
                <w:color w:val="auto"/>
                <w:kern w:val="0"/>
                <w:sz w:val="21"/>
                <w:szCs w:val="21"/>
                <w:highlight w:val="none"/>
              </w:rPr>
            </w:pPr>
            <w:r>
              <w:rPr>
                <w:bCs/>
                <w:color w:val="auto"/>
                <w:kern w:val="0"/>
                <w:sz w:val="21"/>
                <w:szCs w:val="21"/>
                <w:highlight w:val="none"/>
              </w:rPr>
              <w:t>符合</w:t>
            </w:r>
          </w:p>
        </w:tc>
      </w:tr>
    </w:tbl>
    <w:p>
      <w:pPr>
        <w:adjustRightInd w:val="0"/>
        <w:snapToGrid w:val="0"/>
        <w:ind w:firstLine="516" w:firstLineChars="215"/>
        <w:rPr>
          <w:color w:val="auto"/>
          <w:highlight w:val="none"/>
        </w:rPr>
      </w:pPr>
    </w:p>
    <w:p>
      <w:pPr>
        <w:adjustRightInd w:val="0"/>
        <w:snapToGrid w:val="0"/>
        <w:ind w:firstLine="516" w:firstLineChars="215"/>
        <w:rPr>
          <w:color w:val="auto"/>
          <w:highlight w:val="none"/>
        </w:rPr>
      </w:pPr>
      <w:r>
        <w:rPr>
          <w:color w:val="auto"/>
          <w:highlight w:val="none"/>
        </w:rPr>
        <w:t>由上表的对照分析可知，本矿山生产规模和服务年限</w:t>
      </w:r>
      <w:r>
        <w:rPr>
          <w:rFonts w:hint="eastAsia"/>
          <w:color w:val="auto"/>
          <w:highlight w:val="none"/>
        </w:rPr>
        <w:t>与</w:t>
      </w:r>
      <w:r>
        <w:rPr>
          <w:color w:val="auto"/>
          <w:spacing w:val="-15"/>
          <w:highlight w:val="none"/>
        </w:rPr>
        <w:t>《云</w:t>
      </w:r>
      <w:r>
        <w:rPr>
          <w:color w:val="auto"/>
          <w:highlight w:val="none"/>
        </w:rPr>
        <w:t>南省非煤矿山最小开采规模和最低服务年限标准》</w:t>
      </w:r>
      <w:r>
        <w:rPr>
          <w:rFonts w:hint="eastAsia"/>
          <w:color w:val="auto"/>
          <w:highlight w:val="none"/>
        </w:rPr>
        <w:t>不冲突</w:t>
      </w:r>
      <w:r>
        <w:rPr>
          <w:color w:val="auto"/>
          <w:highlight w:val="none"/>
        </w:rPr>
        <w:t>，且矿山周边300m</w:t>
      </w:r>
      <w:r>
        <w:rPr>
          <w:rFonts w:hint="eastAsia"/>
          <w:bCs/>
          <w:color w:val="auto"/>
          <w:kern w:val="0"/>
          <w:highlight w:val="none"/>
        </w:rPr>
        <w:t>（</w:t>
      </w:r>
      <w:r>
        <w:rPr>
          <w:color w:val="auto"/>
          <w:highlight w:val="none"/>
        </w:rPr>
        <w:t>范围内无其他采矿权，矿山均不在铁路、高速公路、国道、省道等重要交通干线和重要旅游线路可视范围内，矿山现已取得合法的采矿权，因此，本矿山符合《云南省人民政府关于促进非煤矿山转型升级的实施意见（云政发〔2015〕38号）》的要求</w:t>
      </w:r>
      <w:r>
        <w:rPr>
          <w:rFonts w:hint="eastAsia"/>
          <w:color w:val="auto"/>
          <w:highlight w:val="none"/>
          <w:lang w:eastAsia="zh-CN"/>
        </w:rPr>
        <w:t>（本项目与周边矿山相对位置情况见附图二所示）</w:t>
      </w:r>
      <w:r>
        <w:rPr>
          <w:color w:val="auto"/>
          <w:highlight w:val="none"/>
        </w:rPr>
        <w:t>。</w:t>
      </w:r>
    </w:p>
    <w:p>
      <w:pPr>
        <w:pStyle w:val="5"/>
        <w:bidi w:val="0"/>
        <w:rPr>
          <w:rFonts w:hint="eastAsia"/>
          <w:color w:val="auto"/>
          <w:highlight w:val="none"/>
          <w:lang w:val="en-US" w:eastAsia="zh-CN"/>
        </w:rPr>
      </w:pPr>
      <w:bookmarkStart w:id="451" w:name="_Toc17079"/>
      <w:r>
        <w:rPr>
          <w:rFonts w:hint="eastAsia"/>
          <w:color w:val="auto"/>
          <w:highlight w:val="none"/>
          <w:lang w:val="en-US" w:eastAsia="zh-CN"/>
        </w:rPr>
        <w:t>6.4.3项目选址合理性分析</w:t>
      </w:r>
      <w:bookmarkEnd w:id="451"/>
    </w:p>
    <w:p>
      <w:pPr>
        <w:adjustRightInd w:val="0"/>
        <w:snapToGrid w:val="0"/>
        <w:ind w:firstLine="480"/>
        <w:rPr>
          <w:color w:val="auto"/>
          <w:highlight w:val="none"/>
        </w:rPr>
      </w:pPr>
      <w:r>
        <w:rPr>
          <w:rFonts w:hint="eastAsia"/>
          <w:color w:val="auto"/>
          <w:highlight w:val="none"/>
        </w:rPr>
        <w:t>本项目建设地点位于</w:t>
      </w:r>
      <w:r>
        <w:rPr>
          <w:rFonts w:hint="eastAsia"/>
          <w:color w:val="auto"/>
          <w:highlight w:val="none"/>
          <w:lang w:eastAsia="zh-CN"/>
        </w:rPr>
        <w:t>砚山县阿猛镇倮基黑卡子凹塘</w:t>
      </w:r>
      <w:r>
        <w:rPr>
          <w:rFonts w:hint="eastAsia"/>
          <w:color w:val="auto"/>
          <w:highlight w:val="none"/>
        </w:rPr>
        <w:t>，根据实地踏勘，矿山周边</w:t>
      </w:r>
      <w:r>
        <w:rPr>
          <w:color w:val="auto"/>
          <w:highlight w:val="none"/>
        </w:rPr>
        <w:t>50</w:t>
      </w:r>
      <w:r>
        <w:rPr>
          <w:rFonts w:hint="eastAsia"/>
          <w:color w:val="auto"/>
          <w:highlight w:val="none"/>
        </w:rPr>
        <w:t>0m范围内无居民点，具体项目选址合理分析如下：</w:t>
      </w:r>
    </w:p>
    <w:p>
      <w:pPr>
        <w:adjustRightInd w:val="0"/>
        <w:snapToGrid w:val="0"/>
        <w:ind w:firstLine="516" w:firstLineChars="215"/>
        <w:rPr>
          <w:color w:val="auto"/>
          <w:highlight w:val="none"/>
        </w:rPr>
      </w:pPr>
      <w:r>
        <w:rPr>
          <w:color w:val="auto"/>
          <w:highlight w:val="none"/>
        </w:rPr>
        <w:t>（1）</w:t>
      </w:r>
      <w:r>
        <w:rPr>
          <w:rFonts w:hint="eastAsia"/>
          <w:color w:val="auto"/>
          <w:highlight w:val="none"/>
        </w:rPr>
        <w:t>本项目</w:t>
      </w:r>
      <w:r>
        <w:rPr>
          <w:color w:val="auto"/>
          <w:highlight w:val="none"/>
        </w:rPr>
        <w:t>矿区不在国家、云南省、市、县级人民政府规定的自然保护区、生态保护区内，区内无国家及云南省规定的保护野生动物、植物及古树名木动植物分布。</w:t>
      </w:r>
    </w:p>
    <w:p>
      <w:pPr>
        <w:adjustRightInd w:val="0"/>
        <w:snapToGrid w:val="0"/>
        <w:ind w:firstLine="516" w:firstLineChars="215"/>
        <w:rPr>
          <w:color w:val="auto"/>
          <w:highlight w:val="none"/>
        </w:rPr>
      </w:pPr>
      <w:r>
        <w:rPr>
          <w:color w:val="auto"/>
          <w:highlight w:val="none"/>
        </w:rPr>
        <w:t>（2）</w:t>
      </w:r>
      <w:r>
        <w:rPr>
          <w:rFonts w:hint="eastAsia"/>
          <w:color w:val="auto"/>
          <w:highlight w:val="none"/>
        </w:rPr>
        <w:t>本</w:t>
      </w:r>
      <w:r>
        <w:rPr>
          <w:color w:val="auto"/>
          <w:highlight w:val="none"/>
        </w:rPr>
        <w:t>项目周边</w:t>
      </w:r>
      <w:r>
        <w:rPr>
          <w:rFonts w:hint="eastAsia"/>
          <w:color w:val="auto"/>
          <w:highlight w:val="none"/>
        </w:rPr>
        <w:t>500m范围内无居民点</w:t>
      </w:r>
      <w:r>
        <w:rPr>
          <w:color w:val="auto"/>
          <w:highlight w:val="none"/>
        </w:rPr>
        <w:t>，评价范围内没有学校、医院、特殊文物保护单位等环境敏感点。</w:t>
      </w:r>
    </w:p>
    <w:p>
      <w:pPr>
        <w:adjustRightInd w:val="0"/>
        <w:snapToGrid w:val="0"/>
        <w:ind w:firstLine="516" w:firstLineChars="215"/>
        <w:rPr>
          <w:color w:val="auto"/>
          <w:highlight w:val="none"/>
        </w:rPr>
      </w:pPr>
      <w:r>
        <w:rPr>
          <w:color w:val="auto"/>
          <w:highlight w:val="none"/>
        </w:rPr>
        <w:t>（3）</w:t>
      </w:r>
      <w:r>
        <w:rPr>
          <w:rFonts w:hint="eastAsia"/>
          <w:color w:val="auto"/>
          <w:highlight w:val="none"/>
        </w:rPr>
        <w:t>根据矿山联勘联审审批意见表</w:t>
      </w:r>
      <w:r>
        <w:rPr>
          <w:rFonts w:hint="eastAsia"/>
          <w:color w:val="auto"/>
          <w:highlight w:val="none"/>
          <w:lang w:eastAsia="zh-CN"/>
        </w:rPr>
        <w:t>、</w:t>
      </w:r>
      <w:r>
        <w:rPr>
          <w:rFonts w:hint="eastAsia"/>
          <w:color w:val="auto"/>
          <w:highlight w:val="none"/>
        </w:rPr>
        <w:t>矿山生态环境综合评估意见表（详见附件</w:t>
      </w:r>
      <w:r>
        <w:rPr>
          <w:rFonts w:hint="eastAsia"/>
          <w:color w:val="auto"/>
          <w:highlight w:val="none"/>
          <w:lang w:val="en-US" w:eastAsia="zh-CN"/>
        </w:rPr>
        <w:t>4、</w:t>
      </w:r>
      <w:r>
        <w:rPr>
          <w:rFonts w:hint="eastAsia"/>
          <w:color w:val="auto"/>
          <w:highlight w:val="none"/>
        </w:rPr>
        <w:t>5），</w:t>
      </w:r>
      <w:r>
        <w:rPr>
          <w:rFonts w:hint="eastAsia"/>
          <w:color w:val="auto"/>
          <w:highlight w:val="none"/>
          <w:lang w:eastAsia="zh-CN"/>
        </w:rPr>
        <w:t>本项目</w:t>
      </w:r>
      <w:r>
        <w:rPr>
          <w:color w:val="auto"/>
          <w:highlight w:val="none"/>
        </w:rPr>
        <w:t>占地不涉及文物保护单位、自然保护区、</w:t>
      </w:r>
      <w:r>
        <w:rPr>
          <w:rFonts w:hint="eastAsia"/>
          <w:color w:val="auto"/>
          <w:highlight w:val="none"/>
          <w:lang w:eastAsia="zh-CN"/>
        </w:rPr>
        <w:t>国家公园、森林公园、重要湿地、</w:t>
      </w:r>
      <w:r>
        <w:rPr>
          <w:color w:val="auto"/>
          <w:highlight w:val="none"/>
        </w:rPr>
        <w:t>风景名胜区、饮用水源保护区</w:t>
      </w:r>
      <w:r>
        <w:rPr>
          <w:rFonts w:hint="eastAsia"/>
          <w:color w:val="auto"/>
          <w:highlight w:val="none"/>
          <w:lang w:eastAsia="zh-CN"/>
        </w:rPr>
        <w:t>、基本农田</w:t>
      </w:r>
      <w:r>
        <w:rPr>
          <w:color w:val="auto"/>
          <w:highlight w:val="none"/>
        </w:rPr>
        <w:t>等法定环境敏感区和特殊功能生态区，占地主要是荒坡裸岩、草地</w:t>
      </w:r>
      <w:r>
        <w:rPr>
          <w:rFonts w:hint="eastAsia"/>
          <w:color w:val="auto"/>
          <w:highlight w:val="none"/>
        </w:rPr>
        <w:t>、林地</w:t>
      </w:r>
      <w:r>
        <w:rPr>
          <w:color w:val="auto"/>
          <w:highlight w:val="none"/>
        </w:rPr>
        <w:t>和其他用地，项目实施不会造成较大数量的植被破坏，对景观的负面影响不大。</w:t>
      </w:r>
    </w:p>
    <w:p>
      <w:pPr>
        <w:adjustRightInd w:val="0"/>
        <w:snapToGrid w:val="0"/>
        <w:ind w:firstLine="516" w:firstLineChars="215"/>
        <w:rPr>
          <w:rFonts w:hint="eastAsia"/>
          <w:color w:val="auto"/>
          <w:highlight w:val="none"/>
          <w:lang w:eastAsia="zh-CN"/>
        </w:rPr>
      </w:pPr>
      <w:r>
        <w:rPr>
          <w:color w:val="auto"/>
          <w:highlight w:val="none"/>
        </w:rPr>
        <w:t>（</w:t>
      </w:r>
      <w:r>
        <w:rPr>
          <w:rFonts w:hint="eastAsia"/>
          <w:color w:val="auto"/>
          <w:highlight w:val="none"/>
        </w:rPr>
        <w:t>4</w:t>
      </w:r>
      <w:r>
        <w:rPr>
          <w:color w:val="auto"/>
          <w:highlight w:val="none"/>
        </w:rPr>
        <w:t>）</w:t>
      </w:r>
      <w:r>
        <w:rPr>
          <w:rFonts w:hint="eastAsia"/>
          <w:color w:val="auto"/>
          <w:highlight w:val="none"/>
        </w:rPr>
        <w:t>本项目</w:t>
      </w:r>
      <w:r>
        <w:rPr>
          <w:rFonts w:hint="eastAsia"/>
          <w:color w:val="auto"/>
          <w:highlight w:val="none"/>
          <w:lang w:eastAsia="zh-CN"/>
        </w:rPr>
        <w:t>新建</w:t>
      </w:r>
      <w:r>
        <w:rPr>
          <w:rFonts w:hint="eastAsia"/>
          <w:color w:val="auto"/>
          <w:highlight w:val="none"/>
        </w:rPr>
        <w:t>后矿界范围不变</w:t>
      </w:r>
      <w:r>
        <w:rPr>
          <w:color w:val="auto"/>
          <w:highlight w:val="none"/>
        </w:rPr>
        <w:t>，矿区周边300m范围内无其他采矿权</w:t>
      </w:r>
      <w:r>
        <w:rPr>
          <w:rFonts w:hint="eastAsia"/>
          <w:color w:val="auto"/>
          <w:highlight w:val="none"/>
          <w:lang w:eastAsia="zh-CN"/>
        </w:rPr>
        <w:t>；</w:t>
      </w:r>
    </w:p>
    <w:p>
      <w:pPr>
        <w:pStyle w:val="17"/>
        <w:rPr>
          <w:rFonts w:hint="eastAsia"/>
          <w:color w:val="auto"/>
          <w:highlight w:val="none"/>
          <w:lang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eastAsia="zh-CN"/>
        </w:rPr>
        <w:t>）根据</w:t>
      </w:r>
      <w:r>
        <w:rPr>
          <w:rFonts w:hint="default" w:ascii="Times New Roman" w:hAnsi="Times New Roman" w:cs="Times New Roman"/>
          <w:color w:val="auto"/>
          <w:highlight w:val="none"/>
          <w:lang w:val="en-US" w:eastAsia="zh-CN"/>
        </w:rPr>
        <w:t>2019年</w:t>
      </w:r>
      <w:r>
        <w:rPr>
          <w:rFonts w:hint="eastAsia" w:ascii="Times New Roman" w:hAnsi="Times New Roman" w:cs="Times New Roman"/>
          <w:color w:val="auto"/>
          <w:highlight w:val="none"/>
          <w:lang w:val="en-US" w:eastAsia="zh-CN"/>
        </w:rPr>
        <w:t>10</w:t>
      </w:r>
      <w:r>
        <w:rPr>
          <w:rFonts w:hint="default" w:ascii="Times New Roman" w:hAnsi="Times New Roman" w:cs="Times New Roman"/>
          <w:color w:val="auto"/>
          <w:highlight w:val="none"/>
          <w:lang w:val="en-US" w:eastAsia="zh-CN"/>
        </w:rPr>
        <w:t>月</w:t>
      </w:r>
      <w:r>
        <w:rPr>
          <w:rFonts w:hint="eastAsia" w:ascii="Times New Roman" w:hAnsi="Times New Roman" w:cs="Times New Roman"/>
          <w:color w:val="auto"/>
          <w:highlight w:val="none"/>
          <w:lang w:val="en-US" w:eastAsia="zh-CN"/>
        </w:rPr>
        <w:t>12</w:t>
      </w:r>
      <w:r>
        <w:rPr>
          <w:rFonts w:hint="default" w:ascii="Times New Roman" w:hAnsi="Times New Roman" w:cs="Times New Roman"/>
          <w:color w:val="auto"/>
          <w:highlight w:val="none"/>
          <w:lang w:val="en-US" w:eastAsia="zh-CN"/>
        </w:rPr>
        <w:t>日</w:t>
      </w:r>
      <w:r>
        <w:rPr>
          <w:rFonts w:hint="eastAsia" w:ascii="Times New Roman" w:hAnsi="Times New Roman" w:cs="Times New Roman"/>
          <w:color w:val="auto"/>
          <w:highlight w:val="none"/>
          <w:lang w:val="en-US" w:eastAsia="zh-CN"/>
        </w:rPr>
        <w:t>砚山县</w:t>
      </w:r>
      <w:r>
        <w:rPr>
          <w:rFonts w:hint="default" w:ascii="Times New Roman" w:hAnsi="Times New Roman" w:cs="Times New Roman"/>
          <w:color w:val="auto"/>
          <w:highlight w:val="none"/>
          <w:lang w:val="en-US" w:eastAsia="zh-CN"/>
        </w:rPr>
        <w:t>生态保护红线数据查询审批表，本项目矿权范围未涉及生态保护红线</w:t>
      </w:r>
      <w:r>
        <w:rPr>
          <w:rFonts w:hint="eastAsia" w:ascii="Times New Roman" w:hAnsi="Times New Roman" w:cs="Times New Roman"/>
          <w:color w:val="auto"/>
          <w:highlight w:val="none"/>
          <w:lang w:val="en-US" w:eastAsia="zh-CN"/>
        </w:rPr>
        <w:t>（详见附件5）</w:t>
      </w:r>
      <w:r>
        <w:rPr>
          <w:rFonts w:hint="default" w:ascii="Times New Roman" w:hAnsi="Times New Roman" w:cs="Times New Roman"/>
          <w:color w:val="auto"/>
          <w:highlight w:val="none"/>
          <w:lang w:val="en-US" w:eastAsia="zh-CN"/>
        </w:rPr>
        <w:t>。</w:t>
      </w:r>
    </w:p>
    <w:p>
      <w:pPr>
        <w:spacing w:line="480" w:lineRule="exact"/>
        <w:ind w:firstLine="482" w:firstLineChars="200"/>
        <w:rPr>
          <w:b/>
          <w:bCs/>
          <w:color w:val="auto"/>
          <w:sz w:val="24"/>
          <w:szCs w:val="24"/>
          <w:highlight w:val="none"/>
        </w:rPr>
      </w:pPr>
      <w:r>
        <w:rPr>
          <w:rFonts w:hint="eastAsia"/>
          <w:b/>
          <w:bCs/>
          <w:color w:val="auto"/>
          <w:sz w:val="24"/>
          <w:szCs w:val="24"/>
          <w:highlight w:val="none"/>
          <w:lang w:eastAsia="zh-CN"/>
        </w:rPr>
        <w:t>（</w:t>
      </w:r>
      <w:r>
        <w:rPr>
          <w:rFonts w:hint="eastAsia"/>
          <w:b/>
          <w:bCs/>
          <w:color w:val="auto"/>
          <w:sz w:val="24"/>
          <w:szCs w:val="24"/>
          <w:highlight w:val="none"/>
          <w:lang w:val="en-US" w:eastAsia="zh-CN"/>
        </w:rPr>
        <w:t>6</w:t>
      </w:r>
      <w:r>
        <w:rPr>
          <w:rFonts w:hint="eastAsia"/>
          <w:b/>
          <w:bCs/>
          <w:color w:val="auto"/>
          <w:sz w:val="24"/>
          <w:szCs w:val="24"/>
          <w:highlight w:val="none"/>
          <w:lang w:eastAsia="zh-CN"/>
        </w:rPr>
        <w:t>）</w:t>
      </w:r>
      <w:r>
        <w:rPr>
          <w:rFonts w:hint="eastAsia"/>
          <w:b/>
          <w:bCs/>
          <w:color w:val="auto"/>
          <w:sz w:val="24"/>
          <w:szCs w:val="24"/>
          <w:highlight w:val="none"/>
        </w:rPr>
        <w:t>排土场选址合理性分析</w:t>
      </w:r>
    </w:p>
    <w:p>
      <w:pPr>
        <w:spacing w:line="480" w:lineRule="exact"/>
        <w:ind w:firstLine="480" w:firstLineChars="200"/>
        <w:rPr>
          <w:bCs/>
          <w:color w:val="auto"/>
          <w:sz w:val="24"/>
          <w:szCs w:val="24"/>
          <w:highlight w:val="none"/>
        </w:rPr>
      </w:pPr>
      <w:r>
        <w:rPr>
          <w:rFonts w:hint="eastAsia"/>
          <w:bCs/>
          <w:color w:val="auto"/>
          <w:sz w:val="24"/>
          <w:szCs w:val="24"/>
          <w:highlight w:val="none"/>
        </w:rPr>
        <w:t>本项目废土石及弃渣属第Ⅰ类一般工业固体废物，依据《一般工业固体废物贮存、处置场污染控制标准》（GB18599-2001）Ⅰ类一般工业固废处置场要求进行分析。排土场场址选择的环境保护要求与本项目的符合性见表 6.</w:t>
      </w:r>
      <w:r>
        <w:rPr>
          <w:rFonts w:hint="eastAsia"/>
          <w:bCs/>
          <w:color w:val="auto"/>
          <w:sz w:val="24"/>
          <w:szCs w:val="24"/>
          <w:highlight w:val="none"/>
          <w:lang w:val="en-US" w:eastAsia="zh-CN"/>
        </w:rPr>
        <w:t>4-4</w:t>
      </w:r>
      <w:r>
        <w:rPr>
          <w:rFonts w:hint="eastAsia"/>
          <w:bCs/>
          <w:color w:val="auto"/>
          <w:sz w:val="24"/>
          <w:szCs w:val="24"/>
          <w:highlight w:val="none"/>
        </w:rPr>
        <w:t>，排土场场址设计的环境保护要求与本项目的符合性见表6.</w:t>
      </w:r>
      <w:r>
        <w:rPr>
          <w:rFonts w:hint="eastAsia"/>
          <w:bCs/>
          <w:color w:val="auto"/>
          <w:sz w:val="24"/>
          <w:szCs w:val="24"/>
          <w:highlight w:val="none"/>
          <w:lang w:val="en-US" w:eastAsia="zh-CN"/>
        </w:rPr>
        <w:t>4-5</w:t>
      </w:r>
      <w:r>
        <w:rPr>
          <w:rFonts w:hint="eastAsia"/>
          <w:bCs/>
          <w:color w:val="auto"/>
          <w:sz w:val="24"/>
          <w:szCs w:val="24"/>
          <w:highlight w:val="none"/>
        </w:rPr>
        <w:t>，贮存、处置场的运行管理环境保护要求与本项目的符合性见表6.</w:t>
      </w:r>
      <w:r>
        <w:rPr>
          <w:rFonts w:hint="eastAsia"/>
          <w:bCs/>
          <w:color w:val="auto"/>
          <w:sz w:val="24"/>
          <w:szCs w:val="24"/>
          <w:highlight w:val="none"/>
          <w:lang w:val="en-US" w:eastAsia="zh-CN"/>
        </w:rPr>
        <w:t>4-6</w:t>
      </w:r>
      <w:r>
        <w:rPr>
          <w:rFonts w:hint="eastAsia"/>
          <w:bCs/>
          <w:color w:val="auto"/>
          <w:sz w:val="24"/>
          <w:szCs w:val="24"/>
          <w:highlight w:val="none"/>
        </w:rPr>
        <w:t>，贮存、处置场的关闭和封场环境保护要求与本项目的符合性见表6.</w:t>
      </w:r>
      <w:r>
        <w:rPr>
          <w:rFonts w:hint="eastAsia"/>
          <w:bCs/>
          <w:color w:val="auto"/>
          <w:sz w:val="24"/>
          <w:szCs w:val="24"/>
          <w:highlight w:val="none"/>
          <w:lang w:val="en-US" w:eastAsia="zh-CN"/>
        </w:rPr>
        <w:t>4-7</w:t>
      </w:r>
      <w:r>
        <w:rPr>
          <w:rFonts w:hint="eastAsia"/>
          <w:bCs/>
          <w:color w:val="auto"/>
          <w:sz w:val="24"/>
          <w:szCs w:val="24"/>
          <w:highlight w:val="none"/>
        </w:rPr>
        <w:t>。</w:t>
      </w:r>
    </w:p>
    <w:p>
      <w:pPr>
        <w:adjustRightInd w:val="0"/>
        <w:snapToGrid w:val="0"/>
        <w:spacing w:line="480" w:lineRule="exact"/>
        <w:jc w:val="center"/>
        <w:rPr>
          <w:b/>
          <w:color w:val="auto"/>
          <w:sz w:val="21"/>
          <w:szCs w:val="21"/>
          <w:highlight w:val="none"/>
        </w:rPr>
      </w:pPr>
      <w:bookmarkStart w:id="452" w:name="_Toc175816877"/>
      <w:r>
        <w:rPr>
          <w:rFonts w:hint="eastAsia"/>
          <w:b/>
          <w:color w:val="auto"/>
          <w:sz w:val="21"/>
          <w:szCs w:val="21"/>
          <w:highlight w:val="none"/>
        </w:rPr>
        <w:t>表</w:t>
      </w:r>
      <w:r>
        <w:rPr>
          <w:b/>
          <w:color w:val="auto"/>
          <w:sz w:val="21"/>
          <w:szCs w:val="21"/>
          <w:highlight w:val="none"/>
        </w:rPr>
        <w:t>6.</w:t>
      </w:r>
      <w:r>
        <w:rPr>
          <w:rFonts w:hint="eastAsia"/>
          <w:b/>
          <w:color w:val="auto"/>
          <w:sz w:val="21"/>
          <w:szCs w:val="21"/>
          <w:highlight w:val="none"/>
          <w:lang w:val="en-US" w:eastAsia="zh-CN"/>
        </w:rPr>
        <w:t>6.4-4</w:t>
      </w:r>
      <w:r>
        <w:rPr>
          <w:rFonts w:hint="eastAsia"/>
          <w:b/>
          <w:color w:val="auto"/>
          <w:sz w:val="21"/>
          <w:szCs w:val="21"/>
          <w:highlight w:val="none"/>
        </w:rPr>
        <w:t>排土场址选择的环境保护要求与本项目的符合性</w:t>
      </w:r>
      <w:bookmarkEnd w:id="452"/>
    </w:p>
    <w:tbl>
      <w:tblPr>
        <w:tblStyle w:val="29"/>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7"/>
        <w:gridCol w:w="5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07" w:type="dxa"/>
            <w:tcBorders>
              <w:top w:val="single" w:color="auto" w:sz="4" w:space="0"/>
              <w:left w:val="single" w:color="auto" w:sz="4" w:space="0"/>
              <w:bottom w:val="single" w:color="auto" w:sz="4" w:space="0"/>
              <w:right w:val="single" w:color="auto" w:sz="4" w:space="0"/>
            </w:tcBorders>
            <w:vAlign w:val="center"/>
          </w:tcPr>
          <w:p>
            <w:pPr>
              <w:spacing w:line="320" w:lineRule="exact"/>
              <w:rPr>
                <w:color w:val="auto"/>
                <w:sz w:val="21"/>
                <w:szCs w:val="21"/>
                <w:highlight w:val="none"/>
              </w:rPr>
            </w:pPr>
            <w:r>
              <w:rPr>
                <w:rFonts w:hint="eastAsia"/>
                <w:color w:val="auto"/>
                <w:sz w:val="21"/>
                <w:szCs w:val="21"/>
                <w:highlight w:val="none"/>
              </w:rPr>
              <w:t>场址选择的环境保护要求</w:t>
            </w:r>
          </w:p>
        </w:tc>
        <w:tc>
          <w:tcPr>
            <w:tcW w:w="5113" w:type="dxa"/>
            <w:tcBorders>
              <w:top w:val="single" w:color="auto" w:sz="4" w:space="0"/>
              <w:left w:val="single" w:color="auto" w:sz="4" w:space="0"/>
              <w:bottom w:val="single" w:color="auto" w:sz="4" w:space="0"/>
              <w:right w:val="single" w:color="auto" w:sz="4" w:space="0"/>
            </w:tcBorders>
            <w:vAlign w:val="center"/>
          </w:tcPr>
          <w:p>
            <w:pPr>
              <w:spacing w:line="320" w:lineRule="exact"/>
              <w:rPr>
                <w:color w:val="auto"/>
                <w:sz w:val="21"/>
                <w:szCs w:val="21"/>
                <w:highlight w:val="none"/>
              </w:rPr>
            </w:pPr>
            <w:r>
              <w:rPr>
                <w:rFonts w:hint="eastAsia"/>
                <w:color w:val="auto"/>
                <w:sz w:val="21"/>
                <w:szCs w:val="21"/>
                <w:highlight w:val="none"/>
              </w:rPr>
              <w:t>拟建项目的符合性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07" w:type="dxa"/>
            <w:tcBorders>
              <w:top w:val="single" w:color="auto" w:sz="4" w:space="0"/>
              <w:left w:val="single" w:color="auto" w:sz="4" w:space="0"/>
              <w:bottom w:val="single" w:color="auto" w:sz="4" w:space="0"/>
              <w:right w:val="single" w:color="auto" w:sz="4" w:space="0"/>
            </w:tcBorders>
            <w:vAlign w:val="center"/>
          </w:tcPr>
          <w:p>
            <w:pPr>
              <w:spacing w:line="320" w:lineRule="exact"/>
              <w:rPr>
                <w:color w:val="auto"/>
                <w:sz w:val="21"/>
                <w:szCs w:val="21"/>
                <w:highlight w:val="none"/>
              </w:rPr>
            </w:pPr>
            <w:r>
              <w:rPr>
                <w:rFonts w:hint="eastAsia"/>
                <w:color w:val="auto"/>
                <w:sz w:val="21"/>
                <w:szCs w:val="21"/>
                <w:highlight w:val="none"/>
              </w:rPr>
              <w:t>所选场址应符合当地城乡建设总体规划要求</w:t>
            </w:r>
          </w:p>
        </w:tc>
        <w:tc>
          <w:tcPr>
            <w:tcW w:w="5113" w:type="dxa"/>
            <w:tcBorders>
              <w:top w:val="single" w:color="auto" w:sz="4" w:space="0"/>
              <w:left w:val="single" w:color="auto" w:sz="4" w:space="0"/>
              <w:bottom w:val="single" w:color="auto" w:sz="4" w:space="0"/>
              <w:right w:val="single" w:color="auto" w:sz="4" w:space="0"/>
            </w:tcBorders>
            <w:vAlign w:val="center"/>
          </w:tcPr>
          <w:p>
            <w:pPr>
              <w:spacing w:line="320" w:lineRule="exact"/>
              <w:rPr>
                <w:color w:val="auto"/>
                <w:sz w:val="21"/>
                <w:szCs w:val="21"/>
                <w:highlight w:val="none"/>
              </w:rPr>
            </w:pPr>
            <w:r>
              <w:rPr>
                <w:rFonts w:hint="eastAsia"/>
                <w:color w:val="auto"/>
                <w:sz w:val="21"/>
                <w:szCs w:val="21"/>
                <w:highlight w:val="none"/>
              </w:rPr>
              <w:t>该排土场区远离集镇，所选场址不在竹园镇城镇规划范围内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07" w:type="dxa"/>
            <w:tcBorders>
              <w:top w:val="single" w:color="auto" w:sz="4" w:space="0"/>
              <w:left w:val="single" w:color="auto" w:sz="4" w:space="0"/>
              <w:bottom w:val="single" w:color="auto" w:sz="4" w:space="0"/>
              <w:right w:val="single" w:color="auto" w:sz="4" w:space="0"/>
            </w:tcBorders>
            <w:vAlign w:val="center"/>
          </w:tcPr>
          <w:p>
            <w:pPr>
              <w:spacing w:line="320" w:lineRule="exact"/>
              <w:rPr>
                <w:color w:val="auto"/>
                <w:sz w:val="21"/>
                <w:szCs w:val="21"/>
                <w:highlight w:val="none"/>
              </w:rPr>
            </w:pPr>
            <w:r>
              <w:rPr>
                <w:rFonts w:hint="eastAsia"/>
                <w:color w:val="auto"/>
                <w:sz w:val="21"/>
                <w:szCs w:val="21"/>
                <w:highlight w:val="none"/>
              </w:rPr>
              <w:t>应选在工业区和居民集中区主导风向下风侧，厂界距居民集中区</w:t>
            </w:r>
            <w:r>
              <w:rPr>
                <w:color w:val="auto"/>
                <w:sz w:val="21"/>
                <w:szCs w:val="21"/>
                <w:highlight w:val="none"/>
              </w:rPr>
              <w:t>500m</w:t>
            </w:r>
            <w:r>
              <w:rPr>
                <w:rFonts w:hint="eastAsia"/>
                <w:color w:val="auto"/>
                <w:sz w:val="21"/>
                <w:szCs w:val="21"/>
                <w:highlight w:val="none"/>
              </w:rPr>
              <w:t>以外</w:t>
            </w:r>
          </w:p>
        </w:tc>
        <w:tc>
          <w:tcPr>
            <w:tcW w:w="5113" w:type="dxa"/>
            <w:tcBorders>
              <w:top w:val="single" w:color="auto" w:sz="4" w:space="0"/>
              <w:left w:val="single" w:color="auto" w:sz="4" w:space="0"/>
              <w:bottom w:val="single" w:color="auto" w:sz="4" w:space="0"/>
              <w:right w:val="single" w:color="auto" w:sz="4" w:space="0"/>
            </w:tcBorders>
            <w:vAlign w:val="center"/>
          </w:tcPr>
          <w:p>
            <w:pPr>
              <w:spacing w:line="320" w:lineRule="exact"/>
              <w:rPr>
                <w:color w:val="auto"/>
                <w:sz w:val="21"/>
                <w:szCs w:val="21"/>
                <w:highlight w:val="none"/>
              </w:rPr>
            </w:pPr>
            <w:r>
              <w:rPr>
                <w:rFonts w:hint="eastAsia"/>
                <w:color w:val="auto"/>
                <w:sz w:val="21"/>
                <w:szCs w:val="21"/>
                <w:highlight w:val="none"/>
              </w:rPr>
              <w:t>木棉堆位于排土场主导风的侧方向，排土场与木棉堆1281</w:t>
            </w:r>
            <w:r>
              <w:rPr>
                <w:color w:val="auto"/>
                <w:sz w:val="21"/>
                <w:szCs w:val="21"/>
                <w:highlight w:val="none"/>
              </w:rPr>
              <w:t>m</w:t>
            </w:r>
            <w:r>
              <w:rPr>
                <w:rFonts w:hint="eastAsia"/>
                <w:color w:val="auto"/>
                <w:sz w:val="21"/>
                <w:szCs w:val="21"/>
                <w:highlight w:val="none"/>
              </w:rPr>
              <w:t>，但中间有山体阻隔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07" w:type="dxa"/>
            <w:tcBorders>
              <w:top w:val="single" w:color="auto" w:sz="4" w:space="0"/>
              <w:left w:val="single" w:color="auto" w:sz="4" w:space="0"/>
              <w:bottom w:val="single" w:color="auto" w:sz="4" w:space="0"/>
              <w:right w:val="single" w:color="auto" w:sz="4" w:space="0"/>
            </w:tcBorders>
            <w:vAlign w:val="center"/>
          </w:tcPr>
          <w:p>
            <w:pPr>
              <w:spacing w:line="320" w:lineRule="exact"/>
              <w:rPr>
                <w:color w:val="auto"/>
                <w:sz w:val="21"/>
                <w:szCs w:val="21"/>
                <w:highlight w:val="none"/>
              </w:rPr>
            </w:pPr>
            <w:r>
              <w:rPr>
                <w:rFonts w:hint="eastAsia"/>
                <w:color w:val="auto"/>
                <w:sz w:val="21"/>
                <w:szCs w:val="21"/>
                <w:highlight w:val="none"/>
              </w:rPr>
              <w:t>应选在满足承载力要求的地基上，以避免地基下沉的影响，特别是不均匀或局部下沉的影响</w:t>
            </w:r>
          </w:p>
        </w:tc>
        <w:tc>
          <w:tcPr>
            <w:tcW w:w="5113" w:type="dxa"/>
            <w:tcBorders>
              <w:top w:val="single" w:color="auto" w:sz="4" w:space="0"/>
              <w:left w:val="single" w:color="auto" w:sz="4" w:space="0"/>
              <w:bottom w:val="single" w:color="auto" w:sz="4" w:space="0"/>
              <w:right w:val="single" w:color="auto" w:sz="4" w:space="0"/>
            </w:tcBorders>
            <w:vAlign w:val="center"/>
          </w:tcPr>
          <w:p>
            <w:pPr>
              <w:spacing w:line="320" w:lineRule="exact"/>
              <w:rPr>
                <w:color w:val="auto"/>
                <w:sz w:val="21"/>
                <w:szCs w:val="21"/>
                <w:highlight w:val="none"/>
              </w:rPr>
            </w:pPr>
            <w:r>
              <w:rPr>
                <w:rFonts w:hint="eastAsia"/>
                <w:color w:val="auto"/>
                <w:sz w:val="21"/>
                <w:szCs w:val="21"/>
                <w:highlight w:val="none"/>
              </w:rPr>
              <w:t>场址地基状况基本满足承载力要求。基本符合该条要求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07" w:type="dxa"/>
            <w:tcBorders>
              <w:top w:val="single" w:color="auto" w:sz="4" w:space="0"/>
              <w:left w:val="single" w:color="auto" w:sz="4" w:space="0"/>
              <w:bottom w:val="single" w:color="auto" w:sz="4" w:space="0"/>
              <w:right w:val="single" w:color="auto" w:sz="4" w:space="0"/>
            </w:tcBorders>
            <w:vAlign w:val="center"/>
          </w:tcPr>
          <w:p>
            <w:pPr>
              <w:spacing w:line="320" w:lineRule="exact"/>
              <w:rPr>
                <w:color w:val="auto"/>
                <w:sz w:val="21"/>
                <w:szCs w:val="21"/>
                <w:highlight w:val="none"/>
              </w:rPr>
            </w:pPr>
            <w:r>
              <w:rPr>
                <w:rFonts w:hint="eastAsia"/>
                <w:color w:val="auto"/>
                <w:sz w:val="21"/>
                <w:szCs w:val="21"/>
                <w:highlight w:val="none"/>
              </w:rPr>
              <w:t>应避开断层、断层破碎带、溶洞区，以及天然滑坡或泥石流影响区</w:t>
            </w:r>
          </w:p>
        </w:tc>
        <w:tc>
          <w:tcPr>
            <w:tcW w:w="5113" w:type="dxa"/>
            <w:tcBorders>
              <w:top w:val="single" w:color="auto" w:sz="4" w:space="0"/>
              <w:left w:val="single" w:color="auto" w:sz="4" w:space="0"/>
              <w:bottom w:val="single" w:color="auto" w:sz="4" w:space="0"/>
              <w:right w:val="single" w:color="auto" w:sz="4" w:space="0"/>
            </w:tcBorders>
            <w:vAlign w:val="center"/>
          </w:tcPr>
          <w:p>
            <w:pPr>
              <w:spacing w:line="320" w:lineRule="exact"/>
              <w:rPr>
                <w:color w:val="auto"/>
                <w:sz w:val="21"/>
                <w:szCs w:val="21"/>
                <w:highlight w:val="none"/>
              </w:rPr>
            </w:pPr>
            <w:r>
              <w:rPr>
                <w:rFonts w:hint="eastAsia"/>
                <w:color w:val="auto"/>
                <w:sz w:val="21"/>
                <w:szCs w:val="21"/>
                <w:highlight w:val="none"/>
              </w:rPr>
              <w:t>根据现场调查，排土场区内未发育断层、断层破碎带及溶洞区，也未发育滑坡及泥石流。场址选择符合该项要求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07" w:type="dxa"/>
            <w:tcBorders>
              <w:top w:val="single" w:color="auto" w:sz="4" w:space="0"/>
              <w:left w:val="single" w:color="auto" w:sz="4" w:space="0"/>
              <w:bottom w:val="single" w:color="auto" w:sz="4" w:space="0"/>
              <w:right w:val="single" w:color="auto" w:sz="4" w:space="0"/>
            </w:tcBorders>
            <w:vAlign w:val="center"/>
          </w:tcPr>
          <w:p>
            <w:pPr>
              <w:spacing w:line="320" w:lineRule="exact"/>
              <w:rPr>
                <w:color w:val="auto"/>
                <w:sz w:val="21"/>
                <w:szCs w:val="21"/>
                <w:highlight w:val="none"/>
              </w:rPr>
            </w:pPr>
            <w:r>
              <w:rPr>
                <w:rFonts w:hint="eastAsia"/>
                <w:color w:val="auto"/>
                <w:sz w:val="21"/>
                <w:szCs w:val="21"/>
                <w:highlight w:val="none"/>
              </w:rPr>
              <w:t>禁止选在江河、湖泊、水库最高水位线以下的滩地和洪泛区</w:t>
            </w:r>
          </w:p>
        </w:tc>
        <w:tc>
          <w:tcPr>
            <w:tcW w:w="5113" w:type="dxa"/>
            <w:tcBorders>
              <w:top w:val="single" w:color="auto" w:sz="4" w:space="0"/>
              <w:left w:val="single" w:color="auto" w:sz="4" w:space="0"/>
              <w:bottom w:val="single" w:color="auto" w:sz="4" w:space="0"/>
              <w:right w:val="single" w:color="auto" w:sz="4" w:space="0"/>
            </w:tcBorders>
            <w:vAlign w:val="center"/>
          </w:tcPr>
          <w:p>
            <w:pPr>
              <w:spacing w:line="320" w:lineRule="exact"/>
              <w:rPr>
                <w:color w:val="auto"/>
                <w:sz w:val="21"/>
                <w:szCs w:val="21"/>
                <w:highlight w:val="none"/>
              </w:rPr>
            </w:pPr>
            <w:r>
              <w:rPr>
                <w:rFonts w:hint="eastAsia"/>
                <w:color w:val="auto"/>
                <w:sz w:val="21"/>
                <w:szCs w:val="21"/>
                <w:highlight w:val="none"/>
              </w:rPr>
              <w:t>排土场内无湖泊、水库，不属于洪泛区。场址选择符合该条要求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07" w:type="dxa"/>
            <w:tcBorders>
              <w:top w:val="single" w:color="auto" w:sz="4" w:space="0"/>
              <w:left w:val="single" w:color="auto" w:sz="4" w:space="0"/>
              <w:bottom w:val="single" w:color="auto" w:sz="4" w:space="0"/>
              <w:right w:val="single" w:color="auto" w:sz="4" w:space="0"/>
            </w:tcBorders>
            <w:vAlign w:val="center"/>
          </w:tcPr>
          <w:p>
            <w:pPr>
              <w:spacing w:line="320" w:lineRule="exact"/>
              <w:rPr>
                <w:color w:val="auto"/>
                <w:sz w:val="21"/>
                <w:szCs w:val="21"/>
                <w:highlight w:val="none"/>
              </w:rPr>
            </w:pPr>
            <w:r>
              <w:rPr>
                <w:rFonts w:hint="eastAsia"/>
                <w:color w:val="auto"/>
                <w:sz w:val="21"/>
                <w:szCs w:val="21"/>
                <w:highlight w:val="none"/>
              </w:rPr>
              <w:t>禁止选在自然保护区、风景名胜区和其他需要特别保护的区域</w:t>
            </w:r>
          </w:p>
        </w:tc>
        <w:tc>
          <w:tcPr>
            <w:tcW w:w="5113" w:type="dxa"/>
            <w:tcBorders>
              <w:top w:val="single" w:color="auto" w:sz="4" w:space="0"/>
              <w:left w:val="single" w:color="auto" w:sz="4" w:space="0"/>
              <w:bottom w:val="single" w:color="auto" w:sz="4" w:space="0"/>
              <w:right w:val="single" w:color="auto" w:sz="4" w:space="0"/>
            </w:tcBorders>
            <w:vAlign w:val="center"/>
          </w:tcPr>
          <w:p>
            <w:pPr>
              <w:spacing w:line="320" w:lineRule="exact"/>
              <w:rPr>
                <w:color w:val="auto"/>
                <w:sz w:val="21"/>
                <w:szCs w:val="21"/>
                <w:highlight w:val="none"/>
              </w:rPr>
            </w:pPr>
            <w:r>
              <w:rPr>
                <w:rFonts w:hint="eastAsia"/>
                <w:color w:val="auto"/>
                <w:sz w:val="21"/>
                <w:szCs w:val="21"/>
                <w:highlight w:val="none"/>
              </w:rPr>
              <w:t>排土场不在自然保护区、风景名胜区内，地处于农业生产区，场址选择基本符合该条要求</w:t>
            </w:r>
          </w:p>
        </w:tc>
      </w:tr>
    </w:tbl>
    <w:p>
      <w:pPr>
        <w:adjustRightInd w:val="0"/>
        <w:snapToGrid w:val="0"/>
        <w:spacing w:line="480" w:lineRule="exact"/>
        <w:jc w:val="center"/>
        <w:rPr>
          <w:b/>
          <w:color w:val="auto"/>
          <w:sz w:val="21"/>
          <w:szCs w:val="21"/>
          <w:highlight w:val="none"/>
        </w:rPr>
      </w:pPr>
      <w:r>
        <w:rPr>
          <w:rFonts w:hint="eastAsia"/>
          <w:b/>
          <w:color w:val="auto"/>
          <w:sz w:val="21"/>
          <w:szCs w:val="21"/>
          <w:highlight w:val="none"/>
        </w:rPr>
        <w:t>表</w:t>
      </w:r>
      <w:r>
        <w:rPr>
          <w:b/>
          <w:color w:val="auto"/>
          <w:sz w:val="21"/>
          <w:szCs w:val="21"/>
          <w:highlight w:val="none"/>
        </w:rPr>
        <w:t>6.</w:t>
      </w:r>
      <w:r>
        <w:rPr>
          <w:rFonts w:hint="eastAsia"/>
          <w:b/>
          <w:color w:val="auto"/>
          <w:sz w:val="21"/>
          <w:szCs w:val="21"/>
          <w:highlight w:val="none"/>
          <w:lang w:val="en-US" w:eastAsia="zh-CN"/>
        </w:rPr>
        <w:t>4-5</w:t>
      </w:r>
      <w:r>
        <w:rPr>
          <w:rFonts w:hint="eastAsia"/>
          <w:b/>
          <w:color w:val="auto"/>
          <w:sz w:val="21"/>
          <w:szCs w:val="21"/>
          <w:highlight w:val="none"/>
        </w:rPr>
        <w:t>排土场址设计的环境保护要求与本项目的符合性</w:t>
      </w:r>
    </w:p>
    <w:tbl>
      <w:tblPr>
        <w:tblStyle w:val="29"/>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3"/>
        <w:gridCol w:w="4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43" w:type="dxa"/>
            <w:tcBorders>
              <w:top w:val="single" w:color="auto" w:sz="4" w:space="0"/>
              <w:left w:val="single" w:color="auto" w:sz="4" w:space="0"/>
              <w:bottom w:val="single" w:color="auto" w:sz="4" w:space="0"/>
              <w:right w:val="single" w:color="auto" w:sz="4" w:space="0"/>
            </w:tcBorders>
            <w:vAlign w:val="center"/>
          </w:tcPr>
          <w:p>
            <w:pPr>
              <w:spacing w:line="320" w:lineRule="exact"/>
              <w:rPr>
                <w:color w:val="auto"/>
                <w:sz w:val="21"/>
                <w:szCs w:val="21"/>
                <w:highlight w:val="none"/>
              </w:rPr>
            </w:pPr>
            <w:r>
              <w:rPr>
                <w:rFonts w:hint="eastAsia"/>
                <w:color w:val="auto"/>
                <w:sz w:val="21"/>
                <w:szCs w:val="21"/>
                <w:highlight w:val="none"/>
              </w:rPr>
              <w:t>场址设计的环境保护要求</w:t>
            </w:r>
          </w:p>
        </w:tc>
        <w:tc>
          <w:tcPr>
            <w:tcW w:w="4377" w:type="dxa"/>
            <w:tcBorders>
              <w:top w:val="single" w:color="auto" w:sz="4" w:space="0"/>
              <w:left w:val="single" w:color="auto" w:sz="4" w:space="0"/>
              <w:bottom w:val="single" w:color="auto" w:sz="4" w:space="0"/>
              <w:right w:val="single" w:color="auto" w:sz="4" w:space="0"/>
            </w:tcBorders>
            <w:vAlign w:val="center"/>
          </w:tcPr>
          <w:p>
            <w:pPr>
              <w:spacing w:line="320" w:lineRule="exact"/>
              <w:rPr>
                <w:color w:val="auto"/>
                <w:sz w:val="21"/>
                <w:szCs w:val="21"/>
                <w:highlight w:val="none"/>
              </w:rPr>
            </w:pPr>
            <w:r>
              <w:rPr>
                <w:rFonts w:hint="eastAsia"/>
                <w:color w:val="auto"/>
                <w:sz w:val="21"/>
                <w:szCs w:val="21"/>
                <w:highlight w:val="none"/>
              </w:rPr>
              <w:t>拟建项目的符合性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43" w:type="dxa"/>
            <w:tcBorders>
              <w:top w:val="single" w:color="auto" w:sz="4" w:space="0"/>
              <w:left w:val="single" w:color="auto" w:sz="4" w:space="0"/>
              <w:bottom w:val="single" w:color="auto" w:sz="4" w:space="0"/>
              <w:right w:val="single" w:color="auto" w:sz="4" w:space="0"/>
            </w:tcBorders>
            <w:vAlign w:val="center"/>
          </w:tcPr>
          <w:p>
            <w:pPr>
              <w:spacing w:line="320" w:lineRule="exact"/>
              <w:rPr>
                <w:color w:val="auto"/>
                <w:sz w:val="21"/>
                <w:szCs w:val="21"/>
                <w:highlight w:val="none"/>
              </w:rPr>
            </w:pPr>
            <w:r>
              <w:rPr>
                <w:rFonts w:hint="eastAsia"/>
                <w:color w:val="auto"/>
                <w:sz w:val="21"/>
                <w:szCs w:val="21"/>
                <w:highlight w:val="none"/>
              </w:rPr>
              <w:t>贮存、处置场的建设类型，必须与将要堆放的一般工业固体废物的类别相一致</w:t>
            </w:r>
          </w:p>
        </w:tc>
        <w:tc>
          <w:tcPr>
            <w:tcW w:w="4377" w:type="dxa"/>
            <w:tcBorders>
              <w:top w:val="single" w:color="auto" w:sz="4" w:space="0"/>
              <w:left w:val="single" w:color="auto" w:sz="4" w:space="0"/>
              <w:bottom w:val="single" w:color="auto" w:sz="4" w:space="0"/>
              <w:right w:val="single" w:color="auto" w:sz="4" w:space="0"/>
            </w:tcBorders>
            <w:vAlign w:val="center"/>
          </w:tcPr>
          <w:p>
            <w:pPr>
              <w:spacing w:line="320" w:lineRule="exact"/>
              <w:rPr>
                <w:color w:val="auto"/>
                <w:sz w:val="21"/>
                <w:szCs w:val="21"/>
                <w:highlight w:val="none"/>
              </w:rPr>
            </w:pPr>
            <w:r>
              <w:rPr>
                <w:rFonts w:hint="eastAsia"/>
                <w:color w:val="auto"/>
                <w:sz w:val="21"/>
                <w:szCs w:val="21"/>
                <w:highlight w:val="none"/>
              </w:rPr>
              <w:t>该排土场堆放物为一般工业固体废物，符合该项要求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43" w:type="dxa"/>
            <w:tcBorders>
              <w:top w:val="single" w:color="auto" w:sz="4" w:space="0"/>
              <w:left w:val="single" w:color="auto" w:sz="4" w:space="0"/>
              <w:bottom w:val="single" w:color="auto" w:sz="4" w:space="0"/>
              <w:right w:val="single" w:color="auto" w:sz="4" w:space="0"/>
            </w:tcBorders>
            <w:vAlign w:val="center"/>
          </w:tcPr>
          <w:p>
            <w:pPr>
              <w:spacing w:line="320" w:lineRule="exact"/>
              <w:rPr>
                <w:color w:val="auto"/>
                <w:sz w:val="21"/>
                <w:szCs w:val="21"/>
                <w:highlight w:val="none"/>
              </w:rPr>
            </w:pPr>
            <w:r>
              <w:rPr>
                <w:rFonts w:hint="eastAsia"/>
                <w:color w:val="auto"/>
                <w:sz w:val="21"/>
                <w:szCs w:val="21"/>
                <w:highlight w:val="none"/>
              </w:rPr>
              <w:t>建设项目环境影响评价中应设置贮存、处置分析</w:t>
            </w:r>
          </w:p>
        </w:tc>
        <w:tc>
          <w:tcPr>
            <w:tcW w:w="4377" w:type="dxa"/>
            <w:tcBorders>
              <w:top w:val="single" w:color="auto" w:sz="4" w:space="0"/>
              <w:left w:val="single" w:color="auto" w:sz="4" w:space="0"/>
              <w:bottom w:val="single" w:color="auto" w:sz="4" w:space="0"/>
              <w:right w:val="single" w:color="auto" w:sz="4" w:space="0"/>
            </w:tcBorders>
            <w:vAlign w:val="center"/>
          </w:tcPr>
          <w:p>
            <w:pPr>
              <w:spacing w:line="320" w:lineRule="exact"/>
              <w:rPr>
                <w:color w:val="auto"/>
                <w:sz w:val="21"/>
                <w:szCs w:val="21"/>
                <w:highlight w:val="none"/>
              </w:rPr>
            </w:pPr>
            <w:r>
              <w:rPr>
                <w:rFonts w:hint="eastAsia"/>
                <w:color w:val="auto"/>
                <w:sz w:val="21"/>
                <w:szCs w:val="21"/>
                <w:highlight w:val="none"/>
              </w:rPr>
              <w:t>本工程属于升级改造，严格履行环境影响评价手续，编制环境影响评价报告书。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43" w:type="dxa"/>
            <w:tcBorders>
              <w:top w:val="single" w:color="auto" w:sz="4" w:space="0"/>
              <w:left w:val="single" w:color="auto" w:sz="4" w:space="0"/>
              <w:bottom w:val="single" w:color="auto" w:sz="4" w:space="0"/>
              <w:right w:val="single" w:color="auto" w:sz="4" w:space="0"/>
            </w:tcBorders>
            <w:vAlign w:val="center"/>
          </w:tcPr>
          <w:p>
            <w:pPr>
              <w:spacing w:line="320" w:lineRule="exact"/>
              <w:rPr>
                <w:color w:val="auto"/>
                <w:sz w:val="21"/>
                <w:szCs w:val="21"/>
                <w:highlight w:val="none"/>
              </w:rPr>
            </w:pPr>
            <w:r>
              <w:rPr>
                <w:rFonts w:hint="eastAsia"/>
                <w:color w:val="auto"/>
                <w:sz w:val="21"/>
                <w:szCs w:val="21"/>
                <w:highlight w:val="none"/>
              </w:rPr>
              <w:t>贮存、处置场应采取防止粉尘污染的措施</w:t>
            </w:r>
          </w:p>
        </w:tc>
        <w:tc>
          <w:tcPr>
            <w:tcW w:w="4377" w:type="dxa"/>
            <w:tcBorders>
              <w:top w:val="single" w:color="auto" w:sz="4" w:space="0"/>
              <w:left w:val="single" w:color="auto" w:sz="4" w:space="0"/>
              <w:bottom w:val="single" w:color="auto" w:sz="4" w:space="0"/>
              <w:right w:val="single" w:color="auto" w:sz="4" w:space="0"/>
            </w:tcBorders>
            <w:vAlign w:val="center"/>
          </w:tcPr>
          <w:p>
            <w:pPr>
              <w:spacing w:line="320" w:lineRule="exact"/>
              <w:rPr>
                <w:color w:val="auto"/>
                <w:sz w:val="21"/>
                <w:szCs w:val="21"/>
                <w:highlight w:val="none"/>
              </w:rPr>
            </w:pPr>
            <w:r>
              <w:rPr>
                <w:rFonts w:hint="eastAsia"/>
                <w:color w:val="auto"/>
                <w:sz w:val="21"/>
                <w:szCs w:val="21"/>
                <w:highlight w:val="none"/>
              </w:rPr>
              <w:t>本次环评已建议对排土场采取洒水降尘措施。符合该项要求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43" w:type="dxa"/>
            <w:tcBorders>
              <w:top w:val="single" w:color="auto" w:sz="4" w:space="0"/>
              <w:left w:val="single" w:color="auto" w:sz="4" w:space="0"/>
              <w:bottom w:val="single" w:color="auto" w:sz="4" w:space="0"/>
              <w:right w:val="single" w:color="auto" w:sz="4" w:space="0"/>
            </w:tcBorders>
            <w:vAlign w:val="center"/>
          </w:tcPr>
          <w:p>
            <w:pPr>
              <w:spacing w:line="320" w:lineRule="exact"/>
              <w:rPr>
                <w:color w:val="auto"/>
                <w:sz w:val="21"/>
                <w:szCs w:val="21"/>
                <w:highlight w:val="none"/>
              </w:rPr>
            </w:pPr>
            <w:r>
              <w:rPr>
                <w:rFonts w:hint="eastAsia"/>
                <w:color w:val="auto"/>
                <w:sz w:val="21"/>
                <w:szCs w:val="21"/>
                <w:highlight w:val="none"/>
              </w:rPr>
              <w:t>为防止雨水径流进入贮存、处置场内，避免渗滤液量增加和滑坡，贮存、处置场周边应设置导流渠</w:t>
            </w:r>
          </w:p>
        </w:tc>
        <w:tc>
          <w:tcPr>
            <w:tcW w:w="4377" w:type="dxa"/>
            <w:tcBorders>
              <w:top w:val="single" w:color="auto" w:sz="4" w:space="0"/>
              <w:left w:val="single" w:color="auto" w:sz="4" w:space="0"/>
              <w:bottom w:val="single" w:color="auto" w:sz="4" w:space="0"/>
              <w:right w:val="single" w:color="auto" w:sz="4" w:space="0"/>
            </w:tcBorders>
            <w:vAlign w:val="center"/>
          </w:tcPr>
          <w:p>
            <w:pPr>
              <w:spacing w:line="320" w:lineRule="exact"/>
              <w:rPr>
                <w:color w:val="auto"/>
                <w:sz w:val="21"/>
                <w:szCs w:val="21"/>
                <w:highlight w:val="none"/>
              </w:rPr>
            </w:pPr>
            <w:r>
              <w:rPr>
                <w:rFonts w:hint="eastAsia"/>
                <w:color w:val="auto"/>
                <w:sz w:val="21"/>
                <w:szCs w:val="21"/>
                <w:highlight w:val="none"/>
              </w:rPr>
              <w:t>本次环评排土场采取集中排水措施，即在排土场的外侧修建排水沟，符合该项要求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43" w:type="dxa"/>
            <w:tcBorders>
              <w:top w:val="single" w:color="auto" w:sz="4" w:space="0"/>
              <w:left w:val="single" w:color="auto" w:sz="4" w:space="0"/>
              <w:bottom w:val="single" w:color="auto" w:sz="4" w:space="0"/>
              <w:right w:val="single" w:color="auto" w:sz="4" w:space="0"/>
            </w:tcBorders>
            <w:vAlign w:val="center"/>
          </w:tcPr>
          <w:p>
            <w:pPr>
              <w:spacing w:line="320" w:lineRule="exact"/>
              <w:rPr>
                <w:color w:val="auto"/>
                <w:sz w:val="21"/>
                <w:szCs w:val="21"/>
                <w:highlight w:val="none"/>
              </w:rPr>
            </w:pPr>
            <w:r>
              <w:rPr>
                <w:rFonts w:hint="eastAsia"/>
                <w:color w:val="auto"/>
                <w:sz w:val="21"/>
                <w:szCs w:val="21"/>
                <w:highlight w:val="none"/>
              </w:rPr>
              <w:t>为防止一般工业固体废物和渗滤液的流失，应构筑堤、坝、挡土墙等设施</w:t>
            </w:r>
          </w:p>
        </w:tc>
        <w:tc>
          <w:tcPr>
            <w:tcW w:w="4377" w:type="dxa"/>
            <w:tcBorders>
              <w:top w:val="single" w:color="auto" w:sz="4" w:space="0"/>
              <w:left w:val="single" w:color="auto" w:sz="4" w:space="0"/>
              <w:bottom w:val="single" w:color="auto" w:sz="4" w:space="0"/>
              <w:right w:val="single" w:color="auto" w:sz="4" w:space="0"/>
            </w:tcBorders>
            <w:vAlign w:val="center"/>
          </w:tcPr>
          <w:p>
            <w:pPr>
              <w:spacing w:line="320" w:lineRule="exact"/>
              <w:rPr>
                <w:color w:val="auto"/>
                <w:sz w:val="21"/>
                <w:szCs w:val="21"/>
                <w:highlight w:val="none"/>
              </w:rPr>
            </w:pPr>
            <w:r>
              <w:rPr>
                <w:rFonts w:hint="eastAsia"/>
                <w:color w:val="auto"/>
                <w:sz w:val="21"/>
                <w:szCs w:val="21"/>
                <w:highlight w:val="none"/>
              </w:rPr>
              <w:t>设计在排土场下方设挡墙，符合该项要求。</w:t>
            </w:r>
          </w:p>
        </w:tc>
      </w:tr>
    </w:tbl>
    <w:p>
      <w:pPr>
        <w:adjustRightInd w:val="0"/>
        <w:snapToGrid w:val="0"/>
        <w:spacing w:line="480" w:lineRule="exact"/>
        <w:jc w:val="center"/>
        <w:rPr>
          <w:b/>
          <w:color w:val="auto"/>
          <w:sz w:val="21"/>
          <w:szCs w:val="21"/>
          <w:highlight w:val="none"/>
        </w:rPr>
      </w:pPr>
      <w:r>
        <w:rPr>
          <w:rFonts w:hint="eastAsia"/>
          <w:b/>
          <w:color w:val="auto"/>
          <w:sz w:val="21"/>
          <w:szCs w:val="21"/>
          <w:highlight w:val="none"/>
        </w:rPr>
        <w:t>表</w:t>
      </w:r>
      <w:r>
        <w:rPr>
          <w:b/>
          <w:color w:val="auto"/>
          <w:sz w:val="21"/>
          <w:szCs w:val="21"/>
          <w:highlight w:val="none"/>
        </w:rPr>
        <w:t>6.</w:t>
      </w:r>
      <w:r>
        <w:rPr>
          <w:rFonts w:hint="eastAsia"/>
          <w:b/>
          <w:color w:val="auto"/>
          <w:sz w:val="21"/>
          <w:szCs w:val="21"/>
          <w:highlight w:val="none"/>
          <w:lang w:val="en-US" w:eastAsia="zh-CN"/>
        </w:rPr>
        <w:t>4-6</w:t>
      </w:r>
      <w:r>
        <w:rPr>
          <w:rFonts w:hint="eastAsia"/>
          <w:b/>
          <w:color w:val="auto"/>
          <w:sz w:val="21"/>
          <w:szCs w:val="21"/>
          <w:highlight w:val="none"/>
        </w:rPr>
        <w:t>贮存、处置场的运行管理环境保护要求</w:t>
      </w:r>
    </w:p>
    <w:tbl>
      <w:tblPr>
        <w:tblStyle w:val="29"/>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1"/>
        <w:gridCol w:w="4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71" w:type="dxa"/>
            <w:tcBorders>
              <w:top w:val="single" w:color="auto" w:sz="4" w:space="0"/>
              <w:left w:val="single" w:color="auto" w:sz="4" w:space="0"/>
              <w:bottom w:val="single" w:color="auto" w:sz="4" w:space="0"/>
              <w:right w:val="single" w:color="auto" w:sz="4" w:space="0"/>
            </w:tcBorders>
            <w:vAlign w:val="center"/>
          </w:tcPr>
          <w:p>
            <w:pPr>
              <w:spacing w:line="320" w:lineRule="exact"/>
              <w:rPr>
                <w:color w:val="auto"/>
                <w:sz w:val="21"/>
                <w:szCs w:val="21"/>
                <w:highlight w:val="none"/>
              </w:rPr>
            </w:pPr>
            <w:r>
              <w:rPr>
                <w:rFonts w:hint="eastAsia"/>
                <w:color w:val="auto"/>
                <w:sz w:val="21"/>
                <w:szCs w:val="21"/>
                <w:highlight w:val="none"/>
              </w:rPr>
              <w:t>贮存、处置场的运行管理环境保护要求</w:t>
            </w:r>
          </w:p>
        </w:tc>
        <w:tc>
          <w:tcPr>
            <w:tcW w:w="4249" w:type="dxa"/>
            <w:tcBorders>
              <w:top w:val="single" w:color="auto" w:sz="4" w:space="0"/>
              <w:left w:val="single" w:color="auto" w:sz="4" w:space="0"/>
              <w:bottom w:val="single" w:color="auto" w:sz="4" w:space="0"/>
              <w:right w:val="single" w:color="auto" w:sz="4" w:space="0"/>
            </w:tcBorders>
            <w:vAlign w:val="center"/>
          </w:tcPr>
          <w:p>
            <w:pPr>
              <w:spacing w:line="320" w:lineRule="exact"/>
              <w:rPr>
                <w:color w:val="auto"/>
                <w:sz w:val="21"/>
                <w:szCs w:val="21"/>
                <w:highlight w:val="none"/>
              </w:rPr>
            </w:pPr>
            <w:r>
              <w:rPr>
                <w:rFonts w:hint="eastAsia"/>
                <w:color w:val="auto"/>
                <w:sz w:val="21"/>
                <w:szCs w:val="21"/>
                <w:highlight w:val="none"/>
              </w:rPr>
              <w:t>拟建项目的符合性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71" w:type="dxa"/>
            <w:tcBorders>
              <w:top w:val="single" w:color="auto" w:sz="4" w:space="0"/>
              <w:left w:val="single" w:color="auto" w:sz="4" w:space="0"/>
              <w:bottom w:val="single" w:color="auto" w:sz="4" w:space="0"/>
              <w:right w:val="single" w:color="auto" w:sz="4" w:space="0"/>
            </w:tcBorders>
            <w:vAlign w:val="center"/>
          </w:tcPr>
          <w:p>
            <w:pPr>
              <w:spacing w:line="320" w:lineRule="exact"/>
              <w:rPr>
                <w:color w:val="auto"/>
                <w:sz w:val="21"/>
                <w:szCs w:val="21"/>
                <w:highlight w:val="none"/>
              </w:rPr>
            </w:pPr>
            <w:r>
              <w:rPr>
                <w:rFonts w:hint="eastAsia"/>
                <w:color w:val="auto"/>
                <w:sz w:val="21"/>
                <w:szCs w:val="21"/>
                <w:highlight w:val="none"/>
              </w:rPr>
              <w:t>贮存、处置场的竣工，必须由审批环境报告书（表）的环境保护行政主管部门验收合格后，方可投入生产或使用</w:t>
            </w:r>
          </w:p>
        </w:tc>
        <w:tc>
          <w:tcPr>
            <w:tcW w:w="4249" w:type="dxa"/>
            <w:tcBorders>
              <w:top w:val="single" w:color="auto" w:sz="4" w:space="0"/>
              <w:left w:val="single" w:color="auto" w:sz="4" w:space="0"/>
              <w:bottom w:val="single" w:color="auto" w:sz="4" w:space="0"/>
              <w:right w:val="single" w:color="auto" w:sz="4" w:space="0"/>
            </w:tcBorders>
            <w:vAlign w:val="center"/>
          </w:tcPr>
          <w:p>
            <w:pPr>
              <w:spacing w:line="320" w:lineRule="exact"/>
              <w:rPr>
                <w:color w:val="auto"/>
                <w:sz w:val="21"/>
                <w:szCs w:val="21"/>
                <w:highlight w:val="none"/>
              </w:rPr>
            </w:pPr>
            <w:r>
              <w:rPr>
                <w:rFonts w:hint="eastAsia"/>
                <w:color w:val="auto"/>
                <w:sz w:val="21"/>
                <w:szCs w:val="21"/>
                <w:highlight w:val="none"/>
              </w:rPr>
              <w:t>按照环评要求新增排水沟，待竣工验收时，达到环保部门要求继续使用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71" w:type="dxa"/>
            <w:tcBorders>
              <w:top w:val="single" w:color="auto" w:sz="4" w:space="0"/>
              <w:left w:val="single" w:color="auto" w:sz="4" w:space="0"/>
              <w:bottom w:val="single" w:color="auto" w:sz="4" w:space="0"/>
              <w:right w:val="single" w:color="auto" w:sz="4" w:space="0"/>
            </w:tcBorders>
            <w:vAlign w:val="center"/>
          </w:tcPr>
          <w:p>
            <w:pPr>
              <w:spacing w:line="320" w:lineRule="exact"/>
              <w:rPr>
                <w:color w:val="auto"/>
                <w:sz w:val="21"/>
                <w:szCs w:val="21"/>
                <w:highlight w:val="none"/>
              </w:rPr>
            </w:pPr>
            <w:r>
              <w:rPr>
                <w:rFonts w:hint="eastAsia"/>
                <w:color w:val="auto"/>
                <w:sz w:val="21"/>
                <w:szCs w:val="21"/>
                <w:highlight w:val="none"/>
              </w:rPr>
              <w:t>一般工业固体废物贮存、处置场禁止危险废物和生活垃圾混入</w:t>
            </w:r>
          </w:p>
        </w:tc>
        <w:tc>
          <w:tcPr>
            <w:tcW w:w="4249" w:type="dxa"/>
            <w:tcBorders>
              <w:top w:val="single" w:color="auto" w:sz="4" w:space="0"/>
              <w:left w:val="single" w:color="auto" w:sz="4" w:space="0"/>
              <w:bottom w:val="single" w:color="auto" w:sz="4" w:space="0"/>
              <w:right w:val="single" w:color="auto" w:sz="4" w:space="0"/>
            </w:tcBorders>
            <w:vAlign w:val="center"/>
          </w:tcPr>
          <w:p>
            <w:pPr>
              <w:spacing w:line="320" w:lineRule="exact"/>
              <w:rPr>
                <w:color w:val="auto"/>
                <w:sz w:val="21"/>
                <w:szCs w:val="21"/>
                <w:highlight w:val="none"/>
              </w:rPr>
            </w:pPr>
            <w:r>
              <w:rPr>
                <w:rFonts w:hint="eastAsia"/>
                <w:color w:val="auto"/>
                <w:sz w:val="21"/>
                <w:szCs w:val="21"/>
                <w:highlight w:val="none"/>
              </w:rPr>
              <w:t>本项目排土场仅堆存矿山开采过程中产生的废土石，生活垃圾统一收集后定期组织车辆按照当地环卫部门要求清运处置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71" w:type="dxa"/>
            <w:tcBorders>
              <w:top w:val="single" w:color="auto" w:sz="4" w:space="0"/>
              <w:left w:val="single" w:color="auto" w:sz="4" w:space="0"/>
              <w:bottom w:val="single" w:color="auto" w:sz="4" w:space="0"/>
              <w:right w:val="single" w:color="auto" w:sz="4" w:space="0"/>
            </w:tcBorders>
            <w:vAlign w:val="center"/>
          </w:tcPr>
          <w:p>
            <w:pPr>
              <w:spacing w:line="320" w:lineRule="exact"/>
              <w:rPr>
                <w:color w:val="auto"/>
                <w:sz w:val="21"/>
                <w:szCs w:val="21"/>
                <w:highlight w:val="none"/>
              </w:rPr>
            </w:pPr>
            <w:r>
              <w:rPr>
                <w:rFonts w:hint="eastAsia"/>
                <w:color w:val="auto"/>
                <w:sz w:val="21"/>
                <w:szCs w:val="21"/>
                <w:highlight w:val="none"/>
              </w:rPr>
              <w:t>贮存、处置场的渗滤液水质达到</w:t>
            </w:r>
            <w:r>
              <w:rPr>
                <w:color w:val="auto"/>
                <w:sz w:val="21"/>
                <w:szCs w:val="21"/>
                <w:highlight w:val="none"/>
              </w:rPr>
              <w:t>GB8978-1996</w:t>
            </w:r>
            <w:r>
              <w:rPr>
                <w:rFonts w:hint="eastAsia"/>
                <w:color w:val="auto"/>
                <w:sz w:val="21"/>
                <w:szCs w:val="21"/>
                <w:highlight w:val="none"/>
              </w:rPr>
              <w:t>标准后方可排放。大气污染物排放应满足</w:t>
            </w:r>
            <w:r>
              <w:rPr>
                <w:color w:val="auto"/>
                <w:sz w:val="21"/>
                <w:szCs w:val="21"/>
                <w:highlight w:val="none"/>
              </w:rPr>
              <w:t>GB16297-16297</w:t>
            </w:r>
            <w:r>
              <w:rPr>
                <w:rFonts w:hint="eastAsia"/>
                <w:color w:val="auto"/>
                <w:sz w:val="21"/>
                <w:szCs w:val="21"/>
                <w:highlight w:val="none"/>
              </w:rPr>
              <w:t>无组织排放要求</w:t>
            </w:r>
          </w:p>
        </w:tc>
        <w:tc>
          <w:tcPr>
            <w:tcW w:w="4249" w:type="dxa"/>
            <w:tcBorders>
              <w:top w:val="single" w:color="auto" w:sz="4" w:space="0"/>
              <w:left w:val="single" w:color="auto" w:sz="4" w:space="0"/>
              <w:bottom w:val="single" w:color="auto" w:sz="4" w:space="0"/>
              <w:right w:val="single" w:color="auto" w:sz="4" w:space="0"/>
            </w:tcBorders>
            <w:vAlign w:val="center"/>
          </w:tcPr>
          <w:p>
            <w:pPr>
              <w:spacing w:line="320" w:lineRule="exact"/>
              <w:rPr>
                <w:color w:val="auto"/>
                <w:sz w:val="21"/>
                <w:szCs w:val="21"/>
                <w:highlight w:val="none"/>
              </w:rPr>
            </w:pPr>
            <w:r>
              <w:rPr>
                <w:rFonts w:hint="eastAsia"/>
                <w:color w:val="auto"/>
                <w:sz w:val="21"/>
                <w:szCs w:val="21"/>
                <w:highlight w:val="none"/>
              </w:rPr>
              <w:t>大气污染物粉尘的排放，经洒水处理后能满足</w:t>
            </w:r>
            <w:r>
              <w:rPr>
                <w:color w:val="auto"/>
                <w:sz w:val="21"/>
                <w:szCs w:val="21"/>
                <w:highlight w:val="none"/>
              </w:rPr>
              <w:t>GB16297-1996</w:t>
            </w:r>
            <w:r>
              <w:rPr>
                <w:rFonts w:hint="eastAsia"/>
                <w:color w:val="auto"/>
                <w:sz w:val="21"/>
                <w:szCs w:val="21"/>
                <w:highlight w:val="none"/>
              </w:rPr>
              <w:t>无组织排放要求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71" w:type="dxa"/>
            <w:tcBorders>
              <w:top w:val="single" w:color="auto" w:sz="4" w:space="0"/>
              <w:left w:val="single" w:color="auto" w:sz="4" w:space="0"/>
              <w:bottom w:val="single" w:color="auto" w:sz="4" w:space="0"/>
              <w:right w:val="single" w:color="auto" w:sz="4" w:space="0"/>
            </w:tcBorders>
            <w:vAlign w:val="center"/>
          </w:tcPr>
          <w:p>
            <w:pPr>
              <w:spacing w:line="320" w:lineRule="exact"/>
              <w:rPr>
                <w:color w:val="auto"/>
                <w:sz w:val="21"/>
                <w:szCs w:val="21"/>
                <w:highlight w:val="none"/>
              </w:rPr>
            </w:pPr>
            <w:r>
              <w:rPr>
                <w:rFonts w:hint="eastAsia"/>
                <w:color w:val="auto"/>
                <w:sz w:val="21"/>
                <w:szCs w:val="21"/>
                <w:highlight w:val="none"/>
              </w:rPr>
              <w:t>贮存、处置场的使用单位，应建立检查维护制度，定期检查维护坝、挡墙、导流渠等设施，发现有损坏可能或异常，应及时采取必要措施，以保障正常运行。</w:t>
            </w:r>
          </w:p>
        </w:tc>
        <w:tc>
          <w:tcPr>
            <w:tcW w:w="4249" w:type="dxa"/>
            <w:tcBorders>
              <w:top w:val="single" w:color="auto" w:sz="4" w:space="0"/>
              <w:left w:val="single" w:color="auto" w:sz="4" w:space="0"/>
              <w:bottom w:val="single" w:color="auto" w:sz="4" w:space="0"/>
              <w:right w:val="single" w:color="auto" w:sz="4" w:space="0"/>
            </w:tcBorders>
            <w:vAlign w:val="center"/>
          </w:tcPr>
          <w:p>
            <w:pPr>
              <w:spacing w:line="320" w:lineRule="exact"/>
              <w:rPr>
                <w:color w:val="auto"/>
                <w:sz w:val="21"/>
                <w:szCs w:val="21"/>
                <w:highlight w:val="none"/>
              </w:rPr>
            </w:pPr>
            <w:r>
              <w:rPr>
                <w:rFonts w:hint="eastAsia"/>
                <w:color w:val="auto"/>
                <w:sz w:val="21"/>
                <w:szCs w:val="21"/>
                <w:highlight w:val="none"/>
              </w:rPr>
              <w:t>本项目新建排土场挡墙，严格执行环评、提出的措施</w:t>
            </w:r>
          </w:p>
        </w:tc>
      </w:tr>
    </w:tbl>
    <w:p>
      <w:pPr>
        <w:adjustRightInd w:val="0"/>
        <w:snapToGrid w:val="0"/>
        <w:spacing w:line="480" w:lineRule="exact"/>
        <w:jc w:val="center"/>
        <w:rPr>
          <w:b/>
          <w:color w:val="auto"/>
          <w:sz w:val="21"/>
          <w:szCs w:val="21"/>
          <w:highlight w:val="none"/>
        </w:rPr>
      </w:pPr>
      <w:r>
        <w:rPr>
          <w:rFonts w:hint="eastAsia"/>
          <w:b/>
          <w:color w:val="auto"/>
          <w:sz w:val="21"/>
          <w:szCs w:val="21"/>
          <w:highlight w:val="none"/>
        </w:rPr>
        <w:t>表</w:t>
      </w:r>
      <w:r>
        <w:rPr>
          <w:b/>
          <w:color w:val="auto"/>
          <w:sz w:val="21"/>
          <w:szCs w:val="21"/>
          <w:highlight w:val="none"/>
        </w:rPr>
        <w:t>6.</w:t>
      </w:r>
      <w:r>
        <w:rPr>
          <w:rFonts w:hint="eastAsia"/>
          <w:b/>
          <w:color w:val="auto"/>
          <w:sz w:val="21"/>
          <w:szCs w:val="21"/>
          <w:highlight w:val="none"/>
          <w:lang w:val="en-US" w:eastAsia="zh-CN"/>
        </w:rPr>
        <w:t>4-7</w:t>
      </w:r>
      <w:r>
        <w:rPr>
          <w:rFonts w:hint="eastAsia"/>
          <w:b/>
          <w:color w:val="auto"/>
          <w:sz w:val="21"/>
          <w:szCs w:val="21"/>
          <w:highlight w:val="none"/>
        </w:rPr>
        <w:t>贮存、处置场的关闭和封场环境保护要求</w:t>
      </w:r>
    </w:p>
    <w:tbl>
      <w:tblPr>
        <w:tblStyle w:val="29"/>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1"/>
        <w:gridCol w:w="4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71" w:type="dxa"/>
            <w:tcBorders>
              <w:top w:val="single" w:color="auto" w:sz="4" w:space="0"/>
              <w:left w:val="single" w:color="auto" w:sz="4" w:space="0"/>
              <w:bottom w:val="single" w:color="auto" w:sz="4" w:space="0"/>
              <w:right w:val="single" w:color="auto" w:sz="4" w:space="0"/>
            </w:tcBorders>
            <w:vAlign w:val="center"/>
          </w:tcPr>
          <w:p>
            <w:pPr>
              <w:spacing w:line="320" w:lineRule="exact"/>
              <w:rPr>
                <w:color w:val="auto"/>
                <w:sz w:val="21"/>
                <w:szCs w:val="21"/>
                <w:highlight w:val="none"/>
              </w:rPr>
            </w:pPr>
            <w:r>
              <w:rPr>
                <w:rFonts w:hint="eastAsia"/>
                <w:color w:val="auto"/>
                <w:sz w:val="21"/>
                <w:szCs w:val="21"/>
                <w:highlight w:val="none"/>
              </w:rPr>
              <w:t>贮存、处置场的运行管理环境保护要求</w:t>
            </w:r>
          </w:p>
        </w:tc>
        <w:tc>
          <w:tcPr>
            <w:tcW w:w="4249" w:type="dxa"/>
            <w:tcBorders>
              <w:top w:val="single" w:color="auto" w:sz="4" w:space="0"/>
              <w:left w:val="single" w:color="auto" w:sz="4" w:space="0"/>
              <w:bottom w:val="single" w:color="auto" w:sz="4" w:space="0"/>
              <w:right w:val="single" w:color="auto" w:sz="4" w:space="0"/>
            </w:tcBorders>
            <w:vAlign w:val="center"/>
          </w:tcPr>
          <w:p>
            <w:pPr>
              <w:spacing w:line="320" w:lineRule="exact"/>
              <w:rPr>
                <w:color w:val="auto"/>
                <w:sz w:val="21"/>
                <w:szCs w:val="21"/>
                <w:highlight w:val="none"/>
              </w:rPr>
            </w:pPr>
            <w:r>
              <w:rPr>
                <w:rFonts w:hint="eastAsia"/>
                <w:color w:val="auto"/>
                <w:sz w:val="21"/>
                <w:szCs w:val="21"/>
                <w:highlight w:val="none"/>
              </w:rPr>
              <w:t>拟建项目的符合性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71" w:type="dxa"/>
            <w:tcBorders>
              <w:top w:val="single" w:color="auto" w:sz="4" w:space="0"/>
              <w:left w:val="single" w:color="auto" w:sz="4" w:space="0"/>
              <w:bottom w:val="single" w:color="auto" w:sz="4" w:space="0"/>
              <w:right w:val="single" w:color="auto" w:sz="4" w:space="0"/>
            </w:tcBorders>
            <w:vAlign w:val="center"/>
          </w:tcPr>
          <w:p>
            <w:pPr>
              <w:spacing w:line="320" w:lineRule="exact"/>
              <w:rPr>
                <w:color w:val="auto"/>
                <w:sz w:val="21"/>
                <w:szCs w:val="21"/>
                <w:highlight w:val="none"/>
              </w:rPr>
            </w:pPr>
            <w:r>
              <w:rPr>
                <w:rFonts w:hint="eastAsia"/>
                <w:color w:val="auto"/>
                <w:sz w:val="21"/>
                <w:szCs w:val="21"/>
                <w:highlight w:val="none"/>
              </w:rPr>
              <w:t>贮存、处置场服务期满或因故不再承担新的贮存、处置任务时，应分别予以关闭或封场。关闭或封场前，必须编制关闭或封场计划，报请所在地环境保护局核准，并采取污染防止措施</w:t>
            </w:r>
          </w:p>
        </w:tc>
        <w:tc>
          <w:tcPr>
            <w:tcW w:w="4249" w:type="dxa"/>
            <w:tcBorders>
              <w:top w:val="single" w:color="auto" w:sz="4" w:space="0"/>
              <w:left w:val="single" w:color="auto" w:sz="4" w:space="0"/>
              <w:bottom w:val="single" w:color="auto" w:sz="4" w:space="0"/>
              <w:right w:val="single" w:color="auto" w:sz="4" w:space="0"/>
            </w:tcBorders>
            <w:vAlign w:val="center"/>
          </w:tcPr>
          <w:p>
            <w:pPr>
              <w:spacing w:line="320" w:lineRule="exact"/>
              <w:rPr>
                <w:color w:val="auto"/>
                <w:sz w:val="21"/>
                <w:szCs w:val="21"/>
                <w:highlight w:val="none"/>
              </w:rPr>
            </w:pPr>
            <w:r>
              <w:rPr>
                <w:rFonts w:hint="eastAsia"/>
                <w:color w:val="auto"/>
                <w:sz w:val="21"/>
                <w:szCs w:val="21"/>
                <w:highlight w:val="none"/>
              </w:rPr>
              <w:t>本项目服务期满后，编制封场计划，报请当地环境保护局核准，并将对其进行复垦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71" w:type="dxa"/>
            <w:tcBorders>
              <w:top w:val="single" w:color="auto" w:sz="4" w:space="0"/>
              <w:left w:val="single" w:color="auto" w:sz="4" w:space="0"/>
              <w:bottom w:val="single" w:color="auto" w:sz="4" w:space="0"/>
              <w:right w:val="single" w:color="auto" w:sz="4" w:space="0"/>
            </w:tcBorders>
            <w:vAlign w:val="center"/>
          </w:tcPr>
          <w:p>
            <w:pPr>
              <w:spacing w:line="320" w:lineRule="exact"/>
              <w:rPr>
                <w:color w:val="auto"/>
                <w:sz w:val="21"/>
                <w:szCs w:val="21"/>
                <w:highlight w:val="none"/>
              </w:rPr>
            </w:pPr>
            <w:r>
              <w:rPr>
                <w:rFonts w:hint="eastAsia"/>
                <w:color w:val="auto"/>
                <w:sz w:val="21"/>
                <w:szCs w:val="21"/>
                <w:highlight w:val="none"/>
              </w:rPr>
              <w:t>关闭或封场时，表面坡度一般不超过</w:t>
            </w:r>
            <w:r>
              <w:rPr>
                <w:color w:val="auto"/>
                <w:sz w:val="21"/>
                <w:szCs w:val="21"/>
                <w:highlight w:val="none"/>
              </w:rPr>
              <w:t>33%</w:t>
            </w:r>
            <w:r>
              <w:rPr>
                <w:rFonts w:hint="eastAsia"/>
                <w:color w:val="auto"/>
                <w:sz w:val="21"/>
                <w:szCs w:val="21"/>
                <w:highlight w:val="none"/>
              </w:rPr>
              <w:t>。尾矿堆置标高每升高</w:t>
            </w:r>
            <w:r>
              <w:rPr>
                <w:color w:val="auto"/>
                <w:sz w:val="21"/>
                <w:szCs w:val="21"/>
                <w:highlight w:val="none"/>
              </w:rPr>
              <w:t>3m-5m</w:t>
            </w:r>
            <w:r>
              <w:rPr>
                <w:rFonts w:hint="eastAsia"/>
                <w:color w:val="auto"/>
                <w:sz w:val="21"/>
                <w:szCs w:val="21"/>
                <w:highlight w:val="none"/>
              </w:rPr>
              <w:t>，需建造一个台阶，台阶应有不小于</w:t>
            </w:r>
            <w:r>
              <w:rPr>
                <w:color w:val="auto"/>
                <w:sz w:val="21"/>
                <w:szCs w:val="21"/>
                <w:highlight w:val="none"/>
              </w:rPr>
              <w:t>1m</w:t>
            </w:r>
            <w:r>
              <w:rPr>
                <w:rFonts w:hint="eastAsia"/>
                <w:color w:val="auto"/>
                <w:sz w:val="21"/>
                <w:szCs w:val="21"/>
                <w:highlight w:val="none"/>
              </w:rPr>
              <w:t>的宽度、</w:t>
            </w:r>
            <w:r>
              <w:rPr>
                <w:color w:val="auto"/>
                <w:sz w:val="21"/>
                <w:szCs w:val="21"/>
                <w:highlight w:val="none"/>
              </w:rPr>
              <w:t>2%-3%</w:t>
            </w:r>
            <w:r>
              <w:rPr>
                <w:rFonts w:hint="eastAsia"/>
                <w:color w:val="auto"/>
                <w:sz w:val="21"/>
                <w:szCs w:val="21"/>
                <w:highlight w:val="none"/>
              </w:rPr>
              <w:t>的坡度和能经受暴雨冲刷的强度。平台与斜坡应适当覆土并恢复植被</w:t>
            </w:r>
          </w:p>
        </w:tc>
        <w:tc>
          <w:tcPr>
            <w:tcW w:w="4249" w:type="dxa"/>
            <w:tcBorders>
              <w:top w:val="single" w:color="auto" w:sz="4" w:space="0"/>
              <w:left w:val="single" w:color="auto" w:sz="4" w:space="0"/>
              <w:bottom w:val="single" w:color="auto" w:sz="4" w:space="0"/>
              <w:right w:val="single" w:color="auto" w:sz="4" w:space="0"/>
            </w:tcBorders>
            <w:vAlign w:val="center"/>
          </w:tcPr>
          <w:p>
            <w:pPr>
              <w:spacing w:line="320" w:lineRule="exact"/>
              <w:rPr>
                <w:color w:val="auto"/>
                <w:sz w:val="21"/>
                <w:szCs w:val="21"/>
                <w:highlight w:val="none"/>
              </w:rPr>
            </w:pPr>
            <w:r>
              <w:rPr>
                <w:rFonts w:hint="eastAsia"/>
                <w:color w:val="auto"/>
                <w:sz w:val="21"/>
                <w:szCs w:val="21"/>
                <w:highlight w:val="none"/>
              </w:rPr>
              <w:t>本项目将严格按以上要求进行平台修建和植被恢复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71" w:type="dxa"/>
            <w:tcBorders>
              <w:top w:val="single" w:color="auto" w:sz="4" w:space="0"/>
              <w:left w:val="single" w:color="auto" w:sz="4" w:space="0"/>
              <w:bottom w:val="single" w:color="auto" w:sz="4" w:space="0"/>
              <w:right w:val="single" w:color="auto" w:sz="4" w:space="0"/>
            </w:tcBorders>
            <w:vAlign w:val="center"/>
          </w:tcPr>
          <w:p>
            <w:pPr>
              <w:spacing w:line="320" w:lineRule="exact"/>
              <w:rPr>
                <w:color w:val="auto"/>
                <w:sz w:val="21"/>
                <w:szCs w:val="21"/>
                <w:highlight w:val="none"/>
              </w:rPr>
            </w:pPr>
            <w:r>
              <w:rPr>
                <w:rFonts w:hint="eastAsia"/>
                <w:color w:val="auto"/>
                <w:sz w:val="21"/>
                <w:szCs w:val="21"/>
                <w:highlight w:val="none"/>
              </w:rPr>
              <w:t>关闭或封场后，仍需继续维护管理，直到稳定并通过相关主管部门认定并提出使用该土地的相关要求为止，以防止覆土层下沉、开裂，致使渗滤液量增加及外排，防止一般工业固体废物堆体失稳而造成滑坡等事故</w:t>
            </w:r>
          </w:p>
        </w:tc>
        <w:tc>
          <w:tcPr>
            <w:tcW w:w="4249" w:type="dxa"/>
            <w:tcBorders>
              <w:top w:val="single" w:color="auto" w:sz="4" w:space="0"/>
              <w:left w:val="single" w:color="auto" w:sz="4" w:space="0"/>
              <w:bottom w:val="single" w:color="auto" w:sz="4" w:space="0"/>
              <w:right w:val="single" w:color="auto" w:sz="4" w:space="0"/>
            </w:tcBorders>
            <w:vAlign w:val="center"/>
          </w:tcPr>
          <w:p>
            <w:pPr>
              <w:spacing w:line="320" w:lineRule="exact"/>
              <w:rPr>
                <w:color w:val="auto"/>
                <w:sz w:val="21"/>
                <w:szCs w:val="21"/>
                <w:highlight w:val="none"/>
              </w:rPr>
            </w:pPr>
            <w:r>
              <w:rPr>
                <w:rFonts w:hint="eastAsia"/>
                <w:color w:val="auto"/>
                <w:sz w:val="21"/>
                <w:szCs w:val="21"/>
                <w:highlight w:val="none"/>
              </w:rPr>
              <w:t>封场后，本项目将对其继续维护管理，防止意外事故的发生，直到通过相关主管部门认定并提出使用该土地的相关要求为止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71" w:type="dxa"/>
            <w:tcBorders>
              <w:top w:val="single" w:color="auto" w:sz="4" w:space="0"/>
              <w:left w:val="single" w:color="auto" w:sz="4" w:space="0"/>
              <w:bottom w:val="single" w:color="auto" w:sz="4" w:space="0"/>
              <w:right w:val="single" w:color="auto" w:sz="4" w:space="0"/>
            </w:tcBorders>
            <w:vAlign w:val="center"/>
          </w:tcPr>
          <w:p>
            <w:pPr>
              <w:spacing w:line="320" w:lineRule="exact"/>
              <w:rPr>
                <w:color w:val="auto"/>
                <w:sz w:val="21"/>
                <w:szCs w:val="21"/>
                <w:highlight w:val="none"/>
              </w:rPr>
            </w:pPr>
            <w:r>
              <w:rPr>
                <w:rFonts w:hint="eastAsia"/>
                <w:color w:val="auto"/>
                <w:sz w:val="21"/>
                <w:szCs w:val="21"/>
                <w:highlight w:val="none"/>
              </w:rPr>
              <w:t>关闭或封场后，应设置标志物，注明关闭或封场时间，以及使用该土地时应注意的事项</w:t>
            </w:r>
          </w:p>
        </w:tc>
        <w:tc>
          <w:tcPr>
            <w:tcW w:w="4249" w:type="dxa"/>
            <w:tcBorders>
              <w:top w:val="single" w:color="auto" w:sz="4" w:space="0"/>
              <w:left w:val="single" w:color="auto" w:sz="4" w:space="0"/>
              <w:bottom w:val="single" w:color="auto" w:sz="4" w:space="0"/>
              <w:right w:val="single" w:color="auto" w:sz="4" w:space="0"/>
            </w:tcBorders>
            <w:vAlign w:val="center"/>
          </w:tcPr>
          <w:p>
            <w:pPr>
              <w:spacing w:line="320" w:lineRule="exact"/>
              <w:rPr>
                <w:color w:val="auto"/>
                <w:sz w:val="21"/>
                <w:szCs w:val="21"/>
                <w:highlight w:val="none"/>
              </w:rPr>
            </w:pPr>
            <w:r>
              <w:rPr>
                <w:rFonts w:hint="eastAsia"/>
                <w:color w:val="auto"/>
                <w:sz w:val="21"/>
                <w:szCs w:val="21"/>
                <w:highlight w:val="none"/>
              </w:rPr>
              <w:t>本项目将严格按以上要求进行设置标志物，注明关闭或封场时间，以及使用该土地时应注意的事项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71" w:type="dxa"/>
            <w:tcBorders>
              <w:top w:val="single" w:color="auto" w:sz="4" w:space="0"/>
              <w:left w:val="single" w:color="auto" w:sz="4" w:space="0"/>
              <w:bottom w:val="single" w:color="auto" w:sz="4" w:space="0"/>
              <w:right w:val="single" w:color="auto" w:sz="4" w:space="0"/>
            </w:tcBorders>
            <w:vAlign w:val="center"/>
          </w:tcPr>
          <w:p>
            <w:pPr>
              <w:spacing w:line="320" w:lineRule="exact"/>
              <w:rPr>
                <w:color w:val="auto"/>
                <w:sz w:val="21"/>
                <w:szCs w:val="21"/>
                <w:highlight w:val="none"/>
              </w:rPr>
            </w:pPr>
            <w:r>
              <w:rPr>
                <w:rFonts w:hint="eastAsia"/>
                <w:color w:val="auto"/>
                <w:sz w:val="21"/>
                <w:szCs w:val="21"/>
                <w:highlight w:val="none"/>
              </w:rPr>
              <w:t>为利于恢复植被，关闭或封场时，表面一般应覆盖一层天然土，其厚度尾矿砂的颗粒物大小、固结情况和拟种植物种类确定，一般以不低于</w:t>
            </w:r>
            <w:r>
              <w:rPr>
                <w:color w:val="auto"/>
                <w:sz w:val="21"/>
                <w:szCs w:val="21"/>
                <w:highlight w:val="none"/>
              </w:rPr>
              <w:t>30cm</w:t>
            </w:r>
            <w:r>
              <w:rPr>
                <w:rFonts w:hint="eastAsia"/>
                <w:color w:val="auto"/>
                <w:sz w:val="21"/>
                <w:szCs w:val="21"/>
                <w:highlight w:val="none"/>
              </w:rPr>
              <w:t>为宜</w:t>
            </w:r>
          </w:p>
        </w:tc>
        <w:tc>
          <w:tcPr>
            <w:tcW w:w="4249" w:type="dxa"/>
            <w:tcBorders>
              <w:top w:val="single" w:color="auto" w:sz="4" w:space="0"/>
              <w:left w:val="single" w:color="auto" w:sz="4" w:space="0"/>
              <w:bottom w:val="single" w:color="auto" w:sz="4" w:space="0"/>
              <w:right w:val="single" w:color="auto" w:sz="4" w:space="0"/>
            </w:tcBorders>
            <w:vAlign w:val="center"/>
          </w:tcPr>
          <w:p>
            <w:pPr>
              <w:spacing w:line="320" w:lineRule="exact"/>
              <w:rPr>
                <w:color w:val="auto"/>
                <w:sz w:val="21"/>
                <w:szCs w:val="21"/>
                <w:highlight w:val="none"/>
              </w:rPr>
            </w:pPr>
            <w:r>
              <w:rPr>
                <w:rFonts w:hint="eastAsia"/>
                <w:color w:val="auto"/>
                <w:sz w:val="21"/>
                <w:szCs w:val="21"/>
                <w:highlight w:val="none"/>
              </w:rPr>
              <w:t>本项目将严格按以上要求进行覆土植被</w:t>
            </w:r>
          </w:p>
        </w:tc>
      </w:tr>
    </w:tbl>
    <w:p>
      <w:pPr>
        <w:adjustRightInd w:val="0"/>
        <w:snapToGrid w:val="0"/>
        <w:ind w:firstLine="516" w:firstLineChars="215"/>
        <w:rPr>
          <w:rFonts w:hint="eastAsia" w:eastAsia="宋体"/>
          <w:color w:val="auto"/>
          <w:highlight w:val="yellow"/>
          <w:lang w:eastAsia="zh-CN"/>
        </w:rPr>
      </w:pPr>
      <w:r>
        <w:rPr>
          <w:rFonts w:hint="eastAsia"/>
          <w:color w:val="auto"/>
          <w:sz w:val="24"/>
          <w:szCs w:val="24"/>
          <w:highlight w:val="none"/>
        </w:rPr>
        <w:t>从表6.</w:t>
      </w:r>
      <w:r>
        <w:rPr>
          <w:rFonts w:hint="eastAsia"/>
          <w:color w:val="auto"/>
          <w:sz w:val="24"/>
          <w:szCs w:val="24"/>
          <w:highlight w:val="none"/>
          <w:lang w:val="en-US" w:eastAsia="zh-CN"/>
        </w:rPr>
        <w:t>4-4</w:t>
      </w:r>
      <w:r>
        <w:rPr>
          <w:rFonts w:hint="eastAsia"/>
          <w:color w:val="auto"/>
          <w:sz w:val="24"/>
          <w:szCs w:val="24"/>
          <w:highlight w:val="none"/>
        </w:rPr>
        <w:t>至6.</w:t>
      </w:r>
      <w:r>
        <w:rPr>
          <w:rFonts w:hint="eastAsia"/>
          <w:color w:val="auto"/>
          <w:sz w:val="24"/>
          <w:szCs w:val="24"/>
          <w:highlight w:val="none"/>
          <w:lang w:val="en-US" w:eastAsia="zh-CN"/>
        </w:rPr>
        <w:t>4-7</w:t>
      </w:r>
      <w:r>
        <w:rPr>
          <w:rFonts w:hint="eastAsia"/>
          <w:color w:val="auto"/>
          <w:sz w:val="24"/>
          <w:szCs w:val="24"/>
          <w:highlight w:val="none"/>
        </w:rPr>
        <w:t>可以看出，矿区排土场的选址符合《一般工业固体废物贮存、处置场污染控制标准》（</w:t>
      </w:r>
      <w:r>
        <w:rPr>
          <w:color w:val="auto"/>
          <w:sz w:val="24"/>
          <w:szCs w:val="24"/>
          <w:highlight w:val="none"/>
        </w:rPr>
        <w:t>GB18599-2001</w:t>
      </w:r>
      <w:r>
        <w:rPr>
          <w:rFonts w:hint="eastAsia"/>
          <w:color w:val="auto"/>
          <w:sz w:val="24"/>
          <w:szCs w:val="24"/>
          <w:highlight w:val="none"/>
        </w:rPr>
        <w:t>）中对Ⅰ类一般工业固体废物贮存场的选址要求。因此，矿区排土场的选址合理</w:t>
      </w:r>
      <w:r>
        <w:rPr>
          <w:rFonts w:hint="eastAsia"/>
          <w:color w:val="auto"/>
          <w:sz w:val="24"/>
          <w:szCs w:val="24"/>
          <w:highlight w:val="none"/>
          <w:lang w:eastAsia="zh-CN"/>
        </w:rPr>
        <w:t>。</w:t>
      </w:r>
    </w:p>
    <w:p>
      <w:pPr>
        <w:adjustRightInd w:val="0"/>
        <w:snapToGrid w:val="0"/>
        <w:ind w:firstLine="516" w:firstLineChars="215"/>
        <w:rPr>
          <w:color w:val="auto"/>
          <w:highlight w:val="none"/>
        </w:rPr>
      </w:pPr>
      <w:r>
        <w:rPr>
          <w:rFonts w:hint="eastAsia"/>
          <w:color w:val="auto"/>
          <w:highlight w:val="none"/>
          <w:lang w:eastAsia="zh-CN"/>
        </w:rPr>
        <w:t>综上</w:t>
      </w:r>
      <w:r>
        <w:rPr>
          <w:color w:val="auto"/>
          <w:highlight w:val="none"/>
        </w:rPr>
        <w:t>，</w:t>
      </w:r>
      <w:r>
        <w:rPr>
          <w:rFonts w:hint="eastAsia"/>
          <w:color w:val="auto"/>
          <w:highlight w:val="none"/>
          <w:lang w:eastAsia="zh-CN"/>
        </w:rPr>
        <w:t>本项目</w:t>
      </w:r>
      <w:r>
        <w:rPr>
          <w:color w:val="auto"/>
          <w:highlight w:val="none"/>
        </w:rPr>
        <w:t>选址未占用基本农田，选址不在风景名胜区、水源保护区</w:t>
      </w:r>
      <w:r>
        <w:rPr>
          <w:rFonts w:hint="eastAsia"/>
          <w:color w:val="auto"/>
          <w:highlight w:val="none"/>
          <w:lang w:eastAsia="zh-CN"/>
        </w:rPr>
        <w:t>、生态保护红线</w:t>
      </w:r>
      <w:r>
        <w:rPr>
          <w:color w:val="auto"/>
          <w:highlight w:val="none"/>
        </w:rPr>
        <w:t>等需要特殊保护的区域内，选址不违反国家相关法律法规，且距离周围敏感点较远、交通条件方便，选址合理</w:t>
      </w:r>
      <w:r>
        <w:rPr>
          <w:rFonts w:hint="eastAsia"/>
          <w:color w:val="auto"/>
          <w:highlight w:val="none"/>
          <w:lang w:eastAsia="zh-CN"/>
        </w:rPr>
        <w:t>。</w:t>
      </w:r>
    </w:p>
    <w:p>
      <w:pPr>
        <w:pStyle w:val="5"/>
        <w:bidi w:val="0"/>
        <w:rPr>
          <w:rFonts w:hint="eastAsia"/>
          <w:color w:val="auto"/>
          <w:highlight w:val="none"/>
          <w:lang w:val="en-US" w:eastAsia="zh-CN"/>
        </w:rPr>
      </w:pPr>
      <w:bookmarkStart w:id="453" w:name="_Toc17582"/>
      <w:r>
        <w:rPr>
          <w:rFonts w:hint="eastAsia"/>
          <w:color w:val="auto"/>
          <w:highlight w:val="none"/>
          <w:lang w:val="en-US" w:eastAsia="zh-CN"/>
        </w:rPr>
        <w:t>6.4.4小结</w:t>
      </w:r>
      <w:bookmarkEnd w:id="453"/>
    </w:p>
    <w:p>
      <w:pPr>
        <w:pStyle w:val="17"/>
        <w:ind w:firstLine="480"/>
        <w:rPr>
          <w:rFonts w:ascii="Times New Roman" w:hAnsi="Times New Roman"/>
          <w:color w:val="auto"/>
          <w:highlight w:val="none"/>
        </w:rPr>
      </w:pPr>
      <w:r>
        <w:rPr>
          <w:rFonts w:ascii="Times New Roman" w:hAnsi="Times New Roman"/>
          <w:color w:val="auto"/>
          <w:highlight w:val="none"/>
        </w:rPr>
        <w:t>综上所述，</w:t>
      </w:r>
      <w:r>
        <w:rPr>
          <w:rFonts w:hint="eastAsia" w:ascii="Times New Roman" w:hAnsi="Times New Roman"/>
          <w:color w:val="auto"/>
          <w:highlight w:val="none"/>
        </w:rPr>
        <w:t>项目建设符合国家及云南省相关产业政策。</w:t>
      </w:r>
      <w:r>
        <w:rPr>
          <w:rFonts w:ascii="Times New Roman" w:hAnsi="Times New Roman"/>
          <w:color w:val="auto"/>
          <w:highlight w:val="none"/>
        </w:rPr>
        <w:t>矿山建设符合</w:t>
      </w:r>
      <w:r>
        <w:rPr>
          <w:rFonts w:hint="eastAsia" w:ascii="Times New Roman" w:hAnsi="Times New Roman"/>
          <w:color w:val="auto"/>
          <w:highlight w:val="none"/>
        </w:rPr>
        <w:t>《云南省主体功能区划》、《云南省生态功能区划》（2009年）、</w:t>
      </w:r>
      <w:r>
        <w:rPr>
          <w:rFonts w:ascii="Times New Roman" w:hAnsi="Times New Roman"/>
          <w:color w:val="auto"/>
          <w:highlight w:val="none"/>
        </w:rPr>
        <w:t>《云南省矿产资源总体规划</w:t>
      </w:r>
      <w:r>
        <w:rPr>
          <w:rFonts w:hint="eastAsia" w:ascii="Times New Roman" w:hAnsi="Times New Roman"/>
          <w:color w:val="auto"/>
          <w:highlight w:val="none"/>
        </w:rPr>
        <w:t>（</w:t>
      </w:r>
      <w:r>
        <w:rPr>
          <w:rFonts w:ascii="Times New Roman" w:hAnsi="Times New Roman"/>
          <w:color w:val="auto"/>
          <w:highlight w:val="none"/>
        </w:rPr>
        <w:t>2016-2020</w:t>
      </w:r>
      <w:r>
        <w:rPr>
          <w:rFonts w:hint="eastAsia" w:ascii="Times New Roman" w:hAnsi="Times New Roman"/>
          <w:color w:val="auto"/>
          <w:highlight w:val="none"/>
        </w:rPr>
        <w:t>）</w:t>
      </w:r>
      <w:r>
        <w:rPr>
          <w:rFonts w:ascii="Times New Roman" w:hAnsi="Times New Roman"/>
          <w:color w:val="auto"/>
          <w:highlight w:val="none"/>
        </w:rPr>
        <w:t>》</w:t>
      </w:r>
      <w:r>
        <w:rPr>
          <w:rFonts w:hint="eastAsia" w:ascii="Times New Roman" w:hAnsi="Times New Roman"/>
          <w:color w:val="auto"/>
          <w:highlight w:val="none"/>
        </w:rPr>
        <w:t>、《云南省人民政府关于促进非煤矿山转型升级的实施意见（云政发〔2015〕38号）》、等</w:t>
      </w:r>
      <w:r>
        <w:rPr>
          <w:rFonts w:ascii="Times New Roman" w:hAnsi="Times New Roman"/>
          <w:color w:val="auto"/>
          <w:highlight w:val="none"/>
        </w:rPr>
        <w:t>规范及条例的相关规定</w:t>
      </w:r>
      <w:r>
        <w:rPr>
          <w:rFonts w:hint="eastAsia" w:ascii="Times New Roman" w:hAnsi="Times New Roman"/>
          <w:color w:val="auto"/>
          <w:highlight w:val="none"/>
        </w:rPr>
        <w:t>；</w:t>
      </w:r>
      <w:r>
        <w:rPr>
          <w:rFonts w:hint="eastAsia" w:ascii="Times New Roman" w:hAnsi="Times New Roman"/>
          <w:bCs/>
          <w:snapToGrid w:val="0"/>
          <w:color w:val="auto"/>
          <w:highlight w:val="none"/>
        </w:rPr>
        <w:t>项目选址合理可行。</w:t>
      </w:r>
    </w:p>
    <w:p>
      <w:pPr>
        <w:pStyle w:val="17"/>
        <w:rPr>
          <w:rFonts w:hint="eastAsia"/>
          <w:color w:val="auto"/>
          <w:highlight w:val="none"/>
        </w:rPr>
      </w:pPr>
    </w:p>
    <w:p>
      <w:pPr>
        <w:pStyle w:val="17"/>
        <w:rPr>
          <w:rFonts w:hint="eastAsia"/>
          <w:color w:val="FF0000"/>
          <w:highlight w:val="none"/>
        </w:rPr>
      </w:pPr>
    </w:p>
    <w:p>
      <w:pPr>
        <w:pStyle w:val="17"/>
        <w:rPr>
          <w:rFonts w:hint="eastAsia"/>
          <w:color w:val="FF0000"/>
          <w:highlight w:val="none"/>
        </w:rPr>
        <w:sectPr>
          <w:pgSz w:w="11911" w:h="16838"/>
          <w:pgMar w:top="1417" w:right="1417" w:bottom="1417" w:left="1417" w:header="879" w:footer="952" w:gutter="0"/>
          <w:pgBorders>
            <w:top w:val="none" w:sz="0" w:space="0"/>
            <w:left w:val="none" w:sz="0" w:space="0"/>
            <w:bottom w:val="none" w:sz="0" w:space="0"/>
            <w:right w:val="none" w:sz="0" w:space="0"/>
          </w:pgBorders>
          <w:pgNumType w:fmt="decimal"/>
          <w:cols w:space="720" w:num="1"/>
          <w:docGrid w:linePitch="312" w:charSpace="0"/>
        </w:sectPr>
      </w:pPr>
    </w:p>
    <w:p>
      <w:pPr>
        <w:pStyle w:val="3"/>
        <w:rPr>
          <w:rFonts w:hint="eastAsia"/>
          <w:highlight w:val="none"/>
          <w:lang w:val="zh-CN"/>
        </w:rPr>
      </w:pPr>
      <w:bookmarkStart w:id="454" w:name="_Toc505861701"/>
      <w:bookmarkStart w:id="455" w:name="_Toc501110079"/>
      <w:bookmarkStart w:id="456" w:name="_Toc31896"/>
      <w:r>
        <w:rPr>
          <w:rFonts w:hint="eastAsia"/>
          <w:highlight w:val="none"/>
          <w:lang w:val="en-US" w:eastAsia="zh-CN"/>
        </w:rPr>
        <w:t>7</w:t>
      </w:r>
      <w:r>
        <w:rPr>
          <w:rFonts w:hint="eastAsia"/>
          <w:highlight w:val="none"/>
          <w:lang w:val="zh-CN"/>
        </w:rPr>
        <w:t>环境风险</w:t>
      </w:r>
      <w:bookmarkEnd w:id="454"/>
      <w:bookmarkEnd w:id="455"/>
      <w:bookmarkEnd w:id="456"/>
    </w:p>
    <w:p>
      <w:pPr>
        <w:pStyle w:val="4"/>
        <w:rPr>
          <w:rFonts w:hint="eastAsia"/>
          <w:highlight w:val="none"/>
          <w:lang w:val="en-US" w:eastAsia="zh-CN"/>
        </w:rPr>
      </w:pPr>
      <w:bookmarkStart w:id="457" w:name="_Toc32091"/>
      <w:r>
        <w:rPr>
          <w:rFonts w:hint="eastAsia"/>
          <w:highlight w:val="none"/>
          <w:lang w:val="en-US" w:eastAsia="zh-CN"/>
        </w:rPr>
        <w:t>7.1评价原则</w:t>
      </w:r>
      <w:bookmarkEnd w:id="457"/>
    </w:p>
    <w:p>
      <w:pPr>
        <w:rPr>
          <w:rFonts w:hint="eastAsia"/>
          <w:highlight w:val="none"/>
          <w:lang w:val="zh-CN"/>
        </w:rPr>
      </w:pPr>
      <w:r>
        <w:rPr>
          <w:rFonts w:hint="eastAsia"/>
          <w:highlight w:val="none"/>
          <w:lang w:val="zh-CN"/>
        </w:rPr>
        <w:t>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pPr>
        <w:pStyle w:val="4"/>
        <w:rPr>
          <w:rFonts w:hint="default"/>
          <w:highlight w:val="none"/>
          <w:lang w:val="en-US" w:eastAsia="zh-CN"/>
        </w:rPr>
      </w:pPr>
      <w:bookmarkStart w:id="458" w:name="_Toc7102"/>
      <w:r>
        <w:rPr>
          <w:rFonts w:hint="eastAsia"/>
          <w:highlight w:val="none"/>
          <w:lang w:val="en-US" w:eastAsia="zh-CN"/>
        </w:rPr>
        <w:t>7.2评价工作等级</w:t>
      </w:r>
      <w:bookmarkEnd w:id="458"/>
    </w:p>
    <w:p>
      <w:pPr>
        <w:pStyle w:val="5"/>
        <w:rPr>
          <w:rFonts w:hint="eastAsia" w:ascii="Times New Roman" w:hAnsi="Times New Roman" w:cs="宋体"/>
          <w:highlight w:val="none"/>
          <w:lang w:val="en-US" w:eastAsia="zh-CN"/>
        </w:rPr>
      </w:pPr>
      <w:bookmarkStart w:id="459" w:name="_Toc20478"/>
      <w:r>
        <w:rPr>
          <w:rFonts w:hint="eastAsia" w:cs="宋体"/>
          <w:highlight w:val="none"/>
          <w:lang w:val="en-US" w:eastAsia="zh-CN"/>
        </w:rPr>
        <w:t>7</w:t>
      </w:r>
      <w:r>
        <w:rPr>
          <w:rFonts w:hint="eastAsia" w:ascii="Times New Roman" w:hAnsi="Times New Roman" w:cs="宋体"/>
          <w:highlight w:val="none"/>
          <w:lang w:val="en-US" w:eastAsia="zh-CN"/>
        </w:rPr>
        <w:t>.2.1评价等级</w:t>
      </w:r>
      <w:bookmarkEnd w:id="459"/>
    </w:p>
    <w:p>
      <w:pPr>
        <w:pStyle w:val="17"/>
        <w:ind w:firstLine="480"/>
        <w:rPr>
          <w:rFonts w:ascii="Times New Roman"/>
          <w:highlight w:val="none"/>
        </w:rPr>
      </w:pPr>
      <w:r>
        <w:rPr>
          <w:rFonts w:hint="eastAsia" w:ascii="Times New Roman"/>
          <w:highlight w:val="none"/>
        </w:rPr>
        <w:t>根据《建设项目环境风险评价技术导则》（HJ169-2018），环境风险评价工作等级划分为一级、二级、三级，评价工作等级划分表见表</w:t>
      </w:r>
      <w:r>
        <w:rPr>
          <w:rFonts w:hint="eastAsia" w:ascii="Times New Roman"/>
          <w:highlight w:val="none"/>
          <w:lang w:val="en-US" w:eastAsia="zh-CN"/>
        </w:rPr>
        <w:t>7.2</w:t>
      </w:r>
      <w:r>
        <w:rPr>
          <w:rFonts w:hint="eastAsia" w:ascii="Times New Roman"/>
          <w:highlight w:val="none"/>
        </w:rPr>
        <w:t>-</w:t>
      </w:r>
      <w:r>
        <w:rPr>
          <w:rFonts w:hint="eastAsia" w:ascii="Times New Roman"/>
          <w:highlight w:val="none"/>
          <w:lang w:val="en-US" w:eastAsia="zh-CN"/>
        </w:rPr>
        <w:t>1</w:t>
      </w:r>
      <w:r>
        <w:rPr>
          <w:rFonts w:hint="eastAsia" w:ascii="Times New Roman"/>
          <w:highlight w:val="none"/>
        </w:rPr>
        <w:t>。</w:t>
      </w:r>
    </w:p>
    <w:p>
      <w:pPr>
        <w:pStyle w:val="17"/>
        <w:ind w:firstLine="0" w:firstLineChars="0"/>
        <w:jc w:val="center"/>
        <w:rPr>
          <w:rFonts w:ascii="Times New Roman" w:hAnsi="Times New Roman"/>
          <w:b/>
          <w:bCs/>
          <w:sz w:val="21"/>
          <w:szCs w:val="21"/>
          <w:highlight w:val="none"/>
        </w:rPr>
      </w:pPr>
      <w:r>
        <w:rPr>
          <w:rFonts w:ascii="Times New Roman" w:hAnsi="Times New Roman"/>
          <w:b/>
          <w:bCs/>
          <w:sz w:val="21"/>
          <w:szCs w:val="21"/>
          <w:highlight w:val="none"/>
        </w:rPr>
        <w:t>表</w:t>
      </w:r>
      <w:r>
        <w:rPr>
          <w:rFonts w:hint="eastAsia" w:ascii="Times New Roman" w:hAnsi="Times New Roman"/>
          <w:b/>
          <w:bCs/>
          <w:sz w:val="21"/>
          <w:szCs w:val="21"/>
          <w:highlight w:val="none"/>
          <w:lang w:val="en-US" w:eastAsia="zh-CN"/>
        </w:rPr>
        <w:t>7.2</w:t>
      </w:r>
      <w:r>
        <w:rPr>
          <w:rFonts w:hint="eastAsia" w:ascii="Times New Roman" w:hAnsi="Times New Roman"/>
          <w:b/>
          <w:bCs/>
          <w:sz w:val="21"/>
          <w:szCs w:val="21"/>
          <w:highlight w:val="none"/>
        </w:rPr>
        <w:t>-</w:t>
      </w:r>
      <w:r>
        <w:rPr>
          <w:rFonts w:hint="eastAsia" w:ascii="Times New Roman" w:hAnsi="Times New Roman"/>
          <w:b/>
          <w:bCs/>
          <w:sz w:val="21"/>
          <w:szCs w:val="21"/>
          <w:highlight w:val="none"/>
          <w:lang w:val="en-US" w:eastAsia="zh-CN"/>
        </w:rPr>
        <w:t>1</w:t>
      </w:r>
      <w:r>
        <w:rPr>
          <w:rFonts w:ascii="Times New Roman" w:hAnsi="Times New Roman"/>
          <w:b/>
          <w:bCs/>
          <w:sz w:val="21"/>
          <w:szCs w:val="21"/>
          <w:highlight w:val="none"/>
        </w:rPr>
        <w:t xml:space="preserve">  评价工作等级划分表</w:t>
      </w:r>
    </w:p>
    <w:tbl>
      <w:tblPr>
        <w:tblStyle w:val="29"/>
        <w:tblW w:w="89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3"/>
        <w:gridCol w:w="1784"/>
        <w:gridCol w:w="1784"/>
        <w:gridCol w:w="1785"/>
        <w:gridCol w:w="1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1783" w:type="dxa"/>
            <w:shd w:val="clear" w:color="auto" w:fill="auto"/>
            <w:vAlign w:val="center"/>
          </w:tcPr>
          <w:p>
            <w:pPr>
              <w:pStyle w:val="17"/>
              <w:ind w:firstLine="0" w:firstLineChars="0"/>
              <w:jc w:val="center"/>
              <w:rPr>
                <w:rFonts w:ascii="Times New Roman"/>
                <w:b/>
                <w:bCs/>
                <w:sz w:val="21"/>
                <w:szCs w:val="21"/>
                <w:highlight w:val="none"/>
              </w:rPr>
            </w:pPr>
            <w:r>
              <w:rPr>
                <w:rFonts w:hint="eastAsia" w:ascii="Times New Roman"/>
                <w:b/>
                <w:bCs/>
                <w:sz w:val="21"/>
                <w:szCs w:val="21"/>
                <w:highlight w:val="none"/>
              </w:rPr>
              <w:t>环境风险潜势</w:t>
            </w:r>
          </w:p>
        </w:tc>
        <w:tc>
          <w:tcPr>
            <w:tcW w:w="1784" w:type="dxa"/>
            <w:shd w:val="clear" w:color="auto" w:fill="auto"/>
            <w:vAlign w:val="center"/>
          </w:tcPr>
          <w:p>
            <w:pPr>
              <w:pStyle w:val="17"/>
              <w:ind w:firstLine="0" w:firstLineChars="0"/>
              <w:jc w:val="center"/>
              <w:rPr>
                <w:rFonts w:ascii="Times New Roman"/>
                <w:b/>
                <w:bCs/>
                <w:sz w:val="21"/>
                <w:szCs w:val="21"/>
                <w:highlight w:val="none"/>
              </w:rPr>
            </w:pPr>
            <w:r>
              <w:rPr>
                <w:rFonts w:hint="eastAsia" w:ascii="Times New Roman"/>
                <w:b/>
                <w:bCs/>
                <w:sz w:val="21"/>
                <w:szCs w:val="21"/>
                <w:highlight w:val="none"/>
              </w:rPr>
              <w:t>IV、IV</w:t>
            </w:r>
            <w:r>
              <w:rPr>
                <w:rFonts w:hint="eastAsia" w:ascii="Times New Roman"/>
                <w:b/>
                <w:bCs/>
                <w:sz w:val="21"/>
                <w:szCs w:val="21"/>
                <w:highlight w:val="none"/>
                <w:vertAlign w:val="superscript"/>
              </w:rPr>
              <w:t>+</w:t>
            </w:r>
          </w:p>
        </w:tc>
        <w:tc>
          <w:tcPr>
            <w:tcW w:w="1784" w:type="dxa"/>
            <w:shd w:val="clear" w:color="auto" w:fill="auto"/>
            <w:vAlign w:val="center"/>
          </w:tcPr>
          <w:p>
            <w:pPr>
              <w:pStyle w:val="17"/>
              <w:ind w:firstLine="0" w:firstLineChars="0"/>
              <w:jc w:val="center"/>
              <w:rPr>
                <w:rFonts w:ascii="Times New Roman"/>
                <w:b/>
                <w:bCs/>
                <w:sz w:val="21"/>
                <w:szCs w:val="21"/>
                <w:highlight w:val="none"/>
              </w:rPr>
            </w:pPr>
            <w:r>
              <w:rPr>
                <w:rFonts w:hint="eastAsia" w:ascii="Times New Roman"/>
                <w:b/>
                <w:bCs/>
                <w:sz w:val="21"/>
                <w:szCs w:val="21"/>
                <w:highlight w:val="none"/>
              </w:rPr>
              <w:t>III</w:t>
            </w:r>
          </w:p>
        </w:tc>
        <w:tc>
          <w:tcPr>
            <w:tcW w:w="1785" w:type="dxa"/>
            <w:shd w:val="clear" w:color="auto" w:fill="auto"/>
            <w:vAlign w:val="center"/>
          </w:tcPr>
          <w:p>
            <w:pPr>
              <w:pStyle w:val="17"/>
              <w:ind w:firstLine="0" w:firstLineChars="0"/>
              <w:jc w:val="center"/>
              <w:rPr>
                <w:rFonts w:ascii="Times New Roman"/>
                <w:b/>
                <w:bCs/>
                <w:sz w:val="21"/>
                <w:szCs w:val="21"/>
                <w:highlight w:val="none"/>
              </w:rPr>
            </w:pPr>
            <w:r>
              <w:rPr>
                <w:rFonts w:hint="eastAsia" w:ascii="Times New Roman"/>
                <w:b/>
                <w:bCs/>
                <w:sz w:val="21"/>
                <w:szCs w:val="21"/>
                <w:highlight w:val="none"/>
              </w:rPr>
              <w:t>II</w:t>
            </w:r>
          </w:p>
        </w:tc>
        <w:tc>
          <w:tcPr>
            <w:tcW w:w="1784" w:type="dxa"/>
            <w:shd w:val="clear" w:color="auto" w:fill="auto"/>
            <w:vAlign w:val="center"/>
          </w:tcPr>
          <w:p>
            <w:pPr>
              <w:pStyle w:val="17"/>
              <w:ind w:firstLine="0" w:firstLineChars="0"/>
              <w:jc w:val="center"/>
              <w:rPr>
                <w:rFonts w:ascii="Times New Roman"/>
                <w:b/>
                <w:bCs/>
                <w:sz w:val="21"/>
                <w:szCs w:val="21"/>
                <w:highlight w:val="none"/>
              </w:rPr>
            </w:pPr>
            <w:r>
              <w:rPr>
                <w:rFonts w:hint="eastAsia" w:ascii="Times New Roman"/>
                <w:sz w:val="21"/>
                <w:szCs w:val="21"/>
                <w:highlight w:val="none"/>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1783" w:type="dxa"/>
            <w:shd w:val="clear" w:color="auto" w:fill="auto"/>
            <w:vAlign w:val="center"/>
          </w:tcPr>
          <w:p>
            <w:pPr>
              <w:pStyle w:val="17"/>
              <w:ind w:firstLine="0" w:firstLineChars="0"/>
              <w:jc w:val="center"/>
              <w:rPr>
                <w:rFonts w:ascii="Times New Roman"/>
                <w:sz w:val="21"/>
                <w:szCs w:val="21"/>
                <w:highlight w:val="none"/>
              </w:rPr>
            </w:pPr>
            <w:r>
              <w:rPr>
                <w:rFonts w:hint="eastAsia" w:ascii="Times New Roman"/>
                <w:sz w:val="21"/>
                <w:szCs w:val="21"/>
                <w:highlight w:val="none"/>
              </w:rPr>
              <w:t>评价工作等级</w:t>
            </w:r>
          </w:p>
        </w:tc>
        <w:tc>
          <w:tcPr>
            <w:tcW w:w="1784" w:type="dxa"/>
            <w:shd w:val="clear" w:color="auto" w:fill="auto"/>
            <w:vAlign w:val="center"/>
          </w:tcPr>
          <w:p>
            <w:pPr>
              <w:pStyle w:val="17"/>
              <w:ind w:firstLine="0" w:firstLineChars="0"/>
              <w:jc w:val="center"/>
              <w:rPr>
                <w:rFonts w:ascii="Times New Roman"/>
                <w:sz w:val="21"/>
                <w:szCs w:val="21"/>
                <w:highlight w:val="none"/>
              </w:rPr>
            </w:pPr>
            <w:r>
              <w:rPr>
                <w:rFonts w:hint="eastAsia" w:ascii="Times New Roman"/>
                <w:sz w:val="21"/>
                <w:szCs w:val="21"/>
                <w:highlight w:val="none"/>
              </w:rPr>
              <w:t>一</w:t>
            </w:r>
          </w:p>
        </w:tc>
        <w:tc>
          <w:tcPr>
            <w:tcW w:w="1784" w:type="dxa"/>
            <w:shd w:val="clear" w:color="auto" w:fill="auto"/>
            <w:vAlign w:val="center"/>
          </w:tcPr>
          <w:p>
            <w:pPr>
              <w:pStyle w:val="17"/>
              <w:ind w:firstLine="0" w:firstLineChars="0"/>
              <w:jc w:val="center"/>
              <w:rPr>
                <w:rFonts w:ascii="Times New Roman"/>
                <w:sz w:val="21"/>
                <w:szCs w:val="21"/>
                <w:highlight w:val="none"/>
              </w:rPr>
            </w:pPr>
            <w:r>
              <w:rPr>
                <w:rFonts w:hint="eastAsia" w:ascii="Times New Roman"/>
                <w:sz w:val="21"/>
                <w:szCs w:val="21"/>
                <w:highlight w:val="none"/>
              </w:rPr>
              <w:t>二</w:t>
            </w:r>
          </w:p>
        </w:tc>
        <w:tc>
          <w:tcPr>
            <w:tcW w:w="1785" w:type="dxa"/>
            <w:shd w:val="clear" w:color="auto" w:fill="auto"/>
            <w:vAlign w:val="center"/>
          </w:tcPr>
          <w:p>
            <w:pPr>
              <w:pStyle w:val="17"/>
              <w:ind w:firstLine="0" w:firstLineChars="0"/>
              <w:jc w:val="center"/>
              <w:rPr>
                <w:rFonts w:ascii="Times New Roman"/>
                <w:sz w:val="21"/>
                <w:szCs w:val="21"/>
                <w:highlight w:val="none"/>
              </w:rPr>
            </w:pPr>
            <w:r>
              <w:rPr>
                <w:rFonts w:hint="eastAsia" w:ascii="Times New Roman"/>
                <w:sz w:val="21"/>
                <w:szCs w:val="21"/>
                <w:highlight w:val="none"/>
              </w:rPr>
              <w:t>三</w:t>
            </w:r>
          </w:p>
        </w:tc>
        <w:tc>
          <w:tcPr>
            <w:tcW w:w="1784" w:type="dxa"/>
            <w:shd w:val="clear" w:color="auto" w:fill="FFC000"/>
            <w:vAlign w:val="center"/>
          </w:tcPr>
          <w:p>
            <w:pPr>
              <w:pStyle w:val="17"/>
              <w:ind w:firstLine="0" w:firstLineChars="0"/>
              <w:jc w:val="center"/>
              <w:rPr>
                <w:rFonts w:ascii="Times New Roman"/>
                <w:sz w:val="21"/>
                <w:szCs w:val="21"/>
                <w:highlight w:val="none"/>
              </w:rPr>
            </w:pPr>
            <w:r>
              <w:rPr>
                <w:rFonts w:hint="eastAsia" w:ascii="Times New Roman"/>
                <w:sz w:val="21"/>
                <w:szCs w:val="21"/>
                <w:highlight w:val="none"/>
              </w:rPr>
              <w:t>简单分析</w:t>
            </w:r>
            <w:r>
              <w:rPr>
                <w:rFonts w:hint="eastAsia" w:ascii="Times New Roman"/>
                <w:sz w:val="21"/>
                <w:szCs w:val="21"/>
                <w:highlight w:val="none"/>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8920" w:type="dxa"/>
            <w:gridSpan w:val="5"/>
            <w:shd w:val="clear" w:color="auto" w:fill="auto"/>
            <w:vAlign w:val="center"/>
          </w:tcPr>
          <w:p>
            <w:pPr>
              <w:pStyle w:val="17"/>
              <w:ind w:firstLine="0" w:firstLineChars="0"/>
              <w:rPr>
                <w:rFonts w:ascii="Times New Roman"/>
                <w:sz w:val="21"/>
                <w:szCs w:val="21"/>
                <w:highlight w:val="none"/>
              </w:rPr>
            </w:pPr>
            <w:r>
              <w:rPr>
                <w:rFonts w:hint="eastAsia" w:ascii="Times New Roman"/>
                <w:sz w:val="21"/>
                <w:szCs w:val="21"/>
                <w:highlight w:val="none"/>
              </w:rPr>
              <w:t>a是相对于详细评价工作内容而言，在描述危险物质、环境影响途径、环境危害后果、风险防范措施等方面给出定性说明。</w:t>
            </w:r>
          </w:p>
        </w:tc>
      </w:tr>
    </w:tbl>
    <w:p>
      <w:pPr>
        <w:rPr>
          <w:rFonts w:hint="eastAsia"/>
          <w:highlight w:val="none"/>
          <w:lang w:val="zh-CN"/>
        </w:rPr>
      </w:pPr>
    </w:p>
    <w:p>
      <w:pPr>
        <w:rPr>
          <w:rFonts w:hint="eastAsia"/>
          <w:highlight w:val="none"/>
          <w:lang w:val="en-US" w:eastAsia="zh-CN"/>
        </w:rPr>
      </w:pPr>
      <w:r>
        <w:rPr>
          <w:rFonts w:hint="eastAsia"/>
          <w:highlight w:val="none"/>
          <w:lang w:val="zh-CN"/>
        </w:rPr>
        <w:t>据调查分析，本项目涉及的危险物质为</w:t>
      </w:r>
      <w:r>
        <w:rPr>
          <w:rFonts w:hint="eastAsia"/>
          <w:highlight w:val="none"/>
        </w:rPr>
        <w:t>柴油（0</w:t>
      </w:r>
      <w:r>
        <w:rPr>
          <w:rFonts w:hint="eastAsia" w:ascii="宋体" w:hAnsi="宋体" w:cs="宋体"/>
          <w:highlight w:val="none"/>
        </w:rPr>
        <w:t>＃</w:t>
      </w:r>
      <w:r>
        <w:rPr>
          <w:rFonts w:hint="eastAsia"/>
          <w:highlight w:val="none"/>
        </w:rPr>
        <w:t>）</w:t>
      </w:r>
      <w:r>
        <w:rPr>
          <w:rFonts w:hint="eastAsia"/>
          <w:highlight w:val="none"/>
          <w:lang w:eastAsia="zh-CN"/>
        </w:rPr>
        <w:t>、润滑油，经计算，本项目内</w:t>
      </w:r>
      <w:r>
        <w:rPr>
          <w:rFonts w:hint="eastAsia"/>
          <w:highlight w:val="none"/>
          <w:lang w:val="en-US" w:eastAsia="zh-CN"/>
        </w:rPr>
        <w:t>危险物质数量与临界量比值Q=10/2500+1/2500=0.004+0.0004=0.0044，Q＜1。（详见下文分析）</w:t>
      </w:r>
    </w:p>
    <w:p>
      <w:pPr>
        <w:rPr>
          <w:rFonts w:hint="eastAsia"/>
          <w:highlight w:val="none"/>
          <w:lang w:val="en-US" w:eastAsia="zh-CN"/>
        </w:rPr>
      </w:pPr>
      <w:r>
        <w:rPr>
          <w:rFonts w:hint="eastAsia" w:ascii="Times New Roman"/>
          <w:highlight w:val="none"/>
        </w:rPr>
        <w:t>根据《建设项目环境风险评价技术导则》（HJ169-2018）</w:t>
      </w:r>
      <w:r>
        <w:rPr>
          <w:rFonts w:hint="eastAsia"/>
          <w:highlight w:val="none"/>
          <w:lang w:eastAsia="zh-CN"/>
        </w:rPr>
        <w:t>附录</w:t>
      </w:r>
      <w:r>
        <w:rPr>
          <w:rFonts w:hint="eastAsia"/>
          <w:highlight w:val="none"/>
          <w:lang w:val="en-US" w:eastAsia="zh-CN"/>
        </w:rPr>
        <w:t>C.1.1，当Q＜1时，该项目环境风险潜势为I。</w:t>
      </w:r>
    </w:p>
    <w:p>
      <w:pPr>
        <w:rPr>
          <w:rFonts w:hint="eastAsia"/>
          <w:highlight w:val="none"/>
          <w:lang w:val="en-US" w:eastAsia="zh-CN"/>
        </w:rPr>
      </w:pPr>
      <w:r>
        <w:rPr>
          <w:rFonts w:hint="eastAsia"/>
          <w:highlight w:val="none"/>
          <w:lang w:val="en-US" w:eastAsia="zh-CN"/>
        </w:rPr>
        <w:t>根据表7.2-1评价工作等级划分表，本项目环境风险潜势为I，环境风险评价工作等级为简单分析，本项目环境风险分析按照</w:t>
      </w:r>
      <w:r>
        <w:rPr>
          <w:rFonts w:hint="eastAsia" w:ascii="Times New Roman"/>
          <w:highlight w:val="none"/>
        </w:rPr>
        <w:t>《建设项目环境风险评价技术导则》（HJ169-2018）</w:t>
      </w:r>
      <w:r>
        <w:rPr>
          <w:rFonts w:hint="eastAsia"/>
          <w:highlight w:val="none"/>
          <w:lang w:eastAsia="zh-CN"/>
        </w:rPr>
        <w:t>附录</w:t>
      </w:r>
      <w:r>
        <w:rPr>
          <w:rFonts w:hint="eastAsia"/>
          <w:highlight w:val="none"/>
          <w:lang w:val="en-US" w:eastAsia="zh-CN"/>
        </w:rPr>
        <w:t>A规定的内容进行分析。</w:t>
      </w:r>
    </w:p>
    <w:p>
      <w:pPr>
        <w:pStyle w:val="5"/>
        <w:rPr>
          <w:rFonts w:hint="default" w:ascii="Times New Roman" w:hAnsi="Times New Roman" w:cs="宋体"/>
          <w:highlight w:val="none"/>
          <w:lang w:val="en-US" w:eastAsia="zh-CN"/>
        </w:rPr>
      </w:pPr>
      <w:bookmarkStart w:id="460" w:name="_Toc28857"/>
      <w:r>
        <w:rPr>
          <w:rFonts w:hint="eastAsia" w:cs="宋体"/>
          <w:highlight w:val="none"/>
          <w:lang w:val="en-US" w:eastAsia="zh-CN"/>
        </w:rPr>
        <w:t>7</w:t>
      </w:r>
      <w:r>
        <w:rPr>
          <w:rFonts w:hint="eastAsia" w:ascii="Times New Roman" w:hAnsi="Times New Roman" w:cs="宋体"/>
          <w:highlight w:val="none"/>
          <w:lang w:val="en-US" w:eastAsia="zh-CN"/>
        </w:rPr>
        <w:t>.2.2评价范围</w:t>
      </w:r>
      <w:bookmarkEnd w:id="460"/>
    </w:p>
    <w:p>
      <w:pPr>
        <w:pStyle w:val="17"/>
        <w:ind w:firstLine="480"/>
        <w:rPr>
          <w:rFonts w:hint="eastAsia" w:ascii="Times New Roman"/>
          <w:color w:val="auto"/>
          <w:highlight w:val="none"/>
        </w:rPr>
      </w:pPr>
      <w:r>
        <w:rPr>
          <w:rFonts w:hint="eastAsia" w:ascii="Times New Roman"/>
          <w:color w:val="auto"/>
          <w:highlight w:val="none"/>
          <w:lang w:eastAsia="zh-CN"/>
        </w:rPr>
        <w:t>本项目环境风险评价等级为简单分析，</w:t>
      </w:r>
      <w:r>
        <w:rPr>
          <w:rFonts w:hint="eastAsia" w:ascii="Times New Roman"/>
          <w:color w:val="auto"/>
          <w:highlight w:val="none"/>
        </w:rPr>
        <w:t>根据《建设项目环境风险评价技术导则》（HJ169-2018）</w:t>
      </w:r>
      <w:r>
        <w:rPr>
          <w:rFonts w:hint="eastAsia" w:ascii="Times New Roman"/>
          <w:color w:val="auto"/>
          <w:highlight w:val="none"/>
          <w:lang w:eastAsia="zh-CN"/>
        </w:rPr>
        <w:t>，不设置评价范围。</w:t>
      </w:r>
    </w:p>
    <w:p>
      <w:pPr>
        <w:ind w:left="0" w:leftChars="0" w:firstLine="0" w:firstLineChars="0"/>
        <w:rPr>
          <w:rFonts w:hint="eastAsia"/>
          <w:color w:val="auto"/>
          <w:highlight w:val="none"/>
          <w:lang w:val="en-US" w:eastAsia="zh-CN"/>
        </w:rPr>
      </w:pPr>
    </w:p>
    <w:p>
      <w:pPr>
        <w:pStyle w:val="4"/>
        <w:rPr>
          <w:highlight w:val="none"/>
          <w:lang w:val="zh-CN"/>
        </w:rPr>
      </w:pPr>
      <w:bookmarkStart w:id="461" w:name="_Toc21256"/>
      <w:r>
        <w:rPr>
          <w:rFonts w:hint="eastAsia"/>
          <w:highlight w:val="none"/>
          <w:lang w:val="en-US" w:eastAsia="zh-CN"/>
        </w:rPr>
        <w:t>7</w:t>
      </w:r>
      <w:r>
        <w:rPr>
          <w:rFonts w:hint="eastAsia"/>
          <w:highlight w:val="none"/>
        </w:rPr>
        <w:t>.</w:t>
      </w:r>
      <w:r>
        <w:rPr>
          <w:rFonts w:hint="eastAsia"/>
          <w:highlight w:val="none"/>
          <w:lang w:val="en-US" w:eastAsia="zh-CN"/>
        </w:rPr>
        <w:t>3</w:t>
      </w:r>
      <w:r>
        <w:rPr>
          <w:rFonts w:hint="eastAsia"/>
          <w:highlight w:val="none"/>
        </w:rPr>
        <w:t>评价依据</w:t>
      </w:r>
      <w:bookmarkEnd w:id="461"/>
    </w:p>
    <w:p>
      <w:pPr>
        <w:pStyle w:val="5"/>
        <w:rPr>
          <w:rFonts w:hint="default" w:cs="宋体"/>
          <w:highlight w:val="none"/>
          <w:lang w:val="zh-CN"/>
        </w:rPr>
      </w:pPr>
      <w:bookmarkStart w:id="462" w:name="_Toc330557001"/>
      <w:bookmarkStart w:id="463" w:name="_Toc425752336"/>
      <w:bookmarkStart w:id="464" w:name="_Toc449476167"/>
      <w:bookmarkStart w:id="465" w:name="_Toc460858148"/>
      <w:bookmarkStart w:id="466" w:name="_Toc10185"/>
      <w:r>
        <w:rPr>
          <w:rFonts w:hint="eastAsia" w:cs="宋体"/>
          <w:highlight w:val="none"/>
          <w:lang w:val="en-US" w:eastAsia="zh-CN"/>
        </w:rPr>
        <w:t>7</w:t>
      </w:r>
      <w:r>
        <w:rPr>
          <w:rFonts w:cs="宋体"/>
          <w:highlight w:val="none"/>
          <w:lang w:val="zh-CN"/>
        </w:rPr>
        <w:t>.</w:t>
      </w:r>
      <w:bookmarkEnd w:id="462"/>
      <w:bookmarkEnd w:id="463"/>
      <w:bookmarkEnd w:id="464"/>
      <w:bookmarkEnd w:id="465"/>
      <w:r>
        <w:rPr>
          <w:rFonts w:hint="eastAsia" w:cs="宋体"/>
          <w:highlight w:val="none"/>
          <w:lang w:val="en-US" w:eastAsia="zh-CN"/>
        </w:rPr>
        <w:t>3</w:t>
      </w:r>
      <w:r>
        <w:rPr>
          <w:rFonts w:cs="宋体"/>
          <w:highlight w:val="none"/>
        </w:rPr>
        <w:t>.1</w:t>
      </w:r>
      <w:r>
        <w:rPr>
          <w:rFonts w:cs="宋体"/>
          <w:highlight w:val="none"/>
          <w:lang w:val="zh-CN"/>
        </w:rPr>
        <w:t>风险</w:t>
      </w:r>
      <w:r>
        <w:rPr>
          <w:rFonts w:hint="eastAsia" w:cs="宋体"/>
          <w:highlight w:val="none"/>
          <w:lang w:val="zh-CN"/>
        </w:rPr>
        <w:t>源</w:t>
      </w:r>
      <w:r>
        <w:rPr>
          <w:rFonts w:cs="宋体"/>
          <w:highlight w:val="none"/>
          <w:lang w:val="zh-CN"/>
        </w:rPr>
        <w:t>调查</w:t>
      </w:r>
      <w:bookmarkEnd w:id="466"/>
    </w:p>
    <w:p>
      <w:pPr>
        <w:ind w:firstLine="480"/>
        <w:rPr>
          <w:highlight w:val="none"/>
        </w:rPr>
      </w:pPr>
      <w:r>
        <w:rPr>
          <w:rFonts w:hint="eastAsia"/>
          <w:highlight w:val="none"/>
        </w:rPr>
        <w:t>风险源调查主要调查项目涉及的危险物质的数量、分布情况、生产工艺特点等。根据项目特点，项目所涉及的有害有毒和易燃易爆等物质主要包括：柴油、废机油、炸药、雷管、导爆管等爆破物品等，由于该项目炸药、雷管、导爆管等爆破物品均由民爆部门组织实施，民爆部门设计爆破方案、组织实施埋药、引爆等工作，每次爆破所需的炸药和雷管均由民爆部门自带，爆破结束后，剩余部分带回，该项目不设炸药库等设施。民爆部门严格按爆破安全规程爆破工作，按照相关消防规范设置防火、防爆、隔爆设施。该项目由于不贮存炸药和自行使用炸药，所以不存在爆炸引起的环境风险。</w:t>
      </w:r>
    </w:p>
    <w:p>
      <w:pPr>
        <w:ind w:firstLine="480"/>
        <w:rPr>
          <w:highlight w:val="none"/>
        </w:rPr>
      </w:pPr>
      <w:r>
        <w:rPr>
          <w:rFonts w:hint="eastAsia"/>
          <w:highlight w:val="none"/>
        </w:rPr>
        <w:t>结合项目生产、使用、存储过程中涉及的物质情况，本项目危险物质主要为乳化炸药、雷管</w:t>
      </w:r>
      <w:r>
        <w:rPr>
          <w:rFonts w:hint="eastAsia"/>
          <w:highlight w:val="none"/>
          <w:lang w:eastAsia="zh-CN"/>
        </w:rPr>
        <w:t>、</w:t>
      </w:r>
      <w:r>
        <w:rPr>
          <w:rFonts w:hint="eastAsia"/>
          <w:highlight w:val="none"/>
        </w:rPr>
        <w:t>柴油（0</w:t>
      </w:r>
      <w:r>
        <w:rPr>
          <w:rFonts w:hint="eastAsia" w:ascii="宋体" w:hAnsi="宋体" w:cs="宋体"/>
          <w:highlight w:val="none"/>
        </w:rPr>
        <w:t>＃</w:t>
      </w:r>
      <w:r>
        <w:rPr>
          <w:rFonts w:hint="eastAsia"/>
          <w:highlight w:val="none"/>
        </w:rPr>
        <w:t>）</w:t>
      </w:r>
      <w:r>
        <w:rPr>
          <w:rFonts w:hint="eastAsia"/>
          <w:highlight w:val="none"/>
          <w:lang w:eastAsia="zh-CN"/>
        </w:rPr>
        <w:t>、润滑油</w:t>
      </w:r>
      <w:r>
        <w:rPr>
          <w:rFonts w:hint="eastAsia"/>
          <w:highlight w:val="none"/>
        </w:rPr>
        <w:t>，其危险物质数量和分布情况见表</w:t>
      </w:r>
      <w:r>
        <w:rPr>
          <w:rFonts w:hint="eastAsia"/>
          <w:highlight w:val="none"/>
          <w:lang w:val="en-US" w:eastAsia="zh-CN"/>
        </w:rPr>
        <w:t>7.3-1</w:t>
      </w:r>
      <w:r>
        <w:rPr>
          <w:rFonts w:hint="eastAsia"/>
          <w:highlight w:val="none"/>
        </w:rPr>
        <w:t>。</w:t>
      </w:r>
    </w:p>
    <w:p>
      <w:pPr>
        <w:pStyle w:val="17"/>
        <w:ind w:firstLine="0" w:firstLineChars="0"/>
        <w:jc w:val="center"/>
        <w:rPr>
          <w:rFonts w:ascii="Times New Roman" w:hAnsi="Times New Roman"/>
          <w:b/>
          <w:bCs/>
          <w:sz w:val="21"/>
          <w:szCs w:val="21"/>
          <w:highlight w:val="none"/>
        </w:rPr>
      </w:pPr>
      <w:r>
        <w:rPr>
          <w:rFonts w:ascii="Times New Roman" w:hAnsi="Times New Roman"/>
          <w:b/>
          <w:bCs/>
          <w:sz w:val="21"/>
          <w:szCs w:val="21"/>
          <w:highlight w:val="none"/>
        </w:rPr>
        <w:t>表</w:t>
      </w:r>
      <w:r>
        <w:rPr>
          <w:rFonts w:hint="eastAsia" w:ascii="Times New Roman" w:hAnsi="Times New Roman"/>
          <w:b/>
          <w:bCs/>
          <w:sz w:val="21"/>
          <w:szCs w:val="21"/>
          <w:highlight w:val="none"/>
          <w:lang w:val="en-US" w:eastAsia="zh-CN"/>
        </w:rPr>
        <w:t>7.3-1</w:t>
      </w:r>
      <w:r>
        <w:rPr>
          <w:rFonts w:ascii="Times New Roman" w:hAnsi="Times New Roman"/>
          <w:b/>
          <w:bCs/>
          <w:sz w:val="21"/>
          <w:szCs w:val="21"/>
          <w:highlight w:val="none"/>
        </w:rPr>
        <w:t xml:space="preserve">  危险物质数量和分布情况</w:t>
      </w:r>
    </w:p>
    <w:tbl>
      <w:tblPr>
        <w:tblStyle w:val="29"/>
        <w:tblW w:w="91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1596"/>
        <w:gridCol w:w="1321"/>
        <w:gridCol w:w="1395"/>
        <w:gridCol w:w="1396"/>
        <w:gridCol w:w="2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844" w:type="dxa"/>
            <w:shd w:val="clear" w:color="auto" w:fill="auto"/>
            <w:vAlign w:val="center"/>
          </w:tcPr>
          <w:p>
            <w:pPr>
              <w:ind w:firstLine="0" w:firstLineChars="0"/>
              <w:jc w:val="center"/>
              <w:rPr>
                <w:b/>
                <w:bCs/>
                <w:sz w:val="21"/>
                <w:szCs w:val="21"/>
                <w:highlight w:val="none"/>
              </w:rPr>
            </w:pPr>
            <w:r>
              <w:rPr>
                <w:b/>
                <w:bCs/>
                <w:sz w:val="21"/>
                <w:szCs w:val="21"/>
                <w:highlight w:val="none"/>
              </w:rPr>
              <w:t>序号</w:t>
            </w:r>
          </w:p>
        </w:tc>
        <w:tc>
          <w:tcPr>
            <w:tcW w:w="1596" w:type="dxa"/>
            <w:shd w:val="clear" w:color="auto" w:fill="auto"/>
            <w:vAlign w:val="center"/>
          </w:tcPr>
          <w:p>
            <w:pPr>
              <w:ind w:firstLine="0" w:firstLineChars="0"/>
              <w:jc w:val="center"/>
              <w:rPr>
                <w:b/>
                <w:bCs/>
                <w:color w:val="auto"/>
                <w:sz w:val="21"/>
                <w:szCs w:val="21"/>
                <w:highlight w:val="none"/>
              </w:rPr>
            </w:pPr>
            <w:r>
              <w:rPr>
                <w:b/>
                <w:bCs/>
                <w:color w:val="auto"/>
                <w:sz w:val="21"/>
                <w:szCs w:val="21"/>
                <w:highlight w:val="none"/>
              </w:rPr>
              <w:t>危险物质名称</w:t>
            </w:r>
          </w:p>
        </w:tc>
        <w:tc>
          <w:tcPr>
            <w:tcW w:w="1321" w:type="dxa"/>
            <w:shd w:val="clear" w:color="auto" w:fill="auto"/>
            <w:vAlign w:val="center"/>
          </w:tcPr>
          <w:p>
            <w:pPr>
              <w:ind w:firstLine="0" w:firstLineChars="0"/>
              <w:jc w:val="center"/>
              <w:rPr>
                <w:b/>
                <w:bCs/>
                <w:color w:val="auto"/>
                <w:sz w:val="21"/>
                <w:szCs w:val="21"/>
                <w:highlight w:val="none"/>
              </w:rPr>
            </w:pPr>
            <w:r>
              <w:rPr>
                <w:rFonts w:hint="eastAsia"/>
                <w:b/>
                <w:bCs/>
                <w:color w:val="auto"/>
                <w:sz w:val="21"/>
                <w:szCs w:val="21"/>
                <w:highlight w:val="none"/>
                <w:lang w:eastAsia="zh-CN"/>
              </w:rPr>
              <w:t>用量</w:t>
            </w:r>
          </w:p>
        </w:tc>
        <w:tc>
          <w:tcPr>
            <w:tcW w:w="1395" w:type="dxa"/>
            <w:shd w:val="clear" w:color="auto" w:fill="auto"/>
            <w:vAlign w:val="center"/>
          </w:tcPr>
          <w:p>
            <w:pPr>
              <w:ind w:firstLine="0" w:firstLineChars="0"/>
              <w:jc w:val="center"/>
              <w:rPr>
                <w:rFonts w:hint="default"/>
                <w:b/>
                <w:bCs/>
                <w:color w:val="auto"/>
                <w:sz w:val="21"/>
                <w:szCs w:val="21"/>
                <w:highlight w:val="none"/>
                <w:lang w:val="en-US" w:eastAsia="zh-CN"/>
              </w:rPr>
            </w:pPr>
            <w:r>
              <w:rPr>
                <w:rFonts w:hint="eastAsia"/>
                <w:b/>
                <w:bCs/>
                <w:color w:val="auto"/>
                <w:sz w:val="21"/>
                <w:szCs w:val="21"/>
                <w:highlight w:val="none"/>
                <w:lang w:eastAsia="zh-CN"/>
              </w:rPr>
              <w:t>最大储量</w:t>
            </w:r>
          </w:p>
        </w:tc>
        <w:tc>
          <w:tcPr>
            <w:tcW w:w="1396" w:type="dxa"/>
            <w:shd w:val="clear" w:color="auto" w:fill="auto"/>
            <w:vAlign w:val="center"/>
          </w:tcPr>
          <w:p>
            <w:pPr>
              <w:ind w:firstLine="0" w:firstLineChars="0"/>
              <w:jc w:val="center"/>
              <w:rPr>
                <w:b/>
                <w:bCs/>
                <w:sz w:val="21"/>
                <w:szCs w:val="21"/>
                <w:highlight w:val="none"/>
              </w:rPr>
            </w:pPr>
            <w:r>
              <w:rPr>
                <w:b/>
                <w:bCs/>
                <w:sz w:val="21"/>
                <w:szCs w:val="21"/>
                <w:highlight w:val="none"/>
              </w:rPr>
              <w:t>分布位置</w:t>
            </w:r>
          </w:p>
        </w:tc>
        <w:tc>
          <w:tcPr>
            <w:tcW w:w="2608" w:type="dxa"/>
            <w:shd w:val="clear" w:color="auto" w:fill="auto"/>
            <w:vAlign w:val="center"/>
          </w:tcPr>
          <w:p>
            <w:pPr>
              <w:ind w:firstLine="0" w:firstLineChars="0"/>
              <w:jc w:val="center"/>
              <w:rPr>
                <w:b/>
                <w:bCs/>
                <w:sz w:val="21"/>
                <w:szCs w:val="21"/>
                <w:highlight w:val="none"/>
              </w:rPr>
            </w:pPr>
            <w:r>
              <w:rPr>
                <w:rFonts w:hint="eastAsia"/>
                <w:b/>
                <w:bCs/>
                <w:sz w:val="21"/>
                <w:szCs w:val="21"/>
                <w:highlight w:val="none"/>
              </w:rPr>
              <w:t>中心地理坐标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844" w:type="dxa"/>
            <w:shd w:val="clear" w:color="auto" w:fill="auto"/>
            <w:vAlign w:val="center"/>
          </w:tcPr>
          <w:p>
            <w:pPr>
              <w:ind w:firstLine="0" w:firstLineChars="0"/>
              <w:jc w:val="center"/>
              <w:rPr>
                <w:sz w:val="21"/>
                <w:szCs w:val="21"/>
                <w:highlight w:val="none"/>
              </w:rPr>
            </w:pPr>
            <w:r>
              <w:rPr>
                <w:sz w:val="21"/>
                <w:szCs w:val="21"/>
                <w:highlight w:val="none"/>
              </w:rPr>
              <w:t>1</w:t>
            </w:r>
          </w:p>
        </w:tc>
        <w:tc>
          <w:tcPr>
            <w:tcW w:w="1596" w:type="dxa"/>
            <w:shd w:val="clear" w:color="auto" w:fill="auto"/>
            <w:vAlign w:val="center"/>
          </w:tcPr>
          <w:p>
            <w:pPr>
              <w:ind w:firstLine="0" w:firstLineChars="0"/>
              <w:jc w:val="center"/>
              <w:rPr>
                <w:color w:val="auto"/>
                <w:sz w:val="21"/>
                <w:szCs w:val="21"/>
                <w:highlight w:val="none"/>
              </w:rPr>
            </w:pPr>
            <w:r>
              <w:rPr>
                <w:color w:val="auto"/>
                <w:sz w:val="21"/>
                <w:szCs w:val="21"/>
                <w:highlight w:val="none"/>
              </w:rPr>
              <w:t>炸药</w:t>
            </w:r>
          </w:p>
        </w:tc>
        <w:tc>
          <w:tcPr>
            <w:tcW w:w="1321" w:type="dxa"/>
            <w:shd w:val="clear" w:color="auto" w:fill="auto"/>
            <w:vAlign w:val="center"/>
          </w:tcPr>
          <w:p>
            <w:pPr>
              <w:ind w:firstLine="0" w:firstLineChars="0"/>
              <w:jc w:val="center"/>
              <w:rPr>
                <w:color w:val="auto"/>
                <w:sz w:val="21"/>
                <w:szCs w:val="21"/>
                <w:highlight w:val="none"/>
              </w:rPr>
            </w:pPr>
            <w:r>
              <w:rPr>
                <w:rFonts w:hint="eastAsia"/>
                <w:color w:val="auto"/>
                <w:sz w:val="21"/>
                <w:szCs w:val="21"/>
                <w:highlight w:val="none"/>
                <w:lang w:val="en-US" w:eastAsia="zh-CN"/>
              </w:rPr>
              <w:t>51</w:t>
            </w:r>
            <w:r>
              <w:rPr>
                <w:color w:val="auto"/>
                <w:sz w:val="21"/>
                <w:szCs w:val="21"/>
                <w:highlight w:val="none"/>
              </w:rPr>
              <w:t>t/a</w:t>
            </w:r>
          </w:p>
        </w:tc>
        <w:tc>
          <w:tcPr>
            <w:tcW w:w="1395" w:type="dxa"/>
            <w:shd w:val="clear" w:color="auto" w:fill="auto"/>
            <w:vAlign w:val="center"/>
          </w:tcPr>
          <w:p>
            <w:pPr>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1396" w:type="dxa"/>
            <w:vMerge w:val="restart"/>
            <w:shd w:val="clear" w:color="auto" w:fill="auto"/>
            <w:vAlign w:val="center"/>
          </w:tcPr>
          <w:p>
            <w:pPr>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民爆公司统一配送</w:t>
            </w:r>
          </w:p>
        </w:tc>
        <w:tc>
          <w:tcPr>
            <w:tcW w:w="2608" w:type="dxa"/>
            <w:vMerge w:val="restart"/>
            <w:shd w:val="clear" w:color="auto" w:fill="auto"/>
            <w:vAlign w:val="center"/>
          </w:tcPr>
          <w:p>
            <w:pPr>
              <w:ind w:firstLine="0" w:firstLineChars="0"/>
              <w:jc w:val="center"/>
              <w:rPr>
                <w:rFonts w:hint="eastAsia" w:eastAsia="宋体"/>
                <w:sz w:val="21"/>
                <w:szCs w:val="21"/>
                <w:highlight w:val="none"/>
                <w:lang w:eastAsia="zh-CN"/>
              </w:rPr>
            </w:pPr>
            <w:r>
              <w:rPr>
                <w:rFonts w:hint="eastAsia"/>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844" w:type="dxa"/>
            <w:shd w:val="clear" w:color="auto" w:fill="auto"/>
            <w:vAlign w:val="center"/>
          </w:tcPr>
          <w:p>
            <w:pPr>
              <w:ind w:firstLine="0" w:firstLineChars="0"/>
              <w:jc w:val="center"/>
              <w:rPr>
                <w:sz w:val="21"/>
                <w:szCs w:val="21"/>
                <w:highlight w:val="none"/>
              </w:rPr>
            </w:pPr>
            <w:r>
              <w:rPr>
                <w:sz w:val="21"/>
                <w:szCs w:val="21"/>
                <w:highlight w:val="none"/>
              </w:rPr>
              <w:t>2</w:t>
            </w:r>
          </w:p>
        </w:tc>
        <w:tc>
          <w:tcPr>
            <w:tcW w:w="1596" w:type="dxa"/>
            <w:shd w:val="clear" w:color="auto" w:fill="auto"/>
            <w:vAlign w:val="center"/>
          </w:tcPr>
          <w:p>
            <w:pPr>
              <w:ind w:firstLine="0" w:firstLineChars="0"/>
              <w:jc w:val="center"/>
              <w:rPr>
                <w:color w:val="auto"/>
                <w:sz w:val="21"/>
                <w:szCs w:val="21"/>
                <w:highlight w:val="none"/>
              </w:rPr>
            </w:pPr>
            <w:r>
              <w:rPr>
                <w:color w:val="auto"/>
                <w:sz w:val="21"/>
                <w:szCs w:val="21"/>
                <w:highlight w:val="none"/>
              </w:rPr>
              <w:t>雷管</w:t>
            </w:r>
          </w:p>
        </w:tc>
        <w:tc>
          <w:tcPr>
            <w:tcW w:w="1321" w:type="dxa"/>
            <w:shd w:val="clear" w:color="auto" w:fill="auto"/>
            <w:vAlign w:val="center"/>
          </w:tcPr>
          <w:p>
            <w:pPr>
              <w:ind w:firstLine="0" w:firstLineChars="0"/>
              <w:jc w:val="center"/>
              <w:rPr>
                <w:color w:val="auto"/>
                <w:sz w:val="21"/>
                <w:szCs w:val="21"/>
                <w:highlight w:val="none"/>
              </w:rPr>
            </w:pPr>
            <w:r>
              <w:rPr>
                <w:rFonts w:hint="eastAsia"/>
                <w:color w:val="auto"/>
                <w:sz w:val="21"/>
                <w:szCs w:val="21"/>
                <w:highlight w:val="none"/>
              </w:rPr>
              <w:t>5</w:t>
            </w:r>
            <w:r>
              <w:rPr>
                <w:color w:val="auto"/>
                <w:sz w:val="21"/>
                <w:szCs w:val="21"/>
                <w:highlight w:val="none"/>
              </w:rPr>
              <w:t>00发</w:t>
            </w:r>
            <w:r>
              <w:rPr>
                <w:rFonts w:hint="eastAsia"/>
                <w:color w:val="auto"/>
                <w:sz w:val="21"/>
                <w:szCs w:val="21"/>
                <w:highlight w:val="none"/>
              </w:rPr>
              <w:t>/a</w:t>
            </w:r>
          </w:p>
        </w:tc>
        <w:tc>
          <w:tcPr>
            <w:tcW w:w="1395" w:type="dxa"/>
            <w:shd w:val="clear" w:color="auto" w:fill="auto"/>
            <w:vAlign w:val="center"/>
          </w:tcPr>
          <w:p>
            <w:pPr>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1396" w:type="dxa"/>
            <w:vMerge w:val="continue"/>
            <w:shd w:val="clear" w:color="auto" w:fill="auto"/>
            <w:vAlign w:val="center"/>
          </w:tcPr>
          <w:p>
            <w:pPr>
              <w:ind w:firstLine="0" w:firstLineChars="0"/>
              <w:jc w:val="center"/>
              <w:rPr>
                <w:sz w:val="21"/>
                <w:szCs w:val="21"/>
                <w:highlight w:val="none"/>
              </w:rPr>
            </w:pPr>
          </w:p>
        </w:tc>
        <w:tc>
          <w:tcPr>
            <w:tcW w:w="2608" w:type="dxa"/>
            <w:vMerge w:val="continue"/>
            <w:shd w:val="clear" w:color="auto" w:fill="auto"/>
            <w:vAlign w:val="center"/>
          </w:tcPr>
          <w:p>
            <w:pPr>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jc w:val="center"/>
        </w:trPr>
        <w:tc>
          <w:tcPr>
            <w:tcW w:w="844" w:type="dxa"/>
            <w:shd w:val="clear" w:color="auto" w:fill="auto"/>
            <w:vAlign w:val="center"/>
          </w:tcPr>
          <w:p>
            <w:pPr>
              <w:ind w:firstLine="0" w:firstLineChars="0"/>
              <w:jc w:val="center"/>
              <w:rPr>
                <w:sz w:val="21"/>
                <w:szCs w:val="21"/>
                <w:highlight w:val="none"/>
              </w:rPr>
            </w:pPr>
            <w:r>
              <w:rPr>
                <w:sz w:val="21"/>
                <w:szCs w:val="21"/>
                <w:highlight w:val="none"/>
              </w:rPr>
              <w:t>3</w:t>
            </w:r>
          </w:p>
        </w:tc>
        <w:tc>
          <w:tcPr>
            <w:tcW w:w="1596" w:type="dxa"/>
            <w:shd w:val="clear" w:color="auto" w:fill="auto"/>
            <w:vAlign w:val="center"/>
          </w:tcPr>
          <w:p>
            <w:pPr>
              <w:ind w:firstLine="0" w:firstLineChars="0"/>
              <w:jc w:val="center"/>
              <w:rPr>
                <w:color w:val="auto"/>
                <w:sz w:val="21"/>
                <w:szCs w:val="21"/>
                <w:highlight w:val="none"/>
              </w:rPr>
            </w:pPr>
            <w:r>
              <w:rPr>
                <w:color w:val="auto"/>
                <w:sz w:val="21"/>
                <w:szCs w:val="21"/>
                <w:highlight w:val="none"/>
              </w:rPr>
              <w:t>柴油（0＃）</w:t>
            </w:r>
          </w:p>
        </w:tc>
        <w:tc>
          <w:tcPr>
            <w:tcW w:w="1321" w:type="dxa"/>
            <w:shd w:val="clear" w:color="auto" w:fill="auto"/>
            <w:vAlign w:val="center"/>
          </w:tcPr>
          <w:p>
            <w:pPr>
              <w:ind w:firstLine="0" w:firstLineChars="0"/>
              <w:jc w:val="center"/>
              <w:rPr>
                <w:color w:val="auto"/>
                <w:sz w:val="21"/>
                <w:szCs w:val="21"/>
                <w:highlight w:val="none"/>
              </w:rPr>
            </w:pPr>
            <w:r>
              <w:rPr>
                <w:rFonts w:hint="eastAsia"/>
                <w:color w:val="auto"/>
                <w:sz w:val="21"/>
                <w:szCs w:val="21"/>
                <w:highlight w:val="none"/>
                <w:lang w:val="en-US" w:eastAsia="zh-CN"/>
              </w:rPr>
              <w:t>150</w:t>
            </w:r>
            <w:r>
              <w:rPr>
                <w:color w:val="auto"/>
                <w:sz w:val="21"/>
                <w:szCs w:val="21"/>
                <w:highlight w:val="none"/>
              </w:rPr>
              <w:t>t/a</w:t>
            </w:r>
          </w:p>
        </w:tc>
        <w:tc>
          <w:tcPr>
            <w:tcW w:w="1395" w:type="dxa"/>
            <w:shd w:val="clear" w:color="auto" w:fill="auto"/>
            <w:vAlign w:val="center"/>
          </w:tcPr>
          <w:p>
            <w:pPr>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10t</w:t>
            </w:r>
          </w:p>
        </w:tc>
        <w:tc>
          <w:tcPr>
            <w:tcW w:w="1396" w:type="dxa"/>
            <w:shd w:val="clear" w:color="auto" w:fill="auto"/>
            <w:vAlign w:val="center"/>
          </w:tcPr>
          <w:p>
            <w:pPr>
              <w:ind w:firstLine="0" w:firstLineChars="0"/>
              <w:jc w:val="center"/>
              <w:rPr>
                <w:sz w:val="21"/>
                <w:szCs w:val="21"/>
                <w:highlight w:val="none"/>
              </w:rPr>
            </w:pPr>
            <w:r>
              <w:rPr>
                <w:rFonts w:hint="eastAsia"/>
                <w:sz w:val="21"/>
                <w:szCs w:val="21"/>
                <w:highlight w:val="none"/>
              </w:rPr>
              <w:t>柴油罐</w:t>
            </w:r>
          </w:p>
        </w:tc>
        <w:tc>
          <w:tcPr>
            <w:tcW w:w="2608" w:type="dxa"/>
            <w:shd w:val="clear" w:color="auto" w:fill="auto"/>
            <w:vAlign w:val="center"/>
          </w:tcPr>
          <w:p>
            <w:pPr>
              <w:ind w:firstLine="0" w:firstLineChars="0"/>
              <w:jc w:val="center"/>
              <w:rPr>
                <w:sz w:val="21"/>
                <w:szCs w:val="21"/>
                <w:highlight w:val="none"/>
              </w:rPr>
            </w:pPr>
            <w:r>
              <w:rPr>
                <w:rFonts w:hint="eastAsia"/>
                <w:sz w:val="21"/>
                <w:szCs w:val="21"/>
                <w:highlight w:val="none"/>
              </w:rPr>
              <w:t>东经103°</w:t>
            </w:r>
            <w:r>
              <w:rPr>
                <w:rFonts w:hint="eastAsia"/>
                <w:sz w:val="21"/>
                <w:szCs w:val="21"/>
                <w:highlight w:val="none"/>
                <w:lang w:val="en-US" w:eastAsia="zh-CN"/>
              </w:rPr>
              <w:t>32</w:t>
            </w:r>
            <w:r>
              <w:rPr>
                <w:rFonts w:hint="eastAsia"/>
                <w:sz w:val="21"/>
                <w:szCs w:val="21"/>
                <w:highlight w:val="none"/>
              </w:rPr>
              <w:t>′</w:t>
            </w:r>
            <w:r>
              <w:rPr>
                <w:rFonts w:hint="eastAsia"/>
                <w:sz w:val="21"/>
                <w:szCs w:val="21"/>
                <w:highlight w:val="none"/>
                <w:lang w:val="en-US" w:eastAsia="zh-CN"/>
              </w:rPr>
              <w:t>31</w:t>
            </w:r>
            <w:r>
              <w:rPr>
                <w:rFonts w:hint="eastAsia"/>
                <w:sz w:val="21"/>
                <w:szCs w:val="21"/>
                <w:highlight w:val="none"/>
              </w:rPr>
              <w:t>″</w:t>
            </w:r>
          </w:p>
          <w:p>
            <w:pPr>
              <w:ind w:firstLine="0" w:firstLineChars="0"/>
              <w:jc w:val="center"/>
              <w:rPr>
                <w:sz w:val="21"/>
                <w:szCs w:val="21"/>
                <w:highlight w:val="none"/>
              </w:rPr>
            </w:pPr>
            <w:r>
              <w:rPr>
                <w:rFonts w:hint="eastAsia"/>
                <w:sz w:val="21"/>
                <w:szCs w:val="21"/>
                <w:highlight w:val="none"/>
              </w:rPr>
              <w:t>北纬23°</w:t>
            </w:r>
            <w:r>
              <w:rPr>
                <w:rFonts w:hint="eastAsia"/>
                <w:sz w:val="21"/>
                <w:szCs w:val="21"/>
                <w:highlight w:val="none"/>
                <w:lang w:val="en-US" w:eastAsia="zh-CN"/>
              </w:rPr>
              <w:t>51</w:t>
            </w:r>
            <w:r>
              <w:rPr>
                <w:rFonts w:hint="eastAsia"/>
                <w:sz w:val="21"/>
                <w:szCs w:val="21"/>
                <w:highlight w:val="none"/>
              </w:rPr>
              <w:t>′</w:t>
            </w:r>
            <w:r>
              <w:rPr>
                <w:rFonts w:hint="eastAsia"/>
                <w:sz w:val="21"/>
                <w:szCs w:val="21"/>
                <w:highlight w:val="none"/>
                <w:lang w:val="en-US" w:eastAsia="zh-CN"/>
              </w:rPr>
              <w:t>36</w:t>
            </w:r>
            <w:r>
              <w:rPr>
                <w:rFonts w:hint="eastAsia"/>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844" w:type="dxa"/>
            <w:shd w:val="clear" w:color="auto" w:fill="auto"/>
            <w:vAlign w:val="center"/>
          </w:tcPr>
          <w:p>
            <w:pPr>
              <w:ind w:firstLine="0" w:firstLineChars="0"/>
              <w:jc w:val="center"/>
              <w:rPr>
                <w:rFonts w:hint="eastAsia" w:eastAsia="宋体"/>
                <w:sz w:val="21"/>
                <w:szCs w:val="21"/>
                <w:highlight w:val="none"/>
                <w:lang w:val="en-US" w:eastAsia="zh-CN"/>
              </w:rPr>
            </w:pPr>
            <w:r>
              <w:rPr>
                <w:rFonts w:hint="eastAsia"/>
                <w:sz w:val="21"/>
                <w:szCs w:val="21"/>
                <w:highlight w:val="none"/>
                <w:lang w:val="en-US" w:eastAsia="zh-CN"/>
              </w:rPr>
              <w:t>4</w:t>
            </w:r>
          </w:p>
        </w:tc>
        <w:tc>
          <w:tcPr>
            <w:tcW w:w="1596" w:type="dxa"/>
            <w:shd w:val="clear" w:color="auto" w:fill="auto"/>
            <w:vAlign w:val="center"/>
          </w:tcPr>
          <w:p>
            <w:pPr>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润滑油</w:t>
            </w:r>
          </w:p>
        </w:tc>
        <w:tc>
          <w:tcPr>
            <w:tcW w:w="1321" w:type="dxa"/>
            <w:shd w:val="clear" w:color="auto" w:fill="auto"/>
            <w:vAlign w:val="center"/>
          </w:tcPr>
          <w:p>
            <w:pPr>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25t/a</w:t>
            </w:r>
          </w:p>
        </w:tc>
        <w:tc>
          <w:tcPr>
            <w:tcW w:w="1395" w:type="dxa"/>
            <w:shd w:val="clear" w:color="auto" w:fill="auto"/>
            <w:vAlign w:val="center"/>
          </w:tcPr>
          <w:p>
            <w:pPr>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1t</w:t>
            </w:r>
          </w:p>
        </w:tc>
        <w:tc>
          <w:tcPr>
            <w:tcW w:w="1396" w:type="dxa"/>
            <w:shd w:val="clear" w:color="auto" w:fill="auto"/>
            <w:vAlign w:val="center"/>
          </w:tcPr>
          <w:p>
            <w:pPr>
              <w:ind w:firstLine="0" w:firstLineChars="0"/>
              <w:jc w:val="center"/>
              <w:rPr>
                <w:rFonts w:hint="eastAsia" w:eastAsia="宋体"/>
                <w:sz w:val="21"/>
                <w:szCs w:val="21"/>
                <w:highlight w:val="none"/>
                <w:lang w:eastAsia="zh-CN"/>
              </w:rPr>
            </w:pPr>
            <w:r>
              <w:rPr>
                <w:rFonts w:hint="eastAsia"/>
                <w:sz w:val="21"/>
                <w:szCs w:val="21"/>
                <w:highlight w:val="none"/>
                <w:lang w:eastAsia="zh-CN"/>
              </w:rPr>
              <w:t>汽修车间</w:t>
            </w:r>
          </w:p>
        </w:tc>
        <w:tc>
          <w:tcPr>
            <w:tcW w:w="2608" w:type="dxa"/>
            <w:shd w:val="clear" w:color="auto" w:fill="auto"/>
            <w:vAlign w:val="center"/>
          </w:tcPr>
          <w:p>
            <w:pPr>
              <w:ind w:firstLine="0" w:firstLineChars="0"/>
              <w:jc w:val="center"/>
              <w:rPr>
                <w:sz w:val="21"/>
                <w:szCs w:val="21"/>
                <w:highlight w:val="none"/>
              </w:rPr>
            </w:pPr>
            <w:r>
              <w:rPr>
                <w:rFonts w:hint="eastAsia"/>
                <w:sz w:val="21"/>
                <w:szCs w:val="21"/>
                <w:highlight w:val="none"/>
              </w:rPr>
              <w:t>东经103°</w:t>
            </w:r>
            <w:r>
              <w:rPr>
                <w:rFonts w:hint="eastAsia"/>
                <w:sz w:val="21"/>
                <w:szCs w:val="21"/>
                <w:highlight w:val="none"/>
                <w:lang w:val="en-US" w:eastAsia="zh-CN"/>
              </w:rPr>
              <w:t>32</w:t>
            </w:r>
            <w:r>
              <w:rPr>
                <w:rFonts w:hint="eastAsia"/>
                <w:sz w:val="21"/>
                <w:szCs w:val="21"/>
                <w:highlight w:val="none"/>
              </w:rPr>
              <w:t>′</w:t>
            </w:r>
            <w:r>
              <w:rPr>
                <w:rFonts w:hint="eastAsia"/>
                <w:sz w:val="21"/>
                <w:szCs w:val="21"/>
                <w:highlight w:val="none"/>
                <w:lang w:val="en-US" w:eastAsia="zh-CN"/>
              </w:rPr>
              <w:t>30</w:t>
            </w:r>
            <w:r>
              <w:rPr>
                <w:rFonts w:hint="eastAsia"/>
                <w:sz w:val="21"/>
                <w:szCs w:val="21"/>
                <w:highlight w:val="none"/>
              </w:rPr>
              <w:t>″</w:t>
            </w:r>
          </w:p>
          <w:p>
            <w:pPr>
              <w:ind w:firstLine="0" w:firstLineChars="0"/>
              <w:jc w:val="center"/>
              <w:rPr>
                <w:rFonts w:hint="eastAsia"/>
                <w:sz w:val="21"/>
                <w:szCs w:val="21"/>
                <w:highlight w:val="none"/>
              </w:rPr>
            </w:pPr>
            <w:r>
              <w:rPr>
                <w:rFonts w:hint="eastAsia"/>
                <w:sz w:val="21"/>
                <w:szCs w:val="21"/>
                <w:highlight w:val="none"/>
              </w:rPr>
              <w:t>北纬23°</w:t>
            </w:r>
            <w:r>
              <w:rPr>
                <w:rFonts w:hint="eastAsia"/>
                <w:sz w:val="21"/>
                <w:szCs w:val="21"/>
                <w:highlight w:val="none"/>
                <w:lang w:val="en-US" w:eastAsia="zh-CN"/>
              </w:rPr>
              <w:t>51</w:t>
            </w:r>
            <w:r>
              <w:rPr>
                <w:rFonts w:hint="eastAsia"/>
                <w:sz w:val="21"/>
                <w:szCs w:val="21"/>
                <w:highlight w:val="none"/>
              </w:rPr>
              <w:t>′</w:t>
            </w:r>
            <w:r>
              <w:rPr>
                <w:rFonts w:hint="eastAsia"/>
                <w:sz w:val="21"/>
                <w:szCs w:val="21"/>
                <w:highlight w:val="none"/>
                <w:lang w:val="en-US" w:eastAsia="zh-CN"/>
              </w:rPr>
              <w:t>35</w:t>
            </w:r>
            <w:r>
              <w:rPr>
                <w:rFonts w:hint="eastAsia"/>
                <w:sz w:val="21"/>
                <w:szCs w:val="21"/>
                <w:highlight w:val="none"/>
              </w:rPr>
              <w:t>″</w:t>
            </w:r>
          </w:p>
        </w:tc>
      </w:tr>
    </w:tbl>
    <w:p>
      <w:pPr>
        <w:ind w:firstLine="0" w:firstLineChars="0"/>
        <w:rPr>
          <w:highlight w:val="none"/>
        </w:rPr>
      </w:pPr>
    </w:p>
    <w:p>
      <w:pPr>
        <w:pStyle w:val="17"/>
        <w:numPr>
          <w:ilvl w:val="0"/>
          <w:numId w:val="12"/>
        </w:numPr>
        <w:ind w:firstLine="480"/>
        <w:rPr>
          <w:rFonts w:ascii="Times New Roman" w:hAnsi="Times New Roman"/>
          <w:highlight w:val="none"/>
        </w:rPr>
      </w:pPr>
      <w:r>
        <w:rPr>
          <w:rFonts w:ascii="Times New Roman" w:hAnsi="Times New Roman"/>
          <w:highlight w:val="none"/>
        </w:rPr>
        <w:t>乳化炸药</w:t>
      </w:r>
    </w:p>
    <w:p>
      <w:pPr>
        <w:pStyle w:val="17"/>
        <w:ind w:firstLine="480"/>
        <w:rPr>
          <w:rFonts w:ascii="Times New Roman" w:hAnsi="Times New Roman"/>
          <w:highlight w:val="none"/>
        </w:rPr>
      </w:pPr>
      <w:r>
        <w:rPr>
          <w:rFonts w:hint="eastAsia"/>
          <w:highlight w:val="none"/>
        </w:rPr>
        <w:t>主要由氧化剂水溶液、燃料油、乳化剂、稳定剂</w:t>
      </w:r>
      <w:r>
        <w:rPr>
          <w:rFonts w:hint="eastAsia" w:ascii="Times New Roman" w:hAnsi="Times New Roman"/>
          <w:highlight w:val="none"/>
        </w:rPr>
        <w:t>敏化发泡剂、高热剂等成分组成，其中氧化剂水溶液通常采用硝酸铵和硝酸钠的饱和水溶液（80~95%）</w:t>
      </w:r>
      <w:r>
        <w:rPr>
          <w:rFonts w:ascii="Times New Roman" w:hAnsi="Times New Roman"/>
          <w:highlight w:val="none"/>
        </w:rPr>
        <w:t>，裸露状态下乳化炸药对火焰、静电、摩擦和撞击等能量刺激相对钝感，但对冲击波、强热等冲击容易引起燃烧爆炸。</w:t>
      </w:r>
    </w:p>
    <w:p>
      <w:pPr>
        <w:pStyle w:val="17"/>
        <w:ind w:firstLine="480"/>
        <w:rPr>
          <w:rFonts w:ascii="Times New Roman" w:hAnsi="Times New Roman"/>
          <w:highlight w:val="none"/>
        </w:rPr>
      </w:pPr>
      <w:r>
        <w:rPr>
          <w:rFonts w:hint="eastAsia" w:ascii="Times New Roman" w:hAnsi="Times New Roman"/>
          <w:highlight w:val="none"/>
        </w:rPr>
        <w:t>（2）</w:t>
      </w:r>
      <w:r>
        <w:rPr>
          <w:rFonts w:ascii="Times New Roman" w:hAnsi="Times New Roman"/>
          <w:highlight w:val="none"/>
        </w:rPr>
        <w:t>工业雷管</w:t>
      </w:r>
    </w:p>
    <w:p>
      <w:pPr>
        <w:pStyle w:val="17"/>
        <w:ind w:firstLine="480"/>
        <w:rPr>
          <w:rFonts w:ascii="Times New Roman" w:hAnsi="Times New Roman"/>
          <w:highlight w:val="none"/>
        </w:rPr>
      </w:pPr>
      <w:r>
        <w:rPr>
          <w:rFonts w:ascii="Times New Roman" w:hAnsi="Times New Roman"/>
          <w:highlight w:val="none"/>
        </w:rPr>
        <w:t>工业雷管是管壳内装药起爆药和猛炸药的工业火工品，用于输出爆炸冲能，引爆工业炸药装药。起爆药主要为DDNP（无粉尘二硝基重氮酚），猛炸药主要是黑索金。工业雷管受热、撞击、摩擦、冲击波、爆轰波、激光、火焰、雷电、静电、射频感应等可能引起燃烧、爆炸。</w:t>
      </w:r>
    </w:p>
    <w:p>
      <w:pPr>
        <w:ind w:firstLine="480"/>
        <w:rPr>
          <w:highlight w:val="none"/>
        </w:rPr>
      </w:pPr>
      <w:r>
        <w:rPr>
          <w:highlight w:val="none"/>
        </w:rPr>
        <w:t>综上可知，工业炸药的主要成分为硝酸铵，工业雷管的主要成分为DDNP和黑索金</w:t>
      </w:r>
      <w:r>
        <w:rPr>
          <w:rFonts w:hint="eastAsia"/>
          <w:highlight w:val="none"/>
        </w:rPr>
        <w:t>，危险物质特性分析见表</w:t>
      </w:r>
      <w:r>
        <w:rPr>
          <w:rFonts w:hint="eastAsia"/>
          <w:highlight w:val="none"/>
          <w:lang w:val="en-US" w:eastAsia="zh-CN"/>
        </w:rPr>
        <w:t>7.3-2</w:t>
      </w:r>
      <w:r>
        <w:rPr>
          <w:rFonts w:hint="eastAsia"/>
          <w:highlight w:val="none"/>
        </w:rPr>
        <w:t>、</w:t>
      </w:r>
      <w:r>
        <w:rPr>
          <w:rFonts w:hint="eastAsia"/>
          <w:highlight w:val="none"/>
          <w:lang w:val="en-US" w:eastAsia="zh-CN"/>
        </w:rPr>
        <w:t>7.3-3</w:t>
      </w:r>
      <w:r>
        <w:rPr>
          <w:rFonts w:hint="eastAsia"/>
          <w:highlight w:val="none"/>
        </w:rPr>
        <w:t>、</w:t>
      </w:r>
      <w:r>
        <w:rPr>
          <w:rFonts w:hint="eastAsia"/>
          <w:highlight w:val="none"/>
          <w:lang w:val="en-US" w:eastAsia="zh-CN"/>
        </w:rPr>
        <w:t>7.3-4</w:t>
      </w:r>
      <w:r>
        <w:rPr>
          <w:rFonts w:hint="eastAsia"/>
          <w:highlight w:val="none"/>
        </w:rPr>
        <w:t>。</w:t>
      </w:r>
    </w:p>
    <w:p>
      <w:pPr>
        <w:ind w:firstLine="422"/>
        <w:jc w:val="center"/>
        <w:rPr>
          <w:b/>
          <w:sz w:val="21"/>
          <w:szCs w:val="21"/>
          <w:highlight w:val="none"/>
        </w:rPr>
      </w:pPr>
      <w:r>
        <w:rPr>
          <w:b/>
          <w:sz w:val="21"/>
          <w:szCs w:val="21"/>
          <w:highlight w:val="none"/>
        </w:rPr>
        <w:t>表</w:t>
      </w:r>
      <w:r>
        <w:rPr>
          <w:rFonts w:hint="eastAsia"/>
          <w:b/>
          <w:sz w:val="21"/>
          <w:szCs w:val="21"/>
          <w:highlight w:val="none"/>
          <w:lang w:val="en-US" w:eastAsia="zh-CN"/>
        </w:rPr>
        <w:t>7.3-2</w:t>
      </w:r>
      <w:r>
        <w:rPr>
          <w:b/>
          <w:sz w:val="21"/>
          <w:szCs w:val="21"/>
          <w:highlight w:val="none"/>
        </w:rPr>
        <w:t xml:space="preserve">   硝酸铵特性分析表</w:t>
      </w:r>
    </w:p>
    <w:tbl>
      <w:tblPr>
        <w:tblStyle w:val="29"/>
        <w:tblW w:w="8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8"/>
        <w:gridCol w:w="7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1498" w:type="dxa"/>
            <w:shd w:val="clear" w:color="auto" w:fill="auto"/>
            <w:vAlign w:val="center"/>
          </w:tcPr>
          <w:p>
            <w:pPr>
              <w:pStyle w:val="17"/>
              <w:ind w:firstLine="0" w:firstLineChars="0"/>
              <w:jc w:val="center"/>
              <w:rPr>
                <w:rFonts w:ascii="Times New Roman" w:hAnsi="Times New Roman"/>
                <w:b/>
                <w:bCs/>
                <w:sz w:val="21"/>
                <w:szCs w:val="21"/>
                <w:highlight w:val="none"/>
              </w:rPr>
            </w:pPr>
            <w:r>
              <w:rPr>
                <w:rFonts w:ascii="Times New Roman" w:hAnsi="Times New Roman"/>
                <w:b/>
                <w:bCs/>
                <w:sz w:val="21"/>
                <w:szCs w:val="21"/>
                <w:highlight w:val="none"/>
              </w:rPr>
              <w:t>物质名称</w:t>
            </w:r>
          </w:p>
        </w:tc>
        <w:tc>
          <w:tcPr>
            <w:tcW w:w="7042" w:type="dxa"/>
            <w:shd w:val="clear" w:color="auto" w:fill="auto"/>
            <w:vAlign w:val="center"/>
          </w:tcPr>
          <w:p>
            <w:pPr>
              <w:pStyle w:val="17"/>
              <w:ind w:firstLine="0" w:firstLineChars="0"/>
              <w:jc w:val="center"/>
              <w:rPr>
                <w:rFonts w:ascii="Times New Roman" w:hAnsi="Times New Roman"/>
                <w:b/>
                <w:bCs/>
                <w:sz w:val="21"/>
                <w:szCs w:val="21"/>
                <w:highlight w:val="none"/>
              </w:rPr>
            </w:pPr>
            <w:r>
              <w:rPr>
                <w:rFonts w:ascii="Times New Roman" w:hAnsi="Times New Roman"/>
                <w:b/>
                <w:bCs/>
                <w:sz w:val="21"/>
                <w:szCs w:val="21"/>
                <w:highlight w:val="none"/>
              </w:rPr>
              <w:t>硝酸铵，又名硝铵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1498" w:type="dxa"/>
            <w:vAlign w:val="center"/>
          </w:tcPr>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理化常数</w:t>
            </w:r>
          </w:p>
        </w:tc>
        <w:tc>
          <w:tcPr>
            <w:tcW w:w="7042" w:type="dxa"/>
            <w:vAlign w:val="center"/>
          </w:tcPr>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分子式NH4NO3；分子量80.05；</w:t>
            </w:r>
          </w:p>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沸点210℃(分解)；熔点169.6℃ ；相对密度(水=1)1.72；</w:t>
            </w:r>
          </w:p>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溶解性：易溶于水、乙醇、丙酮、氨水，不溶于乙醚</w:t>
            </w:r>
          </w:p>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外观与性状：无色无臭的透明结晶或呈白色小粒状，有潮解性。</w:t>
            </w:r>
          </w:p>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危险标记：11(氧化剂)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1498" w:type="dxa"/>
            <w:vAlign w:val="center"/>
          </w:tcPr>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健康危害</w:t>
            </w:r>
          </w:p>
        </w:tc>
        <w:tc>
          <w:tcPr>
            <w:tcW w:w="7042" w:type="dxa"/>
            <w:vAlign w:val="center"/>
          </w:tcPr>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侵入途径：吸入、食入、经皮吸收。</w:t>
            </w:r>
          </w:p>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健康危害：对呼吸道、眼及皮肤有刺激性。接触后可引起恶心、呕吐、头痛、虚弱、无力和虚脱等。大量接触可引起高铁血红蛋白血症，影响血液的携氧能力，出现紫绀、头痛、头晕、虚脱，甚至死亡。口服引起剧烈腹痛、呕吐、血便、休克、全身抽搐、错迷，甚至死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jc w:val="center"/>
        </w:trPr>
        <w:tc>
          <w:tcPr>
            <w:tcW w:w="1498" w:type="dxa"/>
            <w:vAlign w:val="center"/>
          </w:tcPr>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毒理学资料</w:t>
            </w:r>
          </w:p>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及环境行为</w:t>
            </w:r>
          </w:p>
        </w:tc>
        <w:tc>
          <w:tcPr>
            <w:tcW w:w="7042" w:type="dxa"/>
            <w:vAlign w:val="center"/>
          </w:tcPr>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急性毒性：LD504820mg/kg(大鼠经口)</w:t>
            </w:r>
            <w:r>
              <w:rPr>
                <w:rFonts w:ascii="Times New Roman" w:hAnsi="Times New Roman"/>
                <w:sz w:val="21"/>
                <w:szCs w:val="21"/>
                <w:highlight w:val="none"/>
              </w:rPr>
              <w:br w:type="textWrapping"/>
            </w:r>
            <w:r>
              <w:rPr>
                <w:rFonts w:ascii="Times New Roman" w:hAnsi="Times New Roman"/>
                <w:sz w:val="21"/>
                <w:szCs w:val="21"/>
                <w:highlight w:val="none"/>
              </w:rPr>
              <w:t>危险特性：强氧化剂。遇可燃物着火时，能助长火势。与可燃物粉末混合能发生激烈反应而爆炸。受强烈震动也会起爆。急剧加热时可发生爆炸。与还原剂、有机物、易燃物如硫、磷或金属粉末等混合可形成爆炸性混合物。</w:t>
            </w:r>
          </w:p>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燃烧(分解)产物：氮氧化物。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1498" w:type="dxa"/>
            <w:vAlign w:val="center"/>
          </w:tcPr>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急救措施</w:t>
            </w:r>
          </w:p>
        </w:tc>
        <w:tc>
          <w:tcPr>
            <w:tcW w:w="7042" w:type="dxa"/>
            <w:vAlign w:val="center"/>
          </w:tcPr>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皮肤接触：脱去被污染的衣着，用大量清水彻底冲洗。</w:t>
            </w:r>
            <w:r>
              <w:rPr>
                <w:rFonts w:ascii="Times New Roman" w:hAnsi="Times New Roman"/>
                <w:sz w:val="21"/>
                <w:szCs w:val="21"/>
                <w:highlight w:val="none"/>
              </w:rPr>
              <w:br w:type="textWrapping"/>
            </w:r>
            <w:r>
              <w:rPr>
                <w:rFonts w:ascii="Times New Roman" w:hAnsi="Times New Roman"/>
                <w:sz w:val="21"/>
                <w:szCs w:val="21"/>
                <w:highlight w:val="none"/>
              </w:rPr>
              <w:t>眼睛接触：提起眼睑，用流动清水或生理盐水冲洗。就医。</w:t>
            </w:r>
            <w:r>
              <w:rPr>
                <w:rFonts w:ascii="Times New Roman" w:hAnsi="Times New Roman"/>
                <w:sz w:val="21"/>
                <w:szCs w:val="21"/>
                <w:highlight w:val="none"/>
              </w:rPr>
              <w:br w:type="textWrapping"/>
            </w:r>
            <w:r>
              <w:rPr>
                <w:rFonts w:ascii="Times New Roman" w:hAnsi="Times New Roman"/>
                <w:sz w:val="21"/>
                <w:szCs w:val="21"/>
                <w:highlight w:val="none"/>
              </w:rPr>
              <w:t>吸入：迅速脱离现场至空气新鲜处。保持呼吸道通畅。如呼吸困难，给输氧。如呼吸停止，立即进行人工呼吸。就医。</w:t>
            </w:r>
            <w:r>
              <w:rPr>
                <w:rFonts w:ascii="Times New Roman" w:hAnsi="Times New Roman"/>
                <w:sz w:val="21"/>
                <w:szCs w:val="21"/>
                <w:highlight w:val="none"/>
              </w:rPr>
              <w:br w:type="textWrapping"/>
            </w:r>
            <w:r>
              <w:rPr>
                <w:rFonts w:ascii="Times New Roman" w:hAnsi="Times New Roman"/>
                <w:sz w:val="21"/>
                <w:szCs w:val="21"/>
                <w:highlight w:val="none"/>
              </w:rPr>
              <w:t>食入：误服者用水漱口，给饮牛奶或蛋清。就医。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jc w:val="center"/>
        </w:trPr>
        <w:tc>
          <w:tcPr>
            <w:tcW w:w="1498" w:type="dxa"/>
            <w:vAlign w:val="center"/>
          </w:tcPr>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事故处理</w:t>
            </w:r>
          </w:p>
        </w:tc>
        <w:tc>
          <w:tcPr>
            <w:tcW w:w="7042" w:type="dxa"/>
            <w:vAlign w:val="center"/>
          </w:tcPr>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隔离泄漏污染区，限制出入。建议应急处理人员戴自给式呼吸器，穿一般作业工作服。不要直接接触泄漏物。勿使泄漏物与有机物、还原剂、易燃物或金属粉末接触。小量泄漏：小心扫起，收集于干燥、洁净、有盖的容器中。大量泄漏：收集回收或运至废物处理场所处置。</w:t>
            </w:r>
          </w:p>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灭火方法：消防人员须佩戴防毒面具、穿全身消防服。切勿将水流直接射至熔融物，以免引起严重的流淌火灾或引起剧烈的沸溅。遇大火，消防人员须在有防护掩蔽处操作。灭火剂：水、雾状水。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1498" w:type="dxa"/>
            <w:vAlign w:val="center"/>
          </w:tcPr>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储运注意事项</w:t>
            </w:r>
          </w:p>
        </w:tc>
        <w:tc>
          <w:tcPr>
            <w:tcW w:w="7042" w:type="dxa"/>
            <w:vAlign w:val="center"/>
          </w:tcPr>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储存于干燥通风库房中，专仓专储。与有机物、酸类等严加隔离，防止引起爆炸。应避免与金属性粉末、油类、有机物、木屑等易燃、易爆的物质混合贮运。硝酸铵不能和石 灰氮，草木灰等碱性肥料混合贮运，避免阳光直射。可在铁路棚车内以及其他带蓬或带盖的交通工具内运输。轻装轻卸，防止包装破损。</w:t>
            </w:r>
          </w:p>
        </w:tc>
      </w:tr>
    </w:tbl>
    <w:p>
      <w:pPr>
        <w:ind w:firstLine="422"/>
        <w:jc w:val="center"/>
        <w:rPr>
          <w:b/>
          <w:sz w:val="21"/>
          <w:szCs w:val="21"/>
          <w:highlight w:val="none"/>
        </w:rPr>
      </w:pPr>
    </w:p>
    <w:p>
      <w:pPr>
        <w:ind w:firstLine="422"/>
        <w:jc w:val="center"/>
        <w:rPr>
          <w:b/>
          <w:sz w:val="21"/>
          <w:szCs w:val="21"/>
          <w:highlight w:val="none"/>
        </w:rPr>
      </w:pPr>
      <w:r>
        <w:rPr>
          <w:b/>
          <w:sz w:val="21"/>
          <w:szCs w:val="21"/>
          <w:highlight w:val="none"/>
        </w:rPr>
        <w:t>表</w:t>
      </w:r>
      <w:r>
        <w:rPr>
          <w:rFonts w:hint="eastAsia"/>
          <w:b/>
          <w:sz w:val="21"/>
          <w:szCs w:val="21"/>
          <w:highlight w:val="none"/>
          <w:lang w:val="en-US" w:eastAsia="zh-CN"/>
        </w:rPr>
        <w:t>7.3-3</w:t>
      </w:r>
      <w:r>
        <w:rPr>
          <w:b/>
          <w:sz w:val="21"/>
          <w:szCs w:val="21"/>
          <w:highlight w:val="none"/>
        </w:rPr>
        <w:t xml:space="preserve">  DDNP特性分析表</w:t>
      </w:r>
    </w:p>
    <w:tbl>
      <w:tblPr>
        <w:tblStyle w:val="29"/>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8"/>
        <w:gridCol w:w="7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388" w:type="dxa"/>
            <w:shd w:val="clear" w:color="auto" w:fill="auto"/>
            <w:vAlign w:val="center"/>
          </w:tcPr>
          <w:p>
            <w:pPr>
              <w:pStyle w:val="17"/>
              <w:ind w:firstLine="0" w:firstLineChars="0"/>
              <w:jc w:val="center"/>
              <w:rPr>
                <w:rFonts w:ascii="Times New Roman" w:hAnsi="Times New Roman"/>
                <w:b/>
                <w:bCs/>
                <w:sz w:val="21"/>
                <w:szCs w:val="21"/>
                <w:highlight w:val="none"/>
              </w:rPr>
            </w:pPr>
            <w:r>
              <w:rPr>
                <w:rFonts w:ascii="Times New Roman" w:hAnsi="Times New Roman"/>
                <w:b/>
                <w:bCs/>
                <w:sz w:val="21"/>
                <w:szCs w:val="21"/>
                <w:highlight w:val="none"/>
              </w:rPr>
              <w:t>物质名称</w:t>
            </w:r>
          </w:p>
        </w:tc>
        <w:tc>
          <w:tcPr>
            <w:tcW w:w="7212" w:type="dxa"/>
            <w:shd w:val="clear" w:color="auto" w:fill="auto"/>
            <w:vAlign w:val="center"/>
          </w:tcPr>
          <w:p>
            <w:pPr>
              <w:pStyle w:val="17"/>
              <w:ind w:firstLine="0" w:firstLineChars="0"/>
              <w:jc w:val="center"/>
              <w:rPr>
                <w:rFonts w:ascii="Times New Roman" w:hAnsi="Times New Roman"/>
                <w:b/>
                <w:bCs/>
                <w:sz w:val="21"/>
                <w:szCs w:val="21"/>
                <w:highlight w:val="none"/>
              </w:rPr>
            </w:pPr>
            <w:r>
              <w:rPr>
                <w:rFonts w:ascii="Times New Roman" w:hAnsi="Times New Roman"/>
                <w:b/>
                <w:bCs/>
                <w:sz w:val="21"/>
                <w:szCs w:val="21"/>
                <w:highlight w:val="none"/>
              </w:rPr>
              <w:t>二硝基重氮酚，又名重氮二硝基苯酚（DDNP）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2" w:hRule="atLeast"/>
          <w:jc w:val="center"/>
        </w:trPr>
        <w:tc>
          <w:tcPr>
            <w:tcW w:w="1388" w:type="dxa"/>
            <w:vAlign w:val="center"/>
          </w:tcPr>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理化常数</w:t>
            </w:r>
          </w:p>
        </w:tc>
        <w:tc>
          <w:tcPr>
            <w:tcW w:w="7212" w:type="dxa"/>
            <w:vAlign w:val="center"/>
          </w:tcPr>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分子式C6H2N4O5；(NO2)2C6H(OH)N2；分子量210.10；熔点158℃；</w:t>
            </w:r>
          </w:p>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相对密度(水=1)1.63；相对密度(空气=1)7.3；</w:t>
            </w:r>
          </w:p>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溶解性：微溶于水，溶于热乙醇、多数有机溶剂；</w:t>
            </w:r>
          </w:p>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外观与性状：黄色结晶，在阳光下颜色迅速变深。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4" w:hRule="atLeast"/>
          <w:jc w:val="center"/>
        </w:trPr>
        <w:tc>
          <w:tcPr>
            <w:tcW w:w="1388" w:type="dxa"/>
            <w:vAlign w:val="center"/>
          </w:tcPr>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健康危害</w:t>
            </w:r>
          </w:p>
        </w:tc>
        <w:tc>
          <w:tcPr>
            <w:tcW w:w="7212" w:type="dxa"/>
            <w:vAlign w:val="center"/>
          </w:tcPr>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侵入途径：吸入、食入。</w:t>
            </w:r>
          </w:p>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健康危害：未见毒理学资料。同时接触环三次甲基三硝基胺(黑索金)粉尘的工人，有消化系统和造血系统障碍的表现。皮肤接触可发生皮炎。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2" w:hRule="atLeast"/>
          <w:jc w:val="center"/>
        </w:trPr>
        <w:tc>
          <w:tcPr>
            <w:tcW w:w="1388" w:type="dxa"/>
            <w:vAlign w:val="center"/>
          </w:tcPr>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毒理学资料</w:t>
            </w:r>
          </w:p>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及环境行为</w:t>
            </w:r>
          </w:p>
        </w:tc>
        <w:tc>
          <w:tcPr>
            <w:tcW w:w="7212" w:type="dxa"/>
            <w:vAlign w:val="center"/>
          </w:tcPr>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危险特性：干燥时，即使数量很少，若接触火焰、火花或受到震动、撞击、摩擦亦会引起分解爆炸。其撞击感度和摩擦感度低于雷汞、叠氮化铅。火焰感度较敏感，与雷汞相似。含水40%以上时安定性较好。该物质具有腐蚀性。</w:t>
            </w:r>
          </w:p>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燃烧(分解)产物：一氧化碳、二氧化碳、氮氧化物。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atLeast"/>
          <w:jc w:val="center"/>
        </w:trPr>
        <w:tc>
          <w:tcPr>
            <w:tcW w:w="1388" w:type="dxa"/>
            <w:vAlign w:val="center"/>
          </w:tcPr>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急救措施</w:t>
            </w:r>
          </w:p>
        </w:tc>
        <w:tc>
          <w:tcPr>
            <w:tcW w:w="7212" w:type="dxa"/>
            <w:vAlign w:val="center"/>
          </w:tcPr>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皮肤接触：脱去被污染的衣着，用肥皂水和清水彻底冲洗皮肤。</w:t>
            </w:r>
          </w:p>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眼睛接触：提起眼睑，用流动清水或生理盐水冲洗。</w:t>
            </w:r>
          </w:p>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吸入：迅速脱离现场至空气新鲜处。保持呼吸道通畅。如呼吸困难，给输氧。如呼吸停止，立即进行人工呼吸。就医。</w:t>
            </w:r>
          </w:p>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食入：误服者用水漱口，给饮牛奶或蛋清。就医。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9" w:hRule="atLeast"/>
          <w:jc w:val="center"/>
        </w:trPr>
        <w:tc>
          <w:tcPr>
            <w:tcW w:w="1388" w:type="dxa"/>
            <w:vAlign w:val="center"/>
          </w:tcPr>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事故处理</w:t>
            </w:r>
          </w:p>
        </w:tc>
        <w:tc>
          <w:tcPr>
            <w:tcW w:w="7212" w:type="dxa"/>
            <w:vAlign w:val="center"/>
          </w:tcPr>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泄漏应急处理：隔离泄漏污染区，限制出入。切断火源。建议应急处理人员戴自给式呼吸器，穿消防防护服。不要直接接触泄漏物。避免震动、撞击和摩擦。小量泄漏：使用无火花工具收入塑料捅内。运至空旷处引爆。大量泄漏：用水润湿，然后收集回收或运至废物处理场所处置。</w:t>
            </w:r>
          </w:p>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灭火方法：遇大火，消防人员须在有防护掩蔽处操作。灭火剂：水。禁止用砂土压盖。</w:t>
            </w:r>
          </w:p>
        </w:tc>
      </w:tr>
    </w:tbl>
    <w:p>
      <w:pPr>
        <w:ind w:firstLine="422"/>
        <w:jc w:val="center"/>
        <w:rPr>
          <w:b/>
          <w:sz w:val="21"/>
          <w:szCs w:val="21"/>
          <w:highlight w:val="none"/>
        </w:rPr>
      </w:pPr>
    </w:p>
    <w:p>
      <w:pPr>
        <w:ind w:firstLine="422"/>
        <w:jc w:val="center"/>
        <w:rPr>
          <w:b/>
          <w:sz w:val="21"/>
          <w:szCs w:val="21"/>
          <w:highlight w:val="none"/>
        </w:rPr>
      </w:pPr>
    </w:p>
    <w:p>
      <w:pPr>
        <w:ind w:firstLine="422"/>
        <w:jc w:val="center"/>
        <w:rPr>
          <w:b/>
          <w:sz w:val="21"/>
          <w:szCs w:val="21"/>
          <w:highlight w:val="none"/>
        </w:rPr>
      </w:pPr>
      <w:r>
        <w:rPr>
          <w:b/>
          <w:sz w:val="21"/>
          <w:szCs w:val="21"/>
          <w:highlight w:val="none"/>
        </w:rPr>
        <w:t>表</w:t>
      </w:r>
      <w:r>
        <w:rPr>
          <w:rFonts w:hint="eastAsia"/>
          <w:b/>
          <w:sz w:val="21"/>
          <w:szCs w:val="21"/>
          <w:highlight w:val="none"/>
          <w:lang w:val="en-US" w:eastAsia="zh-CN"/>
        </w:rPr>
        <w:t>7.3-4</w:t>
      </w:r>
      <w:r>
        <w:rPr>
          <w:b/>
          <w:sz w:val="21"/>
          <w:szCs w:val="21"/>
          <w:highlight w:val="none"/>
        </w:rPr>
        <w:t xml:space="preserve">   黑索金特性分析表</w:t>
      </w:r>
    </w:p>
    <w:tbl>
      <w:tblPr>
        <w:tblStyle w:val="29"/>
        <w:tblW w:w="8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3"/>
        <w:gridCol w:w="7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693" w:type="dxa"/>
            <w:shd w:val="clear" w:color="auto" w:fill="auto"/>
            <w:vAlign w:val="center"/>
          </w:tcPr>
          <w:p>
            <w:pPr>
              <w:pStyle w:val="17"/>
              <w:ind w:firstLine="0" w:firstLineChars="0"/>
              <w:jc w:val="center"/>
              <w:rPr>
                <w:rFonts w:ascii="Times New Roman" w:hAnsi="Times New Roman"/>
                <w:b/>
                <w:bCs/>
                <w:sz w:val="21"/>
                <w:szCs w:val="21"/>
                <w:highlight w:val="none"/>
              </w:rPr>
            </w:pPr>
            <w:r>
              <w:rPr>
                <w:rFonts w:ascii="Times New Roman" w:hAnsi="Times New Roman"/>
                <w:b/>
                <w:bCs/>
                <w:sz w:val="21"/>
                <w:szCs w:val="21"/>
                <w:highlight w:val="none"/>
              </w:rPr>
              <w:t>物质名称</w:t>
            </w:r>
          </w:p>
        </w:tc>
        <w:tc>
          <w:tcPr>
            <w:tcW w:w="7047" w:type="dxa"/>
            <w:shd w:val="clear" w:color="auto" w:fill="auto"/>
            <w:vAlign w:val="center"/>
          </w:tcPr>
          <w:p>
            <w:pPr>
              <w:pStyle w:val="17"/>
              <w:ind w:firstLine="0" w:firstLineChars="0"/>
              <w:jc w:val="center"/>
              <w:rPr>
                <w:rFonts w:ascii="Times New Roman" w:hAnsi="Times New Roman"/>
                <w:b/>
                <w:bCs/>
                <w:sz w:val="21"/>
                <w:szCs w:val="21"/>
                <w:highlight w:val="none"/>
              </w:rPr>
            </w:pPr>
            <w:r>
              <w:rPr>
                <w:rFonts w:ascii="Times New Roman" w:hAnsi="Times New Roman"/>
                <w:b/>
                <w:bCs/>
                <w:sz w:val="21"/>
                <w:szCs w:val="21"/>
                <w:highlight w:val="none"/>
              </w:rPr>
              <w:t>环三次甲基三硝铵，又名黑索金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0" w:hRule="atLeast"/>
          <w:jc w:val="center"/>
        </w:trPr>
        <w:tc>
          <w:tcPr>
            <w:tcW w:w="1693" w:type="dxa"/>
            <w:vAlign w:val="center"/>
          </w:tcPr>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理化常数</w:t>
            </w:r>
          </w:p>
        </w:tc>
        <w:tc>
          <w:tcPr>
            <w:tcW w:w="7047" w:type="dxa"/>
            <w:vAlign w:val="center"/>
          </w:tcPr>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分子式C3H6N6O6；(CH2NNO2)3；分子量222.15；熔点204℃；</w:t>
            </w:r>
          </w:p>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相对密度(水=1)1.82；外观与性状：白色结晶固体；</w:t>
            </w:r>
          </w:p>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溶解性：不溶于水，微溶于苯、芳烃、乙醚，溶于丙酮；</w:t>
            </w:r>
          </w:p>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危险标记：1(爆炸品)。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8" w:hRule="atLeast"/>
          <w:jc w:val="center"/>
        </w:trPr>
        <w:tc>
          <w:tcPr>
            <w:tcW w:w="1693" w:type="dxa"/>
            <w:vAlign w:val="center"/>
          </w:tcPr>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健康危害</w:t>
            </w:r>
          </w:p>
        </w:tc>
        <w:tc>
          <w:tcPr>
            <w:tcW w:w="7047" w:type="dxa"/>
            <w:vAlign w:val="center"/>
          </w:tcPr>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侵入途径：吸入、食入。</w:t>
            </w:r>
          </w:p>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 健康危害：吸入后中毒，可发生癫痫样发作；误服可引起头晕、恶心、呕吐、流涎、多汗，重者发生抽搐。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8" w:hRule="atLeast"/>
          <w:jc w:val="center"/>
        </w:trPr>
        <w:tc>
          <w:tcPr>
            <w:tcW w:w="1693" w:type="dxa"/>
            <w:vAlign w:val="center"/>
          </w:tcPr>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毒理学资料</w:t>
            </w:r>
          </w:p>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及环境行为</w:t>
            </w:r>
          </w:p>
        </w:tc>
        <w:tc>
          <w:tcPr>
            <w:tcW w:w="7047" w:type="dxa"/>
            <w:vAlign w:val="center"/>
          </w:tcPr>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急性毒性：LD50100mg/kg(大鼠经口)；59mg/kg(小鼠经口)；</w:t>
            </w:r>
          </w:p>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危险特性：受热，接触明火、高热或受到摩擦震动、撞击时可发生爆炸;</w:t>
            </w:r>
          </w:p>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燃烧(分解)产物：一氧化碳、二氧化碳、氮氧化物。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0" w:hRule="atLeast"/>
          <w:jc w:val="center"/>
        </w:trPr>
        <w:tc>
          <w:tcPr>
            <w:tcW w:w="1693" w:type="dxa"/>
            <w:vAlign w:val="center"/>
          </w:tcPr>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急救措施</w:t>
            </w:r>
          </w:p>
        </w:tc>
        <w:tc>
          <w:tcPr>
            <w:tcW w:w="7047" w:type="dxa"/>
            <w:vAlign w:val="center"/>
          </w:tcPr>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皮肤接触：脱去被污染的衣着，立即用流动清水彻底冲洗。</w:t>
            </w:r>
          </w:p>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眼睛接触：立即提起眼睑，用流动清水冲洗</w:t>
            </w:r>
            <w:r>
              <w:rPr>
                <w:rFonts w:ascii="Times New Roman" w:hAnsi="Times New Roman"/>
                <w:sz w:val="21"/>
                <w:szCs w:val="21"/>
                <w:highlight w:val="none"/>
              </w:rPr>
              <w:br w:type="textWrapping"/>
            </w:r>
            <w:r>
              <w:rPr>
                <w:rFonts w:ascii="Times New Roman" w:hAnsi="Times New Roman"/>
                <w:sz w:val="21"/>
                <w:szCs w:val="21"/>
                <w:highlight w:val="none"/>
              </w:rPr>
              <w:t>吸入：脱离现场至空气新鲜处。必要时进行人工呼吸。就医。</w:t>
            </w:r>
          </w:p>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食入：患者清醒时饮足量温水，催吐，就医。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4" w:hRule="atLeast"/>
          <w:jc w:val="center"/>
        </w:trPr>
        <w:tc>
          <w:tcPr>
            <w:tcW w:w="1693" w:type="dxa"/>
            <w:vAlign w:val="center"/>
          </w:tcPr>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事故处理</w:t>
            </w:r>
          </w:p>
        </w:tc>
        <w:tc>
          <w:tcPr>
            <w:tcW w:w="7047" w:type="dxa"/>
            <w:vAlign w:val="center"/>
          </w:tcPr>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隔离泄漏污染区，周围设警告标志，切断火源。建议应急处理人员戴好防毒面具，穿一般消防防护服。冷却，防止震动、撞击和摩擦。避免扬尘，使用无火花工具收于干燥、洁净、有盖的容器中，转移到安全场所。也可以用大量水冲洗，经稀释的洗水放入废水系统。大量泄漏：与有关技术部门联系，确定清除方法。</w:t>
            </w:r>
          </w:p>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灭火方法：雾状水。禁止用砂土压盖。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jc w:val="center"/>
        </w:trPr>
        <w:tc>
          <w:tcPr>
            <w:tcW w:w="1693" w:type="dxa"/>
            <w:vAlign w:val="center"/>
          </w:tcPr>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储运注意事项</w:t>
            </w:r>
          </w:p>
        </w:tc>
        <w:tc>
          <w:tcPr>
            <w:tcW w:w="7047" w:type="dxa"/>
            <w:vAlign w:val="center"/>
          </w:tcPr>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储存于阴凉、通风、干燥的爆破器材专用库房，远离火种、热源、氧化剂和酸碱。</w:t>
            </w:r>
          </w:p>
        </w:tc>
      </w:tr>
    </w:tbl>
    <w:p>
      <w:pPr>
        <w:pStyle w:val="17"/>
        <w:ind w:firstLine="480"/>
        <w:rPr>
          <w:highlight w:val="none"/>
        </w:rPr>
      </w:pPr>
    </w:p>
    <w:p>
      <w:pPr>
        <w:pStyle w:val="17"/>
        <w:ind w:firstLine="480"/>
        <w:rPr>
          <w:highlight w:val="none"/>
        </w:rPr>
      </w:pPr>
    </w:p>
    <w:p>
      <w:pPr>
        <w:spacing w:after="120" w:line="0" w:lineRule="atLeast"/>
        <w:ind w:firstLine="422"/>
        <w:jc w:val="center"/>
        <w:rPr>
          <w:b/>
          <w:sz w:val="21"/>
          <w:szCs w:val="21"/>
          <w:highlight w:val="none"/>
        </w:rPr>
      </w:pPr>
      <w:r>
        <w:rPr>
          <w:b/>
          <w:sz w:val="21"/>
          <w:szCs w:val="21"/>
          <w:highlight w:val="none"/>
        </w:rPr>
        <w:t>表</w:t>
      </w:r>
      <w:r>
        <w:rPr>
          <w:rFonts w:hint="eastAsia"/>
          <w:b/>
          <w:sz w:val="21"/>
          <w:szCs w:val="21"/>
          <w:highlight w:val="none"/>
          <w:lang w:val="en-US" w:eastAsia="zh-CN"/>
        </w:rPr>
        <w:t>7.3-5</w:t>
      </w:r>
      <w:r>
        <w:rPr>
          <w:b/>
          <w:sz w:val="21"/>
          <w:szCs w:val="21"/>
          <w:highlight w:val="none"/>
        </w:rPr>
        <w:t xml:space="preserve"> 柴油的理化性质和危险特性表</w:t>
      </w:r>
    </w:p>
    <w:tbl>
      <w:tblPr>
        <w:tblStyle w:val="29"/>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47"/>
        <w:gridCol w:w="1778"/>
        <w:gridCol w:w="1782"/>
        <w:gridCol w:w="83"/>
        <w:gridCol w:w="735"/>
        <w:gridCol w:w="1384"/>
        <w:gridCol w:w="1"/>
        <w:gridCol w:w="1017"/>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52" w:hRule="atLeast"/>
          <w:jc w:val="center"/>
        </w:trPr>
        <w:tc>
          <w:tcPr>
            <w:tcW w:w="847" w:type="dxa"/>
            <w:shd w:val="clear" w:color="auto" w:fill="auto"/>
            <w:vAlign w:val="center"/>
          </w:tcPr>
          <w:p>
            <w:pPr>
              <w:pStyle w:val="17"/>
              <w:ind w:firstLine="0" w:firstLineChars="0"/>
              <w:jc w:val="center"/>
              <w:rPr>
                <w:rFonts w:ascii="Times New Roman" w:hAnsi="Times New Roman"/>
                <w:b/>
                <w:bCs/>
                <w:sz w:val="21"/>
                <w:szCs w:val="21"/>
                <w:highlight w:val="none"/>
              </w:rPr>
            </w:pPr>
            <w:r>
              <w:rPr>
                <w:rFonts w:hint="eastAsia" w:ascii="Times New Roman" w:hAnsi="Times New Roman"/>
                <w:b/>
                <w:bCs/>
                <w:sz w:val="21"/>
                <w:szCs w:val="21"/>
                <w:highlight w:val="none"/>
              </w:rPr>
              <w:t>特别</w:t>
            </w:r>
          </w:p>
          <w:p>
            <w:pPr>
              <w:pStyle w:val="17"/>
              <w:ind w:firstLine="0" w:firstLineChars="0"/>
              <w:jc w:val="center"/>
              <w:rPr>
                <w:rFonts w:ascii="Times New Roman" w:hAnsi="Times New Roman"/>
                <w:b/>
                <w:bCs/>
                <w:sz w:val="21"/>
                <w:szCs w:val="21"/>
                <w:highlight w:val="none"/>
              </w:rPr>
            </w:pPr>
            <w:r>
              <w:rPr>
                <w:rFonts w:hint="eastAsia" w:ascii="Times New Roman" w:hAnsi="Times New Roman"/>
                <w:b/>
                <w:bCs/>
                <w:sz w:val="21"/>
                <w:szCs w:val="21"/>
                <w:highlight w:val="none"/>
              </w:rPr>
              <w:t>警示</w:t>
            </w:r>
          </w:p>
        </w:tc>
        <w:tc>
          <w:tcPr>
            <w:tcW w:w="7873" w:type="dxa"/>
            <w:gridSpan w:val="8"/>
            <w:shd w:val="clear" w:color="auto" w:fill="auto"/>
            <w:vAlign w:val="center"/>
          </w:tcPr>
          <w:p>
            <w:pPr>
              <w:pStyle w:val="17"/>
              <w:ind w:firstLine="0" w:firstLineChars="0"/>
              <w:jc w:val="center"/>
              <w:rPr>
                <w:rFonts w:ascii="Times New Roman" w:hAnsi="Times New Roman"/>
                <w:b/>
                <w:bCs/>
                <w:sz w:val="21"/>
                <w:szCs w:val="21"/>
                <w:highlight w:val="none"/>
              </w:rPr>
            </w:pPr>
            <w:r>
              <w:rPr>
                <w:rFonts w:hint="eastAsia" w:ascii="Times New Roman" w:hAnsi="Times New Roman"/>
                <w:b/>
                <w:bCs/>
                <w:sz w:val="21"/>
                <w:szCs w:val="21"/>
                <w:highlight w:val="none"/>
              </w:rPr>
              <w:t>易燃液，不得使用直流水扑救。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78" w:hRule="atLeast"/>
          <w:jc w:val="center"/>
        </w:trPr>
        <w:tc>
          <w:tcPr>
            <w:tcW w:w="847" w:type="dxa"/>
            <w:vMerge w:val="restart"/>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标</w:t>
            </w:r>
          </w:p>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识</w:t>
            </w:r>
          </w:p>
        </w:tc>
        <w:tc>
          <w:tcPr>
            <w:tcW w:w="1778" w:type="dxa"/>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英文名</w:t>
            </w:r>
          </w:p>
        </w:tc>
        <w:tc>
          <w:tcPr>
            <w:tcW w:w="1782" w:type="dxa"/>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Diesel oil</w:t>
            </w:r>
          </w:p>
        </w:tc>
        <w:tc>
          <w:tcPr>
            <w:tcW w:w="818" w:type="dxa"/>
            <w:gridSpan w:val="2"/>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分子式</w:t>
            </w:r>
          </w:p>
        </w:tc>
        <w:tc>
          <w:tcPr>
            <w:tcW w:w="1384" w:type="dxa"/>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w:t>
            </w:r>
          </w:p>
        </w:tc>
        <w:tc>
          <w:tcPr>
            <w:tcW w:w="1018" w:type="dxa"/>
            <w:gridSpan w:val="2"/>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分子量</w:t>
            </w:r>
          </w:p>
        </w:tc>
        <w:tc>
          <w:tcPr>
            <w:tcW w:w="1093" w:type="dxa"/>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78" w:hRule="atLeast"/>
          <w:jc w:val="center"/>
        </w:trPr>
        <w:tc>
          <w:tcPr>
            <w:tcW w:w="847" w:type="dxa"/>
            <w:vMerge w:val="continue"/>
            <w:vAlign w:val="center"/>
          </w:tcPr>
          <w:p>
            <w:pPr>
              <w:pStyle w:val="17"/>
              <w:ind w:firstLine="0" w:firstLineChars="0"/>
              <w:jc w:val="center"/>
              <w:rPr>
                <w:rFonts w:ascii="Times New Roman" w:hAnsi="Times New Roman"/>
                <w:sz w:val="21"/>
                <w:szCs w:val="21"/>
                <w:highlight w:val="none"/>
              </w:rPr>
            </w:pPr>
          </w:p>
        </w:tc>
        <w:tc>
          <w:tcPr>
            <w:tcW w:w="1778" w:type="dxa"/>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危险标记</w:t>
            </w:r>
          </w:p>
        </w:tc>
        <w:tc>
          <w:tcPr>
            <w:tcW w:w="1782" w:type="dxa"/>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w:t>
            </w:r>
          </w:p>
        </w:tc>
        <w:tc>
          <w:tcPr>
            <w:tcW w:w="2202" w:type="dxa"/>
            <w:gridSpan w:val="3"/>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UN编号</w:t>
            </w:r>
          </w:p>
        </w:tc>
        <w:tc>
          <w:tcPr>
            <w:tcW w:w="2111" w:type="dxa"/>
            <w:gridSpan w:val="3"/>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78" w:hRule="atLeast"/>
          <w:jc w:val="center"/>
        </w:trPr>
        <w:tc>
          <w:tcPr>
            <w:tcW w:w="847" w:type="dxa"/>
            <w:vMerge w:val="continue"/>
            <w:vAlign w:val="center"/>
          </w:tcPr>
          <w:p>
            <w:pPr>
              <w:pStyle w:val="17"/>
              <w:ind w:firstLine="0" w:firstLineChars="0"/>
              <w:jc w:val="center"/>
              <w:rPr>
                <w:rFonts w:ascii="Times New Roman" w:hAnsi="Times New Roman"/>
                <w:sz w:val="21"/>
                <w:szCs w:val="21"/>
                <w:highlight w:val="none"/>
              </w:rPr>
            </w:pPr>
          </w:p>
        </w:tc>
        <w:tc>
          <w:tcPr>
            <w:tcW w:w="1778" w:type="dxa"/>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危险货物编号</w:t>
            </w:r>
          </w:p>
        </w:tc>
        <w:tc>
          <w:tcPr>
            <w:tcW w:w="1782" w:type="dxa"/>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w:t>
            </w:r>
          </w:p>
        </w:tc>
        <w:tc>
          <w:tcPr>
            <w:tcW w:w="2202" w:type="dxa"/>
            <w:gridSpan w:val="3"/>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CAS号</w:t>
            </w:r>
          </w:p>
        </w:tc>
        <w:tc>
          <w:tcPr>
            <w:tcW w:w="2111" w:type="dxa"/>
            <w:gridSpan w:val="3"/>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78" w:hRule="atLeast"/>
          <w:jc w:val="center"/>
        </w:trPr>
        <w:tc>
          <w:tcPr>
            <w:tcW w:w="847" w:type="dxa"/>
            <w:vMerge w:val="restart"/>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理</w:t>
            </w:r>
          </w:p>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化</w:t>
            </w:r>
          </w:p>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特</w:t>
            </w:r>
          </w:p>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性</w:t>
            </w:r>
          </w:p>
        </w:tc>
        <w:tc>
          <w:tcPr>
            <w:tcW w:w="1778" w:type="dxa"/>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外观与性状</w:t>
            </w:r>
          </w:p>
        </w:tc>
        <w:tc>
          <w:tcPr>
            <w:tcW w:w="6095" w:type="dxa"/>
            <w:gridSpan w:val="7"/>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稍有粘性的棕色液体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78" w:hRule="atLeast"/>
          <w:jc w:val="center"/>
        </w:trPr>
        <w:tc>
          <w:tcPr>
            <w:tcW w:w="847" w:type="dxa"/>
            <w:vMerge w:val="continue"/>
            <w:vAlign w:val="center"/>
          </w:tcPr>
          <w:p>
            <w:pPr>
              <w:pStyle w:val="17"/>
              <w:ind w:firstLine="0" w:firstLineChars="0"/>
              <w:jc w:val="center"/>
              <w:rPr>
                <w:rFonts w:ascii="Times New Roman" w:hAnsi="Times New Roman"/>
                <w:sz w:val="21"/>
                <w:szCs w:val="21"/>
                <w:highlight w:val="none"/>
              </w:rPr>
            </w:pPr>
          </w:p>
        </w:tc>
        <w:tc>
          <w:tcPr>
            <w:tcW w:w="1778" w:type="dxa"/>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分类</w:t>
            </w:r>
          </w:p>
        </w:tc>
        <w:tc>
          <w:tcPr>
            <w:tcW w:w="6095" w:type="dxa"/>
            <w:gridSpan w:val="7"/>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78" w:hRule="atLeast"/>
          <w:jc w:val="center"/>
        </w:trPr>
        <w:tc>
          <w:tcPr>
            <w:tcW w:w="847" w:type="dxa"/>
            <w:vMerge w:val="continue"/>
            <w:vAlign w:val="center"/>
          </w:tcPr>
          <w:p>
            <w:pPr>
              <w:pStyle w:val="17"/>
              <w:ind w:firstLine="0" w:firstLineChars="0"/>
              <w:jc w:val="center"/>
              <w:rPr>
                <w:rFonts w:ascii="Times New Roman" w:hAnsi="Times New Roman"/>
                <w:sz w:val="21"/>
                <w:szCs w:val="21"/>
                <w:highlight w:val="none"/>
              </w:rPr>
            </w:pPr>
          </w:p>
        </w:tc>
        <w:tc>
          <w:tcPr>
            <w:tcW w:w="1778" w:type="dxa"/>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熔点℃</w:t>
            </w:r>
          </w:p>
        </w:tc>
        <w:tc>
          <w:tcPr>
            <w:tcW w:w="1865" w:type="dxa"/>
            <w:gridSpan w:val="2"/>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&lt;</w:t>
            </w:r>
            <w:r>
              <w:rPr>
                <w:rFonts w:ascii="Times New Roman" w:hAnsi="Times New Roman"/>
                <w:sz w:val="21"/>
                <w:szCs w:val="21"/>
                <w:highlight w:val="none"/>
              </w:rPr>
              <w:t>-</w:t>
            </w:r>
            <w:r>
              <w:rPr>
                <w:rFonts w:hint="eastAsia" w:ascii="Times New Roman" w:hAnsi="Times New Roman"/>
                <w:sz w:val="21"/>
                <w:szCs w:val="21"/>
                <w:highlight w:val="none"/>
              </w:rPr>
              <w:t>18</w:t>
            </w:r>
          </w:p>
        </w:tc>
        <w:tc>
          <w:tcPr>
            <w:tcW w:w="2120" w:type="dxa"/>
            <w:gridSpan w:val="3"/>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相对密度(空气=1)</w:t>
            </w:r>
          </w:p>
        </w:tc>
        <w:tc>
          <w:tcPr>
            <w:tcW w:w="2110" w:type="dxa"/>
            <w:gridSpan w:val="2"/>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78" w:hRule="atLeast"/>
          <w:jc w:val="center"/>
        </w:trPr>
        <w:tc>
          <w:tcPr>
            <w:tcW w:w="847" w:type="dxa"/>
            <w:vMerge w:val="continue"/>
            <w:vAlign w:val="center"/>
          </w:tcPr>
          <w:p>
            <w:pPr>
              <w:pStyle w:val="17"/>
              <w:ind w:firstLine="0" w:firstLineChars="0"/>
              <w:jc w:val="center"/>
              <w:rPr>
                <w:rFonts w:ascii="Times New Roman" w:hAnsi="Times New Roman"/>
                <w:sz w:val="21"/>
                <w:szCs w:val="21"/>
                <w:highlight w:val="none"/>
              </w:rPr>
            </w:pPr>
          </w:p>
        </w:tc>
        <w:tc>
          <w:tcPr>
            <w:tcW w:w="1778" w:type="dxa"/>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沸点℃</w:t>
            </w:r>
          </w:p>
        </w:tc>
        <w:tc>
          <w:tcPr>
            <w:tcW w:w="1865" w:type="dxa"/>
            <w:gridSpan w:val="2"/>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282</w:t>
            </w:r>
            <w:r>
              <w:rPr>
                <w:rFonts w:ascii="Times New Roman" w:hAnsi="Times New Roman"/>
                <w:sz w:val="21"/>
                <w:szCs w:val="21"/>
                <w:highlight w:val="none"/>
              </w:rPr>
              <w:t>～</w:t>
            </w:r>
            <w:r>
              <w:rPr>
                <w:rFonts w:hint="eastAsia" w:ascii="Times New Roman" w:hAnsi="Times New Roman"/>
                <w:sz w:val="21"/>
                <w:szCs w:val="21"/>
                <w:highlight w:val="none"/>
              </w:rPr>
              <w:t>338</w:t>
            </w:r>
          </w:p>
        </w:tc>
        <w:tc>
          <w:tcPr>
            <w:tcW w:w="2120" w:type="dxa"/>
            <w:gridSpan w:val="3"/>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相对密度</w:t>
            </w:r>
          </w:p>
        </w:tc>
        <w:tc>
          <w:tcPr>
            <w:tcW w:w="2110" w:type="dxa"/>
            <w:gridSpan w:val="2"/>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78" w:hRule="atLeast"/>
          <w:jc w:val="center"/>
        </w:trPr>
        <w:tc>
          <w:tcPr>
            <w:tcW w:w="847" w:type="dxa"/>
            <w:vMerge w:val="continue"/>
            <w:vAlign w:val="center"/>
          </w:tcPr>
          <w:p>
            <w:pPr>
              <w:pStyle w:val="17"/>
              <w:ind w:firstLine="0" w:firstLineChars="0"/>
              <w:jc w:val="center"/>
              <w:rPr>
                <w:rFonts w:ascii="Times New Roman" w:hAnsi="Times New Roman"/>
                <w:sz w:val="21"/>
                <w:szCs w:val="21"/>
                <w:highlight w:val="none"/>
              </w:rPr>
            </w:pPr>
          </w:p>
        </w:tc>
        <w:tc>
          <w:tcPr>
            <w:tcW w:w="1778" w:type="dxa"/>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相对密度（水=1）</w:t>
            </w:r>
          </w:p>
        </w:tc>
        <w:tc>
          <w:tcPr>
            <w:tcW w:w="1865" w:type="dxa"/>
            <w:gridSpan w:val="2"/>
            <w:vAlign w:val="center"/>
          </w:tcPr>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0.</w:t>
            </w:r>
            <w:r>
              <w:rPr>
                <w:rFonts w:hint="eastAsia" w:ascii="Times New Roman" w:hAnsi="Times New Roman"/>
                <w:sz w:val="21"/>
                <w:szCs w:val="21"/>
                <w:highlight w:val="none"/>
              </w:rPr>
              <w:t>87</w:t>
            </w:r>
            <w:r>
              <w:rPr>
                <w:rFonts w:ascii="Times New Roman" w:hAnsi="Times New Roman"/>
                <w:sz w:val="21"/>
                <w:szCs w:val="21"/>
                <w:highlight w:val="none"/>
              </w:rPr>
              <w:t>～0.</w:t>
            </w:r>
            <w:r>
              <w:rPr>
                <w:rFonts w:hint="eastAsia" w:ascii="Times New Roman" w:hAnsi="Times New Roman"/>
                <w:sz w:val="21"/>
                <w:szCs w:val="21"/>
                <w:highlight w:val="none"/>
              </w:rPr>
              <w:t>9</w:t>
            </w:r>
          </w:p>
        </w:tc>
        <w:tc>
          <w:tcPr>
            <w:tcW w:w="2120" w:type="dxa"/>
            <w:gridSpan w:val="3"/>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闪点</w:t>
            </w:r>
          </w:p>
        </w:tc>
        <w:tc>
          <w:tcPr>
            <w:tcW w:w="2110" w:type="dxa"/>
            <w:gridSpan w:val="2"/>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78" w:hRule="atLeast"/>
          <w:jc w:val="center"/>
        </w:trPr>
        <w:tc>
          <w:tcPr>
            <w:tcW w:w="847" w:type="dxa"/>
            <w:vMerge w:val="continue"/>
            <w:vAlign w:val="center"/>
          </w:tcPr>
          <w:p>
            <w:pPr>
              <w:pStyle w:val="17"/>
              <w:ind w:firstLine="0" w:firstLineChars="0"/>
              <w:jc w:val="center"/>
              <w:rPr>
                <w:rFonts w:ascii="Times New Roman" w:hAnsi="Times New Roman"/>
                <w:sz w:val="21"/>
                <w:szCs w:val="21"/>
                <w:highlight w:val="none"/>
              </w:rPr>
            </w:pPr>
          </w:p>
        </w:tc>
        <w:tc>
          <w:tcPr>
            <w:tcW w:w="1778" w:type="dxa"/>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饱和蒸汽压</w:t>
            </w:r>
            <w:r>
              <w:rPr>
                <w:rFonts w:ascii="Times New Roman" w:hAnsi="Times New Roman"/>
                <w:sz w:val="21"/>
                <w:szCs w:val="21"/>
                <w:highlight w:val="none"/>
              </w:rPr>
              <w:t>KP</w:t>
            </w:r>
            <w:r>
              <w:rPr>
                <w:rFonts w:hint="eastAsia" w:ascii="Times New Roman" w:hAnsi="Times New Roman"/>
                <w:sz w:val="21"/>
                <w:szCs w:val="21"/>
                <w:highlight w:val="none"/>
              </w:rPr>
              <w:t>a</w:t>
            </w:r>
          </w:p>
        </w:tc>
        <w:tc>
          <w:tcPr>
            <w:tcW w:w="1865" w:type="dxa"/>
            <w:gridSpan w:val="2"/>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w:t>
            </w:r>
          </w:p>
        </w:tc>
        <w:tc>
          <w:tcPr>
            <w:tcW w:w="2120" w:type="dxa"/>
            <w:gridSpan w:val="3"/>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极限爆炸</w:t>
            </w:r>
          </w:p>
        </w:tc>
        <w:tc>
          <w:tcPr>
            <w:tcW w:w="2110" w:type="dxa"/>
            <w:gridSpan w:val="2"/>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78" w:hRule="atLeast"/>
          <w:jc w:val="center"/>
        </w:trPr>
        <w:tc>
          <w:tcPr>
            <w:tcW w:w="847" w:type="dxa"/>
            <w:vMerge w:val="continue"/>
            <w:vAlign w:val="center"/>
          </w:tcPr>
          <w:p>
            <w:pPr>
              <w:pStyle w:val="17"/>
              <w:ind w:firstLine="0" w:firstLineChars="0"/>
              <w:jc w:val="center"/>
              <w:rPr>
                <w:rFonts w:ascii="Times New Roman" w:hAnsi="Times New Roman"/>
                <w:sz w:val="21"/>
                <w:szCs w:val="21"/>
                <w:highlight w:val="none"/>
              </w:rPr>
            </w:pPr>
          </w:p>
        </w:tc>
        <w:tc>
          <w:tcPr>
            <w:tcW w:w="1778" w:type="dxa"/>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自燃温度</w:t>
            </w:r>
          </w:p>
        </w:tc>
        <w:tc>
          <w:tcPr>
            <w:tcW w:w="1865" w:type="dxa"/>
            <w:gridSpan w:val="2"/>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257℃</w:t>
            </w:r>
          </w:p>
        </w:tc>
        <w:tc>
          <w:tcPr>
            <w:tcW w:w="2120" w:type="dxa"/>
            <w:gridSpan w:val="3"/>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最大爆炸压力</w:t>
            </w:r>
          </w:p>
        </w:tc>
        <w:tc>
          <w:tcPr>
            <w:tcW w:w="2110" w:type="dxa"/>
            <w:gridSpan w:val="2"/>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78" w:hRule="atLeast"/>
          <w:jc w:val="center"/>
        </w:trPr>
        <w:tc>
          <w:tcPr>
            <w:tcW w:w="847" w:type="dxa"/>
            <w:vMerge w:val="continue"/>
            <w:vAlign w:val="center"/>
          </w:tcPr>
          <w:p>
            <w:pPr>
              <w:pStyle w:val="17"/>
              <w:ind w:firstLine="0" w:firstLineChars="0"/>
              <w:jc w:val="center"/>
              <w:rPr>
                <w:rFonts w:ascii="Times New Roman" w:hAnsi="Times New Roman"/>
                <w:sz w:val="21"/>
                <w:szCs w:val="21"/>
                <w:highlight w:val="none"/>
              </w:rPr>
            </w:pPr>
          </w:p>
        </w:tc>
        <w:tc>
          <w:tcPr>
            <w:tcW w:w="1778" w:type="dxa"/>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溶解性</w:t>
            </w:r>
          </w:p>
        </w:tc>
        <w:tc>
          <w:tcPr>
            <w:tcW w:w="6095" w:type="dxa"/>
            <w:gridSpan w:val="7"/>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78" w:hRule="atLeast"/>
          <w:jc w:val="center"/>
        </w:trPr>
        <w:tc>
          <w:tcPr>
            <w:tcW w:w="847" w:type="dxa"/>
            <w:vMerge w:val="continue"/>
            <w:vAlign w:val="center"/>
          </w:tcPr>
          <w:p>
            <w:pPr>
              <w:pStyle w:val="17"/>
              <w:ind w:firstLine="0" w:firstLineChars="0"/>
              <w:jc w:val="center"/>
              <w:rPr>
                <w:rFonts w:ascii="Times New Roman" w:hAnsi="Times New Roman"/>
                <w:sz w:val="21"/>
                <w:szCs w:val="21"/>
                <w:highlight w:val="none"/>
              </w:rPr>
            </w:pPr>
          </w:p>
        </w:tc>
        <w:tc>
          <w:tcPr>
            <w:tcW w:w="1778" w:type="dxa"/>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职业接触限值</w:t>
            </w:r>
          </w:p>
        </w:tc>
        <w:tc>
          <w:tcPr>
            <w:tcW w:w="6095" w:type="dxa"/>
            <w:gridSpan w:val="7"/>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未制订标准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78" w:hRule="atLeast"/>
          <w:jc w:val="center"/>
        </w:trPr>
        <w:tc>
          <w:tcPr>
            <w:tcW w:w="847" w:type="dxa"/>
            <w:vMerge w:val="continue"/>
            <w:vAlign w:val="center"/>
          </w:tcPr>
          <w:p>
            <w:pPr>
              <w:pStyle w:val="17"/>
              <w:ind w:firstLine="0" w:firstLineChars="0"/>
              <w:jc w:val="center"/>
              <w:rPr>
                <w:rFonts w:ascii="Times New Roman" w:hAnsi="Times New Roman"/>
                <w:sz w:val="21"/>
                <w:szCs w:val="21"/>
                <w:highlight w:val="none"/>
              </w:rPr>
            </w:pPr>
          </w:p>
        </w:tc>
        <w:tc>
          <w:tcPr>
            <w:tcW w:w="1778" w:type="dxa"/>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侵入途径</w:t>
            </w:r>
          </w:p>
        </w:tc>
        <w:tc>
          <w:tcPr>
            <w:tcW w:w="6095" w:type="dxa"/>
            <w:gridSpan w:val="7"/>
            <w:vAlign w:val="center"/>
          </w:tcPr>
          <w:p>
            <w:pPr>
              <w:pStyle w:val="17"/>
              <w:ind w:firstLine="0" w:firstLineChars="0"/>
              <w:jc w:val="center"/>
              <w:rPr>
                <w:rFonts w:ascii="Times New Roman" w:hAnsi="Times New Roman"/>
                <w:sz w:val="21"/>
                <w:szCs w:val="21"/>
                <w:highlight w:val="none"/>
              </w:rPr>
            </w:pPr>
            <w:r>
              <w:rPr>
                <w:rFonts w:ascii="Times New Roman" w:hAnsi="Times New Roman"/>
                <w:sz w:val="21"/>
                <w:szCs w:val="21"/>
                <w:highlight w:val="none"/>
              </w:rPr>
              <w:t>吸入、食入、经皮吸收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78" w:hRule="atLeast"/>
          <w:jc w:val="center"/>
        </w:trPr>
        <w:tc>
          <w:tcPr>
            <w:tcW w:w="847" w:type="dxa"/>
            <w:vMerge w:val="continue"/>
            <w:vAlign w:val="center"/>
          </w:tcPr>
          <w:p>
            <w:pPr>
              <w:pStyle w:val="17"/>
              <w:ind w:firstLine="0" w:firstLineChars="0"/>
              <w:jc w:val="center"/>
              <w:rPr>
                <w:rFonts w:ascii="Times New Roman" w:hAnsi="Times New Roman"/>
                <w:sz w:val="21"/>
                <w:szCs w:val="21"/>
                <w:highlight w:val="none"/>
              </w:rPr>
            </w:pPr>
          </w:p>
        </w:tc>
        <w:tc>
          <w:tcPr>
            <w:tcW w:w="1778" w:type="dxa"/>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毒性</w:t>
            </w:r>
          </w:p>
        </w:tc>
        <w:tc>
          <w:tcPr>
            <w:tcW w:w="6095" w:type="dxa"/>
            <w:gridSpan w:val="7"/>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具体刺激作用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78" w:hRule="atLeast"/>
          <w:jc w:val="center"/>
        </w:trPr>
        <w:tc>
          <w:tcPr>
            <w:tcW w:w="847" w:type="dxa"/>
            <w:vMerge w:val="continue"/>
            <w:vAlign w:val="center"/>
          </w:tcPr>
          <w:p>
            <w:pPr>
              <w:pStyle w:val="17"/>
              <w:ind w:firstLine="0" w:firstLineChars="0"/>
              <w:jc w:val="center"/>
              <w:rPr>
                <w:rFonts w:ascii="Times New Roman" w:hAnsi="Times New Roman"/>
                <w:sz w:val="21"/>
                <w:szCs w:val="21"/>
                <w:highlight w:val="none"/>
              </w:rPr>
            </w:pPr>
          </w:p>
        </w:tc>
        <w:tc>
          <w:tcPr>
            <w:tcW w:w="1778" w:type="dxa"/>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禁忌物</w:t>
            </w:r>
          </w:p>
        </w:tc>
        <w:tc>
          <w:tcPr>
            <w:tcW w:w="6095" w:type="dxa"/>
            <w:gridSpan w:val="7"/>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强氧化剂、卤素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52" w:hRule="atLeast"/>
          <w:jc w:val="center"/>
        </w:trPr>
        <w:tc>
          <w:tcPr>
            <w:tcW w:w="847" w:type="dxa"/>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危险</w:t>
            </w:r>
          </w:p>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特性</w:t>
            </w:r>
          </w:p>
        </w:tc>
        <w:tc>
          <w:tcPr>
            <w:tcW w:w="7873" w:type="dxa"/>
            <w:gridSpan w:val="8"/>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遇明火、高热与氧化剂接触，有引起燃烧爆炸的危险，若遇高热，容器内压增大，有开裂和爆炸的危险。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52" w:hRule="atLeast"/>
          <w:jc w:val="center"/>
        </w:trPr>
        <w:tc>
          <w:tcPr>
            <w:tcW w:w="847" w:type="dxa"/>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呼吸系统防护</w:t>
            </w:r>
          </w:p>
        </w:tc>
        <w:tc>
          <w:tcPr>
            <w:tcW w:w="7873" w:type="dxa"/>
            <w:gridSpan w:val="8"/>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 xml:space="preserve">一般不需要特殊防护，但建议特殊情况下，佩带供气式呼吸器。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52" w:hRule="atLeast"/>
          <w:jc w:val="center"/>
        </w:trPr>
        <w:tc>
          <w:tcPr>
            <w:tcW w:w="847" w:type="dxa"/>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主要</w:t>
            </w:r>
          </w:p>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用途</w:t>
            </w:r>
          </w:p>
        </w:tc>
        <w:tc>
          <w:tcPr>
            <w:tcW w:w="7873" w:type="dxa"/>
            <w:gridSpan w:val="8"/>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用作柴油机的燃料。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526" w:hRule="atLeast"/>
          <w:jc w:val="center"/>
        </w:trPr>
        <w:tc>
          <w:tcPr>
            <w:tcW w:w="847" w:type="dxa"/>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健康</w:t>
            </w:r>
          </w:p>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危害</w:t>
            </w:r>
          </w:p>
        </w:tc>
        <w:tc>
          <w:tcPr>
            <w:tcW w:w="7873" w:type="dxa"/>
            <w:gridSpan w:val="8"/>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皮肤接触可为主要吸收途径，可致急性肾脏损害。柴油可引起接解性皮炎、油性痤疮。吸入其雾滴或液体呛入可引起吸入性肺炎，能经胎盘进入胎儿血中，柴油废气可引起眼、鼻刺激症状，头晕及头痛。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700" w:hRule="atLeast"/>
          <w:jc w:val="center"/>
        </w:trPr>
        <w:tc>
          <w:tcPr>
            <w:tcW w:w="847" w:type="dxa"/>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灭火</w:t>
            </w:r>
          </w:p>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方法</w:t>
            </w:r>
          </w:p>
        </w:tc>
        <w:tc>
          <w:tcPr>
            <w:tcW w:w="7873" w:type="dxa"/>
            <w:gridSpan w:val="8"/>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雾状水、泡沫、干粉、二氧化碳、砂土、1211.</w:t>
            </w:r>
          </w:p>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注意事项：消防人员须佩戴防毒面具、穿全身消防服，在上风向灭火。尽可能将容器从火场移至空旷处，喷水保持火场容器冷却，直至灭火结束。处在火场中的容器若已变色或从安全泄压装置中产生声音，必须马上撤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877" w:hRule="atLeast"/>
          <w:jc w:val="center"/>
        </w:trPr>
        <w:tc>
          <w:tcPr>
            <w:tcW w:w="847" w:type="dxa"/>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急救</w:t>
            </w:r>
          </w:p>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措施</w:t>
            </w:r>
          </w:p>
        </w:tc>
        <w:tc>
          <w:tcPr>
            <w:tcW w:w="7873" w:type="dxa"/>
            <w:gridSpan w:val="8"/>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吸入：迅速脱离现场至空气新鲜处，保持呼吸道通畅，如呼吸困难给氧，如呼吸停止，立即进行人工呼吸，就医。</w:t>
            </w:r>
          </w:p>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食入：尽快彻底洗胃，就医。</w:t>
            </w:r>
          </w:p>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皮肤接触：立即脱去污染的衣着，用肥皂水和清水彻底冲洗皮肤，就医。</w:t>
            </w:r>
          </w:p>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眼睛接触：立即提起眼睑，用大量流动清水或生理盐水冲洗，就医。</w:t>
            </w:r>
          </w:p>
        </w:tc>
      </w:tr>
    </w:tbl>
    <w:p>
      <w:pPr>
        <w:bidi w:val="0"/>
        <w:rPr>
          <w:highlight w:val="none"/>
        </w:rPr>
      </w:pPr>
    </w:p>
    <w:p>
      <w:pPr>
        <w:pStyle w:val="2"/>
        <w:ind w:left="0" w:leftChars="0" w:firstLine="0" w:firstLineChars="0"/>
        <w:jc w:val="center"/>
        <w:rPr>
          <w:rFonts w:hint="default" w:eastAsia="宋体"/>
          <w:b/>
          <w:bCs/>
          <w:sz w:val="21"/>
          <w:szCs w:val="21"/>
          <w:highlight w:val="none"/>
          <w:lang w:val="en-US" w:eastAsia="zh-CN"/>
        </w:rPr>
      </w:pPr>
      <w:r>
        <w:rPr>
          <w:rFonts w:hint="eastAsia"/>
          <w:b/>
          <w:bCs/>
          <w:sz w:val="21"/>
          <w:szCs w:val="21"/>
          <w:highlight w:val="none"/>
          <w:lang w:val="en-US" w:eastAsia="zh-CN"/>
        </w:rPr>
        <w:t>表7.3-6  润滑油特性分析表</w:t>
      </w:r>
    </w:p>
    <w:tbl>
      <w:tblPr>
        <w:tblStyle w:val="29"/>
        <w:tblW w:w="88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60"/>
        <w:gridCol w:w="1807"/>
        <w:gridCol w:w="1810"/>
        <w:gridCol w:w="85"/>
        <w:gridCol w:w="169"/>
        <w:gridCol w:w="578"/>
        <w:gridCol w:w="1407"/>
        <w:gridCol w:w="78"/>
        <w:gridCol w:w="956"/>
        <w:gridCol w:w="1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27" w:hRule="atLeast"/>
          <w:jc w:val="center"/>
        </w:trPr>
        <w:tc>
          <w:tcPr>
            <w:tcW w:w="860" w:type="dxa"/>
            <w:vMerge w:val="restart"/>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标</w:t>
            </w:r>
          </w:p>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识</w:t>
            </w:r>
          </w:p>
        </w:tc>
        <w:tc>
          <w:tcPr>
            <w:tcW w:w="1807" w:type="dxa"/>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英文名</w:t>
            </w:r>
          </w:p>
        </w:tc>
        <w:tc>
          <w:tcPr>
            <w:tcW w:w="1810" w:type="dxa"/>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lubricating</w:t>
            </w:r>
          </w:p>
        </w:tc>
        <w:tc>
          <w:tcPr>
            <w:tcW w:w="832" w:type="dxa"/>
            <w:gridSpan w:val="3"/>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分子式</w:t>
            </w:r>
          </w:p>
        </w:tc>
        <w:tc>
          <w:tcPr>
            <w:tcW w:w="1407" w:type="dxa"/>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w:t>
            </w:r>
          </w:p>
        </w:tc>
        <w:tc>
          <w:tcPr>
            <w:tcW w:w="1034" w:type="dxa"/>
            <w:gridSpan w:val="2"/>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分子量</w:t>
            </w:r>
          </w:p>
        </w:tc>
        <w:tc>
          <w:tcPr>
            <w:tcW w:w="1110" w:type="dxa"/>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27" w:hRule="atLeast"/>
          <w:jc w:val="center"/>
        </w:trPr>
        <w:tc>
          <w:tcPr>
            <w:tcW w:w="860" w:type="dxa"/>
            <w:vMerge w:val="continue"/>
            <w:vAlign w:val="center"/>
          </w:tcPr>
          <w:p>
            <w:pPr>
              <w:pStyle w:val="17"/>
              <w:ind w:firstLine="0" w:firstLineChars="0"/>
              <w:jc w:val="center"/>
              <w:rPr>
                <w:rFonts w:ascii="Times New Roman" w:hAnsi="Times New Roman"/>
                <w:sz w:val="21"/>
                <w:szCs w:val="21"/>
                <w:highlight w:val="none"/>
              </w:rPr>
            </w:pPr>
          </w:p>
        </w:tc>
        <w:tc>
          <w:tcPr>
            <w:tcW w:w="1807" w:type="dxa"/>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危险标记</w:t>
            </w:r>
          </w:p>
        </w:tc>
        <w:tc>
          <w:tcPr>
            <w:tcW w:w="1810" w:type="dxa"/>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w:t>
            </w:r>
          </w:p>
        </w:tc>
        <w:tc>
          <w:tcPr>
            <w:tcW w:w="2239" w:type="dxa"/>
            <w:gridSpan w:val="4"/>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UN编号</w:t>
            </w:r>
          </w:p>
        </w:tc>
        <w:tc>
          <w:tcPr>
            <w:tcW w:w="2144" w:type="dxa"/>
            <w:gridSpan w:val="3"/>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27" w:hRule="atLeast"/>
          <w:jc w:val="center"/>
        </w:trPr>
        <w:tc>
          <w:tcPr>
            <w:tcW w:w="860" w:type="dxa"/>
            <w:vMerge w:val="continue"/>
            <w:vAlign w:val="center"/>
          </w:tcPr>
          <w:p>
            <w:pPr>
              <w:pStyle w:val="17"/>
              <w:ind w:firstLine="0" w:firstLineChars="0"/>
              <w:jc w:val="center"/>
              <w:rPr>
                <w:rFonts w:ascii="Times New Roman" w:hAnsi="Times New Roman"/>
                <w:sz w:val="21"/>
                <w:szCs w:val="21"/>
                <w:highlight w:val="none"/>
              </w:rPr>
            </w:pPr>
          </w:p>
        </w:tc>
        <w:tc>
          <w:tcPr>
            <w:tcW w:w="1807" w:type="dxa"/>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危险货物编号</w:t>
            </w:r>
          </w:p>
        </w:tc>
        <w:tc>
          <w:tcPr>
            <w:tcW w:w="1810" w:type="dxa"/>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w:t>
            </w:r>
          </w:p>
        </w:tc>
        <w:tc>
          <w:tcPr>
            <w:tcW w:w="2239" w:type="dxa"/>
            <w:gridSpan w:val="4"/>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CAS号</w:t>
            </w:r>
          </w:p>
        </w:tc>
        <w:tc>
          <w:tcPr>
            <w:tcW w:w="2144" w:type="dxa"/>
            <w:gridSpan w:val="3"/>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27" w:hRule="atLeast"/>
          <w:jc w:val="center"/>
        </w:trPr>
        <w:tc>
          <w:tcPr>
            <w:tcW w:w="860" w:type="dxa"/>
            <w:vMerge w:val="restart"/>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理</w:t>
            </w:r>
          </w:p>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化</w:t>
            </w:r>
          </w:p>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特</w:t>
            </w:r>
          </w:p>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性</w:t>
            </w:r>
          </w:p>
        </w:tc>
        <w:tc>
          <w:tcPr>
            <w:tcW w:w="1807" w:type="dxa"/>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外观与性状</w:t>
            </w:r>
          </w:p>
        </w:tc>
        <w:tc>
          <w:tcPr>
            <w:tcW w:w="6193" w:type="dxa"/>
            <w:gridSpan w:val="8"/>
            <w:vAlign w:val="center"/>
          </w:tcPr>
          <w:p>
            <w:pPr>
              <w:pStyle w:val="17"/>
              <w:ind w:firstLine="0" w:firstLineChars="0"/>
              <w:jc w:val="center"/>
              <w:rPr>
                <w:rFonts w:hint="eastAsia" w:ascii="Times New Roman" w:hAnsi="Times New Roman" w:eastAsia="宋体"/>
                <w:sz w:val="21"/>
                <w:szCs w:val="21"/>
                <w:highlight w:val="none"/>
                <w:lang w:eastAsia="zh-CN"/>
              </w:rPr>
            </w:pPr>
            <w:r>
              <w:rPr>
                <w:rFonts w:hint="eastAsia" w:ascii="Times New Roman" w:hAnsi="Times New Roman"/>
                <w:sz w:val="21"/>
                <w:szCs w:val="21"/>
                <w:highlight w:val="none"/>
                <w:lang w:eastAsia="zh-CN"/>
              </w:rPr>
              <w:t>淡黄色粘稠液体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27" w:hRule="atLeast"/>
          <w:jc w:val="center"/>
        </w:trPr>
        <w:tc>
          <w:tcPr>
            <w:tcW w:w="860" w:type="dxa"/>
            <w:vMerge w:val="continue"/>
            <w:vAlign w:val="center"/>
          </w:tcPr>
          <w:p>
            <w:pPr>
              <w:pStyle w:val="17"/>
              <w:ind w:firstLine="0" w:firstLineChars="0"/>
              <w:jc w:val="center"/>
              <w:rPr>
                <w:rFonts w:ascii="Times New Roman" w:hAnsi="Times New Roman"/>
                <w:sz w:val="21"/>
                <w:szCs w:val="21"/>
                <w:highlight w:val="none"/>
              </w:rPr>
            </w:pPr>
          </w:p>
        </w:tc>
        <w:tc>
          <w:tcPr>
            <w:tcW w:w="1807" w:type="dxa"/>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分类</w:t>
            </w:r>
          </w:p>
        </w:tc>
        <w:tc>
          <w:tcPr>
            <w:tcW w:w="6193" w:type="dxa"/>
            <w:gridSpan w:val="8"/>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27" w:hRule="atLeast"/>
          <w:jc w:val="center"/>
        </w:trPr>
        <w:tc>
          <w:tcPr>
            <w:tcW w:w="860" w:type="dxa"/>
            <w:vMerge w:val="continue"/>
            <w:vAlign w:val="center"/>
          </w:tcPr>
          <w:p>
            <w:pPr>
              <w:pStyle w:val="17"/>
              <w:ind w:firstLine="0" w:firstLineChars="0"/>
              <w:jc w:val="center"/>
              <w:rPr>
                <w:rFonts w:ascii="Times New Roman" w:hAnsi="Times New Roman"/>
                <w:sz w:val="21"/>
                <w:szCs w:val="21"/>
                <w:highlight w:val="none"/>
              </w:rPr>
            </w:pPr>
          </w:p>
        </w:tc>
        <w:tc>
          <w:tcPr>
            <w:tcW w:w="1807" w:type="dxa"/>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lang w:eastAsia="zh-CN"/>
              </w:rPr>
              <w:t>自然点</w:t>
            </w:r>
            <w:r>
              <w:rPr>
                <w:rFonts w:hint="eastAsia" w:ascii="Times New Roman" w:hAnsi="Times New Roman"/>
                <w:sz w:val="21"/>
                <w:szCs w:val="21"/>
                <w:highlight w:val="none"/>
              </w:rPr>
              <w:t>℃</w:t>
            </w:r>
          </w:p>
        </w:tc>
        <w:tc>
          <w:tcPr>
            <w:tcW w:w="1895" w:type="dxa"/>
            <w:gridSpan w:val="2"/>
            <w:vAlign w:val="center"/>
          </w:tcPr>
          <w:p>
            <w:pPr>
              <w:pStyle w:val="17"/>
              <w:ind w:firstLine="0" w:firstLineChars="0"/>
              <w:jc w:val="center"/>
              <w:rPr>
                <w:rFonts w:hint="default" w:ascii="Times New Roman" w:hAnsi="Times New Roman" w:eastAsia="宋体"/>
                <w:sz w:val="21"/>
                <w:szCs w:val="21"/>
                <w:highlight w:val="none"/>
                <w:lang w:val="en-US" w:eastAsia="zh-CN"/>
              </w:rPr>
            </w:pPr>
            <w:r>
              <w:rPr>
                <w:rFonts w:hint="eastAsia" w:ascii="Times New Roman" w:hAnsi="Times New Roman"/>
                <w:sz w:val="21"/>
                <w:szCs w:val="21"/>
                <w:highlight w:val="none"/>
                <w:lang w:val="en-US" w:eastAsia="zh-CN"/>
              </w:rPr>
              <w:t>300-350</w:t>
            </w:r>
          </w:p>
        </w:tc>
        <w:tc>
          <w:tcPr>
            <w:tcW w:w="2154" w:type="dxa"/>
            <w:gridSpan w:val="3"/>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相对密度(空气=1)</w:t>
            </w:r>
          </w:p>
        </w:tc>
        <w:tc>
          <w:tcPr>
            <w:tcW w:w="2144" w:type="dxa"/>
            <w:gridSpan w:val="3"/>
            <w:vAlign w:val="center"/>
          </w:tcPr>
          <w:p>
            <w:pPr>
              <w:pStyle w:val="17"/>
              <w:ind w:firstLine="0" w:firstLineChars="0"/>
              <w:jc w:val="center"/>
              <w:rPr>
                <w:rFonts w:hint="default" w:ascii="Times New Roman" w:hAnsi="Times New Roman" w:eastAsia="宋体"/>
                <w:sz w:val="21"/>
                <w:szCs w:val="21"/>
                <w:highlight w:val="none"/>
                <w:lang w:val="en-US" w:eastAsia="zh-CN"/>
              </w:rPr>
            </w:pPr>
            <w:r>
              <w:rPr>
                <w:rFonts w:hint="eastAsia" w:ascii="Times New Roman" w:hAnsi="Times New Roman"/>
                <w:sz w:val="21"/>
                <w:szCs w:val="21"/>
                <w:highlight w:val="none"/>
                <w:lang w:val="en-US" w:eastAsia="zh-CN"/>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27" w:hRule="atLeast"/>
          <w:jc w:val="center"/>
        </w:trPr>
        <w:tc>
          <w:tcPr>
            <w:tcW w:w="860" w:type="dxa"/>
            <w:vMerge w:val="continue"/>
            <w:vAlign w:val="center"/>
          </w:tcPr>
          <w:p>
            <w:pPr>
              <w:pStyle w:val="17"/>
              <w:ind w:firstLine="0" w:firstLineChars="0"/>
              <w:jc w:val="center"/>
              <w:rPr>
                <w:rFonts w:ascii="Times New Roman" w:hAnsi="Times New Roman"/>
                <w:sz w:val="21"/>
                <w:szCs w:val="21"/>
                <w:highlight w:val="none"/>
              </w:rPr>
            </w:pPr>
          </w:p>
        </w:tc>
        <w:tc>
          <w:tcPr>
            <w:tcW w:w="1807" w:type="dxa"/>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沸点℃</w:t>
            </w:r>
          </w:p>
        </w:tc>
        <w:tc>
          <w:tcPr>
            <w:tcW w:w="1895" w:type="dxa"/>
            <w:gridSpan w:val="2"/>
            <w:vAlign w:val="center"/>
          </w:tcPr>
          <w:p>
            <w:pPr>
              <w:pStyle w:val="17"/>
              <w:ind w:firstLine="0" w:firstLineChars="0"/>
              <w:jc w:val="center"/>
              <w:rPr>
                <w:rFonts w:hint="default" w:ascii="Times New Roman" w:hAnsi="Times New Roman" w:eastAsia="宋体"/>
                <w:sz w:val="21"/>
                <w:szCs w:val="21"/>
                <w:highlight w:val="none"/>
                <w:lang w:val="en-US" w:eastAsia="zh-CN"/>
              </w:rPr>
            </w:pPr>
            <w:r>
              <w:rPr>
                <w:rFonts w:hint="eastAsia" w:ascii="Times New Roman" w:hAnsi="Times New Roman"/>
                <w:sz w:val="21"/>
                <w:szCs w:val="21"/>
                <w:highlight w:val="none"/>
                <w:lang w:val="en-US" w:eastAsia="zh-CN"/>
              </w:rPr>
              <w:t>-252.8</w:t>
            </w:r>
          </w:p>
        </w:tc>
        <w:tc>
          <w:tcPr>
            <w:tcW w:w="2154" w:type="dxa"/>
            <w:gridSpan w:val="3"/>
            <w:vAlign w:val="center"/>
          </w:tcPr>
          <w:p>
            <w:pPr>
              <w:pStyle w:val="17"/>
              <w:ind w:firstLine="0" w:firstLineChars="0"/>
              <w:jc w:val="center"/>
              <w:rPr>
                <w:rFonts w:hint="eastAsia" w:ascii="Times New Roman" w:hAnsi="Times New Roman" w:eastAsia="宋体"/>
                <w:sz w:val="21"/>
                <w:szCs w:val="21"/>
                <w:highlight w:val="none"/>
                <w:lang w:eastAsia="zh-CN"/>
              </w:rPr>
            </w:pPr>
            <w:r>
              <w:rPr>
                <w:rFonts w:hint="eastAsia" w:ascii="Times New Roman" w:hAnsi="Times New Roman"/>
                <w:sz w:val="21"/>
                <w:szCs w:val="21"/>
                <w:highlight w:val="none"/>
              </w:rPr>
              <w:t>相对密度</w:t>
            </w:r>
            <w:r>
              <w:rPr>
                <w:rFonts w:hint="eastAsia" w:ascii="Times New Roman" w:hAnsi="Times New Roman"/>
                <w:sz w:val="21"/>
                <w:szCs w:val="21"/>
                <w:highlight w:val="none"/>
                <w:lang w:eastAsia="zh-CN"/>
              </w:rPr>
              <w:t>（水</w:t>
            </w:r>
            <w:r>
              <w:rPr>
                <w:rFonts w:hint="eastAsia" w:ascii="Times New Roman" w:hAnsi="Times New Roman"/>
                <w:sz w:val="21"/>
                <w:szCs w:val="21"/>
                <w:highlight w:val="none"/>
                <w:lang w:val="en-US" w:eastAsia="zh-CN"/>
              </w:rPr>
              <w:t>=1</w:t>
            </w:r>
            <w:r>
              <w:rPr>
                <w:rFonts w:hint="eastAsia" w:ascii="Times New Roman" w:hAnsi="Times New Roman"/>
                <w:sz w:val="21"/>
                <w:szCs w:val="21"/>
                <w:highlight w:val="none"/>
                <w:lang w:eastAsia="zh-CN"/>
              </w:rPr>
              <w:t>）</w:t>
            </w:r>
          </w:p>
        </w:tc>
        <w:tc>
          <w:tcPr>
            <w:tcW w:w="2144" w:type="dxa"/>
            <w:gridSpan w:val="3"/>
            <w:vAlign w:val="center"/>
          </w:tcPr>
          <w:p>
            <w:pPr>
              <w:pStyle w:val="17"/>
              <w:ind w:firstLine="0" w:firstLineChars="0"/>
              <w:jc w:val="center"/>
              <w:rPr>
                <w:rFonts w:hint="default" w:ascii="Times New Roman" w:hAnsi="Times New Roman" w:eastAsia="宋体"/>
                <w:sz w:val="21"/>
                <w:szCs w:val="21"/>
                <w:highlight w:val="none"/>
                <w:lang w:val="en-US" w:eastAsia="zh-CN"/>
              </w:rPr>
            </w:pPr>
            <w:r>
              <w:rPr>
                <w:rFonts w:hint="eastAsia" w:ascii="Times New Roman" w:hAnsi="Times New Roman"/>
                <w:sz w:val="21"/>
                <w:szCs w:val="21"/>
                <w:highlight w:val="none"/>
                <w:lang w:val="en-US" w:eastAsia="zh-CN"/>
              </w:rPr>
              <w:t>934.8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27" w:hRule="atLeast"/>
          <w:jc w:val="center"/>
        </w:trPr>
        <w:tc>
          <w:tcPr>
            <w:tcW w:w="860" w:type="dxa"/>
            <w:vMerge w:val="continue"/>
            <w:vAlign w:val="center"/>
          </w:tcPr>
          <w:p>
            <w:pPr>
              <w:pStyle w:val="17"/>
              <w:ind w:firstLine="0" w:firstLineChars="0"/>
              <w:jc w:val="center"/>
              <w:rPr>
                <w:rFonts w:ascii="Times New Roman" w:hAnsi="Times New Roman"/>
                <w:sz w:val="21"/>
                <w:szCs w:val="21"/>
                <w:highlight w:val="none"/>
              </w:rPr>
            </w:pPr>
          </w:p>
        </w:tc>
        <w:tc>
          <w:tcPr>
            <w:tcW w:w="1807" w:type="dxa"/>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饱和蒸汽压</w:t>
            </w:r>
            <w:r>
              <w:rPr>
                <w:rFonts w:ascii="Times New Roman" w:hAnsi="Times New Roman"/>
                <w:sz w:val="21"/>
                <w:szCs w:val="21"/>
                <w:highlight w:val="none"/>
              </w:rPr>
              <w:t>KP</w:t>
            </w:r>
            <w:r>
              <w:rPr>
                <w:rFonts w:hint="eastAsia" w:ascii="Times New Roman" w:hAnsi="Times New Roman"/>
                <w:sz w:val="21"/>
                <w:szCs w:val="21"/>
                <w:highlight w:val="none"/>
              </w:rPr>
              <w:t>a</w:t>
            </w:r>
          </w:p>
        </w:tc>
        <w:tc>
          <w:tcPr>
            <w:tcW w:w="1895" w:type="dxa"/>
            <w:gridSpan w:val="2"/>
          </w:tcPr>
          <w:p>
            <w:pPr>
              <w:pStyle w:val="17"/>
              <w:ind w:firstLine="0" w:firstLineChars="0"/>
              <w:jc w:val="center"/>
              <w:rPr>
                <w:rFonts w:hint="default" w:ascii="Times New Roman" w:hAnsi="Times New Roman" w:eastAsia="宋体"/>
                <w:sz w:val="21"/>
                <w:szCs w:val="21"/>
                <w:highlight w:val="none"/>
                <w:lang w:val="en-US" w:eastAsia="zh-CN"/>
              </w:rPr>
            </w:pPr>
            <w:r>
              <w:rPr>
                <w:rFonts w:hint="eastAsia" w:ascii="Times New Roman" w:hAnsi="Times New Roman"/>
                <w:sz w:val="21"/>
                <w:szCs w:val="21"/>
                <w:highlight w:val="none"/>
                <w:lang w:val="en-US" w:eastAsia="zh-CN"/>
              </w:rPr>
              <w:t>0.13/145.8℃</w:t>
            </w:r>
          </w:p>
        </w:tc>
        <w:tc>
          <w:tcPr>
            <w:tcW w:w="2154" w:type="dxa"/>
            <w:gridSpan w:val="3"/>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极限爆炸</w:t>
            </w:r>
          </w:p>
        </w:tc>
        <w:tc>
          <w:tcPr>
            <w:tcW w:w="2144" w:type="dxa"/>
            <w:gridSpan w:val="3"/>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27" w:hRule="atLeast"/>
          <w:jc w:val="center"/>
        </w:trPr>
        <w:tc>
          <w:tcPr>
            <w:tcW w:w="860" w:type="dxa"/>
            <w:vMerge w:val="continue"/>
            <w:vAlign w:val="center"/>
          </w:tcPr>
          <w:p>
            <w:pPr>
              <w:pStyle w:val="17"/>
              <w:ind w:firstLine="0" w:firstLineChars="0"/>
              <w:jc w:val="center"/>
              <w:rPr>
                <w:rFonts w:ascii="Times New Roman" w:hAnsi="Times New Roman"/>
                <w:sz w:val="21"/>
                <w:szCs w:val="21"/>
                <w:highlight w:val="none"/>
              </w:rPr>
            </w:pPr>
          </w:p>
        </w:tc>
        <w:tc>
          <w:tcPr>
            <w:tcW w:w="1807" w:type="dxa"/>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自燃温度</w:t>
            </w:r>
          </w:p>
        </w:tc>
        <w:tc>
          <w:tcPr>
            <w:tcW w:w="1895" w:type="dxa"/>
            <w:gridSpan w:val="2"/>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lang w:val="en-US" w:eastAsia="zh-CN"/>
              </w:rPr>
              <w:t>300-350</w:t>
            </w:r>
            <w:r>
              <w:rPr>
                <w:rFonts w:hint="eastAsia" w:ascii="Times New Roman" w:hAnsi="Times New Roman"/>
                <w:sz w:val="21"/>
                <w:szCs w:val="21"/>
                <w:highlight w:val="none"/>
              </w:rPr>
              <w:t>℃</w:t>
            </w:r>
          </w:p>
        </w:tc>
        <w:tc>
          <w:tcPr>
            <w:tcW w:w="2154" w:type="dxa"/>
            <w:gridSpan w:val="3"/>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最大爆炸压力</w:t>
            </w:r>
          </w:p>
        </w:tc>
        <w:tc>
          <w:tcPr>
            <w:tcW w:w="2144" w:type="dxa"/>
            <w:gridSpan w:val="3"/>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27" w:hRule="atLeast"/>
          <w:jc w:val="center"/>
        </w:trPr>
        <w:tc>
          <w:tcPr>
            <w:tcW w:w="860" w:type="dxa"/>
            <w:vMerge w:val="continue"/>
            <w:vAlign w:val="center"/>
          </w:tcPr>
          <w:p>
            <w:pPr>
              <w:pStyle w:val="17"/>
              <w:ind w:firstLine="0" w:firstLineChars="0"/>
              <w:jc w:val="center"/>
              <w:rPr>
                <w:rFonts w:ascii="Times New Roman" w:hAnsi="Times New Roman"/>
                <w:sz w:val="21"/>
                <w:szCs w:val="21"/>
                <w:highlight w:val="none"/>
              </w:rPr>
            </w:pPr>
          </w:p>
        </w:tc>
        <w:tc>
          <w:tcPr>
            <w:tcW w:w="1807" w:type="dxa"/>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溶解性</w:t>
            </w:r>
          </w:p>
        </w:tc>
        <w:tc>
          <w:tcPr>
            <w:tcW w:w="6193" w:type="dxa"/>
            <w:gridSpan w:val="8"/>
            <w:vAlign w:val="center"/>
          </w:tcPr>
          <w:p>
            <w:pPr>
              <w:pStyle w:val="17"/>
              <w:ind w:firstLine="0" w:firstLineChars="0"/>
              <w:jc w:val="center"/>
              <w:rPr>
                <w:rFonts w:hint="eastAsia" w:ascii="Times New Roman" w:hAnsi="Times New Roman" w:eastAsia="宋体"/>
                <w:sz w:val="21"/>
                <w:szCs w:val="21"/>
                <w:highlight w:val="none"/>
                <w:lang w:eastAsia="zh-CN"/>
              </w:rPr>
            </w:pPr>
            <w:r>
              <w:rPr>
                <w:rFonts w:hint="eastAsia" w:ascii="Times New Roman" w:hAnsi="Times New Roman"/>
                <w:sz w:val="21"/>
                <w:szCs w:val="21"/>
                <w:highlight w:val="none"/>
                <w:lang w:eastAsia="zh-CN"/>
              </w:rPr>
              <w:t>溶于苯、乙醇、乙醚、氯仿、丙酮等多数有机溶剂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261" w:hRule="atLeast"/>
          <w:jc w:val="center"/>
        </w:trPr>
        <w:tc>
          <w:tcPr>
            <w:tcW w:w="860" w:type="dxa"/>
            <w:vMerge w:val="restart"/>
            <w:vAlign w:val="center"/>
          </w:tcPr>
          <w:p>
            <w:pPr>
              <w:pStyle w:val="17"/>
              <w:ind w:firstLine="0" w:firstLineChars="0"/>
              <w:jc w:val="center"/>
              <w:rPr>
                <w:rFonts w:hint="eastAsia" w:ascii="Times New Roman" w:hAnsi="Times New Roman" w:eastAsia="宋体"/>
                <w:sz w:val="21"/>
                <w:szCs w:val="21"/>
                <w:highlight w:val="none"/>
                <w:lang w:eastAsia="zh-CN"/>
              </w:rPr>
            </w:pPr>
            <w:r>
              <w:rPr>
                <w:rFonts w:hint="eastAsia" w:ascii="Times New Roman" w:hAnsi="Times New Roman"/>
                <w:sz w:val="21"/>
                <w:szCs w:val="21"/>
                <w:highlight w:val="none"/>
                <w:lang w:eastAsia="zh-CN"/>
              </w:rPr>
              <w:t>燃烧爆炸危险</w:t>
            </w:r>
          </w:p>
        </w:tc>
        <w:tc>
          <w:tcPr>
            <w:tcW w:w="1807" w:type="dxa"/>
            <w:vAlign w:val="center"/>
          </w:tcPr>
          <w:p>
            <w:pPr>
              <w:pStyle w:val="17"/>
              <w:ind w:firstLine="0" w:firstLineChars="0"/>
              <w:jc w:val="center"/>
              <w:rPr>
                <w:rFonts w:hint="eastAsia" w:ascii="Times New Roman" w:hAnsi="Times New Roman" w:eastAsia="宋体"/>
                <w:sz w:val="21"/>
                <w:szCs w:val="21"/>
                <w:highlight w:val="none"/>
                <w:lang w:eastAsia="zh-CN"/>
              </w:rPr>
            </w:pPr>
            <w:r>
              <w:rPr>
                <w:rFonts w:hint="eastAsia" w:ascii="Times New Roman" w:hAnsi="Times New Roman"/>
                <w:sz w:val="21"/>
                <w:szCs w:val="21"/>
                <w:highlight w:val="none"/>
                <w:lang w:eastAsia="zh-CN"/>
              </w:rPr>
              <w:t>危险性</w:t>
            </w:r>
          </w:p>
        </w:tc>
        <w:tc>
          <w:tcPr>
            <w:tcW w:w="2064" w:type="dxa"/>
            <w:gridSpan w:val="3"/>
            <w:vAlign w:val="center"/>
          </w:tcPr>
          <w:p>
            <w:pPr>
              <w:pStyle w:val="17"/>
              <w:ind w:firstLine="0" w:firstLineChars="0"/>
              <w:jc w:val="center"/>
              <w:rPr>
                <w:rFonts w:hint="eastAsia" w:ascii="Times New Roman" w:hAnsi="Times New Roman"/>
                <w:sz w:val="21"/>
                <w:szCs w:val="21"/>
                <w:highlight w:val="none"/>
              </w:rPr>
            </w:pPr>
            <w:r>
              <w:rPr>
                <w:rFonts w:hint="eastAsia" w:ascii="Times New Roman" w:hAnsi="Times New Roman"/>
                <w:sz w:val="21"/>
                <w:szCs w:val="21"/>
                <w:highlight w:val="none"/>
              </w:rPr>
              <w:t>可燃液体，火灾危险</w:t>
            </w:r>
          </w:p>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性为丙B类；遇明火、高热可燃</w:t>
            </w:r>
          </w:p>
        </w:tc>
        <w:tc>
          <w:tcPr>
            <w:tcW w:w="2063" w:type="dxa"/>
            <w:gridSpan w:val="3"/>
            <w:vAlign w:val="center"/>
          </w:tcPr>
          <w:p>
            <w:pPr>
              <w:pStyle w:val="17"/>
              <w:ind w:firstLine="0" w:firstLineChars="0"/>
              <w:jc w:val="center"/>
              <w:rPr>
                <w:rFonts w:hint="eastAsia" w:ascii="Times New Roman" w:hAnsi="Times New Roman" w:eastAsia="宋体"/>
                <w:sz w:val="21"/>
                <w:szCs w:val="21"/>
                <w:highlight w:val="none"/>
                <w:lang w:eastAsia="zh-CN"/>
              </w:rPr>
            </w:pPr>
            <w:r>
              <w:rPr>
                <w:rFonts w:hint="eastAsia" w:ascii="Times New Roman" w:hAnsi="Times New Roman"/>
                <w:sz w:val="21"/>
                <w:szCs w:val="21"/>
                <w:highlight w:val="none"/>
                <w:lang w:eastAsia="zh-CN"/>
              </w:rPr>
              <w:t>燃烧分解产物</w:t>
            </w:r>
          </w:p>
        </w:tc>
        <w:tc>
          <w:tcPr>
            <w:tcW w:w="2066" w:type="dxa"/>
            <w:gridSpan w:val="2"/>
            <w:vAlign w:val="center"/>
          </w:tcPr>
          <w:p>
            <w:pPr>
              <w:pStyle w:val="17"/>
              <w:ind w:firstLine="0" w:firstLineChars="0"/>
              <w:jc w:val="center"/>
              <w:rPr>
                <w:rFonts w:hint="default" w:ascii="Times New Roman" w:hAnsi="Times New Roman" w:eastAsia="宋体"/>
                <w:sz w:val="21"/>
                <w:szCs w:val="21"/>
                <w:highlight w:val="none"/>
                <w:lang w:val="en-US" w:eastAsia="zh-CN"/>
              </w:rPr>
            </w:pPr>
            <w:r>
              <w:rPr>
                <w:rFonts w:hint="eastAsia" w:ascii="Times New Roman" w:hAnsi="Times New Roman"/>
                <w:sz w:val="21"/>
                <w:szCs w:val="21"/>
                <w:highlight w:val="none"/>
                <w:lang w:val="en-US" w:eastAsia="zh-CN"/>
              </w:rPr>
              <w:t>CO、CO</w:t>
            </w:r>
            <w:r>
              <w:rPr>
                <w:rFonts w:hint="eastAsia" w:ascii="Times New Roman" w:hAnsi="Times New Roman"/>
                <w:sz w:val="21"/>
                <w:szCs w:val="21"/>
                <w:highlight w:val="none"/>
                <w:vertAlign w:val="sub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27" w:hRule="atLeast"/>
          <w:jc w:val="center"/>
        </w:trPr>
        <w:tc>
          <w:tcPr>
            <w:tcW w:w="860" w:type="dxa"/>
            <w:vMerge w:val="continue"/>
            <w:vAlign w:val="center"/>
          </w:tcPr>
          <w:p>
            <w:pPr>
              <w:pStyle w:val="17"/>
              <w:ind w:firstLine="0" w:firstLineChars="0"/>
              <w:jc w:val="center"/>
              <w:rPr>
                <w:rFonts w:ascii="Times New Roman" w:hAnsi="Times New Roman"/>
                <w:sz w:val="21"/>
                <w:szCs w:val="21"/>
                <w:highlight w:val="none"/>
              </w:rPr>
            </w:pPr>
          </w:p>
        </w:tc>
        <w:tc>
          <w:tcPr>
            <w:tcW w:w="1807" w:type="dxa"/>
          </w:tcPr>
          <w:p>
            <w:pPr>
              <w:pStyle w:val="17"/>
              <w:ind w:firstLine="0" w:firstLineChars="0"/>
              <w:jc w:val="center"/>
              <w:rPr>
                <w:rFonts w:hint="eastAsia" w:ascii="Times New Roman" w:hAnsi="Times New Roman" w:eastAsia="宋体"/>
                <w:sz w:val="21"/>
                <w:szCs w:val="21"/>
                <w:highlight w:val="none"/>
                <w:lang w:eastAsia="zh-CN"/>
              </w:rPr>
            </w:pPr>
            <w:r>
              <w:rPr>
                <w:rFonts w:hint="eastAsia" w:ascii="Times New Roman" w:hAnsi="Times New Roman"/>
                <w:sz w:val="21"/>
                <w:szCs w:val="21"/>
                <w:highlight w:val="none"/>
                <w:lang w:eastAsia="zh-CN"/>
              </w:rPr>
              <w:t>稳定性</w:t>
            </w:r>
          </w:p>
        </w:tc>
        <w:tc>
          <w:tcPr>
            <w:tcW w:w="2064" w:type="dxa"/>
            <w:gridSpan w:val="3"/>
            <w:vAlign w:val="center"/>
          </w:tcPr>
          <w:p>
            <w:pPr>
              <w:pStyle w:val="17"/>
              <w:ind w:firstLine="0" w:firstLineChars="0"/>
              <w:jc w:val="center"/>
              <w:rPr>
                <w:rFonts w:hint="eastAsia" w:ascii="Times New Roman" w:hAnsi="Times New Roman" w:eastAsia="宋体"/>
                <w:sz w:val="21"/>
                <w:szCs w:val="21"/>
                <w:highlight w:val="none"/>
                <w:lang w:eastAsia="zh-CN"/>
              </w:rPr>
            </w:pPr>
            <w:r>
              <w:rPr>
                <w:rFonts w:hint="eastAsia" w:ascii="Times New Roman" w:hAnsi="Times New Roman"/>
                <w:sz w:val="21"/>
                <w:szCs w:val="21"/>
                <w:highlight w:val="none"/>
                <w:lang w:eastAsia="zh-CN"/>
              </w:rPr>
              <w:t>稳定</w:t>
            </w:r>
          </w:p>
        </w:tc>
        <w:tc>
          <w:tcPr>
            <w:tcW w:w="2063" w:type="dxa"/>
            <w:gridSpan w:val="3"/>
            <w:vAlign w:val="center"/>
          </w:tcPr>
          <w:p>
            <w:pPr>
              <w:pStyle w:val="17"/>
              <w:ind w:firstLine="0" w:firstLineChars="0"/>
              <w:jc w:val="center"/>
              <w:rPr>
                <w:rFonts w:hint="eastAsia" w:ascii="Times New Roman" w:hAnsi="Times New Roman" w:eastAsia="宋体"/>
                <w:sz w:val="21"/>
                <w:szCs w:val="21"/>
                <w:highlight w:val="none"/>
                <w:lang w:eastAsia="zh-CN"/>
              </w:rPr>
            </w:pPr>
            <w:r>
              <w:rPr>
                <w:rFonts w:hint="eastAsia" w:ascii="Times New Roman" w:hAnsi="Times New Roman"/>
                <w:sz w:val="21"/>
                <w:szCs w:val="21"/>
                <w:highlight w:val="none"/>
                <w:lang w:eastAsia="zh-CN"/>
              </w:rPr>
              <w:t>禁忌物</w:t>
            </w:r>
          </w:p>
        </w:tc>
        <w:tc>
          <w:tcPr>
            <w:tcW w:w="2066" w:type="dxa"/>
            <w:gridSpan w:val="2"/>
            <w:vAlign w:val="center"/>
          </w:tcPr>
          <w:p>
            <w:pPr>
              <w:pStyle w:val="17"/>
              <w:ind w:firstLine="0" w:firstLineChars="0"/>
              <w:jc w:val="center"/>
              <w:rPr>
                <w:rFonts w:hint="eastAsia" w:ascii="Times New Roman" w:hAnsi="Times New Roman" w:eastAsia="宋体"/>
                <w:sz w:val="21"/>
                <w:szCs w:val="21"/>
                <w:highlight w:val="none"/>
                <w:lang w:eastAsia="zh-CN"/>
              </w:rPr>
            </w:pPr>
            <w:r>
              <w:rPr>
                <w:rFonts w:hint="eastAsia" w:ascii="Times New Roman" w:hAnsi="Times New Roman"/>
                <w:sz w:val="21"/>
                <w:szCs w:val="21"/>
                <w:highlight w:val="none"/>
                <w:lang w:eastAsia="zh-CN"/>
              </w:rPr>
              <w:t>硝酸等强氧化剂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679" w:hRule="atLeast"/>
          <w:jc w:val="center"/>
        </w:trPr>
        <w:tc>
          <w:tcPr>
            <w:tcW w:w="860" w:type="dxa"/>
            <w:vMerge w:val="continue"/>
            <w:vAlign w:val="center"/>
          </w:tcPr>
          <w:p>
            <w:pPr>
              <w:pStyle w:val="17"/>
              <w:ind w:firstLine="0" w:firstLineChars="0"/>
              <w:jc w:val="center"/>
              <w:rPr>
                <w:rFonts w:ascii="Times New Roman" w:hAnsi="Times New Roman"/>
                <w:sz w:val="21"/>
                <w:szCs w:val="21"/>
                <w:highlight w:val="none"/>
              </w:rPr>
            </w:pPr>
          </w:p>
        </w:tc>
        <w:tc>
          <w:tcPr>
            <w:tcW w:w="1807" w:type="dxa"/>
          </w:tcPr>
          <w:p>
            <w:pPr>
              <w:pStyle w:val="17"/>
              <w:ind w:firstLine="0" w:firstLineChars="0"/>
              <w:jc w:val="center"/>
              <w:rPr>
                <w:rFonts w:hint="eastAsia" w:ascii="Times New Roman" w:hAnsi="Times New Roman" w:eastAsia="宋体"/>
                <w:sz w:val="21"/>
                <w:szCs w:val="21"/>
                <w:highlight w:val="none"/>
                <w:lang w:eastAsia="zh-CN"/>
              </w:rPr>
            </w:pPr>
            <w:r>
              <w:rPr>
                <w:rFonts w:hint="eastAsia" w:ascii="Times New Roman" w:hAnsi="Times New Roman"/>
                <w:sz w:val="21"/>
                <w:szCs w:val="21"/>
                <w:highlight w:val="none"/>
                <w:lang w:eastAsia="zh-CN"/>
              </w:rPr>
              <w:t>灭火方法</w:t>
            </w:r>
          </w:p>
        </w:tc>
        <w:tc>
          <w:tcPr>
            <w:tcW w:w="6193" w:type="dxa"/>
            <w:gridSpan w:val="8"/>
            <w:vAlign w:val="center"/>
          </w:tcPr>
          <w:p>
            <w:pPr>
              <w:pStyle w:val="17"/>
              <w:ind w:firstLine="0" w:firstLineChars="0"/>
              <w:jc w:val="center"/>
              <w:rPr>
                <w:rFonts w:hint="eastAsia" w:ascii="Times New Roman" w:hAnsi="Times New Roman"/>
                <w:sz w:val="21"/>
                <w:szCs w:val="21"/>
                <w:highlight w:val="none"/>
              </w:rPr>
            </w:pPr>
            <w:r>
              <w:rPr>
                <w:rFonts w:hint="eastAsia" w:ascii="Times New Roman" w:hAnsi="Times New Roman"/>
                <w:sz w:val="21"/>
                <w:szCs w:val="21"/>
                <w:highlight w:val="none"/>
              </w:rPr>
              <w:t>消防人员须佩戴防毒面具、穿全身消防服，在上风向灭火。尽可</w:t>
            </w:r>
          </w:p>
          <w:p>
            <w:pPr>
              <w:pStyle w:val="17"/>
              <w:ind w:firstLine="0" w:firstLineChars="0"/>
              <w:jc w:val="center"/>
              <w:rPr>
                <w:rFonts w:hint="eastAsia" w:ascii="Times New Roman" w:hAnsi="Times New Roman"/>
                <w:sz w:val="21"/>
                <w:szCs w:val="21"/>
                <w:highlight w:val="none"/>
              </w:rPr>
            </w:pPr>
            <w:r>
              <w:rPr>
                <w:rFonts w:hint="eastAsia" w:ascii="Times New Roman" w:hAnsi="Times New Roman"/>
                <w:sz w:val="21"/>
                <w:szCs w:val="21"/>
                <w:highlight w:val="none"/>
              </w:rPr>
              <w:t>能将容器从火场移至空旷处。喷水保持火场容器冷却，直至灭火</w:t>
            </w:r>
          </w:p>
          <w:p>
            <w:pPr>
              <w:pStyle w:val="17"/>
              <w:ind w:firstLine="0" w:firstLineChars="0"/>
              <w:jc w:val="center"/>
              <w:rPr>
                <w:rFonts w:hint="eastAsia" w:ascii="Times New Roman" w:hAnsi="Times New Roman"/>
                <w:sz w:val="21"/>
                <w:szCs w:val="21"/>
                <w:highlight w:val="none"/>
              </w:rPr>
            </w:pPr>
            <w:r>
              <w:rPr>
                <w:rFonts w:hint="eastAsia" w:ascii="Times New Roman" w:hAnsi="Times New Roman"/>
                <w:sz w:val="21"/>
                <w:szCs w:val="21"/>
                <w:highlight w:val="none"/>
              </w:rPr>
              <w:t>结束。处在火场中的容器若已变色或从安全泄压装置中产生声音，必须立即撤离。灭火剂：雾状水、泡沫、干粉、二氧化碳、砂土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261" w:hRule="atLeast"/>
          <w:jc w:val="center"/>
        </w:trPr>
        <w:tc>
          <w:tcPr>
            <w:tcW w:w="860" w:type="dxa"/>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健康</w:t>
            </w:r>
          </w:p>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危害</w:t>
            </w:r>
          </w:p>
        </w:tc>
        <w:tc>
          <w:tcPr>
            <w:tcW w:w="8000" w:type="dxa"/>
            <w:gridSpan w:val="9"/>
          </w:tcPr>
          <w:p>
            <w:pPr>
              <w:pStyle w:val="17"/>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Times New Roman" w:hAnsi="Times New Roman"/>
                <w:sz w:val="21"/>
                <w:szCs w:val="21"/>
                <w:highlight w:val="none"/>
              </w:rPr>
            </w:pPr>
            <w:r>
              <w:rPr>
                <w:rFonts w:hint="eastAsia" w:ascii="Times New Roman" w:hAnsi="Times New Roman"/>
                <w:sz w:val="21"/>
                <w:szCs w:val="21"/>
                <w:highlight w:val="none"/>
              </w:rPr>
              <w:t>急性吸入，可出现乏力、头晕、头痛、恶心，严重者可引起油脂性肺炎。慢接触者，暴露部位可发生油性痤疮和接触型皮炎。可引发神经衰弱综合症，呼吸道和眼刺激症状及慢性油脂性肺炎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096" w:hRule="atLeast"/>
          <w:jc w:val="center"/>
        </w:trPr>
        <w:tc>
          <w:tcPr>
            <w:tcW w:w="860" w:type="dxa"/>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急救</w:t>
            </w:r>
          </w:p>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措施</w:t>
            </w:r>
          </w:p>
        </w:tc>
        <w:tc>
          <w:tcPr>
            <w:tcW w:w="8000" w:type="dxa"/>
            <w:gridSpan w:val="9"/>
          </w:tcPr>
          <w:p>
            <w:pPr>
              <w:pStyle w:val="17"/>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Times New Roman" w:hAnsi="Times New Roman"/>
                <w:sz w:val="21"/>
                <w:szCs w:val="21"/>
                <w:highlight w:val="none"/>
              </w:rPr>
            </w:pPr>
            <w:r>
              <w:rPr>
                <w:rFonts w:hint="eastAsia" w:ascii="Times New Roman" w:hAnsi="Times New Roman"/>
                <w:sz w:val="21"/>
                <w:szCs w:val="21"/>
                <w:highlight w:val="none"/>
              </w:rPr>
              <w:t>皮肤接触：脱去污染的衣着，用大量流动清水清洗。就医</w:t>
            </w:r>
          </w:p>
          <w:p>
            <w:pPr>
              <w:pStyle w:val="17"/>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Times New Roman" w:hAnsi="Times New Roman"/>
                <w:sz w:val="21"/>
                <w:szCs w:val="21"/>
                <w:highlight w:val="none"/>
              </w:rPr>
            </w:pPr>
            <w:r>
              <w:rPr>
                <w:rFonts w:hint="eastAsia" w:ascii="Times New Roman" w:hAnsi="Times New Roman"/>
                <w:sz w:val="21"/>
                <w:szCs w:val="21"/>
                <w:highlight w:val="none"/>
              </w:rPr>
              <w:t>眼接触：提起眼睑，用流动清水或生理盐水冲洗。就医</w:t>
            </w:r>
          </w:p>
          <w:p>
            <w:pPr>
              <w:pStyle w:val="17"/>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Times New Roman" w:hAnsi="Times New Roman"/>
                <w:sz w:val="21"/>
                <w:szCs w:val="21"/>
                <w:highlight w:val="none"/>
              </w:rPr>
            </w:pPr>
            <w:r>
              <w:rPr>
                <w:rFonts w:hint="eastAsia" w:ascii="Times New Roman" w:hAnsi="Times New Roman"/>
                <w:sz w:val="21"/>
                <w:szCs w:val="21"/>
                <w:highlight w:val="none"/>
              </w:rPr>
              <w:t>吸入：迅速脱离现场至空气新鲜处，保持呼吸畅通。如呼吸困难，给输氧。如呼吸停止，立即进行人工呼吸。就医</w:t>
            </w:r>
          </w:p>
          <w:p>
            <w:pPr>
              <w:pStyle w:val="17"/>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Times New Roman" w:hAnsi="Times New Roman"/>
                <w:sz w:val="21"/>
                <w:szCs w:val="21"/>
                <w:highlight w:val="none"/>
              </w:rPr>
            </w:pPr>
            <w:r>
              <w:rPr>
                <w:rFonts w:hint="eastAsia" w:ascii="Times New Roman" w:hAnsi="Times New Roman"/>
                <w:sz w:val="21"/>
                <w:szCs w:val="21"/>
                <w:highlight w:val="none"/>
              </w:rPr>
              <w:t>食用：饮适量温水，催吐。就医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514" w:hRule="atLeast"/>
          <w:jc w:val="center"/>
        </w:trPr>
        <w:tc>
          <w:tcPr>
            <w:tcW w:w="860" w:type="dxa"/>
            <w:vAlign w:val="center"/>
          </w:tcPr>
          <w:p>
            <w:pPr>
              <w:pStyle w:val="17"/>
              <w:ind w:firstLine="0" w:firstLineChars="0"/>
              <w:jc w:val="center"/>
              <w:rPr>
                <w:rFonts w:hint="eastAsia" w:ascii="Times New Roman" w:hAnsi="Times New Roman"/>
                <w:sz w:val="21"/>
                <w:szCs w:val="21"/>
                <w:highlight w:val="none"/>
                <w:lang w:eastAsia="zh-CN"/>
              </w:rPr>
            </w:pPr>
            <w:r>
              <w:rPr>
                <w:rFonts w:hint="eastAsia" w:ascii="Times New Roman" w:hAnsi="Times New Roman"/>
                <w:sz w:val="21"/>
                <w:szCs w:val="21"/>
                <w:highlight w:val="none"/>
                <w:lang w:eastAsia="zh-CN"/>
              </w:rPr>
              <w:t>防护</w:t>
            </w:r>
          </w:p>
          <w:p>
            <w:pPr>
              <w:pStyle w:val="17"/>
              <w:ind w:firstLine="0" w:firstLineChars="0"/>
              <w:jc w:val="center"/>
              <w:rPr>
                <w:rFonts w:hint="eastAsia" w:ascii="Times New Roman" w:hAnsi="Times New Roman" w:eastAsia="宋体"/>
                <w:sz w:val="21"/>
                <w:szCs w:val="21"/>
                <w:highlight w:val="none"/>
                <w:lang w:eastAsia="zh-CN"/>
              </w:rPr>
            </w:pPr>
            <w:r>
              <w:rPr>
                <w:rFonts w:hint="eastAsia" w:ascii="Times New Roman" w:hAnsi="Times New Roman"/>
                <w:sz w:val="21"/>
                <w:szCs w:val="21"/>
                <w:highlight w:val="none"/>
                <w:lang w:eastAsia="zh-CN"/>
              </w:rPr>
              <w:t>处理</w:t>
            </w:r>
          </w:p>
        </w:tc>
        <w:tc>
          <w:tcPr>
            <w:tcW w:w="8000" w:type="dxa"/>
            <w:gridSpan w:val="9"/>
          </w:tcPr>
          <w:p>
            <w:pPr>
              <w:pStyle w:val="17"/>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Times New Roman" w:hAnsi="Times New Roman"/>
                <w:sz w:val="21"/>
                <w:szCs w:val="21"/>
                <w:highlight w:val="none"/>
              </w:rPr>
            </w:pPr>
            <w:r>
              <w:rPr>
                <w:rFonts w:hint="eastAsia" w:ascii="Times New Roman" w:hAnsi="Times New Roman"/>
                <w:sz w:val="21"/>
                <w:szCs w:val="21"/>
                <w:highlight w:val="none"/>
              </w:rPr>
              <w:t>呼吸系统防护：空气中浓度超标时，必须佩戴自吸过滤式防毒面具（半面罩）；紧急事态抢救或撤离时，应佩戴空气呼吸器</w:t>
            </w:r>
          </w:p>
          <w:p>
            <w:pPr>
              <w:pStyle w:val="17"/>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Times New Roman" w:hAnsi="Times New Roman"/>
                <w:sz w:val="21"/>
                <w:szCs w:val="21"/>
                <w:highlight w:val="none"/>
                <w:lang w:eastAsia="zh-CN"/>
              </w:rPr>
            </w:pPr>
            <w:r>
              <w:rPr>
                <w:rFonts w:hint="eastAsia" w:ascii="Times New Roman" w:hAnsi="Times New Roman"/>
                <w:sz w:val="21"/>
                <w:szCs w:val="21"/>
                <w:highlight w:val="none"/>
                <w:lang w:eastAsia="zh-CN"/>
              </w:rPr>
              <w:t>眼睛防护：戴化学安全防护眼睛</w:t>
            </w:r>
          </w:p>
          <w:p>
            <w:pPr>
              <w:pStyle w:val="17"/>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Times New Roman" w:hAnsi="Times New Roman"/>
                <w:sz w:val="21"/>
                <w:szCs w:val="21"/>
                <w:highlight w:val="none"/>
                <w:lang w:eastAsia="zh-CN"/>
              </w:rPr>
            </w:pPr>
            <w:r>
              <w:rPr>
                <w:rFonts w:hint="eastAsia" w:ascii="Times New Roman" w:hAnsi="Times New Roman"/>
                <w:sz w:val="21"/>
                <w:szCs w:val="21"/>
                <w:highlight w:val="none"/>
                <w:lang w:eastAsia="zh-CN"/>
              </w:rPr>
              <w:t>身体防护：穿防毒渗透工作服</w:t>
            </w:r>
          </w:p>
          <w:p>
            <w:pPr>
              <w:pStyle w:val="17"/>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Times New Roman" w:hAnsi="Times New Roman"/>
                <w:sz w:val="21"/>
                <w:szCs w:val="21"/>
                <w:highlight w:val="none"/>
                <w:lang w:eastAsia="zh-CN"/>
              </w:rPr>
            </w:pPr>
            <w:r>
              <w:rPr>
                <w:rFonts w:hint="eastAsia" w:ascii="Times New Roman" w:hAnsi="Times New Roman"/>
                <w:sz w:val="21"/>
                <w:szCs w:val="21"/>
                <w:highlight w:val="none"/>
                <w:lang w:eastAsia="zh-CN"/>
              </w:rPr>
              <w:t>手防护：戴橡胶耐油手套</w:t>
            </w:r>
          </w:p>
          <w:p>
            <w:pPr>
              <w:pStyle w:val="17"/>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Times New Roman" w:hAnsi="Times New Roman"/>
                <w:sz w:val="21"/>
                <w:szCs w:val="21"/>
                <w:highlight w:val="none"/>
                <w:lang w:eastAsia="zh-CN"/>
              </w:rPr>
            </w:pPr>
            <w:r>
              <w:rPr>
                <w:rFonts w:hint="eastAsia" w:ascii="Times New Roman" w:hAnsi="Times New Roman"/>
                <w:sz w:val="21"/>
                <w:szCs w:val="21"/>
                <w:highlight w:val="none"/>
                <w:lang w:eastAsia="zh-CN"/>
              </w:rPr>
              <w:t>其它：工作现场严禁吸烟，避免长期反复接触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679" w:hRule="atLeast"/>
          <w:jc w:val="center"/>
        </w:trPr>
        <w:tc>
          <w:tcPr>
            <w:tcW w:w="860" w:type="dxa"/>
            <w:vAlign w:val="center"/>
          </w:tcPr>
          <w:p>
            <w:pPr>
              <w:pStyle w:val="17"/>
              <w:ind w:firstLine="0" w:firstLineChars="0"/>
              <w:jc w:val="center"/>
              <w:rPr>
                <w:rFonts w:hint="eastAsia" w:ascii="Times New Roman" w:hAnsi="Times New Roman"/>
                <w:sz w:val="21"/>
                <w:szCs w:val="21"/>
                <w:highlight w:val="none"/>
                <w:lang w:eastAsia="zh-CN"/>
              </w:rPr>
            </w:pPr>
            <w:r>
              <w:rPr>
                <w:rFonts w:hint="eastAsia" w:ascii="Times New Roman" w:hAnsi="Times New Roman"/>
                <w:sz w:val="21"/>
                <w:szCs w:val="21"/>
                <w:highlight w:val="none"/>
                <w:lang w:eastAsia="zh-CN"/>
              </w:rPr>
              <w:t>泄漏</w:t>
            </w:r>
          </w:p>
          <w:p>
            <w:pPr>
              <w:pStyle w:val="17"/>
              <w:ind w:firstLine="0" w:firstLineChars="0"/>
              <w:jc w:val="center"/>
              <w:rPr>
                <w:rFonts w:hint="eastAsia" w:ascii="Times New Roman" w:hAnsi="Times New Roman"/>
                <w:sz w:val="21"/>
                <w:szCs w:val="21"/>
                <w:highlight w:val="none"/>
                <w:lang w:eastAsia="zh-CN"/>
              </w:rPr>
            </w:pPr>
            <w:r>
              <w:rPr>
                <w:rFonts w:hint="eastAsia" w:ascii="Times New Roman" w:hAnsi="Times New Roman"/>
                <w:sz w:val="21"/>
                <w:szCs w:val="21"/>
                <w:highlight w:val="none"/>
                <w:lang w:eastAsia="zh-CN"/>
              </w:rPr>
              <w:t>处理</w:t>
            </w:r>
          </w:p>
        </w:tc>
        <w:tc>
          <w:tcPr>
            <w:tcW w:w="8000" w:type="dxa"/>
            <w:gridSpan w:val="9"/>
          </w:tcPr>
          <w:p>
            <w:pPr>
              <w:pStyle w:val="17"/>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Times New Roman" w:hAnsi="Times New Roman"/>
                <w:sz w:val="21"/>
                <w:szCs w:val="21"/>
                <w:highlight w:val="none"/>
                <w:lang w:eastAsia="zh-CN"/>
              </w:rPr>
            </w:pPr>
            <w:r>
              <w:rPr>
                <w:rFonts w:hint="eastAsia" w:ascii="Times New Roman" w:hAnsi="Times New Roman"/>
                <w:sz w:val="21"/>
                <w:szCs w:val="21"/>
                <w:highlight w:val="none"/>
                <w:lang w:eastAsia="zh-CN"/>
              </w:rPr>
              <w:t>迅速撤离泄漏污染区人员至安全区，并进行隔离，严格限制出入。切断火源。尽可能切断泄漏源，防止流入排洪沟等限制性空间。小量泄漏：用砂土或其它不燃材料吸附或吸收。大量泄漏：构筑围提或挖坑收容，用泵转移至槽车或专用收集器内，回收或运至废物处理场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421" w:hRule="atLeast"/>
          <w:jc w:val="center"/>
        </w:trPr>
        <w:tc>
          <w:tcPr>
            <w:tcW w:w="860" w:type="dxa"/>
            <w:vAlign w:val="center"/>
          </w:tcPr>
          <w:p>
            <w:pPr>
              <w:pStyle w:val="17"/>
              <w:ind w:firstLine="0" w:firstLineChars="0"/>
              <w:jc w:val="center"/>
              <w:rPr>
                <w:rFonts w:hint="eastAsia" w:ascii="Times New Roman" w:hAnsi="Times New Roman"/>
                <w:sz w:val="21"/>
                <w:szCs w:val="21"/>
                <w:highlight w:val="none"/>
                <w:lang w:eastAsia="zh-CN"/>
              </w:rPr>
            </w:pPr>
            <w:r>
              <w:rPr>
                <w:rFonts w:hint="eastAsia" w:ascii="Times New Roman" w:hAnsi="Times New Roman"/>
                <w:sz w:val="21"/>
                <w:szCs w:val="21"/>
                <w:highlight w:val="none"/>
                <w:lang w:eastAsia="zh-CN"/>
              </w:rPr>
              <w:t>储存</w:t>
            </w:r>
          </w:p>
          <w:p>
            <w:pPr>
              <w:pStyle w:val="17"/>
              <w:ind w:firstLine="0" w:firstLineChars="0"/>
              <w:jc w:val="center"/>
              <w:rPr>
                <w:rFonts w:hint="eastAsia" w:ascii="Times New Roman" w:hAnsi="Times New Roman"/>
                <w:sz w:val="21"/>
                <w:szCs w:val="21"/>
                <w:highlight w:val="none"/>
                <w:lang w:eastAsia="zh-CN"/>
              </w:rPr>
            </w:pPr>
            <w:r>
              <w:rPr>
                <w:rFonts w:hint="eastAsia" w:ascii="Times New Roman" w:hAnsi="Times New Roman"/>
                <w:sz w:val="21"/>
                <w:szCs w:val="21"/>
                <w:highlight w:val="none"/>
                <w:lang w:eastAsia="zh-CN"/>
              </w:rPr>
              <w:t>要求</w:t>
            </w:r>
          </w:p>
        </w:tc>
        <w:tc>
          <w:tcPr>
            <w:tcW w:w="8000" w:type="dxa"/>
            <w:gridSpan w:val="9"/>
          </w:tcPr>
          <w:p>
            <w:pPr>
              <w:pStyle w:val="17"/>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Times New Roman" w:hAnsi="Times New Roman"/>
                <w:sz w:val="21"/>
                <w:szCs w:val="21"/>
                <w:highlight w:val="none"/>
                <w:lang w:eastAsia="zh-CN"/>
              </w:rPr>
            </w:pPr>
            <w:r>
              <w:rPr>
                <w:rFonts w:hint="eastAsia" w:ascii="Times New Roman" w:hAnsi="Times New Roman"/>
                <w:sz w:val="21"/>
                <w:szCs w:val="21"/>
                <w:highlight w:val="none"/>
                <w:lang w:eastAsia="zh-CN"/>
              </w:rPr>
              <w:t>储存于阴凉、通风的库房。远离火种、热源。应与氧化剂分开存放，切记混存。配备相应品种和数量的消防器材，储存区应具备有泄漏应急处理设备和合适的收容材料。</w:t>
            </w:r>
          </w:p>
        </w:tc>
      </w:tr>
    </w:tbl>
    <w:p>
      <w:pPr>
        <w:rPr>
          <w:highlight w:val="none"/>
        </w:rPr>
      </w:pPr>
    </w:p>
    <w:p>
      <w:pPr>
        <w:pStyle w:val="5"/>
        <w:rPr>
          <w:rFonts w:hint="default" w:cs="宋体"/>
          <w:highlight w:val="none"/>
        </w:rPr>
      </w:pPr>
      <w:bookmarkStart w:id="467" w:name="_Toc6890"/>
      <w:r>
        <w:rPr>
          <w:rFonts w:hint="eastAsia" w:cs="宋体"/>
          <w:highlight w:val="none"/>
          <w:lang w:val="en-US" w:eastAsia="zh-CN"/>
        </w:rPr>
        <w:t>7</w:t>
      </w:r>
      <w:r>
        <w:rPr>
          <w:rFonts w:cs="宋体"/>
          <w:highlight w:val="none"/>
        </w:rPr>
        <w:t>.</w:t>
      </w:r>
      <w:r>
        <w:rPr>
          <w:rFonts w:hint="eastAsia" w:cs="宋体"/>
          <w:highlight w:val="none"/>
          <w:lang w:val="en-US" w:eastAsia="zh-CN"/>
        </w:rPr>
        <w:t>3</w:t>
      </w:r>
      <w:r>
        <w:rPr>
          <w:rFonts w:cs="宋体"/>
          <w:highlight w:val="none"/>
        </w:rPr>
        <w:t>.2环境风险潜势初判</w:t>
      </w:r>
      <w:bookmarkEnd w:id="467"/>
    </w:p>
    <w:p>
      <w:pPr>
        <w:pStyle w:val="17"/>
        <w:ind w:firstLine="480"/>
        <w:rPr>
          <w:rFonts w:ascii="Times New Roman"/>
          <w:highlight w:val="none"/>
        </w:rPr>
      </w:pPr>
      <w:r>
        <w:rPr>
          <w:rFonts w:hint="eastAsia" w:ascii="Times New Roman"/>
          <w:highlight w:val="none"/>
        </w:rPr>
        <w:t>根据《建设项目环境风险评价技术导则》（HJ169-2018），计算所涉及的每种危险物质在厂界内的最大存在总量与其在附录B中对应临界量的比值Q。在不同厂区的同一物质，按其在厂界内的最大存在总量计算。</w:t>
      </w:r>
    </w:p>
    <w:p>
      <w:pPr>
        <w:pStyle w:val="17"/>
        <w:ind w:firstLine="480"/>
        <w:rPr>
          <w:rFonts w:ascii="Times New Roman"/>
          <w:highlight w:val="none"/>
        </w:rPr>
      </w:pPr>
      <w:r>
        <w:rPr>
          <w:rFonts w:hint="eastAsia" w:ascii="Times New Roman"/>
          <w:highlight w:val="none"/>
        </w:rPr>
        <w:t>（1）当值涉及一种危险物质时，计算该物质的总量与其临界量比值，即为Q；</w:t>
      </w:r>
    </w:p>
    <w:p>
      <w:pPr>
        <w:pStyle w:val="17"/>
        <w:ind w:firstLine="480"/>
        <w:rPr>
          <w:rFonts w:ascii="Times New Roman"/>
          <w:highlight w:val="none"/>
        </w:rPr>
      </w:pPr>
      <w:r>
        <w:rPr>
          <w:rFonts w:hint="eastAsia" w:ascii="Times New Roman"/>
          <w:highlight w:val="none"/>
        </w:rPr>
        <w:t>（2）当存在多种危险物质时，则按</w:t>
      </w:r>
      <w:r>
        <w:rPr>
          <w:rFonts w:hint="eastAsia" w:ascii="Times New Roman"/>
          <w:highlight w:val="none"/>
          <w:lang w:eastAsia="zh-CN"/>
        </w:rPr>
        <w:t>表</w:t>
      </w:r>
      <w:r>
        <w:rPr>
          <w:rFonts w:hint="eastAsia" w:ascii="Times New Roman"/>
          <w:highlight w:val="none"/>
          <w:lang w:val="en-US" w:eastAsia="zh-CN"/>
        </w:rPr>
        <w:t>7.3</w:t>
      </w:r>
      <w:r>
        <w:rPr>
          <w:rFonts w:hint="eastAsia" w:ascii="Times New Roman"/>
          <w:highlight w:val="none"/>
        </w:rPr>
        <w:t>-1计算物质总量与其临界量比值Q；</w:t>
      </w:r>
    </w:p>
    <w:p>
      <w:pPr>
        <w:ind w:firstLine="1080" w:firstLineChars="450"/>
        <w:rPr>
          <w:highlight w:val="none"/>
        </w:rPr>
      </w:pPr>
      <w:r>
        <w:rPr>
          <w:rFonts w:hint="eastAsia"/>
          <w:highlight w:val="none"/>
        </w:rPr>
        <w:t>Q=</w:t>
      </w:r>
      <w:r>
        <w:rPr>
          <w:highlight w:val="none"/>
        </w:rPr>
        <w:t>q</w:t>
      </w:r>
      <w:r>
        <w:rPr>
          <w:highlight w:val="none"/>
          <w:vertAlign w:val="subscript"/>
        </w:rPr>
        <w:t>1</w:t>
      </w:r>
      <w:r>
        <w:rPr>
          <w:highlight w:val="none"/>
        </w:rPr>
        <w:t>/Q</w:t>
      </w:r>
      <w:r>
        <w:rPr>
          <w:highlight w:val="none"/>
          <w:vertAlign w:val="subscript"/>
        </w:rPr>
        <w:t>1</w:t>
      </w:r>
      <w:r>
        <w:rPr>
          <w:highlight w:val="none"/>
        </w:rPr>
        <w:t xml:space="preserve"> + q</w:t>
      </w:r>
      <w:r>
        <w:rPr>
          <w:highlight w:val="none"/>
          <w:vertAlign w:val="subscript"/>
        </w:rPr>
        <w:t>2</w:t>
      </w:r>
      <w:r>
        <w:rPr>
          <w:highlight w:val="none"/>
        </w:rPr>
        <w:t>/Q</w:t>
      </w:r>
      <w:r>
        <w:rPr>
          <w:highlight w:val="none"/>
          <w:vertAlign w:val="subscript"/>
        </w:rPr>
        <w:t>2</w:t>
      </w:r>
      <w:r>
        <w:rPr>
          <w:highlight w:val="none"/>
        </w:rPr>
        <w:t xml:space="preserve"> + … + q</w:t>
      </w:r>
      <w:r>
        <w:rPr>
          <w:highlight w:val="none"/>
          <w:vertAlign w:val="subscript"/>
        </w:rPr>
        <w:t>n</w:t>
      </w:r>
      <w:r>
        <w:rPr>
          <w:highlight w:val="none"/>
        </w:rPr>
        <w:t>/Q</w:t>
      </w:r>
      <w:r>
        <w:rPr>
          <w:highlight w:val="none"/>
          <w:vertAlign w:val="subscript"/>
        </w:rPr>
        <w:t>n</w:t>
      </w:r>
      <w:r>
        <w:rPr>
          <w:highlight w:val="none"/>
        </w:rPr>
        <w:t xml:space="preserve">           （式8</w:t>
      </w:r>
      <w:r>
        <w:rPr>
          <w:rFonts w:hint="eastAsia"/>
          <w:highlight w:val="none"/>
        </w:rPr>
        <w:t>.2</w:t>
      </w:r>
      <w:r>
        <w:rPr>
          <w:highlight w:val="none"/>
        </w:rPr>
        <w:t>-1）</w:t>
      </w:r>
    </w:p>
    <w:p>
      <w:pPr>
        <w:pStyle w:val="17"/>
        <w:ind w:firstLine="480"/>
        <w:rPr>
          <w:rFonts w:ascii="Times New Roman"/>
          <w:highlight w:val="none"/>
        </w:rPr>
      </w:pPr>
      <w:r>
        <w:rPr>
          <w:rFonts w:hint="eastAsia" w:ascii="Times New Roman"/>
          <w:highlight w:val="none"/>
        </w:rPr>
        <w:t>式中：q</w:t>
      </w:r>
      <w:r>
        <w:rPr>
          <w:rFonts w:hint="eastAsia" w:ascii="Times New Roman"/>
          <w:highlight w:val="none"/>
          <w:vertAlign w:val="subscript"/>
        </w:rPr>
        <w:t>1</w:t>
      </w:r>
      <w:r>
        <w:rPr>
          <w:rFonts w:hint="eastAsia" w:ascii="Times New Roman"/>
          <w:highlight w:val="none"/>
        </w:rPr>
        <w:t>、q</w:t>
      </w:r>
      <w:r>
        <w:rPr>
          <w:rFonts w:hint="eastAsia" w:ascii="Times New Roman"/>
          <w:highlight w:val="none"/>
          <w:vertAlign w:val="subscript"/>
        </w:rPr>
        <w:t>2</w:t>
      </w:r>
      <w:r>
        <w:rPr>
          <w:rFonts w:hint="eastAsia" w:ascii="Times New Roman"/>
          <w:highlight w:val="none"/>
        </w:rPr>
        <w:t>，....，q</w:t>
      </w:r>
      <w:r>
        <w:rPr>
          <w:rFonts w:hint="eastAsia" w:ascii="Times New Roman"/>
          <w:highlight w:val="none"/>
          <w:vertAlign w:val="subscript"/>
        </w:rPr>
        <w:t>n</w:t>
      </w:r>
      <w:r>
        <w:rPr>
          <w:rFonts w:hint="eastAsia" w:ascii="Times New Roman"/>
          <w:highlight w:val="none"/>
        </w:rPr>
        <w:t>—每种危险物质的最大存在总量，t</w:t>
      </w:r>
    </w:p>
    <w:p>
      <w:pPr>
        <w:pStyle w:val="17"/>
        <w:ind w:firstLine="1200" w:firstLineChars="500"/>
        <w:rPr>
          <w:rFonts w:ascii="Times New Roman"/>
          <w:highlight w:val="none"/>
        </w:rPr>
      </w:pPr>
      <w:r>
        <w:rPr>
          <w:rFonts w:hint="eastAsia" w:ascii="Times New Roman"/>
          <w:highlight w:val="none"/>
        </w:rPr>
        <w:t>Q</w:t>
      </w:r>
      <w:r>
        <w:rPr>
          <w:rFonts w:hint="eastAsia" w:ascii="Times New Roman"/>
          <w:highlight w:val="none"/>
          <w:vertAlign w:val="subscript"/>
        </w:rPr>
        <w:t>1</w:t>
      </w:r>
      <w:r>
        <w:rPr>
          <w:rFonts w:hint="eastAsia" w:ascii="Times New Roman"/>
          <w:highlight w:val="none"/>
        </w:rPr>
        <w:t>、Q</w:t>
      </w:r>
      <w:r>
        <w:rPr>
          <w:rFonts w:hint="eastAsia" w:ascii="Times New Roman"/>
          <w:highlight w:val="none"/>
          <w:vertAlign w:val="subscript"/>
        </w:rPr>
        <w:t>2</w:t>
      </w:r>
      <w:r>
        <w:rPr>
          <w:rFonts w:hint="eastAsia" w:ascii="Times New Roman"/>
          <w:highlight w:val="none"/>
        </w:rPr>
        <w:t>，....，Qn—每种危险物质的临界量，t</w:t>
      </w:r>
    </w:p>
    <w:p>
      <w:pPr>
        <w:pStyle w:val="17"/>
        <w:ind w:firstLine="1205" w:firstLineChars="500"/>
        <w:rPr>
          <w:rFonts w:ascii="Times New Roman"/>
          <w:b/>
          <w:bCs/>
          <w:highlight w:val="none"/>
          <w:u w:val="single"/>
        </w:rPr>
      </w:pPr>
      <w:r>
        <w:rPr>
          <w:rFonts w:hint="eastAsia" w:ascii="Times New Roman"/>
          <w:b/>
          <w:bCs/>
          <w:highlight w:val="none"/>
          <w:u w:val="single"/>
        </w:rPr>
        <w:t>当Q＜1时，该项目环境风险潜势为I。</w:t>
      </w:r>
    </w:p>
    <w:p>
      <w:pPr>
        <w:pStyle w:val="17"/>
        <w:ind w:firstLine="1200" w:firstLineChars="500"/>
        <w:rPr>
          <w:rFonts w:ascii="Times New Roman"/>
          <w:highlight w:val="none"/>
        </w:rPr>
      </w:pPr>
      <w:r>
        <w:rPr>
          <w:rFonts w:hint="eastAsia" w:ascii="Times New Roman"/>
          <w:highlight w:val="none"/>
        </w:rPr>
        <w:t>当Q≥1时，将Q值划分为：</w:t>
      </w:r>
    </w:p>
    <w:p>
      <w:pPr>
        <w:pStyle w:val="17"/>
        <w:ind w:firstLine="1200" w:firstLineChars="500"/>
        <w:rPr>
          <w:rFonts w:ascii="Times New Roman"/>
          <w:highlight w:val="none"/>
        </w:rPr>
      </w:pPr>
      <w:r>
        <w:rPr>
          <w:rFonts w:hint="eastAsia" w:ascii="Times New Roman"/>
          <w:highlight w:val="none"/>
        </w:rPr>
        <w:t>1）1≤Q＜10；</w:t>
      </w:r>
    </w:p>
    <w:p>
      <w:pPr>
        <w:pStyle w:val="17"/>
        <w:ind w:firstLine="1200" w:firstLineChars="500"/>
        <w:rPr>
          <w:rFonts w:ascii="Times New Roman"/>
          <w:highlight w:val="none"/>
        </w:rPr>
      </w:pPr>
      <w:r>
        <w:rPr>
          <w:rFonts w:hint="eastAsia" w:ascii="Times New Roman"/>
          <w:highlight w:val="none"/>
        </w:rPr>
        <w:t>2）10≤Q＜100；</w:t>
      </w:r>
    </w:p>
    <w:p>
      <w:pPr>
        <w:pStyle w:val="17"/>
        <w:ind w:firstLine="1200" w:firstLineChars="500"/>
        <w:rPr>
          <w:rFonts w:ascii="Times New Roman"/>
          <w:highlight w:val="none"/>
        </w:rPr>
      </w:pPr>
      <w:r>
        <w:rPr>
          <w:rFonts w:hint="eastAsia" w:ascii="Times New Roman"/>
          <w:highlight w:val="none"/>
        </w:rPr>
        <w:t>3）Q≥100</w:t>
      </w:r>
    </w:p>
    <w:p>
      <w:pPr>
        <w:ind w:firstLine="480"/>
        <w:rPr>
          <w:highlight w:val="none"/>
        </w:rPr>
      </w:pPr>
      <w:r>
        <w:rPr>
          <w:highlight w:val="none"/>
        </w:rPr>
        <w:t>本项目涉及的危险化学品最大储存量情况见表</w:t>
      </w:r>
      <w:r>
        <w:rPr>
          <w:rFonts w:hint="eastAsia"/>
          <w:highlight w:val="none"/>
          <w:lang w:val="en-US" w:eastAsia="zh-CN"/>
        </w:rPr>
        <w:t>7.3-7</w:t>
      </w:r>
      <w:r>
        <w:rPr>
          <w:rFonts w:hint="eastAsia"/>
          <w:highlight w:val="none"/>
        </w:rPr>
        <w:t>，临界量见表8.1-</w:t>
      </w:r>
      <w:r>
        <w:rPr>
          <w:rFonts w:hint="eastAsia"/>
          <w:highlight w:val="none"/>
          <w:lang w:val="en-US" w:eastAsia="zh-CN"/>
        </w:rPr>
        <w:t>8</w:t>
      </w:r>
      <w:r>
        <w:rPr>
          <w:highlight w:val="none"/>
        </w:rPr>
        <w:t>。</w:t>
      </w:r>
    </w:p>
    <w:p>
      <w:pPr>
        <w:ind w:firstLine="422"/>
        <w:jc w:val="center"/>
        <w:rPr>
          <w:b/>
          <w:sz w:val="21"/>
          <w:szCs w:val="21"/>
          <w:highlight w:val="none"/>
        </w:rPr>
      </w:pPr>
      <w:r>
        <w:rPr>
          <w:b/>
          <w:sz w:val="21"/>
          <w:szCs w:val="21"/>
          <w:highlight w:val="none"/>
        </w:rPr>
        <w:t>表</w:t>
      </w:r>
      <w:r>
        <w:rPr>
          <w:rFonts w:hint="eastAsia"/>
          <w:b/>
          <w:sz w:val="21"/>
          <w:szCs w:val="21"/>
          <w:highlight w:val="none"/>
          <w:lang w:val="en-US" w:eastAsia="zh-CN"/>
        </w:rPr>
        <w:t>7.3</w:t>
      </w:r>
      <w:r>
        <w:rPr>
          <w:rFonts w:hint="eastAsia"/>
          <w:b/>
          <w:sz w:val="21"/>
          <w:szCs w:val="21"/>
          <w:highlight w:val="none"/>
        </w:rPr>
        <w:t>-</w:t>
      </w:r>
      <w:r>
        <w:rPr>
          <w:rFonts w:hint="eastAsia"/>
          <w:b/>
          <w:sz w:val="21"/>
          <w:szCs w:val="21"/>
          <w:highlight w:val="none"/>
          <w:lang w:val="en-US" w:eastAsia="zh-CN"/>
        </w:rPr>
        <w:t>7</w:t>
      </w:r>
      <w:r>
        <w:rPr>
          <w:b/>
          <w:sz w:val="21"/>
          <w:szCs w:val="21"/>
          <w:highlight w:val="none"/>
        </w:rPr>
        <w:t xml:space="preserve">  本项目危险化学品最大储存量统计表</w:t>
      </w:r>
    </w:p>
    <w:tbl>
      <w:tblPr>
        <w:tblStyle w:val="29"/>
        <w:tblW w:w="88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9"/>
        <w:gridCol w:w="2010"/>
        <w:gridCol w:w="4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2809" w:type="dxa"/>
            <w:shd w:val="clear" w:color="auto" w:fill="auto"/>
            <w:vAlign w:val="center"/>
          </w:tcPr>
          <w:p>
            <w:pPr>
              <w:pStyle w:val="17"/>
              <w:ind w:firstLine="0" w:firstLineChars="0"/>
              <w:jc w:val="center"/>
              <w:rPr>
                <w:rFonts w:ascii="Times New Roman" w:hAnsi="Times New Roman"/>
                <w:b/>
                <w:bCs/>
                <w:sz w:val="21"/>
                <w:szCs w:val="21"/>
                <w:highlight w:val="none"/>
              </w:rPr>
            </w:pPr>
            <w:r>
              <w:rPr>
                <w:rFonts w:hint="eastAsia" w:ascii="Times New Roman" w:hAnsi="Times New Roman"/>
                <w:b/>
                <w:bCs/>
                <w:sz w:val="21"/>
                <w:szCs w:val="21"/>
                <w:highlight w:val="none"/>
              </w:rPr>
              <w:t>危险物质名称</w:t>
            </w:r>
          </w:p>
        </w:tc>
        <w:tc>
          <w:tcPr>
            <w:tcW w:w="2010" w:type="dxa"/>
            <w:shd w:val="clear" w:color="auto" w:fill="auto"/>
            <w:vAlign w:val="center"/>
          </w:tcPr>
          <w:p>
            <w:pPr>
              <w:pStyle w:val="17"/>
              <w:ind w:firstLine="0" w:firstLineChars="0"/>
              <w:jc w:val="center"/>
              <w:rPr>
                <w:rFonts w:ascii="Times New Roman" w:hAnsi="Times New Roman"/>
                <w:b/>
                <w:bCs/>
                <w:sz w:val="21"/>
                <w:szCs w:val="21"/>
                <w:highlight w:val="none"/>
              </w:rPr>
            </w:pPr>
            <w:r>
              <w:rPr>
                <w:rFonts w:hint="eastAsia" w:ascii="Times New Roman" w:hAnsi="Times New Roman"/>
                <w:b/>
                <w:bCs/>
                <w:sz w:val="21"/>
                <w:szCs w:val="21"/>
                <w:highlight w:val="none"/>
              </w:rPr>
              <w:t>存放地点</w:t>
            </w:r>
          </w:p>
        </w:tc>
        <w:tc>
          <w:tcPr>
            <w:tcW w:w="4021" w:type="dxa"/>
            <w:shd w:val="clear" w:color="auto" w:fill="auto"/>
            <w:vAlign w:val="center"/>
          </w:tcPr>
          <w:p>
            <w:pPr>
              <w:pStyle w:val="17"/>
              <w:ind w:firstLine="0" w:firstLineChars="0"/>
              <w:jc w:val="center"/>
              <w:rPr>
                <w:rFonts w:ascii="Times New Roman" w:hAnsi="Times New Roman"/>
                <w:b/>
                <w:bCs/>
                <w:sz w:val="21"/>
                <w:szCs w:val="21"/>
                <w:highlight w:val="none"/>
              </w:rPr>
            </w:pPr>
            <w:r>
              <w:rPr>
                <w:rFonts w:hint="eastAsia" w:ascii="Times New Roman" w:hAnsi="Times New Roman"/>
                <w:b/>
                <w:bCs/>
                <w:sz w:val="21"/>
                <w:szCs w:val="21"/>
                <w:highlight w:val="none"/>
              </w:rPr>
              <w:t>最大存在量/t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2809" w:type="dxa"/>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乳化炸药</w:t>
            </w:r>
          </w:p>
        </w:tc>
        <w:tc>
          <w:tcPr>
            <w:tcW w:w="2010" w:type="dxa"/>
            <w:vAlign w:val="center"/>
          </w:tcPr>
          <w:p>
            <w:pPr>
              <w:pStyle w:val="17"/>
              <w:ind w:firstLine="0" w:firstLineChars="0"/>
              <w:jc w:val="center"/>
              <w:rPr>
                <w:rFonts w:hint="eastAsia" w:ascii="Times New Roman" w:hAnsi="Times New Roman" w:eastAsia="宋体"/>
                <w:sz w:val="21"/>
                <w:szCs w:val="21"/>
                <w:highlight w:val="none"/>
                <w:lang w:eastAsia="zh-CN"/>
              </w:rPr>
            </w:pPr>
            <w:r>
              <w:rPr>
                <w:rFonts w:hint="eastAsia" w:ascii="Times New Roman" w:hAnsi="Times New Roman"/>
                <w:sz w:val="21"/>
                <w:szCs w:val="21"/>
                <w:highlight w:val="none"/>
                <w:lang w:val="en-US" w:eastAsia="zh-CN"/>
              </w:rPr>
              <w:t>/</w:t>
            </w:r>
          </w:p>
        </w:tc>
        <w:tc>
          <w:tcPr>
            <w:tcW w:w="4021" w:type="dxa"/>
            <w:vAlign w:val="center"/>
          </w:tcPr>
          <w:p>
            <w:pPr>
              <w:pStyle w:val="17"/>
              <w:ind w:firstLine="0" w:firstLineChars="0"/>
              <w:jc w:val="center"/>
              <w:rPr>
                <w:rFonts w:hint="eastAsia" w:ascii="Times New Roman" w:hAnsi="Times New Roman" w:eastAsia="宋体"/>
                <w:sz w:val="21"/>
                <w:szCs w:val="21"/>
                <w:highlight w:val="none"/>
                <w:lang w:eastAsia="zh-CN"/>
              </w:rPr>
            </w:pPr>
            <w:r>
              <w:rPr>
                <w:rFonts w:hint="eastAsia" w:ascii="Times New Roman" w:hAnsi="Times New Roman"/>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2809" w:type="dxa"/>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雷管</w:t>
            </w:r>
          </w:p>
        </w:tc>
        <w:tc>
          <w:tcPr>
            <w:tcW w:w="2010" w:type="dxa"/>
            <w:vAlign w:val="center"/>
          </w:tcPr>
          <w:p>
            <w:pPr>
              <w:pStyle w:val="17"/>
              <w:ind w:firstLine="0" w:firstLineChars="0"/>
              <w:jc w:val="center"/>
              <w:rPr>
                <w:rFonts w:hint="eastAsia" w:ascii="Times New Roman" w:hAnsi="Times New Roman" w:eastAsia="宋体"/>
                <w:sz w:val="21"/>
                <w:szCs w:val="21"/>
                <w:highlight w:val="none"/>
                <w:lang w:eastAsia="zh-CN"/>
              </w:rPr>
            </w:pPr>
            <w:r>
              <w:rPr>
                <w:rFonts w:hint="eastAsia" w:ascii="Times New Roman" w:hAnsi="Times New Roman"/>
                <w:sz w:val="21"/>
                <w:szCs w:val="21"/>
                <w:highlight w:val="none"/>
                <w:lang w:val="en-US" w:eastAsia="zh-CN"/>
              </w:rPr>
              <w:t>/</w:t>
            </w:r>
          </w:p>
        </w:tc>
        <w:tc>
          <w:tcPr>
            <w:tcW w:w="4021" w:type="dxa"/>
            <w:vAlign w:val="center"/>
          </w:tcPr>
          <w:p>
            <w:pPr>
              <w:pStyle w:val="17"/>
              <w:ind w:firstLine="0" w:firstLineChars="0"/>
              <w:jc w:val="center"/>
              <w:rPr>
                <w:rFonts w:hint="default" w:ascii="Times New Roman" w:hAnsi="Times New Roman" w:eastAsia="宋体"/>
                <w:sz w:val="21"/>
                <w:szCs w:val="21"/>
                <w:highlight w:val="none"/>
                <w:lang w:val="en-US" w:eastAsia="zh-CN"/>
              </w:rPr>
            </w:pPr>
            <w:r>
              <w:rPr>
                <w:rFonts w:hint="eastAsia" w:ascii="Times New Roman" w:hAnsi="Times New Roman"/>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809" w:type="dxa"/>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柴油</w:t>
            </w:r>
          </w:p>
        </w:tc>
        <w:tc>
          <w:tcPr>
            <w:tcW w:w="2010" w:type="dxa"/>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柴油罐</w:t>
            </w:r>
          </w:p>
        </w:tc>
        <w:tc>
          <w:tcPr>
            <w:tcW w:w="4021" w:type="dxa"/>
            <w:vAlign w:val="center"/>
          </w:tcPr>
          <w:p>
            <w:pPr>
              <w:pStyle w:val="17"/>
              <w:ind w:firstLine="0" w:firstLineChars="0"/>
              <w:jc w:val="center"/>
              <w:rPr>
                <w:rFonts w:hint="default" w:ascii="Times New Roman" w:hAnsi="Times New Roman" w:eastAsia="宋体"/>
                <w:sz w:val="21"/>
                <w:szCs w:val="21"/>
                <w:highlight w:val="none"/>
                <w:lang w:val="en-US" w:eastAsia="zh-CN"/>
              </w:rPr>
            </w:pPr>
            <w:r>
              <w:rPr>
                <w:rFonts w:hint="eastAsia" w:ascii="Times New Roman" w:hAnsi="Times New Roman"/>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809" w:type="dxa"/>
            <w:vAlign w:val="center"/>
          </w:tcPr>
          <w:p>
            <w:pPr>
              <w:pStyle w:val="17"/>
              <w:ind w:firstLine="0" w:firstLineChars="0"/>
              <w:jc w:val="center"/>
              <w:rPr>
                <w:rFonts w:hint="eastAsia" w:ascii="Times New Roman" w:hAnsi="Times New Roman" w:eastAsia="宋体"/>
                <w:sz w:val="21"/>
                <w:szCs w:val="21"/>
                <w:highlight w:val="none"/>
                <w:lang w:eastAsia="zh-CN"/>
              </w:rPr>
            </w:pPr>
            <w:r>
              <w:rPr>
                <w:rFonts w:hint="eastAsia" w:ascii="Times New Roman" w:hAnsi="Times New Roman"/>
                <w:sz w:val="21"/>
                <w:szCs w:val="21"/>
                <w:highlight w:val="none"/>
                <w:lang w:eastAsia="zh-CN"/>
              </w:rPr>
              <w:t>润滑油</w:t>
            </w:r>
          </w:p>
        </w:tc>
        <w:tc>
          <w:tcPr>
            <w:tcW w:w="2010" w:type="dxa"/>
            <w:vAlign w:val="center"/>
          </w:tcPr>
          <w:p>
            <w:pPr>
              <w:pStyle w:val="17"/>
              <w:ind w:firstLine="0" w:firstLineChars="0"/>
              <w:jc w:val="center"/>
              <w:rPr>
                <w:rFonts w:hint="eastAsia" w:ascii="Times New Roman" w:hAnsi="Times New Roman" w:eastAsia="宋体"/>
                <w:sz w:val="21"/>
                <w:szCs w:val="21"/>
                <w:highlight w:val="none"/>
                <w:lang w:eastAsia="zh-CN"/>
              </w:rPr>
            </w:pPr>
            <w:r>
              <w:rPr>
                <w:rFonts w:hint="eastAsia" w:ascii="Times New Roman" w:hAnsi="Times New Roman"/>
                <w:sz w:val="21"/>
                <w:szCs w:val="21"/>
                <w:highlight w:val="none"/>
                <w:lang w:eastAsia="zh-CN"/>
              </w:rPr>
              <w:t>汽修车间</w:t>
            </w:r>
          </w:p>
        </w:tc>
        <w:tc>
          <w:tcPr>
            <w:tcW w:w="4021" w:type="dxa"/>
            <w:vAlign w:val="center"/>
          </w:tcPr>
          <w:p>
            <w:pPr>
              <w:pStyle w:val="17"/>
              <w:ind w:firstLine="0" w:firstLineChars="0"/>
              <w:jc w:val="center"/>
              <w:rPr>
                <w:rFonts w:hint="eastAsia" w:ascii="Times New Roman" w:hAnsi="Times New Roman" w:eastAsia="宋体"/>
                <w:sz w:val="21"/>
                <w:szCs w:val="21"/>
                <w:highlight w:val="none"/>
                <w:lang w:val="en-US" w:eastAsia="zh-CN"/>
              </w:rPr>
            </w:pPr>
            <w:r>
              <w:rPr>
                <w:rFonts w:hint="eastAsia" w:ascii="Times New Roman" w:hAnsi="Times New Roman"/>
                <w:sz w:val="21"/>
                <w:szCs w:val="21"/>
                <w:highlight w:val="none"/>
                <w:lang w:val="en-US" w:eastAsia="zh-CN"/>
              </w:rPr>
              <w:t>1</w:t>
            </w:r>
          </w:p>
        </w:tc>
      </w:tr>
    </w:tbl>
    <w:p>
      <w:pPr>
        <w:ind w:firstLine="480"/>
        <w:rPr>
          <w:highlight w:val="none"/>
        </w:rPr>
      </w:pPr>
    </w:p>
    <w:p>
      <w:pPr>
        <w:ind w:firstLine="422"/>
        <w:jc w:val="center"/>
        <w:rPr>
          <w:b/>
          <w:bCs/>
          <w:sz w:val="21"/>
          <w:szCs w:val="21"/>
          <w:highlight w:val="none"/>
        </w:rPr>
      </w:pPr>
      <w:r>
        <w:rPr>
          <w:rFonts w:hint="eastAsia"/>
          <w:b/>
          <w:bCs/>
          <w:sz w:val="21"/>
          <w:szCs w:val="21"/>
          <w:highlight w:val="none"/>
        </w:rPr>
        <w:t>表</w:t>
      </w:r>
      <w:r>
        <w:rPr>
          <w:rFonts w:hint="eastAsia"/>
          <w:b/>
          <w:bCs/>
          <w:sz w:val="21"/>
          <w:szCs w:val="21"/>
          <w:highlight w:val="none"/>
          <w:lang w:val="en-US" w:eastAsia="zh-CN"/>
        </w:rPr>
        <w:t>7.3</w:t>
      </w:r>
      <w:r>
        <w:rPr>
          <w:rFonts w:hint="eastAsia"/>
          <w:b/>
          <w:bCs/>
          <w:sz w:val="21"/>
          <w:szCs w:val="21"/>
          <w:highlight w:val="none"/>
        </w:rPr>
        <w:t>-</w:t>
      </w:r>
      <w:r>
        <w:rPr>
          <w:rFonts w:hint="eastAsia"/>
          <w:b/>
          <w:bCs/>
          <w:sz w:val="21"/>
          <w:szCs w:val="21"/>
          <w:highlight w:val="none"/>
          <w:lang w:val="en-US" w:eastAsia="zh-CN"/>
        </w:rPr>
        <w:t>8</w:t>
      </w:r>
      <w:r>
        <w:rPr>
          <w:rFonts w:hint="eastAsia"/>
          <w:b/>
          <w:bCs/>
          <w:sz w:val="21"/>
          <w:szCs w:val="21"/>
          <w:highlight w:val="none"/>
        </w:rPr>
        <w:t xml:space="preserve">  《建设项目环境风险评价技术导则》（HJ169-2018）—危险物质临界量表</w:t>
      </w:r>
    </w:p>
    <w:tbl>
      <w:tblPr>
        <w:tblStyle w:val="29"/>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1"/>
        <w:gridCol w:w="3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5421" w:type="dxa"/>
            <w:shd w:val="clear" w:color="auto" w:fill="auto"/>
            <w:vAlign w:val="center"/>
          </w:tcPr>
          <w:p>
            <w:pPr>
              <w:pStyle w:val="17"/>
              <w:ind w:firstLine="0" w:firstLineChars="0"/>
              <w:jc w:val="center"/>
              <w:rPr>
                <w:rFonts w:ascii="Times New Roman" w:hAnsi="Times New Roman"/>
                <w:b/>
                <w:bCs/>
                <w:sz w:val="21"/>
                <w:szCs w:val="21"/>
                <w:highlight w:val="none"/>
              </w:rPr>
            </w:pPr>
            <w:r>
              <w:rPr>
                <w:rFonts w:hint="eastAsia" w:ascii="Times New Roman" w:hAnsi="Times New Roman"/>
                <w:b/>
                <w:bCs/>
                <w:sz w:val="21"/>
                <w:szCs w:val="21"/>
                <w:highlight w:val="none"/>
              </w:rPr>
              <w:t>物质名称</w:t>
            </w:r>
          </w:p>
        </w:tc>
        <w:tc>
          <w:tcPr>
            <w:tcW w:w="3579" w:type="dxa"/>
            <w:shd w:val="clear" w:color="auto" w:fill="auto"/>
            <w:vAlign w:val="center"/>
          </w:tcPr>
          <w:p>
            <w:pPr>
              <w:pStyle w:val="17"/>
              <w:ind w:firstLine="0" w:firstLineChars="0"/>
              <w:jc w:val="center"/>
              <w:rPr>
                <w:rFonts w:ascii="Times New Roman" w:hAnsi="Times New Roman"/>
                <w:b/>
                <w:bCs/>
                <w:sz w:val="21"/>
                <w:szCs w:val="21"/>
                <w:highlight w:val="none"/>
              </w:rPr>
            </w:pPr>
            <w:r>
              <w:rPr>
                <w:rFonts w:hint="eastAsia" w:ascii="Times New Roman" w:hAnsi="Times New Roman"/>
                <w:b/>
                <w:bCs/>
                <w:sz w:val="21"/>
                <w:szCs w:val="21"/>
                <w:highlight w:val="none"/>
              </w:rPr>
              <w:t>临界量/t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5421" w:type="dxa"/>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油类物质（柴油</w:t>
            </w:r>
            <w:r>
              <w:rPr>
                <w:rFonts w:hint="eastAsia" w:ascii="Times New Roman" w:hAnsi="Times New Roman"/>
                <w:sz w:val="21"/>
                <w:szCs w:val="21"/>
                <w:highlight w:val="none"/>
                <w:lang w:eastAsia="zh-CN"/>
              </w:rPr>
              <w:t>、润滑油</w:t>
            </w:r>
            <w:r>
              <w:rPr>
                <w:rFonts w:hint="eastAsia" w:ascii="Times New Roman" w:hAnsi="Times New Roman"/>
                <w:sz w:val="21"/>
                <w:szCs w:val="21"/>
                <w:highlight w:val="none"/>
              </w:rPr>
              <w:t>）</w:t>
            </w:r>
          </w:p>
        </w:tc>
        <w:tc>
          <w:tcPr>
            <w:tcW w:w="3579" w:type="dxa"/>
            <w:vAlign w:val="center"/>
          </w:tcPr>
          <w:p>
            <w:pPr>
              <w:pStyle w:val="17"/>
              <w:ind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9000" w:type="dxa"/>
            <w:gridSpan w:val="2"/>
            <w:vAlign w:val="center"/>
          </w:tcPr>
          <w:p>
            <w:pPr>
              <w:pStyle w:val="17"/>
              <w:ind w:firstLine="0" w:firstLineChars="0"/>
              <w:rPr>
                <w:rFonts w:ascii="Times New Roman" w:hAnsi="Times New Roman"/>
                <w:sz w:val="21"/>
                <w:szCs w:val="21"/>
                <w:highlight w:val="none"/>
              </w:rPr>
            </w:pPr>
            <w:r>
              <w:rPr>
                <w:rFonts w:hint="eastAsia" w:ascii="Times New Roman" w:hAnsi="Times New Roman"/>
                <w:sz w:val="21"/>
                <w:szCs w:val="21"/>
                <w:highlight w:val="none"/>
              </w:rPr>
              <w:t>雷管临界量参照《危险化学品重大危险源辨识》（GB18218-2018）续表2爆炸物W1.1项临界量</w:t>
            </w:r>
          </w:p>
        </w:tc>
      </w:tr>
    </w:tbl>
    <w:p>
      <w:pPr>
        <w:pStyle w:val="17"/>
        <w:ind w:firstLine="482"/>
        <w:rPr>
          <w:rFonts w:hint="eastAsia" w:ascii="Times New Roman"/>
          <w:b/>
          <w:bCs/>
          <w:highlight w:val="none"/>
        </w:rPr>
      </w:pPr>
    </w:p>
    <w:p>
      <w:pPr>
        <w:pStyle w:val="17"/>
        <w:ind w:firstLine="482"/>
        <w:rPr>
          <w:rFonts w:hint="eastAsia" w:ascii="Times New Roman"/>
          <w:b/>
          <w:bCs/>
          <w:highlight w:val="none"/>
        </w:rPr>
      </w:pPr>
      <w:r>
        <w:rPr>
          <w:rFonts w:hint="eastAsia" w:ascii="Times New Roman"/>
          <w:b/>
          <w:bCs/>
          <w:highlight w:val="none"/>
        </w:rPr>
        <w:t>综上，本项目危险物质Q=</w:t>
      </w:r>
      <w:r>
        <w:rPr>
          <w:rFonts w:hint="eastAsia" w:ascii="Times New Roman"/>
          <w:b/>
          <w:bCs/>
          <w:highlight w:val="none"/>
          <w:lang w:val="en-US" w:eastAsia="zh-CN"/>
        </w:rPr>
        <w:t>10</w:t>
      </w:r>
      <w:r>
        <w:rPr>
          <w:rFonts w:hint="eastAsia" w:ascii="Times New Roman"/>
          <w:b/>
          <w:bCs/>
          <w:highlight w:val="none"/>
        </w:rPr>
        <w:t>/2500+</w:t>
      </w:r>
      <w:r>
        <w:rPr>
          <w:rFonts w:hint="eastAsia" w:ascii="Times New Roman"/>
          <w:b/>
          <w:bCs/>
          <w:highlight w:val="none"/>
          <w:lang w:val="en-US" w:eastAsia="zh-CN"/>
        </w:rPr>
        <w:t>1/2500</w:t>
      </w:r>
      <w:r>
        <w:rPr>
          <w:rFonts w:hint="eastAsia" w:ascii="Times New Roman"/>
          <w:b/>
          <w:bCs/>
          <w:highlight w:val="none"/>
        </w:rPr>
        <w:t>=</w:t>
      </w:r>
      <w:r>
        <w:rPr>
          <w:rFonts w:hint="eastAsia" w:ascii="Times New Roman"/>
          <w:b/>
          <w:bCs/>
          <w:highlight w:val="none"/>
          <w:lang w:val="en-US" w:eastAsia="zh-CN"/>
        </w:rPr>
        <w:t>0.004+0.0004</w:t>
      </w:r>
      <w:r>
        <w:rPr>
          <w:rFonts w:hint="eastAsia" w:ascii="Times New Roman"/>
          <w:b/>
          <w:bCs/>
          <w:highlight w:val="none"/>
        </w:rPr>
        <w:t>=0.</w:t>
      </w:r>
      <w:r>
        <w:rPr>
          <w:rFonts w:hint="eastAsia" w:ascii="Times New Roman"/>
          <w:b/>
          <w:bCs/>
          <w:highlight w:val="none"/>
          <w:lang w:val="en-US" w:eastAsia="zh-CN"/>
        </w:rPr>
        <w:t>0044</w:t>
      </w:r>
      <w:r>
        <w:rPr>
          <w:rFonts w:hint="eastAsia" w:ascii="Times New Roman"/>
          <w:b/>
          <w:bCs/>
          <w:highlight w:val="none"/>
        </w:rPr>
        <w:t>，Q＜1，本项目环境风险潜势为I。</w:t>
      </w:r>
    </w:p>
    <w:p>
      <w:pPr>
        <w:pStyle w:val="5"/>
        <w:rPr>
          <w:rFonts w:hint="default" w:cs="宋体"/>
          <w:highlight w:val="none"/>
        </w:rPr>
      </w:pPr>
      <w:bookmarkStart w:id="468" w:name="_Toc9"/>
      <w:r>
        <w:rPr>
          <w:rFonts w:hint="eastAsia" w:cs="宋体"/>
          <w:highlight w:val="none"/>
          <w:lang w:val="en-US" w:eastAsia="zh-CN"/>
        </w:rPr>
        <w:t>7</w:t>
      </w:r>
      <w:r>
        <w:rPr>
          <w:rFonts w:cs="宋体"/>
          <w:highlight w:val="none"/>
        </w:rPr>
        <w:t>.2.3评价等级</w:t>
      </w:r>
      <w:bookmarkEnd w:id="468"/>
    </w:p>
    <w:p>
      <w:pPr>
        <w:pStyle w:val="17"/>
        <w:ind w:firstLine="480"/>
        <w:rPr>
          <w:rFonts w:ascii="Times New Roman"/>
          <w:highlight w:val="none"/>
        </w:rPr>
      </w:pPr>
      <w:r>
        <w:rPr>
          <w:rFonts w:hint="eastAsia" w:ascii="Times New Roman"/>
          <w:highlight w:val="none"/>
        </w:rPr>
        <w:t>根据《建设项目环境风险评价技术导则》（HJ169-2018），环境风险评价工作等级划分为一级、二级、三级，评价工作等级划分表见表8.1-</w:t>
      </w:r>
      <w:r>
        <w:rPr>
          <w:rFonts w:hint="eastAsia" w:ascii="Times New Roman"/>
          <w:highlight w:val="none"/>
          <w:lang w:val="en-US" w:eastAsia="zh-CN"/>
        </w:rPr>
        <w:t>9</w:t>
      </w:r>
      <w:r>
        <w:rPr>
          <w:rFonts w:hint="eastAsia" w:ascii="Times New Roman"/>
          <w:highlight w:val="none"/>
        </w:rPr>
        <w:t>。</w:t>
      </w:r>
    </w:p>
    <w:p>
      <w:pPr>
        <w:pStyle w:val="17"/>
        <w:ind w:firstLine="0" w:firstLineChars="0"/>
        <w:jc w:val="center"/>
        <w:rPr>
          <w:rFonts w:ascii="Times New Roman" w:hAnsi="Times New Roman"/>
          <w:b/>
          <w:bCs/>
          <w:sz w:val="21"/>
          <w:szCs w:val="21"/>
          <w:highlight w:val="none"/>
        </w:rPr>
      </w:pPr>
      <w:r>
        <w:rPr>
          <w:rFonts w:ascii="Times New Roman" w:hAnsi="Times New Roman"/>
          <w:b/>
          <w:bCs/>
          <w:sz w:val="21"/>
          <w:szCs w:val="21"/>
          <w:highlight w:val="none"/>
        </w:rPr>
        <w:t>表</w:t>
      </w:r>
      <w:r>
        <w:rPr>
          <w:rFonts w:hint="eastAsia" w:ascii="Times New Roman" w:hAnsi="Times New Roman"/>
          <w:b/>
          <w:bCs/>
          <w:sz w:val="21"/>
          <w:szCs w:val="21"/>
          <w:highlight w:val="none"/>
        </w:rPr>
        <w:t>8.1-</w:t>
      </w:r>
      <w:r>
        <w:rPr>
          <w:rFonts w:hint="eastAsia" w:ascii="Times New Roman" w:hAnsi="Times New Roman"/>
          <w:b/>
          <w:bCs/>
          <w:sz w:val="21"/>
          <w:szCs w:val="21"/>
          <w:highlight w:val="none"/>
          <w:lang w:val="en-US" w:eastAsia="zh-CN"/>
        </w:rPr>
        <w:t>9</w:t>
      </w:r>
      <w:r>
        <w:rPr>
          <w:rFonts w:ascii="Times New Roman" w:hAnsi="Times New Roman"/>
          <w:b/>
          <w:bCs/>
          <w:sz w:val="21"/>
          <w:szCs w:val="21"/>
          <w:highlight w:val="none"/>
        </w:rPr>
        <w:t xml:space="preserve">  评价工作等级划分表</w:t>
      </w:r>
    </w:p>
    <w:tbl>
      <w:tblPr>
        <w:tblStyle w:val="29"/>
        <w:tblW w:w="89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3"/>
        <w:gridCol w:w="1784"/>
        <w:gridCol w:w="1784"/>
        <w:gridCol w:w="1785"/>
        <w:gridCol w:w="1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783" w:type="dxa"/>
            <w:shd w:val="clear" w:color="auto" w:fill="auto"/>
            <w:vAlign w:val="center"/>
          </w:tcPr>
          <w:p>
            <w:pPr>
              <w:pStyle w:val="17"/>
              <w:ind w:firstLine="0" w:firstLineChars="0"/>
              <w:jc w:val="center"/>
              <w:rPr>
                <w:rFonts w:ascii="Times New Roman"/>
                <w:b/>
                <w:bCs/>
                <w:sz w:val="21"/>
                <w:szCs w:val="21"/>
                <w:highlight w:val="none"/>
              </w:rPr>
            </w:pPr>
            <w:r>
              <w:rPr>
                <w:rFonts w:hint="eastAsia" w:ascii="Times New Roman"/>
                <w:b/>
                <w:bCs/>
                <w:sz w:val="21"/>
                <w:szCs w:val="21"/>
                <w:highlight w:val="none"/>
              </w:rPr>
              <w:t>环境风险潜势</w:t>
            </w:r>
          </w:p>
        </w:tc>
        <w:tc>
          <w:tcPr>
            <w:tcW w:w="1784" w:type="dxa"/>
            <w:shd w:val="clear" w:color="auto" w:fill="auto"/>
            <w:vAlign w:val="center"/>
          </w:tcPr>
          <w:p>
            <w:pPr>
              <w:pStyle w:val="17"/>
              <w:ind w:firstLine="0" w:firstLineChars="0"/>
              <w:jc w:val="center"/>
              <w:rPr>
                <w:rFonts w:ascii="Times New Roman"/>
                <w:b/>
                <w:bCs/>
                <w:sz w:val="21"/>
                <w:szCs w:val="21"/>
                <w:highlight w:val="none"/>
              </w:rPr>
            </w:pPr>
            <w:r>
              <w:rPr>
                <w:rFonts w:hint="eastAsia" w:ascii="Times New Roman"/>
                <w:b/>
                <w:bCs/>
                <w:sz w:val="21"/>
                <w:szCs w:val="21"/>
                <w:highlight w:val="none"/>
              </w:rPr>
              <w:t>IV、IV</w:t>
            </w:r>
            <w:r>
              <w:rPr>
                <w:rFonts w:hint="eastAsia" w:ascii="Times New Roman"/>
                <w:b/>
                <w:bCs/>
                <w:sz w:val="21"/>
                <w:szCs w:val="21"/>
                <w:highlight w:val="none"/>
                <w:vertAlign w:val="superscript"/>
              </w:rPr>
              <w:t>+</w:t>
            </w:r>
          </w:p>
        </w:tc>
        <w:tc>
          <w:tcPr>
            <w:tcW w:w="1784" w:type="dxa"/>
            <w:shd w:val="clear" w:color="auto" w:fill="auto"/>
            <w:vAlign w:val="center"/>
          </w:tcPr>
          <w:p>
            <w:pPr>
              <w:pStyle w:val="17"/>
              <w:ind w:firstLine="0" w:firstLineChars="0"/>
              <w:jc w:val="center"/>
              <w:rPr>
                <w:rFonts w:ascii="Times New Roman"/>
                <w:b/>
                <w:bCs/>
                <w:sz w:val="21"/>
                <w:szCs w:val="21"/>
                <w:highlight w:val="none"/>
              </w:rPr>
            </w:pPr>
            <w:r>
              <w:rPr>
                <w:rFonts w:hint="eastAsia" w:ascii="Times New Roman"/>
                <w:b/>
                <w:bCs/>
                <w:sz w:val="21"/>
                <w:szCs w:val="21"/>
                <w:highlight w:val="none"/>
              </w:rPr>
              <w:t>III</w:t>
            </w:r>
          </w:p>
        </w:tc>
        <w:tc>
          <w:tcPr>
            <w:tcW w:w="1785" w:type="dxa"/>
            <w:shd w:val="clear" w:color="auto" w:fill="auto"/>
            <w:vAlign w:val="center"/>
          </w:tcPr>
          <w:p>
            <w:pPr>
              <w:pStyle w:val="17"/>
              <w:ind w:firstLine="0" w:firstLineChars="0"/>
              <w:jc w:val="center"/>
              <w:rPr>
                <w:rFonts w:ascii="Times New Roman"/>
                <w:b/>
                <w:bCs/>
                <w:sz w:val="21"/>
                <w:szCs w:val="21"/>
                <w:highlight w:val="none"/>
              </w:rPr>
            </w:pPr>
            <w:r>
              <w:rPr>
                <w:rFonts w:hint="eastAsia" w:ascii="Times New Roman"/>
                <w:b/>
                <w:bCs/>
                <w:sz w:val="21"/>
                <w:szCs w:val="21"/>
                <w:highlight w:val="none"/>
              </w:rPr>
              <w:t>II</w:t>
            </w:r>
          </w:p>
        </w:tc>
        <w:tc>
          <w:tcPr>
            <w:tcW w:w="1784" w:type="dxa"/>
            <w:shd w:val="clear" w:color="auto" w:fill="auto"/>
            <w:vAlign w:val="center"/>
          </w:tcPr>
          <w:p>
            <w:pPr>
              <w:pStyle w:val="17"/>
              <w:ind w:firstLine="0" w:firstLineChars="0"/>
              <w:jc w:val="center"/>
              <w:rPr>
                <w:rFonts w:ascii="Times New Roman"/>
                <w:b/>
                <w:bCs/>
                <w:sz w:val="21"/>
                <w:szCs w:val="21"/>
                <w:highlight w:val="none"/>
              </w:rPr>
            </w:pPr>
            <w:r>
              <w:rPr>
                <w:rFonts w:hint="eastAsia" w:ascii="Times New Roman"/>
                <w:sz w:val="21"/>
                <w:szCs w:val="21"/>
                <w:highlight w:val="none"/>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783" w:type="dxa"/>
            <w:shd w:val="clear" w:color="auto" w:fill="auto"/>
            <w:vAlign w:val="center"/>
          </w:tcPr>
          <w:p>
            <w:pPr>
              <w:pStyle w:val="17"/>
              <w:ind w:firstLine="0" w:firstLineChars="0"/>
              <w:jc w:val="center"/>
              <w:rPr>
                <w:rFonts w:ascii="Times New Roman"/>
                <w:sz w:val="21"/>
                <w:szCs w:val="21"/>
                <w:highlight w:val="none"/>
              </w:rPr>
            </w:pPr>
            <w:r>
              <w:rPr>
                <w:rFonts w:hint="eastAsia" w:ascii="Times New Roman"/>
                <w:sz w:val="21"/>
                <w:szCs w:val="21"/>
                <w:highlight w:val="none"/>
              </w:rPr>
              <w:t>评价工作等级</w:t>
            </w:r>
          </w:p>
        </w:tc>
        <w:tc>
          <w:tcPr>
            <w:tcW w:w="1784" w:type="dxa"/>
            <w:shd w:val="clear" w:color="auto" w:fill="auto"/>
            <w:vAlign w:val="center"/>
          </w:tcPr>
          <w:p>
            <w:pPr>
              <w:pStyle w:val="17"/>
              <w:ind w:firstLine="0" w:firstLineChars="0"/>
              <w:jc w:val="center"/>
              <w:rPr>
                <w:rFonts w:ascii="Times New Roman"/>
                <w:sz w:val="21"/>
                <w:szCs w:val="21"/>
                <w:highlight w:val="none"/>
              </w:rPr>
            </w:pPr>
            <w:r>
              <w:rPr>
                <w:rFonts w:hint="eastAsia" w:ascii="Times New Roman"/>
                <w:sz w:val="21"/>
                <w:szCs w:val="21"/>
                <w:highlight w:val="none"/>
              </w:rPr>
              <w:t>一</w:t>
            </w:r>
          </w:p>
        </w:tc>
        <w:tc>
          <w:tcPr>
            <w:tcW w:w="1784" w:type="dxa"/>
            <w:shd w:val="clear" w:color="auto" w:fill="auto"/>
            <w:vAlign w:val="center"/>
          </w:tcPr>
          <w:p>
            <w:pPr>
              <w:pStyle w:val="17"/>
              <w:ind w:firstLine="0" w:firstLineChars="0"/>
              <w:jc w:val="center"/>
              <w:rPr>
                <w:rFonts w:ascii="Times New Roman"/>
                <w:sz w:val="21"/>
                <w:szCs w:val="21"/>
                <w:highlight w:val="none"/>
              </w:rPr>
            </w:pPr>
            <w:r>
              <w:rPr>
                <w:rFonts w:hint="eastAsia" w:ascii="Times New Roman"/>
                <w:sz w:val="21"/>
                <w:szCs w:val="21"/>
                <w:highlight w:val="none"/>
              </w:rPr>
              <w:t>二</w:t>
            </w:r>
          </w:p>
        </w:tc>
        <w:tc>
          <w:tcPr>
            <w:tcW w:w="1785" w:type="dxa"/>
            <w:shd w:val="clear" w:color="auto" w:fill="auto"/>
            <w:vAlign w:val="center"/>
          </w:tcPr>
          <w:p>
            <w:pPr>
              <w:pStyle w:val="17"/>
              <w:ind w:firstLine="0" w:firstLineChars="0"/>
              <w:jc w:val="center"/>
              <w:rPr>
                <w:rFonts w:ascii="Times New Roman"/>
                <w:sz w:val="21"/>
                <w:szCs w:val="21"/>
                <w:highlight w:val="none"/>
              </w:rPr>
            </w:pPr>
            <w:r>
              <w:rPr>
                <w:rFonts w:hint="eastAsia" w:ascii="Times New Roman"/>
                <w:sz w:val="21"/>
                <w:szCs w:val="21"/>
                <w:highlight w:val="none"/>
              </w:rPr>
              <w:t>三</w:t>
            </w:r>
          </w:p>
        </w:tc>
        <w:tc>
          <w:tcPr>
            <w:tcW w:w="1784" w:type="dxa"/>
            <w:shd w:val="clear" w:color="auto" w:fill="FFC000"/>
            <w:vAlign w:val="center"/>
          </w:tcPr>
          <w:p>
            <w:pPr>
              <w:pStyle w:val="17"/>
              <w:ind w:firstLine="0" w:firstLineChars="0"/>
              <w:jc w:val="center"/>
              <w:rPr>
                <w:rFonts w:ascii="Times New Roman"/>
                <w:sz w:val="21"/>
                <w:szCs w:val="21"/>
                <w:highlight w:val="none"/>
              </w:rPr>
            </w:pPr>
            <w:r>
              <w:rPr>
                <w:rFonts w:hint="eastAsia" w:ascii="Times New Roman"/>
                <w:sz w:val="21"/>
                <w:szCs w:val="21"/>
                <w:highlight w:val="none"/>
              </w:rPr>
              <w:t>简单分析</w:t>
            </w:r>
            <w:r>
              <w:rPr>
                <w:rFonts w:hint="eastAsia" w:ascii="Times New Roman"/>
                <w:sz w:val="21"/>
                <w:szCs w:val="21"/>
                <w:highlight w:val="none"/>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8920" w:type="dxa"/>
            <w:gridSpan w:val="5"/>
            <w:shd w:val="clear" w:color="auto" w:fill="auto"/>
            <w:vAlign w:val="center"/>
          </w:tcPr>
          <w:p>
            <w:pPr>
              <w:pStyle w:val="17"/>
              <w:ind w:firstLine="0" w:firstLineChars="0"/>
              <w:rPr>
                <w:rFonts w:ascii="Times New Roman"/>
                <w:sz w:val="21"/>
                <w:szCs w:val="21"/>
                <w:highlight w:val="none"/>
              </w:rPr>
            </w:pPr>
            <w:r>
              <w:rPr>
                <w:rFonts w:hint="eastAsia" w:ascii="Times New Roman"/>
                <w:sz w:val="21"/>
                <w:szCs w:val="21"/>
                <w:highlight w:val="none"/>
              </w:rPr>
              <w:t>a是相对于详细评价工作内容而言，在描述危险物质、环境影响途径、环境危害后果、风险防范措施等方面给出定性说明。</w:t>
            </w:r>
          </w:p>
        </w:tc>
      </w:tr>
    </w:tbl>
    <w:p>
      <w:pPr>
        <w:pStyle w:val="17"/>
        <w:ind w:firstLine="480"/>
        <w:rPr>
          <w:rFonts w:ascii="Times New Roman"/>
          <w:highlight w:val="none"/>
        </w:rPr>
      </w:pPr>
      <w:r>
        <w:rPr>
          <w:rFonts w:hint="eastAsia" w:ascii="Times New Roman"/>
          <w:highlight w:val="none"/>
        </w:rPr>
        <w:t>根据上文对本项目环境风险潜势进行判断，本项目危险物质Q==0.614</w:t>
      </w:r>
      <w:r>
        <w:rPr>
          <w:rFonts w:hint="eastAsia" w:ascii="Times New Roman"/>
          <w:highlight w:val="none"/>
          <w:lang w:val="en-US" w:eastAsia="zh-CN"/>
        </w:rPr>
        <w:t>4</w:t>
      </w:r>
      <w:r>
        <w:rPr>
          <w:rFonts w:hint="eastAsia" w:ascii="Times New Roman"/>
          <w:highlight w:val="none"/>
        </w:rPr>
        <w:t>，Q＜1，本项目环境风险潜势为I，环境风险评价工作等级按导则划分为简单分析。</w:t>
      </w:r>
    </w:p>
    <w:p>
      <w:pPr>
        <w:pStyle w:val="4"/>
        <w:rPr>
          <w:highlight w:val="none"/>
        </w:rPr>
      </w:pPr>
      <w:bookmarkStart w:id="469" w:name="_Toc7449"/>
      <w:r>
        <w:rPr>
          <w:rFonts w:hint="eastAsia"/>
          <w:highlight w:val="none"/>
          <w:lang w:val="en-US" w:eastAsia="zh-CN"/>
        </w:rPr>
        <w:t>7</w:t>
      </w:r>
      <w:r>
        <w:rPr>
          <w:rFonts w:hint="eastAsia"/>
          <w:highlight w:val="none"/>
        </w:rPr>
        <w:t>.</w:t>
      </w:r>
      <w:r>
        <w:rPr>
          <w:rFonts w:hint="eastAsia"/>
          <w:highlight w:val="none"/>
          <w:lang w:val="en-US" w:eastAsia="zh-CN"/>
        </w:rPr>
        <w:t>4</w:t>
      </w:r>
      <w:r>
        <w:rPr>
          <w:rFonts w:hint="eastAsia"/>
          <w:highlight w:val="none"/>
        </w:rPr>
        <w:t>环境敏感目标概况</w:t>
      </w:r>
      <w:bookmarkEnd w:id="469"/>
    </w:p>
    <w:p>
      <w:pPr>
        <w:pStyle w:val="17"/>
        <w:ind w:firstLine="0" w:firstLineChars="0"/>
        <w:jc w:val="center"/>
        <w:rPr>
          <w:rFonts w:ascii="Times New Roman"/>
          <w:b/>
          <w:bCs/>
          <w:sz w:val="21"/>
          <w:szCs w:val="21"/>
          <w:highlight w:val="none"/>
        </w:rPr>
      </w:pPr>
      <w:r>
        <w:rPr>
          <w:rFonts w:hint="eastAsia" w:ascii="Times New Roman"/>
          <w:b/>
          <w:bCs/>
          <w:sz w:val="21"/>
          <w:szCs w:val="21"/>
          <w:highlight w:val="none"/>
        </w:rPr>
        <w:t>表</w:t>
      </w:r>
      <w:r>
        <w:rPr>
          <w:rFonts w:hint="eastAsia" w:ascii="Times New Roman"/>
          <w:b/>
          <w:bCs/>
          <w:sz w:val="21"/>
          <w:szCs w:val="21"/>
          <w:highlight w:val="none"/>
          <w:lang w:val="en-US" w:eastAsia="zh-CN"/>
        </w:rPr>
        <w:t>7.4</w:t>
      </w:r>
      <w:r>
        <w:rPr>
          <w:rFonts w:hint="eastAsia" w:ascii="Times New Roman"/>
          <w:b/>
          <w:bCs/>
          <w:sz w:val="21"/>
          <w:szCs w:val="21"/>
          <w:highlight w:val="none"/>
        </w:rPr>
        <w:t>-1  环境敏感目标情况一览表</w:t>
      </w:r>
    </w:p>
    <w:tbl>
      <w:tblPr>
        <w:tblStyle w:val="29"/>
        <w:tblW w:w="8529" w:type="dxa"/>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26"/>
        <w:gridCol w:w="1467"/>
        <w:gridCol w:w="2398"/>
        <w:gridCol w:w="1599"/>
        <w:gridCol w:w="16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426" w:type="dxa"/>
            <w:vAlign w:val="center"/>
          </w:tcPr>
          <w:p>
            <w:pPr>
              <w:pStyle w:val="114"/>
              <w:spacing w:before="178"/>
              <w:ind w:left="0" w:leftChars="0" w:right="475" w:firstLine="0" w:firstLineChars="0"/>
              <w:jc w:val="center"/>
              <w:rPr>
                <w:rFonts w:ascii="Times New Roman" w:hAnsi="Times New Roman" w:eastAsia="宋体"/>
                <w:sz w:val="21"/>
                <w:highlight w:val="none"/>
              </w:rPr>
            </w:pPr>
            <w:r>
              <w:rPr>
                <w:rFonts w:ascii="Times New Roman" w:hAnsi="Times New Roman" w:eastAsia="宋体"/>
                <w:sz w:val="21"/>
                <w:highlight w:val="none"/>
              </w:rPr>
              <w:t>类别</w:t>
            </w:r>
          </w:p>
        </w:tc>
        <w:tc>
          <w:tcPr>
            <w:tcW w:w="1467" w:type="dxa"/>
            <w:vAlign w:val="center"/>
          </w:tcPr>
          <w:p>
            <w:pPr>
              <w:pStyle w:val="114"/>
              <w:spacing w:before="178"/>
              <w:ind w:left="0" w:leftChars="0" w:right="179" w:firstLine="0" w:firstLineChars="0"/>
              <w:jc w:val="center"/>
              <w:rPr>
                <w:rFonts w:ascii="Times New Roman" w:hAnsi="Times New Roman" w:eastAsia="宋体"/>
                <w:sz w:val="21"/>
                <w:highlight w:val="none"/>
              </w:rPr>
            </w:pPr>
            <w:r>
              <w:rPr>
                <w:rFonts w:ascii="Times New Roman" w:hAnsi="Times New Roman" w:eastAsia="宋体"/>
                <w:sz w:val="21"/>
                <w:highlight w:val="none"/>
              </w:rPr>
              <w:t>敏感目标</w:t>
            </w:r>
          </w:p>
        </w:tc>
        <w:tc>
          <w:tcPr>
            <w:tcW w:w="2398" w:type="dxa"/>
            <w:vAlign w:val="center"/>
          </w:tcPr>
          <w:p>
            <w:pPr>
              <w:pStyle w:val="114"/>
              <w:spacing w:before="178"/>
              <w:ind w:left="0" w:leftChars="0" w:right="961" w:firstLine="0" w:firstLineChars="0"/>
              <w:jc w:val="center"/>
              <w:rPr>
                <w:rFonts w:ascii="Times New Roman" w:hAnsi="Times New Roman" w:eastAsia="宋体"/>
                <w:sz w:val="21"/>
                <w:highlight w:val="none"/>
              </w:rPr>
            </w:pPr>
            <w:r>
              <w:rPr>
                <w:rFonts w:ascii="Times New Roman" w:hAnsi="Times New Roman" w:eastAsia="宋体"/>
                <w:sz w:val="21"/>
                <w:highlight w:val="none"/>
              </w:rPr>
              <w:t>属性</w:t>
            </w:r>
          </w:p>
        </w:tc>
        <w:tc>
          <w:tcPr>
            <w:tcW w:w="1599" w:type="dxa"/>
            <w:vAlign w:val="center"/>
          </w:tcPr>
          <w:p>
            <w:pPr>
              <w:pStyle w:val="114"/>
              <w:spacing w:before="178"/>
              <w:ind w:left="0" w:leftChars="0" w:right="141" w:firstLine="0" w:firstLineChars="0"/>
              <w:jc w:val="center"/>
              <w:rPr>
                <w:rFonts w:ascii="Times New Roman" w:hAnsi="Times New Roman" w:eastAsia="宋体"/>
                <w:sz w:val="21"/>
                <w:highlight w:val="none"/>
              </w:rPr>
            </w:pPr>
            <w:r>
              <w:rPr>
                <w:rFonts w:ascii="Times New Roman" w:hAnsi="Times New Roman" w:eastAsia="宋体"/>
                <w:sz w:val="21"/>
                <w:highlight w:val="none"/>
              </w:rPr>
              <w:t>相对厂址方位</w:t>
            </w:r>
          </w:p>
        </w:tc>
        <w:tc>
          <w:tcPr>
            <w:tcW w:w="1639" w:type="dxa"/>
            <w:vAlign w:val="center"/>
          </w:tcPr>
          <w:p>
            <w:pPr>
              <w:pStyle w:val="114"/>
              <w:spacing w:before="22"/>
              <w:ind w:left="0" w:leftChars="0" w:right="162" w:firstLine="0" w:firstLineChars="0"/>
              <w:jc w:val="center"/>
              <w:rPr>
                <w:rFonts w:ascii="Times New Roman" w:hAnsi="Times New Roman" w:eastAsia="宋体"/>
                <w:sz w:val="21"/>
                <w:highlight w:val="none"/>
              </w:rPr>
            </w:pPr>
            <w:r>
              <w:rPr>
                <w:rFonts w:ascii="Times New Roman" w:hAnsi="Times New Roman" w:eastAsia="宋体"/>
                <w:sz w:val="21"/>
                <w:highlight w:val="none"/>
              </w:rPr>
              <w:t>相对厂界距离/m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26" w:type="dxa"/>
            <w:vMerge w:val="restart"/>
            <w:vAlign w:val="center"/>
          </w:tcPr>
          <w:p>
            <w:pPr>
              <w:pStyle w:val="114"/>
              <w:ind w:left="0" w:leftChars="0" w:firstLine="0" w:firstLineChars="0"/>
              <w:jc w:val="center"/>
              <w:rPr>
                <w:rFonts w:ascii="Times New Roman" w:hAnsi="Times New Roman" w:eastAsia="宋体"/>
                <w:sz w:val="21"/>
                <w:highlight w:val="none"/>
              </w:rPr>
            </w:pPr>
            <w:r>
              <w:rPr>
                <w:rFonts w:ascii="Times New Roman" w:hAnsi="Times New Roman" w:eastAsia="宋体"/>
                <w:sz w:val="21"/>
                <w:highlight w:val="none"/>
              </w:rPr>
              <w:t>大气环境</w:t>
            </w:r>
          </w:p>
        </w:tc>
        <w:tc>
          <w:tcPr>
            <w:tcW w:w="1467" w:type="dxa"/>
            <w:vAlign w:val="center"/>
          </w:tcPr>
          <w:p>
            <w:pPr>
              <w:pStyle w:val="114"/>
              <w:spacing w:before="21"/>
              <w:ind w:left="0" w:leftChars="0" w:right="179" w:firstLine="0" w:firstLineChars="0"/>
              <w:jc w:val="center"/>
              <w:rPr>
                <w:rFonts w:ascii="Times New Roman" w:hAnsi="Times New Roman" w:eastAsia="宋体"/>
                <w:sz w:val="21"/>
                <w:highlight w:val="none"/>
              </w:rPr>
            </w:pPr>
            <w:r>
              <w:rPr>
                <w:rFonts w:hint="eastAsia" w:ascii="Times New Roman" w:hAnsi="Times New Roman"/>
                <w:sz w:val="21"/>
                <w:highlight w:val="none"/>
                <w:lang w:eastAsia="zh-CN"/>
              </w:rPr>
              <w:t>卡子</w:t>
            </w:r>
            <w:r>
              <w:rPr>
                <w:rFonts w:ascii="Times New Roman" w:hAnsi="Times New Roman" w:eastAsia="宋体"/>
                <w:sz w:val="21"/>
                <w:highlight w:val="none"/>
              </w:rPr>
              <w:t>村</w:t>
            </w:r>
          </w:p>
        </w:tc>
        <w:tc>
          <w:tcPr>
            <w:tcW w:w="2398" w:type="dxa"/>
            <w:vMerge w:val="restart"/>
            <w:vAlign w:val="center"/>
          </w:tcPr>
          <w:p>
            <w:pPr>
              <w:pStyle w:val="114"/>
              <w:jc w:val="center"/>
              <w:rPr>
                <w:rFonts w:ascii="Times New Roman" w:hAnsi="Times New Roman" w:eastAsia="宋体"/>
                <w:b/>
                <w:sz w:val="20"/>
                <w:highlight w:val="none"/>
              </w:rPr>
            </w:pPr>
          </w:p>
          <w:p>
            <w:pPr>
              <w:pStyle w:val="114"/>
              <w:spacing w:before="1"/>
              <w:jc w:val="center"/>
              <w:rPr>
                <w:rFonts w:ascii="Times New Roman" w:hAnsi="Times New Roman" w:eastAsia="宋体"/>
                <w:b/>
                <w:sz w:val="20"/>
                <w:highlight w:val="none"/>
              </w:rPr>
            </w:pPr>
          </w:p>
          <w:p>
            <w:pPr>
              <w:pStyle w:val="114"/>
              <w:spacing w:line="278" w:lineRule="auto"/>
              <w:ind w:left="0" w:leftChars="0" w:right="50" w:firstLine="0" w:firstLineChars="0"/>
              <w:jc w:val="center"/>
              <w:rPr>
                <w:rFonts w:ascii="Times New Roman" w:hAnsi="Times New Roman" w:eastAsia="宋体"/>
                <w:sz w:val="21"/>
                <w:highlight w:val="none"/>
              </w:rPr>
            </w:pPr>
            <w:r>
              <w:rPr>
                <w:rFonts w:ascii="Times New Roman" w:hAnsi="Times New Roman" w:eastAsia="宋体"/>
                <w:sz w:val="21"/>
                <w:highlight w:val="none"/>
              </w:rPr>
              <w:t xml:space="preserve">《环境空气质量标 </w:t>
            </w:r>
            <w:r>
              <w:rPr>
                <w:rFonts w:ascii="Times New Roman" w:hAnsi="Times New Roman" w:eastAsia="宋体"/>
                <w:w w:val="95"/>
                <w:sz w:val="21"/>
                <w:highlight w:val="none"/>
              </w:rPr>
              <w:t>准》（GB3095-2012）二</w:t>
            </w:r>
            <w:r>
              <w:rPr>
                <w:rFonts w:ascii="Times New Roman" w:hAnsi="Times New Roman" w:eastAsia="宋体"/>
                <w:sz w:val="21"/>
                <w:highlight w:val="none"/>
              </w:rPr>
              <w:t>级标准</w:t>
            </w:r>
          </w:p>
        </w:tc>
        <w:tc>
          <w:tcPr>
            <w:tcW w:w="1599" w:type="dxa"/>
            <w:vAlign w:val="center"/>
          </w:tcPr>
          <w:p>
            <w:pPr>
              <w:pStyle w:val="114"/>
              <w:spacing w:before="21"/>
              <w:ind w:left="0" w:leftChars="0" w:right="141" w:firstLine="0" w:firstLineChars="0"/>
              <w:jc w:val="center"/>
              <w:rPr>
                <w:rFonts w:ascii="Times New Roman" w:hAnsi="Times New Roman" w:eastAsia="宋体"/>
                <w:sz w:val="21"/>
                <w:highlight w:val="none"/>
              </w:rPr>
            </w:pPr>
            <w:r>
              <w:rPr>
                <w:rFonts w:ascii="Times New Roman" w:hAnsi="Times New Roman" w:eastAsia="宋体"/>
                <w:sz w:val="21"/>
                <w:highlight w:val="none"/>
              </w:rPr>
              <w:t>西侧</w:t>
            </w:r>
          </w:p>
        </w:tc>
        <w:tc>
          <w:tcPr>
            <w:tcW w:w="1639" w:type="dxa"/>
            <w:vAlign w:val="center"/>
          </w:tcPr>
          <w:p>
            <w:pPr>
              <w:pStyle w:val="114"/>
              <w:spacing w:before="35"/>
              <w:ind w:left="0" w:leftChars="0" w:right="158" w:firstLine="0" w:firstLineChars="0"/>
              <w:jc w:val="center"/>
              <w:rPr>
                <w:rFonts w:ascii="Times New Roman" w:hAnsi="Times New Roman" w:eastAsia="宋体"/>
                <w:sz w:val="21"/>
                <w:highlight w:val="none"/>
              </w:rPr>
            </w:pPr>
            <w:r>
              <w:rPr>
                <w:rFonts w:hint="eastAsia" w:ascii="Times New Roman" w:hAnsi="Times New Roman"/>
                <w:sz w:val="21"/>
                <w:highlight w:val="none"/>
                <w:lang w:val="en-US" w:eastAsia="zh-CN"/>
              </w:rPr>
              <w:t>860</w:t>
            </w:r>
            <w:r>
              <w:rPr>
                <w:rFonts w:ascii="Times New Roman" w:hAnsi="Times New Roman" w:eastAsia="宋体"/>
                <w:sz w:val="21"/>
                <w:highlight w:val="none"/>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26" w:type="dxa"/>
            <w:vMerge w:val="continue"/>
            <w:tcBorders>
              <w:top w:val="nil"/>
            </w:tcBorders>
            <w:vAlign w:val="center"/>
          </w:tcPr>
          <w:p>
            <w:pPr>
              <w:jc w:val="center"/>
              <w:rPr>
                <w:rFonts w:ascii="Times New Roman" w:hAnsi="Times New Roman" w:eastAsia="宋体"/>
                <w:sz w:val="2"/>
                <w:szCs w:val="2"/>
                <w:highlight w:val="none"/>
              </w:rPr>
            </w:pPr>
          </w:p>
        </w:tc>
        <w:tc>
          <w:tcPr>
            <w:tcW w:w="1467" w:type="dxa"/>
            <w:vAlign w:val="center"/>
          </w:tcPr>
          <w:p>
            <w:pPr>
              <w:pStyle w:val="114"/>
              <w:spacing w:before="21"/>
              <w:ind w:left="0" w:leftChars="0" w:right="179" w:firstLine="0" w:firstLineChars="0"/>
              <w:jc w:val="center"/>
              <w:rPr>
                <w:rFonts w:hint="eastAsia" w:ascii="Times New Roman" w:hAnsi="Times New Roman" w:eastAsia="宋体"/>
                <w:sz w:val="21"/>
                <w:highlight w:val="none"/>
                <w:lang w:eastAsia="zh-CN"/>
              </w:rPr>
            </w:pPr>
            <w:r>
              <w:rPr>
                <w:rFonts w:hint="eastAsia" w:ascii="Times New Roman" w:hAnsi="Times New Roman"/>
                <w:sz w:val="21"/>
                <w:highlight w:val="none"/>
                <w:lang w:eastAsia="zh-CN"/>
              </w:rPr>
              <w:t>租那村</w:t>
            </w:r>
          </w:p>
        </w:tc>
        <w:tc>
          <w:tcPr>
            <w:tcW w:w="2398" w:type="dxa"/>
            <w:vMerge w:val="continue"/>
            <w:tcBorders>
              <w:top w:val="nil"/>
            </w:tcBorders>
            <w:vAlign w:val="center"/>
          </w:tcPr>
          <w:p>
            <w:pPr>
              <w:jc w:val="center"/>
              <w:rPr>
                <w:rFonts w:ascii="Times New Roman" w:hAnsi="Times New Roman" w:eastAsia="宋体"/>
                <w:sz w:val="2"/>
                <w:szCs w:val="2"/>
                <w:highlight w:val="none"/>
              </w:rPr>
            </w:pPr>
          </w:p>
        </w:tc>
        <w:tc>
          <w:tcPr>
            <w:tcW w:w="1599" w:type="dxa"/>
            <w:vAlign w:val="center"/>
          </w:tcPr>
          <w:p>
            <w:pPr>
              <w:pStyle w:val="114"/>
              <w:spacing w:before="21"/>
              <w:ind w:left="0" w:leftChars="0" w:right="141" w:firstLine="0" w:firstLineChars="0"/>
              <w:jc w:val="center"/>
              <w:rPr>
                <w:rFonts w:ascii="Times New Roman" w:hAnsi="Times New Roman" w:eastAsia="宋体"/>
                <w:sz w:val="21"/>
                <w:highlight w:val="none"/>
              </w:rPr>
            </w:pPr>
            <w:r>
              <w:rPr>
                <w:rFonts w:ascii="Times New Roman" w:hAnsi="Times New Roman" w:eastAsia="宋体"/>
                <w:sz w:val="21"/>
                <w:highlight w:val="none"/>
              </w:rPr>
              <w:t>东</w:t>
            </w:r>
            <w:r>
              <w:rPr>
                <w:rFonts w:hint="eastAsia" w:ascii="Times New Roman" w:hAnsi="Times New Roman"/>
                <w:sz w:val="21"/>
                <w:highlight w:val="none"/>
                <w:lang w:eastAsia="zh-CN"/>
              </w:rPr>
              <w:t>南</w:t>
            </w:r>
            <w:r>
              <w:rPr>
                <w:rFonts w:ascii="Times New Roman" w:hAnsi="Times New Roman" w:eastAsia="宋体"/>
                <w:sz w:val="21"/>
                <w:highlight w:val="none"/>
              </w:rPr>
              <w:t>侧</w:t>
            </w:r>
          </w:p>
        </w:tc>
        <w:tc>
          <w:tcPr>
            <w:tcW w:w="1639" w:type="dxa"/>
            <w:vAlign w:val="center"/>
          </w:tcPr>
          <w:p>
            <w:pPr>
              <w:pStyle w:val="114"/>
              <w:spacing w:before="35"/>
              <w:ind w:left="0" w:leftChars="0" w:right="158" w:firstLine="0" w:firstLineChars="0"/>
              <w:jc w:val="center"/>
              <w:rPr>
                <w:rFonts w:ascii="Times New Roman" w:hAnsi="Times New Roman" w:eastAsia="宋体"/>
                <w:sz w:val="21"/>
                <w:highlight w:val="none"/>
              </w:rPr>
            </w:pPr>
            <w:r>
              <w:rPr>
                <w:rFonts w:hint="eastAsia" w:ascii="Times New Roman" w:hAnsi="Times New Roman"/>
                <w:sz w:val="21"/>
                <w:highlight w:val="none"/>
                <w:lang w:val="en-US" w:eastAsia="zh-CN"/>
              </w:rPr>
              <w:t>1730</w:t>
            </w:r>
            <w:r>
              <w:rPr>
                <w:rFonts w:ascii="Times New Roman" w:hAnsi="Times New Roman" w:eastAsia="宋体"/>
                <w:sz w:val="21"/>
                <w:highlight w:val="none"/>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426" w:type="dxa"/>
            <w:vMerge w:val="continue"/>
            <w:tcBorders>
              <w:top w:val="nil"/>
            </w:tcBorders>
            <w:vAlign w:val="center"/>
          </w:tcPr>
          <w:p>
            <w:pPr>
              <w:jc w:val="center"/>
              <w:rPr>
                <w:rFonts w:ascii="Times New Roman" w:hAnsi="Times New Roman" w:eastAsia="宋体"/>
                <w:sz w:val="2"/>
                <w:szCs w:val="2"/>
                <w:highlight w:val="none"/>
              </w:rPr>
            </w:pPr>
          </w:p>
        </w:tc>
        <w:tc>
          <w:tcPr>
            <w:tcW w:w="1467" w:type="dxa"/>
            <w:vAlign w:val="center"/>
          </w:tcPr>
          <w:p>
            <w:pPr>
              <w:pStyle w:val="114"/>
              <w:spacing w:before="21"/>
              <w:ind w:left="0" w:leftChars="0" w:right="179" w:firstLine="0" w:firstLineChars="0"/>
              <w:jc w:val="center"/>
              <w:rPr>
                <w:rFonts w:hint="eastAsia" w:ascii="Times New Roman" w:hAnsi="Times New Roman" w:eastAsia="宋体"/>
                <w:sz w:val="21"/>
                <w:highlight w:val="none"/>
                <w:lang w:eastAsia="zh-CN"/>
              </w:rPr>
            </w:pPr>
            <w:r>
              <w:rPr>
                <w:rFonts w:hint="eastAsia" w:ascii="Times New Roman" w:hAnsi="Times New Roman"/>
                <w:sz w:val="21"/>
                <w:highlight w:val="none"/>
                <w:lang w:eastAsia="zh-CN"/>
              </w:rPr>
              <w:t>倮基黑村</w:t>
            </w:r>
          </w:p>
        </w:tc>
        <w:tc>
          <w:tcPr>
            <w:tcW w:w="2398" w:type="dxa"/>
            <w:vMerge w:val="continue"/>
            <w:tcBorders>
              <w:top w:val="nil"/>
            </w:tcBorders>
            <w:vAlign w:val="center"/>
          </w:tcPr>
          <w:p>
            <w:pPr>
              <w:jc w:val="center"/>
              <w:rPr>
                <w:rFonts w:ascii="Times New Roman" w:hAnsi="Times New Roman" w:eastAsia="宋体"/>
                <w:sz w:val="2"/>
                <w:szCs w:val="2"/>
                <w:highlight w:val="none"/>
              </w:rPr>
            </w:pPr>
          </w:p>
        </w:tc>
        <w:tc>
          <w:tcPr>
            <w:tcW w:w="1599" w:type="dxa"/>
            <w:vAlign w:val="center"/>
          </w:tcPr>
          <w:p>
            <w:pPr>
              <w:pStyle w:val="114"/>
              <w:spacing w:before="21"/>
              <w:ind w:left="0" w:leftChars="0" w:right="141" w:firstLine="0" w:firstLineChars="0"/>
              <w:jc w:val="center"/>
              <w:rPr>
                <w:rFonts w:ascii="Times New Roman" w:hAnsi="Times New Roman" w:eastAsia="宋体"/>
                <w:sz w:val="21"/>
                <w:highlight w:val="none"/>
              </w:rPr>
            </w:pPr>
            <w:r>
              <w:rPr>
                <w:rFonts w:ascii="Times New Roman" w:hAnsi="Times New Roman" w:eastAsia="宋体"/>
                <w:sz w:val="21"/>
                <w:highlight w:val="none"/>
              </w:rPr>
              <w:t>南侧</w:t>
            </w:r>
          </w:p>
        </w:tc>
        <w:tc>
          <w:tcPr>
            <w:tcW w:w="1639" w:type="dxa"/>
            <w:vAlign w:val="center"/>
          </w:tcPr>
          <w:p>
            <w:pPr>
              <w:pStyle w:val="114"/>
              <w:spacing w:before="34"/>
              <w:ind w:left="0" w:leftChars="0" w:right="155" w:firstLine="0" w:firstLineChars="0"/>
              <w:jc w:val="center"/>
              <w:rPr>
                <w:rFonts w:ascii="Times New Roman" w:hAnsi="Times New Roman" w:eastAsia="宋体"/>
                <w:sz w:val="21"/>
                <w:highlight w:val="none"/>
              </w:rPr>
            </w:pPr>
            <w:r>
              <w:rPr>
                <w:rFonts w:hint="eastAsia" w:ascii="Times New Roman" w:hAnsi="Times New Roman"/>
                <w:sz w:val="21"/>
                <w:highlight w:val="none"/>
                <w:lang w:val="en-US" w:eastAsia="zh-CN"/>
              </w:rPr>
              <w:t>2780</w:t>
            </w:r>
            <w:r>
              <w:rPr>
                <w:rFonts w:ascii="Times New Roman" w:hAnsi="Times New Roman" w:eastAsia="宋体"/>
                <w:sz w:val="21"/>
                <w:highlight w:val="none"/>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26" w:type="dxa"/>
            <w:vMerge w:val="continue"/>
            <w:tcBorders>
              <w:top w:val="nil"/>
            </w:tcBorders>
            <w:vAlign w:val="center"/>
          </w:tcPr>
          <w:p>
            <w:pPr>
              <w:jc w:val="center"/>
              <w:rPr>
                <w:rFonts w:ascii="Times New Roman" w:hAnsi="Times New Roman" w:eastAsia="宋体"/>
                <w:sz w:val="2"/>
                <w:szCs w:val="2"/>
                <w:highlight w:val="none"/>
              </w:rPr>
            </w:pPr>
          </w:p>
        </w:tc>
        <w:tc>
          <w:tcPr>
            <w:tcW w:w="1467" w:type="dxa"/>
            <w:vAlign w:val="center"/>
          </w:tcPr>
          <w:p>
            <w:pPr>
              <w:pStyle w:val="114"/>
              <w:spacing w:before="22"/>
              <w:ind w:left="0" w:leftChars="0" w:right="179" w:firstLine="0" w:firstLineChars="0"/>
              <w:jc w:val="center"/>
              <w:rPr>
                <w:rFonts w:hint="eastAsia" w:ascii="Times New Roman" w:hAnsi="Times New Roman" w:eastAsia="宋体"/>
                <w:sz w:val="21"/>
                <w:highlight w:val="none"/>
                <w:lang w:eastAsia="zh-CN"/>
              </w:rPr>
            </w:pPr>
            <w:r>
              <w:rPr>
                <w:rFonts w:hint="eastAsia" w:ascii="Times New Roman" w:hAnsi="Times New Roman"/>
                <w:sz w:val="21"/>
                <w:highlight w:val="none"/>
                <w:lang w:eastAsia="zh-CN"/>
              </w:rPr>
              <w:t>吗发口村</w:t>
            </w:r>
          </w:p>
        </w:tc>
        <w:tc>
          <w:tcPr>
            <w:tcW w:w="2398" w:type="dxa"/>
            <w:vMerge w:val="continue"/>
            <w:tcBorders>
              <w:top w:val="nil"/>
            </w:tcBorders>
            <w:vAlign w:val="center"/>
          </w:tcPr>
          <w:p>
            <w:pPr>
              <w:jc w:val="center"/>
              <w:rPr>
                <w:rFonts w:ascii="Times New Roman" w:hAnsi="Times New Roman" w:eastAsia="宋体"/>
                <w:sz w:val="2"/>
                <w:szCs w:val="2"/>
                <w:highlight w:val="none"/>
              </w:rPr>
            </w:pPr>
          </w:p>
        </w:tc>
        <w:tc>
          <w:tcPr>
            <w:tcW w:w="1599" w:type="dxa"/>
            <w:vAlign w:val="center"/>
          </w:tcPr>
          <w:p>
            <w:pPr>
              <w:pStyle w:val="114"/>
              <w:spacing w:before="22"/>
              <w:ind w:left="0" w:leftChars="0" w:right="141" w:firstLine="0" w:firstLineChars="0"/>
              <w:jc w:val="center"/>
              <w:rPr>
                <w:rFonts w:ascii="Times New Roman" w:hAnsi="Times New Roman" w:eastAsia="宋体"/>
                <w:sz w:val="21"/>
                <w:highlight w:val="none"/>
              </w:rPr>
            </w:pPr>
            <w:r>
              <w:rPr>
                <w:rFonts w:ascii="Times New Roman" w:hAnsi="Times New Roman" w:eastAsia="宋体"/>
                <w:sz w:val="21"/>
                <w:highlight w:val="none"/>
              </w:rPr>
              <w:t>西</w:t>
            </w:r>
            <w:r>
              <w:rPr>
                <w:rFonts w:hint="eastAsia" w:ascii="Times New Roman" w:hAnsi="Times New Roman"/>
                <w:sz w:val="21"/>
                <w:highlight w:val="none"/>
                <w:lang w:eastAsia="zh-CN"/>
              </w:rPr>
              <w:t>北</w:t>
            </w:r>
            <w:r>
              <w:rPr>
                <w:rFonts w:ascii="Times New Roman" w:hAnsi="Times New Roman" w:eastAsia="宋体"/>
                <w:sz w:val="21"/>
                <w:highlight w:val="none"/>
              </w:rPr>
              <w:t>侧</w:t>
            </w:r>
          </w:p>
        </w:tc>
        <w:tc>
          <w:tcPr>
            <w:tcW w:w="1639" w:type="dxa"/>
            <w:vAlign w:val="center"/>
          </w:tcPr>
          <w:p>
            <w:pPr>
              <w:pStyle w:val="114"/>
              <w:spacing w:before="36"/>
              <w:ind w:left="0" w:leftChars="0" w:right="158" w:firstLine="0" w:firstLineChars="0"/>
              <w:jc w:val="center"/>
              <w:rPr>
                <w:rFonts w:ascii="Times New Roman" w:hAnsi="Times New Roman" w:eastAsia="宋体"/>
                <w:sz w:val="21"/>
                <w:highlight w:val="none"/>
              </w:rPr>
            </w:pPr>
            <w:r>
              <w:rPr>
                <w:rFonts w:hint="eastAsia" w:ascii="Times New Roman" w:hAnsi="Times New Roman"/>
                <w:sz w:val="21"/>
                <w:highlight w:val="none"/>
                <w:lang w:val="en-US" w:eastAsia="zh-CN"/>
              </w:rPr>
              <w:t>2040</w:t>
            </w:r>
            <w:r>
              <w:rPr>
                <w:rFonts w:ascii="Times New Roman" w:hAnsi="Times New Roman" w:eastAsia="宋体"/>
                <w:sz w:val="21"/>
                <w:highlight w:val="none"/>
              </w:rPr>
              <w:t>m</w:t>
            </w:r>
          </w:p>
        </w:tc>
      </w:tr>
    </w:tbl>
    <w:p>
      <w:pPr>
        <w:pStyle w:val="17"/>
        <w:ind w:firstLine="0" w:firstLineChars="0"/>
        <w:rPr>
          <w:rFonts w:ascii="Times New Roman"/>
          <w:highlight w:val="none"/>
        </w:rPr>
      </w:pPr>
    </w:p>
    <w:p>
      <w:pPr>
        <w:pStyle w:val="4"/>
        <w:rPr>
          <w:highlight w:val="none"/>
        </w:rPr>
      </w:pPr>
      <w:bookmarkStart w:id="470" w:name="_Toc2260"/>
      <w:r>
        <w:rPr>
          <w:rFonts w:hint="eastAsia"/>
          <w:highlight w:val="none"/>
          <w:lang w:val="en-US" w:eastAsia="zh-CN"/>
        </w:rPr>
        <w:t>7</w:t>
      </w:r>
      <w:r>
        <w:rPr>
          <w:rFonts w:hint="eastAsia"/>
          <w:highlight w:val="none"/>
        </w:rPr>
        <w:t>.</w:t>
      </w:r>
      <w:r>
        <w:rPr>
          <w:rFonts w:hint="eastAsia"/>
          <w:highlight w:val="none"/>
          <w:lang w:val="en-US" w:eastAsia="zh-CN"/>
        </w:rPr>
        <w:t>5</w:t>
      </w:r>
      <w:r>
        <w:rPr>
          <w:rFonts w:hint="eastAsia"/>
          <w:highlight w:val="none"/>
        </w:rPr>
        <w:t>环境风险识别</w:t>
      </w:r>
      <w:bookmarkEnd w:id="470"/>
    </w:p>
    <w:p>
      <w:pPr>
        <w:pStyle w:val="5"/>
        <w:rPr>
          <w:rFonts w:hint="default" w:cs="宋体"/>
          <w:highlight w:val="none"/>
        </w:rPr>
      </w:pPr>
      <w:bookmarkStart w:id="471" w:name="_Toc17490"/>
      <w:r>
        <w:rPr>
          <w:rFonts w:hint="eastAsia" w:cs="宋体"/>
          <w:highlight w:val="none"/>
          <w:lang w:val="en-US" w:eastAsia="zh-CN"/>
        </w:rPr>
        <w:t>7</w:t>
      </w:r>
      <w:r>
        <w:rPr>
          <w:rFonts w:cs="宋体"/>
          <w:highlight w:val="none"/>
        </w:rPr>
        <w:t>.</w:t>
      </w:r>
      <w:r>
        <w:rPr>
          <w:rFonts w:hint="eastAsia" w:cs="宋体"/>
          <w:highlight w:val="none"/>
          <w:lang w:val="en-US" w:eastAsia="zh-CN"/>
        </w:rPr>
        <w:t>5</w:t>
      </w:r>
      <w:r>
        <w:rPr>
          <w:rFonts w:cs="宋体"/>
          <w:highlight w:val="none"/>
        </w:rPr>
        <w:t>.1主要危险物质及分布情况</w:t>
      </w:r>
      <w:bookmarkEnd w:id="471"/>
    </w:p>
    <w:p>
      <w:pPr>
        <w:pStyle w:val="17"/>
        <w:ind w:firstLine="480"/>
        <w:rPr>
          <w:rFonts w:ascii="Times New Roman"/>
          <w:highlight w:val="none"/>
        </w:rPr>
      </w:pPr>
      <w:r>
        <w:rPr>
          <w:rFonts w:hint="eastAsia"/>
          <w:highlight w:val="none"/>
        </w:rPr>
        <w:t>本项目生产过程中涉及的物质主要为柴油、炸药、雷管等，</w:t>
      </w:r>
      <w:r>
        <w:rPr>
          <w:rFonts w:hint="eastAsia" w:ascii="Times New Roman"/>
          <w:highlight w:val="none"/>
        </w:rPr>
        <w:t>其危险物质数量和分布情况见表</w:t>
      </w:r>
      <w:r>
        <w:rPr>
          <w:rFonts w:hint="eastAsia" w:ascii="Times New Roman"/>
          <w:highlight w:val="none"/>
          <w:lang w:val="en-US" w:eastAsia="zh-CN"/>
        </w:rPr>
        <w:t>7</w:t>
      </w:r>
      <w:r>
        <w:rPr>
          <w:rFonts w:hint="eastAsia" w:ascii="Times New Roman"/>
          <w:highlight w:val="none"/>
        </w:rPr>
        <w:t>.</w:t>
      </w:r>
      <w:r>
        <w:rPr>
          <w:rFonts w:hint="eastAsia" w:ascii="Times New Roman"/>
          <w:highlight w:val="none"/>
          <w:lang w:val="en-US" w:eastAsia="zh-CN"/>
        </w:rPr>
        <w:t>5</w:t>
      </w:r>
      <w:r>
        <w:rPr>
          <w:rFonts w:hint="eastAsia" w:ascii="Times New Roman"/>
          <w:highlight w:val="none"/>
        </w:rPr>
        <w:t>-1。</w:t>
      </w:r>
    </w:p>
    <w:p>
      <w:pPr>
        <w:pStyle w:val="17"/>
        <w:ind w:firstLine="0" w:firstLineChars="0"/>
        <w:jc w:val="center"/>
        <w:rPr>
          <w:rFonts w:ascii="Times New Roman" w:hAnsi="Times New Roman"/>
          <w:b/>
          <w:bCs/>
          <w:sz w:val="21"/>
          <w:szCs w:val="21"/>
          <w:highlight w:val="none"/>
        </w:rPr>
      </w:pPr>
      <w:r>
        <w:rPr>
          <w:rFonts w:ascii="Times New Roman" w:hAnsi="Times New Roman"/>
          <w:b/>
          <w:bCs/>
          <w:sz w:val="21"/>
          <w:szCs w:val="21"/>
          <w:highlight w:val="none"/>
        </w:rPr>
        <w:t>表</w:t>
      </w:r>
      <w:r>
        <w:rPr>
          <w:rFonts w:hint="eastAsia" w:ascii="Times New Roman" w:hAnsi="Times New Roman"/>
          <w:b/>
          <w:bCs/>
          <w:sz w:val="21"/>
          <w:szCs w:val="21"/>
          <w:highlight w:val="none"/>
          <w:lang w:val="en-US" w:eastAsia="zh-CN"/>
        </w:rPr>
        <w:t>7</w:t>
      </w:r>
      <w:r>
        <w:rPr>
          <w:rFonts w:ascii="Times New Roman" w:hAnsi="Times New Roman"/>
          <w:b/>
          <w:bCs/>
          <w:sz w:val="21"/>
          <w:szCs w:val="21"/>
          <w:highlight w:val="none"/>
        </w:rPr>
        <w:t>.</w:t>
      </w:r>
      <w:r>
        <w:rPr>
          <w:rFonts w:hint="eastAsia" w:ascii="Times New Roman" w:hAnsi="Times New Roman"/>
          <w:b/>
          <w:bCs/>
          <w:sz w:val="21"/>
          <w:szCs w:val="21"/>
          <w:highlight w:val="none"/>
          <w:lang w:val="en-US" w:eastAsia="zh-CN"/>
        </w:rPr>
        <w:t>5</w:t>
      </w:r>
      <w:r>
        <w:rPr>
          <w:rFonts w:ascii="Times New Roman" w:hAnsi="Times New Roman"/>
          <w:b/>
          <w:bCs/>
          <w:sz w:val="21"/>
          <w:szCs w:val="21"/>
          <w:highlight w:val="none"/>
        </w:rPr>
        <w:t>-1  危险物质数量和分布情况</w:t>
      </w:r>
    </w:p>
    <w:tbl>
      <w:tblPr>
        <w:tblStyle w:val="29"/>
        <w:tblW w:w="89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1554"/>
        <w:gridCol w:w="1286"/>
        <w:gridCol w:w="1359"/>
        <w:gridCol w:w="1359"/>
        <w:gridCol w:w="2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22" w:type="dxa"/>
            <w:shd w:val="clear" w:color="auto" w:fill="auto"/>
            <w:vAlign w:val="center"/>
          </w:tcPr>
          <w:p>
            <w:pPr>
              <w:ind w:firstLine="0" w:firstLineChars="0"/>
              <w:jc w:val="center"/>
              <w:rPr>
                <w:b/>
                <w:bCs/>
                <w:sz w:val="21"/>
                <w:szCs w:val="21"/>
                <w:highlight w:val="none"/>
              </w:rPr>
            </w:pPr>
            <w:r>
              <w:rPr>
                <w:b/>
                <w:bCs/>
                <w:sz w:val="21"/>
                <w:szCs w:val="21"/>
                <w:highlight w:val="none"/>
              </w:rPr>
              <w:t>序号</w:t>
            </w:r>
          </w:p>
        </w:tc>
        <w:tc>
          <w:tcPr>
            <w:tcW w:w="1554" w:type="dxa"/>
            <w:shd w:val="clear" w:color="auto" w:fill="auto"/>
            <w:vAlign w:val="center"/>
          </w:tcPr>
          <w:p>
            <w:pPr>
              <w:ind w:firstLine="0" w:firstLineChars="0"/>
              <w:jc w:val="center"/>
              <w:rPr>
                <w:b/>
                <w:bCs/>
                <w:sz w:val="21"/>
                <w:szCs w:val="21"/>
                <w:highlight w:val="none"/>
              </w:rPr>
            </w:pPr>
            <w:r>
              <w:rPr>
                <w:b/>
                <w:bCs/>
                <w:sz w:val="21"/>
                <w:szCs w:val="21"/>
                <w:highlight w:val="none"/>
              </w:rPr>
              <w:t>危险物质名称</w:t>
            </w:r>
          </w:p>
        </w:tc>
        <w:tc>
          <w:tcPr>
            <w:tcW w:w="1286" w:type="dxa"/>
            <w:shd w:val="clear" w:color="auto" w:fill="auto"/>
            <w:vAlign w:val="center"/>
          </w:tcPr>
          <w:p>
            <w:pPr>
              <w:ind w:firstLine="0" w:firstLineChars="0"/>
              <w:jc w:val="center"/>
              <w:rPr>
                <w:b/>
                <w:bCs/>
                <w:color w:val="auto"/>
                <w:sz w:val="21"/>
                <w:szCs w:val="21"/>
                <w:highlight w:val="none"/>
              </w:rPr>
            </w:pPr>
            <w:r>
              <w:rPr>
                <w:rFonts w:hint="eastAsia"/>
                <w:b/>
                <w:bCs/>
                <w:color w:val="auto"/>
                <w:sz w:val="21"/>
                <w:szCs w:val="21"/>
                <w:highlight w:val="none"/>
                <w:lang w:eastAsia="zh-CN"/>
              </w:rPr>
              <w:t>年用量</w:t>
            </w:r>
          </w:p>
        </w:tc>
        <w:tc>
          <w:tcPr>
            <w:tcW w:w="1359" w:type="dxa"/>
            <w:shd w:val="clear" w:color="auto" w:fill="auto"/>
            <w:vAlign w:val="center"/>
          </w:tcPr>
          <w:p>
            <w:pPr>
              <w:ind w:firstLine="0" w:firstLineChars="0"/>
              <w:jc w:val="center"/>
              <w:rPr>
                <w:rFonts w:hint="default"/>
                <w:b/>
                <w:bCs/>
                <w:color w:val="auto"/>
                <w:sz w:val="21"/>
                <w:szCs w:val="21"/>
                <w:highlight w:val="none"/>
                <w:lang w:val="en-US" w:eastAsia="zh-CN"/>
              </w:rPr>
            </w:pPr>
            <w:r>
              <w:rPr>
                <w:rFonts w:hint="eastAsia"/>
                <w:b/>
                <w:bCs/>
                <w:color w:val="auto"/>
                <w:sz w:val="21"/>
                <w:szCs w:val="21"/>
                <w:highlight w:val="none"/>
                <w:lang w:eastAsia="zh-CN"/>
              </w:rPr>
              <w:t>最大储量</w:t>
            </w:r>
          </w:p>
        </w:tc>
        <w:tc>
          <w:tcPr>
            <w:tcW w:w="1359" w:type="dxa"/>
            <w:shd w:val="clear" w:color="auto" w:fill="auto"/>
            <w:vAlign w:val="center"/>
          </w:tcPr>
          <w:p>
            <w:pPr>
              <w:ind w:firstLine="0" w:firstLineChars="0"/>
              <w:jc w:val="center"/>
              <w:rPr>
                <w:b/>
                <w:bCs/>
                <w:sz w:val="21"/>
                <w:szCs w:val="21"/>
                <w:highlight w:val="none"/>
              </w:rPr>
            </w:pPr>
            <w:r>
              <w:rPr>
                <w:b/>
                <w:bCs/>
                <w:sz w:val="21"/>
                <w:szCs w:val="21"/>
                <w:highlight w:val="none"/>
              </w:rPr>
              <w:t>分布位置</w:t>
            </w:r>
          </w:p>
        </w:tc>
        <w:tc>
          <w:tcPr>
            <w:tcW w:w="2540" w:type="dxa"/>
            <w:shd w:val="clear" w:color="auto" w:fill="auto"/>
            <w:vAlign w:val="center"/>
          </w:tcPr>
          <w:p>
            <w:pPr>
              <w:ind w:firstLine="0" w:firstLineChars="0"/>
              <w:jc w:val="center"/>
              <w:rPr>
                <w:b/>
                <w:bCs/>
                <w:sz w:val="21"/>
                <w:szCs w:val="21"/>
                <w:highlight w:val="none"/>
              </w:rPr>
            </w:pPr>
            <w:r>
              <w:rPr>
                <w:rFonts w:hint="eastAsia"/>
                <w:b/>
                <w:bCs/>
                <w:sz w:val="21"/>
                <w:szCs w:val="21"/>
                <w:highlight w:val="none"/>
              </w:rPr>
              <w:t>中心地理坐标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22" w:type="dxa"/>
            <w:shd w:val="clear" w:color="auto" w:fill="auto"/>
            <w:vAlign w:val="center"/>
          </w:tcPr>
          <w:p>
            <w:pPr>
              <w:ind w:firstLine="0" w:firstLineChars="0"/>
              <w:jc w:val="center"/>
              <w:rPr>
                <w:sz w:val="21"/>
                <w:szCs w:val="21"/>
                <w:highlight w:val="none"/>
              </w:rPr>
            </w:pPr>
            <w:r>
              <w:rPr>
                <w:sz w:val="21"/>
                <w:szCs w:val="21"/>
                <w:highlight w:val="none"/>
              </w:rPr>
              <w:t>1</w:t>
            </w:r>
          </w:p>
        </w:tc>
        <w:tc>
          <w:tcPr>
            <w:tcW w:w="1554" w:type="dxa"/>
            <w:shd w:val="clear" w:color="auto" w:fill="auto"/>
            <w:vAlign w:val="center"/>
          </w:tcPr>
          <w:p>
            <w:pPr>
              <w:ind w:firstLine="0" w:firstLineChars="0"/>
              <w:jc w:val="center"/>
              <w:rPr>
                <w:sz w:val="21"/>
                <w:szCs w:val="21"/>
                <w:highlight w:val="none"/>
              </w:rPr>
            </w:pPr>
            <w:r>
              <w:rPr>
                <w:sz w:val="21"/>
                <w:szCs w:val="21"/>
                <w:highlight w:val="none"/>
              </w:rPr>
              <w:t>炸药</w:t>
            </w:r>
          </w:p>
        </w:tc>
        <w:tc>
          <w:tcPr>
            <w:tcW w:w="1286" w:type="dxa"/>
            <w:shd w:val="clear" w:color="auto" w:fill="auto"/>
            <w:vAlign w:val="center"/>
          </w:tcPr>
          <w:p>
            <w:pPr>
              <w:ind w:firstLine="0" w:firstLineChars="0"/>
              <w:jc w:val="center"/>
              <w:rPr>
                <w:color w:val="auto"/>
                <w:sz w:val="21"/>
                <w:szCs w:val="21"/>
                <w:highlight w:val="none"/>
              </w:rPr>
            </w:pPr>
            <w:r>
              <w:rPr>
                <w:rFonts w:hint="eastAsia"/>
                <w:color w:val="auto"/>
                <w:sz w:val="21"/>
                <w:szCs w:val="21"/>
                <w:highlight w:val="none"/>
                <w:lang w:val="en-US" w:eastAsia="zh-CN"/>
              </w:rPr>
              <w:t>51</w:t>
            </w:r>
            <w:r>
              <w:rPr>
                <w:color w:val="auto"/>
                <w:sz w:val="21"/>
                <w:szCs w:val="21"/>
                <w:highlight w:val="none"/>
              </w:rPr>
              <w:t>t/a</w:t>
            </w:r>
          </w:p>
        </w:tc>
        <w:tc>
          <w:tcPr>
            <w:tcW w:w="1359" w:type="dxa"/>
            <w:shd w:val="clear" w:color="auto" w:fill="auto"/>
            <w:vAlign w:val="center"/>
          </w:tcPr>
          <w:p>
            <w:pPr>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1359" w:type="dxa"/>
            <w:vMerge w:val="restart"/>
            <w:shd w:val="clear" w:color="auto" w:fill="auto"/>
            <w:vAlign w:val="center"/>
          </w:tcPr>
          <w:p>
            <w:pPr>
              <w:ind w:firstLine="0" w:firstLineChars="0"/>
              <w:jc w:val="center"/>
              <w:rPr>
                <w:rFonts w:hint="eastAsia" w:eastAsia="宋体"/>
                <w:sz w:val="21"/>
                <w:szCs w:val="21"/>
                <w:highlight w:val="none"/>
                <w:lang w:eastAsia="zh-CN"/>
              </w:rPr>
            </w:pPr>
            <w:r>
              <w:rPr>
                <w:rFonts w:hint="eastAsia"/>
                <w:sz w:val="21"/>
                <w:szCs w:val="21"/>
                <w:highlight w:val="none"/>
                <w:lang w:val="en-US" w:eastAsia="zh-CN"/>
              </w:rPr>
              <w:t>/</w:t>
            </w:r>
          </w:p>
        </w:tc>
        <w:tc>
          <w:tcPr>
            <w:tcW w:w="2540" w:type="dxa"/>
            <w:vMerge w:val="restart"/>
            <w:shd w:val="clear" w:color="auto" w:fill="auto"/>
            <w:vAlign w:val="center"/>
          </w:tcPr>
          <w:p>
            <w:pPr>
              <w:ind w:firstLine="0" w:firstLineChars="0"/>
              <w:jc w:val="center"/>
              <w:rPr>
                <w:sz w:val="21"/>
                <w:szCs w:val="21"/>
                <w:highlight w:val="none"/>
              </w:rPr>
            </w:pPr>
            <w:r>
              <w:rPr>
                <w:rFonts w:hint="eastAsia"/>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22" w:type="dxa"/>
            <w:shd w:val="clear" w:color="auto" w:fill="auto"/>
            <w:vAlign w:val="center"/>
          </w:tcPr>
          <w:p>
            <w:pPr>
              <w:ind w:firstLine="0" w:firstLineChars="0"/>
              <w:jc w:val="center"/>
              <w:rPr>
                <w:sz w:val="21"/>
                <w:szCs w:val="21"/>
                <w:highlight w:val="none"/>
              </w:rPr>
            </w:pPr>
            <w:r>
              <w:rPr>
                <w:sz w:val="21"/>
                <w:szCs w:val="21"/>
                <w:highlight w:val="none"/>
              </w:rPr>
              <w:t>2</w:t>
            </w:r>
          </w:p>
        </w:tc>
        <w:tc>
          <w:tcPr>
            <w:tcW w:w="1554" w:type="dxa"/>
            <w:shd w:val="clear" w:color="auto" w:fill="auto"/>
            <w:vAlign w:val="center"/>
          </w:tcPr>
          <w:p>
            <w:pPr>
              <w:ind w:firstLine="0" w:firstLineChars="0"/>
              <w:jc w:val="center"/>
              <w:rPr>
                <w:sz w:val="21"/>
                <w:szCs w:val="21"/>
                <w:highlight w:val="none"/>
              </w:rPr>
            </w:pPr>
            <w:r>
              <w:rPr>
                <w:sz w:val="21"/>
                <w:szCs w:val="21"/>
                <w:highlight w:val="none"/>
              </w:rPr>
              <w:t>雷管</w:t>
            </w:r>
          </w:p>
        </w:tc>
        <w:tc>
          <w:tcPr>
            <w:tcW w:w="1286" w:type="dxa"/>
            <w:shd w:val="clear" w:color="auto" w:fill="auto"/>
            <w:vAlign w:val="center"/>
          </w:tcPr>
          <w:p>
            <w:pPr>
              <w:ind w:firstLine="0" w:firstLineChars="0"/>
              <w:jc w:val="center"/>
              <w:rPr>
                <w:color w:val="auto"/>
                <w:sz w:val="21"/>
                <w:szCs w:val="21"/>
                <w:highlight w:val="none"/>
              </w:rPr>
            </w:pPr>
            <w:r>
              <w:rPr>
                <w:rFonts w:hint="eastAsia"/>
                <w:color w:val="auto"/>
                <w:sz w:val="21"/>
                <w:szCs w:val="21"/>
                <w:highlight w:val="none"/>
              </w:rPr>
              <w:t>5</w:t>
            </w:r>
            <w:r>
              <w:rPr>
                <w:color w:val="auto"/>
                <w:sz w:val="21"/>
                <w:szCs w:val="21"/>
                <w:highlight w:val="none"/>
              </w:rPr>
              <w:t>00发</w:t>
            </w:r>
            <w:r>
              <w:rPr>
                <w:rFonts w:hint="eastAsia"/>
                <w:color w:val="auto"/>
                <w:sz w:val="21"/>
                <w:szCs w:val="21"/>
                <w:highlight w:val="none"/>
              </w:rPr>
              <w:t>/a</w:t>
            </w:r>
          </w:p>
        </w:tc>
        <w:tc>
          <w:tcPr>
            <w:tcW w:w="1359" w:type="dxa"/>
            <w:shd w:val="clear" w:color="auto" w:fill="auto"/>
            <w:vAlign w:val="center"/>
          </w:tcPr>
          <w:p>
            <w:pPr>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1359" w:type="dxa"/>
            <w:vMerge w:val="continue"/>
            <w:shd w:val="clear" w:color="auto" w:fill="auto"/>
            <w:vAlign w:val="center"/>
          </w:tcPr>
          <w:p>
            <w:pPr>
              <w:ind w:firstLine="0" w:firstLineChars="0"/>
              <w:jc w:val="center"/>
              <w:rPr>
                <w:sz w:val="21"/>
                <w:szCs w:val="21"/>
                <w:highlight w:val="none"/>
              </w:rPr>
            </w:pPr>
          </w:p>
        </w:tc>
        <w:tc>
          <w:tcPr>
            <w:tcW w:w="2540" w:type="dxa"/>
            <w:vMerge w:val="continue"/>
            <w:shd w:val="clear" w:color="auto" w:fill="auto"/>
            <w:vAlign w:val="center"/>
          </w:tcPr>
          <w:p>
            <w:pPr>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22" w:type="dxa"/>
            <w:shd w:val="clear" w:color="auto" w:fill="auto"/>
            <w:vAlign w:val="center"/>
          </w:tcPr>
          <w:p>
            <w:pPr>
              <w:ind w:firstLine="0" w:firstLineChars="0"/>
              <w:jc w:val="center"/>
              <w:rPr>
                <w:sz w:val="21"/>
                <w:szCs w:val="21"/>
                <w:highlight w:val="none"/>
              </w:rPr>
            </w:pPr>
            <w:r>
              <w:rPr>
                <w:sz w:val="21"/>
                <w:szCs w:val="21"/>
                <w:highlight w:val="none"/>
              </w:rPr>
              <w:t>3</w:t>
            </w:r>
          </w:p>
        </w:tc>
        <w:tc>
          <w:tcPr>
            <w:tcW w:w="1554" w:type="dxa"/>
            <w:shd w:val="clear" w:color="auto" w:fill="auto"/>
            <w:vAlign w:val="center"/>
          </w:tcPr>
          <w:p>
            <w:pPr>
              <w:ind w:firstLine="0" w:firstLineChars="0"/>
              <w:jc w:val="center"/>
              <w:rPr>
                <w:sz w:val="21"/>
                <w:szCs w:val="21"/>
                <w:highlight w:val="none"/>
              </w:rPr>
            </w:pPr>
            <w:r>
              <w:rPr>
                <w:sz w:val="21"/>
                <w:szCs w:val="21"/>
                <w:highlight w:val="none"/>
              </w:rPr>
              <w:t>柴油（0＃）</w:t>
            </w:r>
          </w:p>
        </w:tc>
        <w:tc>
          <w:tcPr>
            <w:tcW w:w="1286" w:type="dxa"/>
            <w:shd w:val="clear" w:color="auto" w:fill="auto"/>
            <w:vAlign w:val="center"/>
          </w:tcPr>
          <w:p>
            <w:pPr>
              <w:ind w:firstLine="0" w:firstLineChars="0"/>
              <w:jc w:val="center"/>
              <w:rPr>
                <w:color w:val="auto"/>
                <w:sz w:val="21"/>
                <w:szCs w:val="21"/>
                <w:highlight w:val="none"/>
              </w:rPr>
            </w:pPr>
            <w:r>
              <w:rPr>
                <w:rFonts w:hint="eastAsia"/>
                <w:color w:val="auto"/>
                <w:sz w:val="21"/>
                <w:szCs w:val="21"/>
                <w:highlight w:val="none"/>
                <w:lang w:val="en-US" w:eastAsia="zh-CN"/>
              </w:rPr>
              <w:t>150</w:t>
            </w:r>
            <w:r>
              <w:rPr>
                <w:color w:val="auto"/>
                <w:sz w:val="21"/>
                <w:szCs w:val="21"/>
                <w:highlight w:val="none"/>
              </w:rPr>
              <w:t>t/a</w:t>
            </w:r>
          </w:p>
        </w:tc>
        <w:tc>
          <w:tcPr>
            <w:tcW w:w="1359" w:type="dxa"/>
            <w:shd w:val="clear" w:color="auto" w:fill="auto"/>
            <w:vAlign w:val="center"/>
          </w:tcPr>
          <w:p>
            <w:pPr>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10t</w:t>
            </w:r>
          </w:p>
        </w:tc>
        <w:tc>
          <w:tcPr>
            <w:tcW w:w="1359" w:type="dxa"/>
            <w:shd w:val="clear" w:color="auto" w:fill="auto"/>
            <w:vAlign w:val="center"/>
          </w:tcPr>
          <w:p>
            <w:pPr>
              <w:ind w:firstLine="0" w:firstLineChars="0"/>
              <w:jc w:val="center"/>
              <w:rPr>
                <w:sz w:val="21"/>
                <w:szCs w:val="21"/>
                <w:highlight w:val="none"/>
              </w:rPr>
            </w:pPr>
            <w:r>
              <w:rPr>
                <w:rFonts w:hint="eastAsia"/>
                <w:sz w:val="21"/>
                <w:szCs w:val="21"/>
                <w:highlight w:val="none"/>
              </w:rPr>
              <w:t>柴油罐</w:t>
            </w:r>
          </w:p>
        </w:tc>
        <w:tc>
          <w:tcPr>
            <w:tcW w:w="2540" w:type="dxa"/>
            <w:shd w:val="clear" w:color="auto" w:fill="auto"/>
            <w:vAlign w:val="center"/>
          </w:tcPr>
          <w:p>
            <w:pPr>
              <w:ind w:firstLine="0" w:firstLineChars="0"/>
              <w:jc w:val="center"/>
              <w:rPr>
                <w:sz w:val="21"/>
                <w:szCs w:val="21"/>
                <w:highlight w:val="none"/>
              </w:rPr>
            </w:pPr>
            <w:r>
              <w:rPr>
                <w:rFonts w:hint="eastAsia"/>
                <w:sz w:val="21"/>
                <w:szCs w:val="21"/>
                <w:highlight w:val="none"/>
              </w:rPr>
              <w:t>东经103°</w:t>
            </w:r>
            <w:r>
              <w:rPr>
                <w:rFonts w:hint="eastAsia"/>
                <w:sz w:val="21"/>
                <w:szCs w:val="21"/>
                <w:highlight w:val="none"/>
                <w:lang w:val="en-US" w:eastAsia="zh-CN"/>
              </w:rPr>
              <w:t>32</w:t>
            </w:r>
            <w:r>
              <w:rPr>
                <w:rFonts w:hint="eastAsia"/>
                <w:sz w:val="21"/>
                <w:szCs w:val="21"/>
                <w:highlight w:val="none"/>
              </w:rPr>
              <w:t>′</w:t>
            </w:r>
            <w:r>
              <w:rPr>
                <w:rFonts w:hint="eastAsia"/>
                <w:sz w:val="21"/>
                <w:szCs w:val="21"/>
                <w:highlight w:val="none"/>
                <w:lang w:val="en-US" w:eastAsia="zh-CN"/>
              </w:rPr>
              <w:t>31</w:t>
            </w:r>
            <w:r>
              <w:rPr>
                <w:rFonts w:hint="eastAsia"/>
                <w:sz w:val="21"/>
                <w:szCs w:val="21"/>
                <w:highlight w:val="none"/>
              </w:rPr>
              <w:t>″</w:t>
            </w:r>
          </w:p>
          <w:p>
            <w:pPr>
              <w:ind w:firstLine="0" w:firstLineChars="0"/>
              <w:jc w:val="center"/>
              <w:rPr>
                <w:sz w:val="21"/>
                <w:szCs w:val="21"/>
                <w:highlight w:val="none"/>
              </w:rPr>
            </w:pPr>
            <w:r>
              <w:rPr>
                <w:rFonts w:hint="eastAsia"/>
                <w:sz w:val="21"/>
                <w:szCs w:val="21"/>
                <w:highlight w:val="none"/>
              </w:rPr>
              <w:t>北纬23°</w:t>
            </w:r>
            <w:r>
              <w:rPr>
                <w:rFonts w:hint="eastAsia"/>
                <w:sz w:val="21"/>
                <w:szCs w:val="21"/>
                <w:highlight w:val="none"/>
                <w:lang w:val="en-US" w:eastAsia="zh-CN"/>
              </w:rPr>
              <w:t>51</w:t>
            </w:r>
            <w:r>
              <w:rPr>
                <w:rFonts w:hint="eastAsia"/>
                <w:sz w:val="21"/>
                <w:szCs w:val="21"/>
                <w:highlight w:val="none"/>
              </w:rPr>
              <w:t>′</w:t>
            </w:r>
            <w:r>
              <w:rPr>
                <w:rFonts w:hint="eastAsia"/>
                <w:sz w:val="21"/>
                <w:szCs w:val="21"/>
                <w:highlight w:val="none"/>
                <w:lang w:val="en-US" w:eastAsia="zh-CN"/>
              </w:rPr>
              <w:t>36</w:t>
            </w:r>
            <w:r>
              <w:rPr>
                <w:rFonts w:hint="eastAsia"/>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822" w:type="dxa"/>
            <w:shd w:val="clear" w:color="auto" w:fill="auto"/>
            <w:vAlign w:val="center"/>
          </w:tcPr>
          <w:p>
            <w:pPr>
              <w:ind w:firstLine="0" w:firstLineChars="0"/>
              <w:jc w:val="center"/>
              <w:rPr>
                <w:rFonts w:hint="eastAsia" w:eastAsia="宋体"/>
                <w:sz w:val="21"/>
                <w:szCs w:val="21"/>
                <w:highlight w:val="none"/>
                <w:lang w:val="en-US" w:eastAsia="zh-CN"/>
              </w:rPr>
            </w:pPr>
            <w:r>
              <w:rPr>
                <w:rFonts w:hint="eastAsia"/>
                <w:sz w:val="21"/>
                <w:szCs w:val="21"/>
                <w:highlight w:val="none"/>
                <w:lang w:val="en-US" w:eastAsia="zh-CN"/>
              </w:rPr>
              <w:t>4</w:t>
            </w:r>
          </w:p>
        </w:tc>
        <w:tc>
          <w:tcPr>
            <w:tcW w:w="1554" w:type="dxa"/>
            <w:shd w:val="clear" w:color="auto" w:fill="auto"/>
            <w:vAlign w:val="center"/>
          </w:tcPr>
          <w:p>
            <w:pPr>
              <w:ind w:firstLine="0" w:firstLineChars="0"/>
              <w:jc w:val="center"/>
              <w:rPr>
                <w:rFonts w:hint="eastAsia" w:eastAsia="宋体"/>
                <w:sz w:val="21"/>
                <w:szCs w:val="21"/>
                <w:highlight w:val="none"/>
                <w:lang w:eastAsia="zh-CN"/>
              </w:rPr>
            </w:pPr>
            <w:r>
              <w:rPr>
                <w:rFonts w:hint="eastAsia"/>
                <w:sz w:val="21"/>
                <w:szCs w:val="21"/>
                <w:highlight w:val="none"/>
                <w:lang w:eastAsia="zh-CN"/>
              </w:rPr>
              <w:t>润滑油</w:t>
            </w:r>
          </w:p>
        </w:tc>
        <w:tc>
          <w:tcPr>
            <w:tcW w:w="1286" w:type="dxa"/>
            <w:shd w:val="clear" w:color="auto" w:fill="auto"/>
            <w:vAlign w:val="center"/>
          </w:tcPr>
          <w:p>
            <w:pPr>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25t/a</w:t>
            </w:r>
          </w:p>
        </w:tc>
        <w:tc>
          <w:tcPr>
            <w:tcW w:w="1359" w:type="dxa"/>
            <w:shd w:val="clear" w:color="auto" w:fill="auto"/>
            <w:vAlign w:val="center"/>
          </w:tcPr>
          <w:p>
            <w:pPr>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1t</w:t>
            </w:r>
          </w:p>
        </w:tc>
        <w:tc>
          <w:tcPr>
            <w:tcW w:w="1359" w:type="dxa"/>
            <w:shd w:val="clear" w:color="auto" w:fill="auto"/>
            <w:vAlign w:val="center"/>
          </w:tcPr>
          <w:p>
            <w:pPr>
              <w:ind w:firstLine="0" w:firstLineChars="0"/>
              <w:jc w:val="center"/>
              <w:rPr>
                <w:rFonts w:hint="eastAsia" w:eastAsia="宋体"/>
                <w:sz w:val="21"/>
                <w:szCs w:val="21"/>
                <w:highlight w:val="none"/>
                <w:lang w:eastAsia="zh-CN"/>
              </w:rPr>
            </w:pPr>
            <w:r>
              <w:rPr>
                <w:rFonts w:hint="eastAsia"/>
                <w:sz w:val="21"/>
                <w:szCs w:val="21"/>
                <w:highlight w:val="none"/>
                <w:lang w:eastAsia="zh-CN"/>
              </w:rPr>
              <w:t>汽修车间</w:t>
            </w:r>
          </w:p>
        </w:tc>
        <w:tc>
          <w:tcPr>
            <w:tcW w:w="2540" w:type="dxa"/>
            <w:shd w:val="clear" w:color="auto" w:fill="auto"/>
            <w:vAlign w:val="center"/>
          </w:tcPr>
          <w:p>
            <w:pPr>
              <w:ind w:firstLine="0" w:firstLineChars="0"/>
              <w:jc w:val="center"/>
              <w:rPr>
                <w:sz w:val="21"/>
                <w:szCs w:val="21"/>
                <w:highlight w:val="none"/>
              </w:rPr>
            </w:pPr>
            <w:r>
              <w:rPr>
                <w:rFonts w:hint="eastAsia"/>
                <w:sz w:val="21"/>
                <w:szCs w:val="21"/>
                <w:highlight w:val="none"/>
              </w:rPr>
              <w:t>东经103°</w:t>
            </w:r>
            <w:r>
              <w:rPr>
                <w:rFonts w:hint="eastAsia"/>
                <w:sz w:val="21"/>
                <w:szCs w:val="21"/>
                <w:highlight w:val="none"/>
                <w:lang w:val="en-US" w:eastAsia="zh-CN"/>
              </w:rPr>
              <w:t>32</w:t>
            </w:r>
            <w:r>
              <w:rPr>
                <w:rFonts w:hint="eastAsia"/>
                <w:sz w:val="21"/>
                <w:szCs w:val="21"/>
                <w:highlight w:val="none"/>
              </w:rPr>
              <w:t>′</w:t>
            </w:r>
            <w:r>
              <w:rPr>
                <w:rFonts w:hint="eastAsia"/>
                <w:sz w:val="21"/>
                <w:szCs w:val="21"/>
                <w:highlight w:val="none"/>
                <w:lang w:val="en-US" w:eastAsia="zh-CN"/>
              </w:rPr>
              <w:t>30</w:t>
            </w:r>
            <w:r>
              <w:rPr>
                <w:rFonts w:hint="eastAsia"/>
                <w:sz w:val="21"/>
                <w:szCs w:val="21"/>
                <w:highlight w:val="none"/>
              </w:rPr>
              <w:t>″</w:t>
            </w:r>
          </w:p>
          <w:p>
            <w:pPr>
              <w:ind w:firstLine="0" w:firstLineChars="0"/>
              <w:jc w:val="center"/>
              <w:rPr>
                <w:rFonts w:hint="eastAsia"/>
                <w:sz w:val="21"/>
                <w:szCs w:val="21"/>
                <w:highlight w:val="none"/>
              </w:rPr>
            </w:pPr>
            <w:r>
              <w:rPr>
                <w:rFonts w:hint="eastAsia"/>
                <w:sz w:val="21"/>
                <w:szCs w:val="21"/>
                <w:highlight w:val="none"/>
              </w:rPr>
              <w:t>北纬23°</w:t>
            </w:r>
            <w:r>
              <w:rPr>
                <w:rFonts w:hint="eastAsia"/>
                <w:sz w:val="21"/>
                <w:szCs w:val="21"/>
                <w:highlight w:val="none"/>
                <w:lang w:val="en-US" w:eastAsia="zh-CN"/>
              </w:rPr>
              <w:t>51</w:t>
            </w:r>
            <w:r>
              <w:rPr>
                <w:rFonts w:hint="eastAsia"/>
                <w:sz w:val="21"/>
                <w:szCs w:val="21"/>
                <w:highlight w:val="none"/>
              </w:rPr>
              <w:t>′</w:t>
            </w:r>
            <w:r>
              <w:rPr>
                <w:rFonts w:hint="eastAsia"/>
                <w:sz w:val="21"/>
                <w:szCs w:val="21"/>
                <w:highlight w:val="none"/>
                <w:lang w:val="en-US" w:eastAsia="zh-CN"/>
              </w:rPr>
              <w:t>35</w:t>
            </w:r>
            <w:r>
              <w:rPr>
                <w:rFonts w:hint="eastAsia"/>
                <w:sz w:val="21"/>
                <w:szCs w:val="21"/>
                <w:highlight w:val="none"/>
              </w:rPr>
              <w:t>″</w:t>
            </w:r>
          </w:p>
        </w:tc>
      </w:tr>
    </w:tbl>
    <w:p>
      <w:pPr>
        <w:ind w:firstLine="480"/>
        <w:rPr>
          <w:highlight w:val="none"/>
        </w:rPr>
      </w:pPr>
    </w:p>
    <w:p>
      <w:pPr>
        <w:pStyle w:val="5"/>
        <w:rPr>
          <w:rFonts w:hint="default"/>
          <w:color w:val="000000"/>
          <w:sz w:val="24"/>
          <w:highlight w:val="none"/>
        </w:rPr>
      </w:pPr>
      <w:bookmarkStart w:id="472" w:name="_Toc32634"/>
      <w:r>
        <w:rPr>
          <w:rFonts w:hint="eastAsia" w:cs="宋体"/>
          <w:highlight w:val="none"/>
          <w:lang w:val="en-US" w:eastAsia="zh-CN"/>
        </w:rPr>
        <w:t>7</w:t>
      </w:r>
      <w:r>
        <w:rPr>
          <w:rFonts w:cs="宋体"/>
          <w:highlight w:val="none"/>
        </w:rPr>
        <w:t>.</w:t>
      </w:r>
      <w:r>
        <w:rPr>
          <w:rFonts w:hint="eastAsia" w:cs="宋体"/>
          <w:highlight w:val="none"/>
          <w:lang w:val="en-US" w:eastAsia="zh-CN"/>
        </w:rPr>
        <w:t>5</w:t>
      </w:r>
      <w:r>
        <w:rPr>
          <w:rFonts w:cs="宋体"/>
          <w:highlight w:val="none"/>
        </w:rPr>
        <w:t>.2.可能影响环境的途径</w:t>
      </w:r>
      <w:bookmarkEnd w:id="472"/>
    </w:p>
    <w:p>
      <w:pPr>
        <w:ind w:firstLine="480"/>
        <w:rPr>
          <w:color w:val="000000"/>
          <w:highlight w:val="none"/>
        </w:rPr>
      </w:pPr>
      <w:r>
        <w:rPr>
          <w:rFonts w:hint="eastAsia"/>
          <w:color w:val="000000"/>
          <w:highlight w:val="none"/>
        </w:rPr>
        <w:t>本项目可能发生的风险事故及可能影响环境的途径见表8.</w:t>
      </w:r>
      <w:r>
        <w:rPr>
          <w:rFonts w:hint="eastAsia"/>
          <w:color w:val="000000"/>
          <w:highlight w:val="none"/>
          <w:lang w:val="en-US" w:eastAsia="zh-CN"/>
        </w:rPr>
        <w:t>5</w:t>
      </w:r>
      <w:r>
        <w:rPr>
          <w:rFonts w:hint="eastAsia"/>
          <w:color w:val="000000"/>
          <w:highlight w:val="none"/>
        </w:rPr>
        <w:t>-2。</w:t>
      </w:r>
    </w:p>
    <w:p>
      <w:pPr>
        <w:ind w:firstLine="422"/>
        <w:jc w:val="center"/>
        <w:rPr>
          <w:b/>
          <w:bCs/>
          <w:color w:val="000000"/>
          <w:kern w:val="0"/>
          <w:sz w:val="21"/>
          <w:szCs w:val="21"/>
          <w:highlight w:val="none"/>
        </w:rPr>
      </w:pPr>
    </w:p>
    <w:p>
      <w:pPr>
        <w:ind w:firstLine="422"/>
        <w:jc w:val="center"/>
        <w:rPr>
          <w:b/>
          <w:bCs/>
          <w:color w:val="000000"/>
          <w:kern w:val="0"/>
          <w:sz w:val="21"/>
          <w:szCs w:val="21"/>
          <w:highlight w:val="none"/>
        </w:rPr>
      </w:pPr>
      <w:r>
        <w:rPr>
          <w:b/>
          <w:bCs/>
          <w:color w:val="000000"/>
          <w:kern w:val="0"/>
          <w:sz w:val="21"/>
          <w:szCs w:val="21"/>
          <w:highlight w:val="none"/>
        </w:rPr>
        <w:t>表</w:t>
      </w:r>
      <w:r>
        <w:rPr>
          <w:rFonts w:hint="eastAsia"/>
          <w:b/>
          <w:bCs/>
          <w:color w:val="000000"/>
          <w:kern w:val="0"/>
          <w:sz w:val="21"/>
          <w:szCs w:val="21"/>
          <w:highlight w:val="none"/>
          <w:lang w:val="en-US" w:eastAsia="zh-CN"/>
        </w:rPr>
        <w:t>7</w:t>
      </w:r>
      <w:r>
        <w:rPr>
          <w:rFonts w:hint="eastAsia"/>
          <w:b/>
          <w:bCs/>
          <w:color w:val="000000"/>
          <w:kern w:val="0"/>
          <w:sz w:val="21"/>
          <w:szCs w:val="21"/>
          <w:highlight w:val="none"/>
        </w:rPr>
        <w:t>.</w:t>
      </w:r>
      <w:r>
        <w:rPr>
          <w:rFonts w:hint="eastAsia"/>
          <w:b/>
          <w:bCs/>
          <w:color w:val="000000"/>
          <w:kern w:val="0"/>
          <w:sz w:val="21"/>
          <w:szCs w:val="21"/>
          <w:highlight w:val="none"/>
          <w:lang w:val="en-US" w:eastAsia="zh-CN"/>
        </w:rPr>
        <w:t>5</w:t>
      </w:r>
      <w:r>
        <w:rPr>
          <w:rFonts w:hint="eastAsia"/>
          <w:b/>
          <w:bCs/>
          <w:color w:val="000000"/>
          <w:kern w:val="0"/>
          <w:sz w:val="21"/>
          <w:szCs w:val="21"/>
          <w:highlight w:val="none"/>
        </w:rPr>
        <w:t>-2</w:t>
      </w:r>
      <w:r>
        <w:rPr>
          <w:b/>
          <w:bCs/>
          <w:color w:val="000000"/>
          <w:kern w:val="0"/>
          <w:sz w:val="21"/>
          <w:szCs w:val="21"/>
          <w:highlight w:val="none"/>
        </w:rPr>
        <w:t xml:space="preserve">  </w:t>
      </w:r>
      <w:r>
        <w:rPr>
          <w:rFonts w:hint="eastAsia"/>
          <w:b/>
          <w:bCs/>
          <w:color w:val="000000"/>
          <w:kern w:val="0"/>
          <w:sz w:val="21"/>
          <w:szCs w:val="21"/>
          <w:highlight w:val="none"/>
        </w:rPr>
        <w:t>可能影响环境的途径</w:t>
      </w:r>
    </w:p>
    <w:tbl>
      <w:tblPr>
        <w:tblStyle w:val="29"/>
        <w:tblW w:w="9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965"/>
        <w:gridCol w:w="1980"/>
        <w:gridCol w:w="3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271" w:type="dxa"/>
            <w:shd w:val="clear" w:color="auto" w:fill="auto"/>
            <w:vAlign w:val="center"/>
          </w:tcPr>
          <w:p>
            <w:pPr>
              <w:ind w:firstLine="0" w:firstLineChars="0"/>
              <w:jc w:val="center"/>
              <w:rPr>
                <w:b/>
                <w:bCs/>
                <w:sz w:val="21"/>
                <w:szCs w:val="21"/>
                <w:highlight w:val="none"/>
              </w:rPr>
            </w:pPr>
            <w:r>
              <w:rPr>
                <w:b/>
                <w:bCs/>
                <w:sz w:val="21"/>
                <w:szCs w:val="21"/>
                <w:highlight w:val="none"/>
              </w:rPr>
              <w:t>序号</w:t>
            </w:r>
          </w:p>
        </w:tc>
        <w:tc>
          <w:tcPr>
            <w:tcW w:w="1965" w:type="dxa"/>
            <w:shd w:val="clear" w:color="auto" w:fill="auto"/>
            <w:vAlign w:val="center"/>
          </w:tcPr>
          <w:p>
            <w:pPr>
              <w:ind w:firstLine="0" w:firstLineChars="0"/>
              <w:jc w:val="center"/>
              <w:rPr>
                <w:b/>
                <w:bCs/>
                <w:sz w:val="21"/>
                <w:szCs w:val="21"/>
                <w:highlight w:val="none"/>
              </w:rPr>
            </w:pPr>
            <w:r>
              <w:rPr>
                <w:rFonts w:hint="eastAsia"/>
                <w:b/>
                <w:bCs/>
                <w:sz w:val="21"/>
                <w:szCs w:val="21"/>
                <w:highlight w:val="none"/>
              </w:rPr>
              <w:t>危险物质</w:t>
            </w:r>
          </w:p>
        </w:tc>
        <w:tc>
          <w:tcPr>
            <w:tcW w:w="1980" w:type="dxa"/>
            <w:shd w:val="clear" w:color="auto" w:fill="auto"/>
            <w:vAlign w:val="center"/>
          </w:tcPr>
          <w:p>
            <w:pPr>
              <w:ind w:firstLine="0" w:firstLineChars="0"/>
              <w:jc w:val="center"/>
              <w:rPr>
                <w:b/>
                <w:bCs/>
                <w:sz w:val="21"/>
                <w:szCs w:val="21"/>
                <w:highlight w:val="none"/>
              </w:rPr>
            </w:pPr>
            <w:r>
              <w:rPr>
                <w:b/>
                <w:bCs/>
                <w:sz w:val="21"/>
                <w:szCs w:val="21"/>
                <w:highlight w:val="none"/>
              </w:rPr>
              <w:t>区域</w:t>
            </w:r>
          </w:p>
        </w:tc>
        <w:tc>
          <w:tcPr>
            <w:tcW w:w="3804" w:type="dxa"/>
            <w:shd w:val="clear" w:color="auto" w:fill="auto"/>
            <w:vAlign w:val="center"/>
          </w:tcPr>
          <w:p>
            <w:pPr>
              <w:ind w:firstLine="0" w:firstLineChars="0"/>
              <w:jc w:val="center"/>
              <w:rPr>
                <w:b/>
                <w:bCs/>
                <w:sz w:val="21"/>
                <w:szCs w:val="21"/>
                <w:highlight w:val="none"/>
              </w:rPr>
            </w:pPr>
            <w:r>
              <w:rPr>
                <w:rFonts w:hint="eastAsia"/>
                <w:b/>
                <w:bCs/>
                <w:sz w:val="21"/>
                <w:szCs w:val="21"/>
                <w:highlight w:val="none"/>
              </w:rPr>
              <w:t>可能影响环境的途径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271" w:type="dxa"/>
            <w:vAlign w:val="center"/>
          </w:tcPr>
          <w:p>
            <w:pPr>
              <w:ind w:firstLine="0" w:firstLineChars="0"/>
              <w:jc w:val="center"/>
              <w:rPr>
                <w:sz w:val="21"/>
                <w:szCs w:val="21"/>
                <w:highlight w:val="none"/>
              </w:rPr>
            </w:pPr>
            <w:r>
              <w:rPr>
                <w:rFonts w:hint="eastAsia"/>
                <w:sz w:val="21"/>
                <w:szCs w:val="21"/>
                <w:highlight w:val="none"/>
              </w:rPr>
              <w:t>1</w:t>
            </w:r>
          </w:p>
        </w:tc>
        <w:tc>
          <w:tcPr>
            <w:tcW w:w="1965" w:type="dxa"/>
            <w:vAlign w:val="center"/>
          </w:tcPr>
          <w:p>
            <w:pPr>
              <w:ind w:firstLine="0" w:firstLineChars="0"/>
              <w:jc w:val="center"/>
              <w:rPr>
                <w:sz w:val="21"/>
                <w:szCs w:val="21"/>
                <w:highlight w:val="none"/>
              </w:rPr>
            </w:pPr>
            <w:r>
              <w:rPr>
                <w:sz w:val="21"/>
                <w:szCs w:val="21"/>
                <w:highlight w:val="none"/>
              </w:rPr>
              <w:t>炸药</w:t>
            </w:r>
          </w:p>
        </w:tc>
        <w:tc>
          <w:tcPr>
            <w:tcW w:w="1980" w:type="dxa"/>
            <w:vMerge w:val="restart"/>
            <w:vAlign w:val="center"/>
          </w:tcPr>
          <w:p>
            <w:pPr>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操作间</w:t>
            </w:r>
          </w:p>
        </w:tc>
        <w:tc>
          <w:tcPr>
            <w:tcW w:w="3804" w:type="dxa"/>
            <w:vMerge w:val="restart"/>
            <w:vAlign w:val="center"/>
          </w:tcPr>
          <w:p>
            <w:pPr>
              <w:ind w:firstLine="0" w:firstLineChars="0"/>
              <w:jc w:val="center"/>
              <w:rPr>
                <w:sz w:val="21"/>
                <w:szCs w:val="21"/>
                <w:highlight w:val="none"/>
              </w:rPr>
            </w:pPr>
            <w:r>
              <w:rPr>
                <w:rFonts w:hint="eastAsia"/>
                <w:sz w:val="21"/>
                <w:szCs w:val="21"/>
                <w:highlight w:val="none"/>
              </w:rPr>
              <w:t>火灾爆炸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271" w:type="dxa"/>
            <w:vAlign w:val="center"/>
          </w:tcPr>
          <w:p>
            <w:pPr>
              <w:ind w:firstLine="0" w:firstLineChars="0"/>
              <w:jc w:val="center"/>
              <w:rPr>
                <w:sz w:val="21"/>
                <w:szCs w:val="21"/>
                <w:highlight w:val="none"/>
              </w:rPr>
            </w:pPr>
            <w:r>
              <w:rPr>
                <w:rFonts w:hint="eastAsia"/>
                <w:sz w:val="21"/>
                <w:szCs w:val="21"/>
                <w:highlight w:val="none"/>
              </w:rPr>
              <w:t>2</w:t>
            </w:r>
          </w:p>
        </w:tc>
        <w:tc>
          <w:tcPr>
            <w:tcW w:w="1965" w:type="dxa"/>
            <w:vAlign w:val="center"/>
          </w:tcPr>
          <w:p>
            <w:pPr>
              <w:ind w:firstLine="0" w:firstLineChars="0"/>
              <w:jc w:val="center"/>
              <w:rPr>
                <w:sz w:val="21"/>
                <w:szCs w:val="21"/>
                <w:highlight w:val="none"/>
              </w:rPr>
            </w:pPr>
            <w:r>
              <w:rPr>
                <w:sz w:val="21"/>
                <w:szCs w:val="21"/>
                <w:highlight w:val="none"/>
              </w:rPr>
              <w:t>雷管</w:t>
            </w:r>
          </w:p>
        </w:tc>
        <w:tc>
          <w:tcPr>
            <w:tcW w:w="1980" w:type="dxa"/>
            <w:vMerge w:val="continue"/>
            <w:vAlign w:val="center"/>
          </w:tcPr>
          <w:p>
            <w:pPr>
              <w:ind w:firstLine="0" w:firstLineChars="0"/>
              <w:jc w:val="center"/>
              <w:rPr>
                <w:sz w:val="21"/>
                <w:szCs w:val="21"/>
                <w:highlight w:val="none"/>
              </w:rPr>
            </w:pPr>
          </w:p>
        </w:tc>
        <w:tc>
          <w:tcPr>
            <w:tcW w:w="3804" w:type="dxa"/>
            <w:vMerge w:val="continue"/>
            <w:vAlign w:val="center"/>
          </w:tcPr>
          <w:p>
            <w:pPr>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271" w:type="dxa"/>
            <w:vAlign w:val="center"/>
          </w:tcPr>
          <w:p>
            <w:pPr>
              <w:ind w:firstLine="0" w:firstLineChars="0"/>
              <w:jc w:val="center"/>
              <w:rPr>
                <w:sz w:val="21"/>
                <w:szCs w:val="21"/>
                <w:highlight w:val="none"/>
              </w:rPr>
            </w:pPr>
            <w:r>
              <w:rPr>
                <w:rFonts w:hint="eastAsia"/>
                <w:sz w:val="21"/>
                <w:szCs w:val="21"/>
                <w:highlight w:val="none"/>
              </w:rPr>
              <w:t>3</w:t>
            </w:r>
          </w:p>
        </w:tc>
        <w:tc>
          <w:tcPr>
            <w:tcW w:w="1965" w:type="dxa"/>
            <w:vAlign w:val="center"/>
          </w:tcPr>
          <w:p>
            <w:pPr>
              <w:ind w:firstLine="0" w:firstLineChars="0"/>
              <w:jc w:val="center"/>
              <w:rPr>
                <w:sz w:val="21"/>
                <w:szCs w:val="21"/>
                <w:highlight w:val="none"/>
              </w:rPr>
            </w:pPr>
            <w:r>
              <w:rPr>
                <w:sz w:val="21"/>
                <w:szCs w:val="21"/>
                <w:highlight w:val="none"/>
              </w:rPr>
              <w:t>柴油（0＃）</w:t>
            </w:r>
          </w:p>
          <w:p>
            <w:pPr>
              <w:ind w:firstLine="0" w:firstLineChars="0"/>
              <w:jc w:val="center"/>
              <w:rPr>
                <w:rFonts w:hint="eastAsia" w:eastAsia="宋体"/>
                <w:sz w:val="21"/>
                <w:szCs w:val="21"/>
                <w:highlight w:val="none"/>
                <w:lang w:eastAsia="zh-CN"/>
              </w:rPr>
            </w:pPr>
            <w:r>
              <w:rPr>
                <w:rFonts w:hint="eastAsia"/>
                <w:sz w:val="21"/>
                <w:szCs w:val="21"/>
                <w:highlight w:val="none"/>
                <w:lang w:eastAsia="zh-CN"/>
              </w:rPr>
              <w:t>润滑油</w:t>
            </w:r>
          </w:p>
        </w:tc>
        <w:tc>
          <w:tcPr>
            <w:tcW w:w="1980" w:type="dxa"/>
            <w:vAlign w:val="center"/>
          </w:tcPr>
          <w:p>
            <w:pPr>
              <w:ind w:firstLine="0" w:firstLineChars="0"/>
              <w:jc w:val="center"/>
              <w:rPr>
                <w:rFonts w:hint="eastAsia" w:eastAsia="宋体"/>
                <w:sz w:val="21"/>
                <w:szCs w:val="21"/>
                <w:highlight w:val="none"/>
                <w:lang w:eastAsia="zh-CN"/>
              </w:rPr>
            </w:pPr>
            <w:r>
              <w:rPr>
                <w:rFonts w:hint="eastAsia"/>
                <w:sz w:val="21"/>
                <w:szCs w:val="21"/>
                <w:highlight w:val="none"/>
              </w:rPr>
              <w:t>柴油罐</w:t>
            </w:r>
            <w:r>
              <w:rPr>
                <w:rFonts w:hint="eastAsia"/>
                <w:sz w:val="21"/>
                <w:szCs w:val="21"/>
                <w:highlight w:val="none"/>
                <w:lang w:eastAsia="zh-CN"/>
              </w:rPr>
              <w:t>、汽修车间</w:t>
            </w:r>
          </w:p>
        </w:tc>
        <w:tc>
          <w:tcPr>
            <w:tcW w:w="3804" w:type="dxa"/>
            <w:vAlign w:val="center"/>
          </w:tcPr>
          <w:p>
            <w:pPr>
              <w:ind w:firstLine="0" w:firstLineChars="0"/>
              <w:jc w:val="center"/>
              <w:rPr>
                <w:sz w:val="21"/>
                <w:szCs w:val="21"/>
                <w:highlight w:val="none"/>
              </w:rPr>
            </w:pPr>
            <w:r>
              <w:rPr>
                <w:rFonts w:hint="eastAsia"/>
                <w:sz w:val="21"/>
                <w:szCs w:val="21"/>
                <w:highlight w:val="none"/>
              </w:rPr>
              <w:t>火灾爆炸、泄漏</w:t>
            </w:r>
          </w:p>
        </w:tc>
      </w:tr>
    </w:tbl>
    <w:p>
      <w:pPr>
        <w:ind w:firstLine="480"/>
        <w:rPr>
          <w:highlight w:val="none"/>
        </w:rPr>
      </w:pPr>
    </w:p>
    <w:p>
      <w:pPr>
        <w:pStyle w:val="4"/>
        <w:rPr>
          <w:highlight w:val="none"/>
        </w:rPr>
      </w:pPr>
      <w:bookmarkStart w:id="473" w:name="_Toc2055"/>
      <w:r>
        <w:rPr>
          <w:rFonts w:hint="eastAsia"/>
          <w:highlight w:val="none"/>
          <w:lang w:val="en-US" w:eastAsia="zh-CN"/>
        </w:rPr>
        <w:t>7</w:t>
      </w:r>
      <w:r>
        <w:rPr>
          <w:rFonts w:hint="eastAsia"/>
          <w:highlight w:val="none"/>
        </w:rPr>
        <w:t>.</w:t>
      </w:r>
      <w:r>
        <w:rPr>
          <w:rFonts w:hint="eastAsia"/>
          <w:highlight w:val="none"/>
          <w:lang w:val="en-US" w:eastAsia="zh-CN"/>
        </w:rPr>
        <w:t>6</w:t>
      </w:r>
      <w:r>
        <w:rPr>
          <w:rFonts w:hint="eastAsia"/>
          <w:highlight w:val="none"/>
        </w:rPr>
        <w:t>环境风险分析</w:t>
      </w:r>
      <w:bookmarkEnd w:id="473"/>
    </w:p>
    <w:p>
      <w:pPr>
        <w:pStyle w:val="5"/>
        <w:rPr>
          <w:rFonts w:hint="default" w:cs="宋体"/>
          <w:highlight w:val="none"/>
        </w:rPr>
      </w:pPr>
      <w:bookmarkStart w:id="474" w:name="_Toc30596"/>
      <w:r>
        <w:rPr>
          <w:rFonts w:hint="eastAsia" w:cs="宋体"/>
          <w:highlight w:val="none"/>
          <w:lang w:val="en-US" w:eastAsia="zh-CN"/>
        </w:rPr>
        <w:t>7</w:t>
      </w:r>
      <w:r>
        <w:rPr>
          <w:rFonts w:cs="宋体"/>
          <w:highlight w:val="none"/>
        </w:rPr>
        <w:t>.</w:t>
      </w:r>
      <w:r>
        <w:rPr>
          <w:rFonts w:hint="eastAsia" w:cs="宋体"/>
          <w:highlight w:val="none"/>
          <w:lang w:val="en-US" w:eastAsia="zh-CN"/>
        </w:rPr>
        <w:t>6</w:t>
      </w:r>
      <w:r>
        <w:rPr>
          <w:rFonts w:cs="宋体"/>
          <w:highlight w:val="none"/>
        </w:rPr>
        <w:t>.1炸药库爆炸事故危害后果</w:t>
      </w:r>
      <w:bookmarkEnd w:id="474"/>
    </w:p>
    <w:p>
      <w:pPr>
        <w:pStyle w:val="17"/>
        <w:ind w:firstLine="480"/>
        <w:rPr>
          <w:rFonts w:ascii="Times New Roman" w:hAnsi="Times New Roman"/>
          <w:highlight w:val="none"/>
        </w:rPr>
      </w:pPr>
      <w:r>
        <w:rPr>
          <w:rFonts w:ascii="Times New Roman" w:hAnsi="Times New Roman"/>
          <w:highlight w:val="none"/>
        </w:rPr>
        <w:t>（1）大气环境</w:t>
      </w:r>
    </w:p>
    <w:p>
      <w:pPr>
        <w:ind w:firstLine="480"/>
        <w:rPr>
          <w:highlight w:val="none"/>
        </w:rPr>
      </w:pPr>
      <w:r>
        <w:rPr>
          <w:highlight w:val="none"/>
        </w:rPr>
        <w:t>炸药爆炸瞬间，爆炸气体污染物随爆炸产物的运动可分为三个阶段：冲击阶段、蘑菇云形成、扩散运动阶段。前两个阶段主要依靠冲击波和热对流作用形成具有一定体积大小的烟团，持续时间较短，仅2~3秒，可以认为爆炸气体在瞬间排放到大气中。扩散阶段中污染物在风场和大气湍流作用下进行传输和扩散，是爆炸气体污染物扩散的主要阶段。工业炸药爆炸后的产物主要为CO、CO</w:t>
      </w:r>
      <w:r>
        <w:rPr>
          <w:highlight w:val="none"/>
          <w:vertAlign w:val="subscript"/>
        </w:rPr>
        <w:t>2</w:t>
      </w:r>
      <w:r>
        <w:rPr>
          <w:highlight w:val="none"/>
        </w:rPr>
        <w:t>、H</w:t>
      </w:r>
      <w:r>
        <w:rPr>
          <w:highlight w:val="none"/>
          <w:vertAlign w:val="subscript"/>
        </w:rPr>
        <w:t>2</w:t>
      </w:r>
      <w:r>
        <w:rPr>
          <w:highlight w:val="none"/>
        </w:rPr>
        <w:t>O、N</w:t>
      </w:r>
      <w:r>
        <w:rPr>
          <w:highlight w:val="none"/>
          <w:vertAlign w:val="subscript"/>
        </w:rPr>
        <w:t>2</w:t>
      </w:r>
      <w:r>
        <w:rPr>
          <w:highlight w:val="none"/>
        </w:rPr>
        <w:t>、NO、NO</w:t>
      </w:r>
      <w:r>
        <w:rPr>
          <w:highlight w:val="none"/>
          <w:vertAlign w:val="subscript"/>
        </w:rPr>
        <w:t>2</w:t>
      </w:r>
      <w:r>
        <w:rPr>
          <w:highlight w:val="none"/>
        </w:rPr>
        <w:t>等</w:t>
      </w:r>
      <w:r>
        <w:rPr>
          <w:rFonts w:hint="eastAsia"/>
          <w:highlight w:val="none"/>
        </w:rPr>
        <w:t>，其中</w:t>
      </w:r>
      <w:r>
        <w:rPr>
          <w:color w:val="000000"/>
          <w:highlight w:val="none"/>
        </w:rPr>
        <w:t>CO</w:t>
      </w:r>
      <w:r>
        <w:rPr>
          <w:rFonts w:hint="eastAsia"/>
          <w:color w:val="000000"/>
          <w:highlight w:val="none"/>
        </w:rPr>
        <w:t>在大气中比较稳定，不易与其他物质产生化学反应，其在进入大气后，由于大气的扩散稀释作用和氧化作用，一般不会造成危害，所以吸入时不为人们所察觉，是室内外空气中常见的污染物。当其浓度过高时，人在这种环境下待的时间较长，就会出现晕眩、头痛、怠倦的现象，</w:t>
      </w:r>
      <w:r>
        <w:rPr>
          <w:color w:val="000000"/>
          <w:highlight w:val="none"/>
        </w:rPr>
        <w:t>CO</w:t>
      </w:r>
      <w:r>
        <w:rPr>
          <w:rFonts w:hint="eastAsia"/>
          <w:color w:val="000000"/>
          <w:highlight w:val="none"/>
        </w:rPr>
        <w:t>对人的主要危害就是引起组织缺氧，导致急性或者慢性中毒甚至有死亡的威胁。此外，</w:t>
      </w:r>
      <w:r>
        <w:rPr>
          <w:color w:val="000000"/>
          <w:highlight w:val="none"/>
        </w:rPr>
        <w:t>CO</w:t>
      </w:r>
      <w:r>
        <w:rPr>
          <w:rFonts w:hint="eastAsia"/>
          <w:color w:val="000000"/>
          <w:highlight w:val="none"/>
        </w:rPr>
        <w:t>还可能造成听力与视力的损害，比如视野的减小或者听力的丧失。CO</w:t>
      </w:r>
      <w:r>
        <w:rPr>
          <w:rFonts w:hint="eastAsia"/>
          <w:color w:val="000000"/>
          <w:highlight w:val="none"/>
          <w:vertAlign w:val="subscript"/>
        </w:rPr>
        <w:t>2</w:t>
      </w:r>
      <w:r>
        <w:rPr>
          <w:rFonts w:hint="eastAsia"/>
          <w:color w:val="000000"/>
          <w:highlight w:val="none"/>
        </w:rPr>
        <w:t>对环境影响主要为温室效应。</w:t>
      </w:r>
    </w:p>
    <w:p>
      <w:pPr>
        <w:pStyle w:val="17"/>
        <w:ind w:firstLine="480"/>
        <w:rPr>
          <w:rFonts w:ascii="Times New Roman" w:hAnsi="Times New Roman"/>
          <w:highlight w:val="none"/>
        </w:rPr>
      </w:pPr>
      <w:r>
        <w:rPr>
          <w:rFonts w:ascii="Times New Roman" w:hAnsi="Times New Roman"/>
          <w:highlight w:val="none"/>
        </w:rPr>
        <w:t>（2）地表水环境</w:t>
      </w:r>
    </w:p>
    <w:p>
      <w:pPr>
        <w:pStyle w:val="17"/>
        <w:ind w:firstLine="480"/>
        <w:rPr>
          <w:rFonts w:ascii="Times New Roman" w:hAnsi="Times New Roman"/>
          <w:highlight w:val="none"/>
        </w:rPr>
      </w:pPr>
      <w:r>
        <w:rPr>
          <w:rFonts w:hint="eastAsia" w:ascii="Times New Roman" w:hAnsi="Times New Roman"/>
          <w:highlight w:val="none"/>
        </w:rPr>
        <w:t>发生事故时灭火产生的废水如进入周边地表水，将对地表水环境造成污染。</w:t>
      </w:r>
    </w:p>
    <w:p>
      <w:pPr>
        <w:ind w:firstLine="480"/>
        <w:rPr>
          <w:highlight w:val="none"/>
        </w:rPr>
      </w:pPr>
      <w:r>
        <w:rPr>
          <w:rFonts w:hint="eastAsia"/>
          <w:highlight w:val="none"/>
        </w:rPr>
        <w:t>（3）其它</w:t>
      </w:r>
    </w:p>
    <w:p>
      <w:pPr>
        <w:ind w:firstLine="480"/>
        <w:rPr>
          <w:highlight w:val="none"/>
        </w:rPr>
      </w:pPr>
      <w:r>
        <w:rPr>
          <w:bCs/>
          <w:highlight w:val="none"/>
        </w:rPr>
        <w:t>冲击波</w:t>
      </w:r>
      <w:r>
        <w:rPr>
          <w:rFonts w:hint="eastAsia"/>
          <w:bCs/>
          <w:highlight w:val="none"/>
        </w:rPr>
        <w:t>影响后果：</w:t>
      </w:r>
      <w:r>
        <w:rPr>
          <w:highlight w:val="none"/>
        </w:rPr>
        <w:t>爆炸后形成的高温、高压气体产物，迅速向外膨胀，使原来静止的空气压力密度温度突然升高，形成爆炸空气冲击波。爆炸冲击波传播距离很远，大大超过了爆炸本身所占有的范围，冲击波会对周围人员和建筑物造成很大破坏和伤害。空气冲击波对人员杀伤的主要征象是引起听觉器官的损伤，肺、肝、脾内脏器官的损伤，内脏出血直至死亡。</w:t>
      </w:r>
    </w:p>
    <w:p>
      <w:pPr>
        <w:ind w:firstLine="480"/>
        <w:rPr>
          <w:highlight w:val="none"/>
        </w:rPr>
      </w:pPr>
      <w:r>
        <w:rPr>
          <w:bCs/>
          <w:highlight w:val="none"/>
        </w:rPr>
        <w:t>振动影响后果</w:t>
      </w:r>
      <w:r>
        <w:rPr>
          <w:rFonts w:hint="eastAsia"/>
          <w:bCs/>
          <w:highlight w:val="none"/>
        </w:rPr>
        <w:t>：</w:t>
      </w:r>
      <w:r>
        <w:rPr>
          <w:highlight w:val="none"/>
        </w:rPr>
        <w:t>爆炸发生时常导致周围环境产生强烈的冲击和振动，这种冲击振动可能引起人员失稳或抛离而发生撞击，从而对人体产生伤害。同时，这种振动亦会对建筑物结构产生一定程度的破坏。</w:t>
      </w:r>
    </w:p>
    <w:p>
      <w:pPr>
        <w:pStyle w:val="5"/>
        <w:rPr>
          <w:rFonts w:hint="default" w:cs="宋体"/>
          <w:highlight w:val="none"/>
        </w:rPr>
      </w:pPr>
      <w:bookmarkStart w:id="475" w:name="_Toc10257"/>
      <w:r>
        <w:rPr>
          <w:rFonts w:hint="eastAsia" w:cs="宋体"/>
          <w:highlight w:val="none"/>
          <w:lang w:val="en-US" w:eastAsia="zh-CN"/>
        </w:rPr>
        <w:t>7</w:t>
      </w:r>
      <w:r>
        <w:rPr>
          <w:rFonts w:cs="宋体"/>
          <w:highlight w:val="none"/>
        </w:rPr>
        <w:t>.</w:t>
      </w:r>
      <w:r>
        <w:rPr>
          <w:rFonts w:hint="eastAsia" w:cs="宋体"/>
          <w:highlight w:val="none"/>
          <w:lang w:val="en-US" w:eastAsia="zh-CN"/>
        </w:rPr>
        <w:t>6</w:t>
      </w:r>
      <w:r>
        <w:rPr>
          <w:rFonts w:cs="宋体"/>
          <w:highlight w:val="none"/>
        </w:rPr>
        <w:t>.2</w:t>
      </w:r>
      <w:r>
        <w:rPr>
          <w:rFonts w:hint="eastAsia" w:cs="宋体"/>
          <w:highlight w:val="none"/>
          <w:lang w:eastAsia="zh-CN"/>
        </w:rPr>
        <w:t>矿物油</w:t>
      </w:r>
      <w:r>
        <w:rPr>
          <w:rFonts w:cs="宋体"/>
          <w:highlight w:val="none"/>
        </w:rPr>
        <w:t>泄漏、火灾爆炸事故危害后果</w:t>
      </w:r>
      <w:bookmarkEnd w:id="475"/>
    </w:p>
    <w:p>
      <w:pPr>
        <w:pStyle w:val="17"/>
        <w:ind w:firstLine="480"/>
        <w:rPr>
          <w:highlight w:val="none"/>
        </w:rPr>
      </w:pPr>
      <w:r>
        <w:rPr>
          <w:rFonts w:hint="eastAsia"/>
          <w:highlight w:val="none"/>
        </w:rPr>
        <w:t>（1）地表水环境</w:t>
      </w:r>
    </w:p>
    <w:p>
      <w:pPr>
        <w:ind w:firstLine="480"/>
        <w:rPr>
          <w:color w:val="000000"/>
          <w:highlight w:val="none"/>
        </w:rPr>
      </w:pPr>
      <w:r>
        <w:rPr>
          <w:rFonts w:hint="eastAsia"/>
          <w:color w:val="000000"/>
          <w:highlight w:val="none"/>
          <w:lang w:eastAsia="zh-CN"/>
        </w:rPr>
        <w:t>矿物油</w:t>
      </w:r>
      <w:r>
        <w:rPr>
          <w:rFonts w:hint="eastAsia"/>
          <w:color w:val="000000"/>
          <w:highlight w:val="none"/>
        </w:rPr>
        <w:t>一旦发生泄漏或渗漏，进入地表河流，将造成地表河流的污染，影响范围小到几公里大到几十公里。污染首先将造成地表河流的景观破坏，产生严重的刺鼻性气味；其次，由于有机烃类物质难溶于水，大部分上浮在水层表面，形成一层油膜使空气隔离，造成水中溶解氧浓度降低，逐渐形成死水，致使水中生物死亡；再次，成品油的主要成分是</w:t>
      </w:r>
      <w:r>
        <w:rPr>
          <w:color w:val="000000"/>
          <w:highlight w:val="none"/>
        </w:rPr>
        <w:t>C4</w:t>
      </w:r>
      <w:r>
        <w:rPr>
          <w:rFonts w:hint="eastAsia"/>
          <w:color w:val="000000"/>
          <w:highlight w:val="none"/>
        </w:rPr>
        <w:t>～</w:t>
      </w:r>
      <w:r>
        <w:rPr>
          <w:color w:val="000000"/>
          <w:highlight w:val="none"/>
        </w:rPr>
        <w:t>C9</w:t>
      </w:r>
      <w:r>
        <w:rPr>
          <w:rFonts w:hint="eastAsia"/>
          <w:color w:val="000000"/>
          <w:highlight w:val="none"/>
        </w:rPr>
        <w:t>的烃类、芳烃类、醇酮类以及卤代烃类有机物，一旦进入水体环境，由于可生化性较差，造成被污染水体长时间得不到净化，完全恢复则需十几年、甚至几十年的时间。</w:t>
      </w:r>
    </w:p>
    <w:p>
      <w:pPr>
        <w:pStyle w:val="17"/>
        <w:ind w:firstLine="480"/>
        <w:rPr>
          <w:color w:val="000000"/>
          <w:highlight w:val="none"/>
        </w:rPr>
      </w:pPr>
      <w:r>
        <w:rPr>
          <w:rFonts w:hint="eastAsia" w:ascii="Times New Roman" w:hAnsi="Times New Roman"/>
          <w:highlight w:val="none"/>
          <w:lang w:eastAsia="zh-CN"/>
        </w:rPr>
        <w:t>矿物油</w:t>
      </w:r>
      <w:r>
        <w:rPr>
          <w:rFonts w:hint="eastAsia" w:ascii="Times New Roman" w:hAnsi="Times New Roman"/>
          <w:highlight w:val="none"/>
        </w:rPr>
        <w:t>发生火灾爆炸事故时，灭火产生的废水如进入周边地表水，将对地表水环境造成污染。</w:t>
      </w:r>
    </w:p>
    <w:p>
      <w:pPr>
        <w:numPr>
          <w:ilvl w:val="0"/>
          <w:numId w:val="12"/>
        </w:numPr>
        <w:ind w:firstLine="480"/>
        <w:rPr>
          <w:color w:val="000000"/>
          <w:highlight w:val="none"/>
        </w:rPr>
      </w:pPr>
      <w:r>
        <w:rPr>
          <w:rFonts w:hint="eastAsia"/>
          <w:color w:val="000000"/>
          <w:highlight w:val="none"/>
        </w:rPr>
        <w:t>地下水环境</w:t>
      </w:r>
    </w:p>
    <w:p>
      <w:pPr>
        <w:ind w:firstLine="480"/>
        <w:rPr>
          <w:color w:val="000000"/>
          <w:highlight w:val="none"/>
        </w:rPr>
      </w:pPr>
      <w:r>
        <w:rPr>
          <w:rFonts w:hint="eastAsia"/>
          <w:color w:val="000000"/>
          <w:highlight w:val="none"/>
          <w:lang w:eastAsia="zh-CN"/>
        </w:rPr>
        <w:t>矿物油</w:t>
      </w:r>
      <w:r>
        <w:rPr>
          <w:rFonts w:hint="eastAsia"/>
          <w:color w:val="000000"/>
          <w:highlight w:val="none"/>
        </w:rPr>
        <w:t>泄漏或渗漏对地下水的污染较为严重，地下水一旦遭到成品油的污染，将使地下水产生严重异味，并具有较强的致畸致癌性，无法饮用，又由于这种渗漏必然穿过较厚的土层，使土壤层中吸附有大量的燃油料，土壤层吸附的燃料油不仅会造成植物生物的死亡，而且土壤层吸附的燃料还会随着地表水的下渗对土壤层的冲刷补充到地下水，这样即便污染源得到及时控制，地下水要完全恢复也需几十年甚至上百年的时间。</w:t>
      </w:r>
    </w:p>
    <w:p>
      <w:pPr>
        <w:ind w:firstLine="480"/>
        <w:rPr>
          <w:color w:val="000000"/>
          <w:highlight w:val="none"/>
        </w:rPr>
      </w:pPr>
      <w:r>
        <w:rPr>
          <w:rFonts w:hint="eastAsia"/>
          <w:color w:val="000000"/>
          <w:highlight w:val="none"/>
        </w:rPr>
        <w:t>（</w:t>
      </w:r>
      <w:r>
        <w:rPr>
          <w:color w:val="000000"/>
          <w:highlight w:val="none"/>
        </w:rPr>
        <w:t>3</w:t>
      </w:r>
      <w:r>
        <w:rPr>
          <w:rFonts w:hint="eastAsia"/>
          <w:color w:val="000000"/>
          <w:highlight w:val="none"/>
        </w:rPr>
        <w:t>）大气环境</w:t>
      </w:r>
    </w:p>
    <w:p>
      <w:pPr>
        <w:ind w:firstLine="480"/>
        <w:rPr>
          <w:color w:val="000000"/>
          <w:highlight w:val="none"/>
        </w:rPr>
      </w:pPr>
      <w:r>
        <w:rPr>
          <w:rFonts w:hint="eastAsia"/>
          <w:color w:val="000000"/>
          <w:highlight w:val="none"/>
          <w:lang w:eastAsia="zh-CN"/>
        </w:rPr>
        <w:t>矿物油</w:t>
      </w:r>
      <w:r>
        <w:rPr>
          <w:rFonts w:hint="eastAsia"/>
          <w:color w:val="000000"/>
          <w:highlight w:val="none"/>
        </w:rPr>
        <w:t>为碳氢化合物，分解产物为一氧化碳、二氧化碳及水，其中完全燃烧时产生CO</w:t>
      </w:r>
      <w:r>
        <w:rPr>
          <w:rFonts w:hint="eastAsia"/>
          <w:color w:val="000000"/>
          <w:highlight w:val="none"/>
          <w:vertAlign w:val="subscript"/>
        </w:rPr>
        <w:t>2</w:t>
      </w:r>
      <w:r>
        <w:rPr>
          <w:rFonts w:hint="eastAsia"/>
          <w:color w:val="000000"/>
          <w:highlight w:val="none"/>
        </w:rPr>
        <w:t>，不完全燃烧时产生</w:t>
      </w:r>
      <w:r>
        <w:rPr>
          <w:color w:val="000000"/>
          <w:highlight w:val="none"/>
        </w:rPr>
        <w:t>CO</w:t>
      </w:r>
      <w:r>
        <w:rPr>
          <w:rFonts w:hint="eastAsia"/>
          <w:color w:val="000000"/>
          <w:highlight w:val="none"/>
        </w:rPr>
        <w:t>。</w:t>
      </w:r>
      <w:r>
        <w:rPr>
          <w:color w:val="000000"/>
          <w:highlight w:val="none"/>
        </w:rPr>
        <w:t>CO</w:t>
      </w:r>
      <w:r>
        <w:rPr>
          <w:rFonts w:hint="eastAsia"/>
          <w:color w:val="000000"/>
          <w:highlight w:val="none"/>
        </w:rPr>
        <w:t>在大气中比较稳定，不易与其他物质产生化学反应，其在进入大气后，由于大气的扩散稀释作用和氧化作用，一般不会造成危害，所以吸入时不为人们所察觉，是室内外空气中常见的污染物。当其浓度过高时，人在这种环境下待的时间较长，就会出现晕眩、头痛、怠倦的现象，</w:t>
      </w:r>
      <w:r>
        <w:rPr>
          <w:color w:val="000000"/>
          <w:highlight w:val="none"/>
        </w:rPr>
        <w:t>CO</w:t>
      </w:r>
      <w:r>
        <w:rPr>
          <w:rFonts w:hint="eastAsia"/>
          <w:color w:val="000000"/>
          <w:highlight w:val="none"/>
        </w:rPr>
        <w:t>对人的主要危害就是引起组织缺氧，导致急性或者慢性中毒甚至有死亡的威胁。此外，</w:t>
      </w:r>
      <w:r>
        <w:rPr>
          <w:color w:val="000000"/>
          <w:highlight w:val="none"/>
        </w:rPr>
        <w:t>CO</w:t>
      </w:r>
      <w:r>
        <w:rPr>
          <w:rFonts w:hint="eastAsia"/>
          <w:color w:val="000000"/>
          <w:highlight w:val="none"/>
        </w:rPr>
        <w:t>还可能造成听力与视力的损害，比如视野的减小或者听力的丧失。CO</w:t>
      </w:r>
      <w:r>
        <w:rPr>
          <w:rFonts w:hint="eastAsia"/>
          <w:color w:val="000000"/>
          <w:highlight w:val="none"/>
          <w:vertAlign w:val="subscript"/>
        </w:rPr>
        <w:t>2</w:t>
      </w:r>
      <w:r>
        <w:rPr>
          <w:rFonts w:hint="eastAsia"/>
          <w:color w:val="000000"/>
          <w:highlight w:val="none"/>
        </w:rPr>
        <w:t>对环境影响主要为温室效应。</w:t>
      </w:r>
    </w:p>
    <w:p>
      <w:pPr>
        <w:ind w:firstLine="480"/>
        <w:rPr>
          <w:color w:val="000000"/>
          <w:highlight w:val="none"/>
        </w:rPr>
      </w:pPr>
      <w:r>
        <w:rPr>
          <w:rFonts w:hint="eastAsia"/>
          <w:color w:val="000000"/>
          <w:highlight w:val="none"/>
        </w:rPr>
        <w:t>（</w:t>
      </w:r>
      <w:r>
        <w:rPr>
          <w:color w:val="000000"/>
          <w:highlight w:val="none"/>
        </w:rPr>
        <w:t>4</w:t>
      </w:r>
      <w:r>
        <w:rPr>
          <w:rFonts w:hint="eastAsia"/>
          <w:color w:val="000000"/>
          <w:highlight w:val="none"/>
        </w:rPr>
        <w:t>）其它</w:t>
      </w:r>
    </w:p>
    <w:p>
      <w:pPr>
        <w:ind w:firstLine="480"/>
        <w:rPr>
          <w:highlight w:val="none"/>
        </w:rPr>
      </w:pPr>
      <w:r>
        <w:rPr>
          <w:bCs/>
          <w:highlight w:val="none"/>
        </w:rPr>
        <w:t>冲击波</w:t>
      </w:r>
      <w:r>
        <w:rPr>
          <w:rFonts w:hint="eastAsia"/>
          <w:bCs/>
          <w:highlight w:val="none"/>
        </w:rPr>
        <w:t>影响后果：</w:t>
      </w:r>
      <w:r>
        <w:rPr>
          <w:highlight w:val="none"/>
        </w:rPr>
        <w:t>爆炸后形成的高温、高压气体产物，迅速向外膨胀，使原来静止的空气压力密度温度突然升高，形成爆炸空气冲击波。爆炸冲击波传播距离很远，大大超过了爆炸本身所占有的范围，冲击波会对周围人员和建筑物造成很大破坏和伤害。空气冲击波对人员杀伤的主要征象是引起听觉器官的损伤，肺、肝、脾内脏器官的损伤，内脏出血直至死亡。</w:t>
      </w:r>
    </w:p>
    <w:p>
      <w:pPr>
        <w:ind w:firstLine="480"/>
        <w:rPr>
          <w:highlight w:val="none"/>
        </w:rPr>
      </w:pPr>
      <w:r>
        <w:rPr>
          <w:bCs/>
          <w:highlight w:val="none"/>
        </w:rPr>
        <w:t>振动影响后果</w:t>
      </w:r>
      <w:r>
        <w:rPr>
          <w:rFonts w:hint="eastAsia"/>
          <w:bCs/>
          <w:highlight w:val="none"/>
        </w:rPr>
        <w:t>：</w:t>
      </w:r>
      <w:r>
        <w:rPr>
          <w:highlight w:val="none"/>
        </w:rPr>
        <w:t>爆炸发生时常导致周围环境产生强烈的冲击和振动，这种冲击振动可能引起人员失稳或抛离而发生撞击，从而对人体产生伤害。同时，这种振动亦会对建筑物结构产生一定程度的破坏。</w:t>
      </w:r>
    </w:p>
    <w:p>
      <w:pPr>
        <w:pStyle w:val="4"/>
        <w:rPr>
          <w:highlight w:val="none"/>
        </w:rPr>
      </w:pPr>
      <w:bookmarkStart w:id="476" w:name="_Toc2573"/>
      <w:r>
        <w:rPr>
          <w:rFonts w:hint="eastAsia"/>
          <w:highlight w:val="none"/>
          <w:lang w:val="en-US" w:eastAsia="zh-CN"/>
        </w:rPr>
        <w:t>7</w:t>
      </w:r>
      <w:r>
        <w:rPr>
          <w:rFonts w:hint="eastAsia"/>
          <w:highlight w:val="none"/>
        </w:rPr>
        <w:t>.</w:t>
      </w:r>
      <w:r>
        <w:rPr>
          <w:rFonts w:hint="eastAsia"/>
          <w:highlight w:val="none"/>
          <w:lang w:val="en-US" w:eastAsia="zh-CN"/>
        </w:rPr>
        <w:t>7</w:t>
      </w:r>
      <w:r>
        <w:rPr>
          <w:rFonts w:hint="eastAsia"/>
          <w:highlight w:val="none"/>
        </w:rPr>
        <w:t>环境风险防范措施及应急要求</w:t>
      </w:r>
      <w:bookmarkEnd w:id="476"/>
    </w:p>
    <w:p>
      <w:pPr>
        <w:pStyle w:val="5"/>
        <w:rPr>
          <w:rFonts w:hint="eastAsia" w:eastAsia="宋体" w:cs="宋体"/>
          <w:color w:val="auto"/>
          <w:highlight w:val="none"/>
          <w:lang w:eastAsia="zh-CN"/>
        </w:rPr>
      </w:pPr>
      <w:bookmarkStart w:id="477" w:name="_Toc30495"/>
      <w:r>
        <w:rPr>
          <w:rFonts w:hint="eastAsia" w:cs="宋体"/>
          <w:color w:val="auto"/>
          <w:highlight w:val="none"/>
          <w:lang w:val="en-US" w:eastAsia="zh-CN"/>
        </w:rPr>
        <w:t>7</w:t>
      </w:r>
      <w:r>
        <w:rPr>
          <w:rFonts w:cs="宋体"/>
          <w:color w:val="auto"/>
          <w:highlight w:val="none"/>
        </w:rPr>
        <w:t>.</w:t>
      </w:r>
      <w:r>
        <w:rPr>
          <w:rFonts w:hint="eastAsia" w:cs="宋体"/>
          <w:color w:val="auto"/>
          <w:highlight w:val="none"/>
          <w:lang w:val="en-US" w:eastAsia="zh-CN"/>
        </w:rPr>
        <w:t>7</w:t>
      </w:r>
      <w:r>
        <w:rPr>
          <w:rFonts w:cs="宋体"/>
          <w:color w:val="auto"/>
          <w:highlight w:val="none"/>
        </w:rPr>
        <w:t>.1</w:t>
      </w:r>
      <w:r>
        <w:rPr>
          <w:rFonts w:hint="eastAsia" w:cs="宋体"/>
          <w:color w:val="auto"/>
          <w:highlight w:val="none"/>
          <w:lang w:eastAsia="zh-CN"/>
        </w:rPr>
        <w:t>矿物油</w:t>
      </w:r>
      <w:bookmarkEnd w:id="477"/>
    </w:p>
    <w:p>
      <w:pPr>
        <w:ind w:firstLine="482"/>
        <w:rPr>
          <w:b/>
          <w:bCs/>
          <w:color w:val="auto"/>
          <w:highlight w:val="none"/>
        </w:rPr>
      </w:pPr>
      <w:r>
        <w:rPr>
          <w:rFonts w:hint="eastAsia"/>
          <w:b/>
          <w:bCs/>
          <w:color w:val="auto"/>
          <w:highlight w:val="none"/>
        </w:rPr>
        <w:t>（1</w:t>
      </w:r>
      <w:r>
        <w:rPr>
          <w:b/>
          <w:bCs/>
          <w:color w:val="auto"/>
          <w:highlight w:val="none"/>
        </w:rPr>
        <w:t>）</w:t>
      </w:r>
      <w:r>
        <w:rPr>
          <w:rFonts w:hint="eastAsia"/>
          <w:b/>
          <w:bCs/>
          <w:color w:val="auto"/>
          <w:highlight w:val="none"/>
        </w:rPr>
        <w:t>项目目前</w:t>
      </w:r>
      <w:r>
        <w:rPr>
          <w:b/>
          <w:bCs/>
          <w:color w:val="auto"/>
          <w:highlight w:val="none"/>
        </w:rPr>
        <w:t>已采取的风险</w:t>
      </w:r>
      <w:r>
        <w:rPr>
          <w:rFonts w:hint="eastAsia"/>
          <w:b/>
          <w:bCs/>
          <w:color w:val="auto"/>
          <w:highlight w:val="none"/>
        </w:rPr>
        <w:t>防范</w:t>
      </w:r>
      <w:r>
        <w:rPr>
          <w:b/>
          <w:bCs/>
          <w:color w:val="auto"/>
          <w:highlight w:val="none"/>
        </w:rPr>
        <w:t>措施：</w:t>
      </w:r>
    </w:p>
    <w:p>
      <w:pPr>
        <w:ind w:firstLine="480"/>
        <w:rPr>
          <w:color w:val="auto"/>
          <w:highlight w:val="none"/>
        </w:rPr>
      </w:pPr>
      <w:r>
        <w:rPr>
          <w:rFonts w:hint="eastAsia"/>
          <w:color w:val="auto"/>
          <w:highlight w:val="none"/>
        </w:rPr>
        <w:t>1）储罐区</w:t>
      </w:r>
      <w:r>
        <w:rPr>
          <w:color w:val="auto"/>
          <w:highlight w:val="none"/>
        </w:rPr>
        <w:t>已配备消防灭火器材等</w:t>
      </w:r>
      <w:r>
        <w:rPr>
          <w:rFonts w:hint="eastAsia"/>
          <w:color w:val="auto"/>
          <w:highlight w:val="none"/>
        </w:rPr>
        <w:t>；加强明火管理</w:t>
      </w:r>
      <w:r>
        <w:rPr>
          <w:color w:val="auto"/>
          <w:highlight w:val="none"/>
        </w:rPr>
        <w:t>。</w:t>
      </w:r>
    </w:p>
    <w:p>
      <w:pPr>
        <w:ind w:firstLine="480"/>
        <w:rPr>
          <w:color w:val="auto"/>
          <w:highlight w:val="none"/>
        </w:rPr>
      </w:pPr>
      <w:r>
        <w:rPr>
          <w:rFonts w:hint="eastAsia"/>
          <w:color w:val="auto"/>
          <w:highlight w:val="none"/>
        </w:rPr>
        <w:t>2）柴油</w:t>
      </w:r>
      <w:r>
        <w:rPr>
          <w:color w:val="auto"/>
          <w:highlight w:val="none"/>
        </w:rPr>
        <w:t>运输委托有资质的运输公司油罐车进行，运输过程中卸油装置、油气回收装置及其密闭性、管阀等配套设施均符合《汽油运输大气污染物排放标准》（GB20951－2007）中的相关要求。</w:t>
      </w:r>
    </w:p>
    <w:p>
      <w:pPr>
        <w:ind w:firstLine="480"/>
        <w:rPr>
          <w:color w:val="auto"/>
          <w:highlight w:val="none"/>
        </w:rPr>
      </w:pPr>
      <w:r>
        <w:rPr>
          <w:rFonts w:hint="eastAsia"/>
          <w:color w:val="auto"/>
          <w:highlight w:val="none"/>
        </w:rPr>
        <w:t>3）</w:t>
      </w:r>
      <w:r>
        <w:rPr>
          <w:color w:val="auto"/>
          <w:highlight w:val="none"/>
        </w:rPr>
        <w:t>严格按《危险化学品安全管理条例》的要求，加强管理；严格规范操作规程；定期开展安全培训教育。</w:t>
      </w:r>
    </w:p>
    <w:p>
      <w:pPr>
        <w:ind w:firstLine="482"/>
        <w:rPr>
          <w:b/>
          <w:bCs/>
          <w:color w:val="auto"/>
          <w:highlight w:val="none"/>
        </w:rPr>
      </w:pPr>
      <w:r>
        <w:rPr>
          <w:rFonts w:hint="eastAsia"/>
          <w:b/>
          <w:bCs/>
          <w:color w:val="auto"/>
          <w:highlight w:val="none"/>
        </w:rPr>
        <w:t>（2</w:t>
      </w:r>
      <w:r>
        <w:rPr>
          <w:b/>
          <w:bCs/>
          <w:color w:val="auto"/>
          <w:highlight w:val="none"/>
        </w:rPr>
        <w:t>）</w:t>
      </w:r>
      <w:r>
        <w:rPr>
          <w:rFonts w:hint="eastAsia"/>
          <w:b/>
          <w:bCs/>
          <w:color w:val="auto"/>
          <w:highlight w:val="none"/>
        </w:rPr>
        <w:t>本次评价</w:t>
      </w:r>
      <w:r>
        <w:rPr>
          <w:b/>
          <w:bCs/>
          <w:color w:val="auto"/>
          <w:highlight w:val="none"/>
        </w:rPr>
        <w:t>提出的</w:t>
      </w:r>
      <w:r>
        <w:rPr>
          <w:rFonts w:hint="eastAsia"/>
          <w:b/>
          <w:bCs/>
          <w:color w:val="auto"/>
          <w:highlight w:val="none"/>
        </w:rPr>
        <w:t>风险防范</w:t>
      </w:r>
      <w:r>
        <w:rPr>
          <w:b/>
          <w:bCs/>
          <w:color w:val="auto"/>
          <w:highlight w:val="none"/>
        </w:rPr>
        <w:t>措施：</w:t>
      </w:r>
    </w:p>
    <w:p>
      <w:pPr>
        <w:ind w:firstLine="480"/>
        <w:rPr>
          <w:color w:val="auto"/>
          <w:highlight w:val="none"/>
        </w:rPr>
      </w:pPr>
      <w:r>
        <w:rPr>
          <w:rFonts w:hint="eastAsia"/>
          <w:color w:val="auto"/>
          <w:highlight w:val="none"/>
        </w:rPr>
        <w:t>1）风险防范管理措施</w:t>
      </w:r>
    </w:p>
    <w:p>
      <w:pPr>
        <w:ind w:firstLine="480"/>
        <w:rPr>
          <w:color w:val="auto"/>
          <w:highlight w:val="none"/>
        </w:rPr>
      </w:pPr>
      <w:r>
        <w:rPr>
          <w:rFonts w:hint="eastAsia"/>
          <w:color w:val="auto"/>
          <w:highlight w:val="none"/>
        </w:rPr>
        <w:t>①</w:t>
      </w:r>
      <w:r>
        <w:rPr>
          <w:color w:val="auto"/>
          <w:highlight w:val="none"/>
        </w:rPr>
        <w:t>加强员工上岗前安全知识和技能培训，建立员工培训档案，定期开展员工培训。</w:t>
      </w:r>
    </w:p>
    <w:p>
      <w:pPr>
        <w:ind w:firstLine="480"/>
        <w:rPr>
          <w:color w:val="auto"/>
          <w:highlight w:val="none"/>
        </w:rPr>
      </w:pPr>
      <w:r>
        <w:rPr>
          <w:rFonts w:hint="eastAsia"/>
          <w:color w:val="auto"/>
          <w:highlight w:val="none"/>
        </w:rPr>
        <w:t>②</w:t>
      </w:r>
      <w:r>
        <w:rPr>
          <w:color w:val="auto"/>
          <w:highlight w:val="none"/>
        </w:rPr>
        <w:t>建立健全安全生产责任制和各项安全管理制度。切实加强对工艺操作的安全管理，确保工艺操作规程和安全操作规程的贯彻执行。</w:t>
      </w:r>
    </w:p>
    <w:p>
      <w:pPr>
        <w:ind w:firstLine="480"/>
        <w:rPr>
          <w:color w:val="auto"/>
          <w:highlight w:val="none"/>
        </w:rPr>
      </w:pPr>
      <w:r>
        <w:rPr>
          <w:rFonts w:hint="eastAsia"/>
          <w:color w:val="auto"/>
          <w:highlight w:val="none"/>
        </w:rPr>
        <w:t>③</w:t>
      </w:r>
      <w:r>
        <w:rPr>
          <w:color w:val="auto"/>
          <w:highlight w:val="none"/>
        </w:rPr>
        <w:t>强化</w:t>
      </w:r>
      <w:r>
        <w:rPr>
          <w:rFonts w:hint="eastAsia"/>
          <w:color w:val="auto"/>
          <w:highlight w:val="none"/>
        </w:rPr>
        <w:t>对工作</w:t>
      </w:r>
      <w:r>
        <w:rPr>
          <w:color w:val="auto"/>
          <w:highlight w:val="none"/>
        </w:rPr>
        <w:t>人员的安全教育、操作技能培训工作，严格遵守库区各类安全管理规章制度和岗位操作规程。</w:t>
      </w:r>
    </w:p>
    <w:p>
      <w:pPr>
        <w:ind w:firstLine="480"/>
        <w:rPr>
          <w:color w:val="auto"/>
          <w:highlight w:val="none"/>
        </w:rPr>
      </w:pPr>
      <w:r>
        <w:rPr>
          <w:rFonts w:hint="eastAsia"/>
          <w:color w:val="auto"/>
          <w:highlight w:val="none"/>
        </w:rPr>
        <w:t>④</w:t>
      </w:r>
      <w:r>
        <w:rPr>
          <w:color w:val="auto"/>
          <w:highlight w:val="none"/>
        </w:rPr>
        <w:t>建立健全各种设备管理制度、管理台帐和技术档案，尤其要完善设备的检维修管理制度。加强对设备运行的监视、检查、定期维护保养等管理工作。</w:t>
      </w:r>
    </w:p>
    <w:p>
      <w:pPr>
        <w:ind w:firstLine="480"/>
        <w:rPr>
          <w:color w:val="auto"/>
          <w:highlight w:val="none"/>
        </w:rPr>
      </w:pPr>
      <w:r>
        <w:rPr>
          <w:rFonts w:hint="eastAsia"/>
          <w:color w:val="auto"/>
          <w:highlight w:val="none"/>
        </w:rPr>
        <w:t>⑤</w:t>
      </w:r>
      <w:r>
        <w:rPr>
          <w:color w:val="auto"/>
          <w:highlight w:val="none"/>
        </w:rPr>
        <w:t>建立各种安全装置、安全附件管理制度和台帐，对火灾报警装置、监测器等应定期检验，做好各类监测目标、泄漏点、检测点</w:t>
      </w:r>
      <w:r>
        <w:rPr>
          <w:rFonts w:hint="eastAsia"/>
          <w:color w:val="auto"/>
          <w:highlight w:val="none"/>
        </w:rPr>
        <w:t>的</w:t>
      </w:r>
      <w:r>
        <w:rPr>
          <w:color w:val="auto"/>
          <w:highlight w:val="none"/>
        </w:rPr>
        <w:t>检查，发现问题及时处理。</w:t>
      </w:r>
    </w:p>
    <w:p>
      <w:pPr>
        <w:ind w:firstLine="480"/>
        <w:rPr>
          <w:rFonts w:hint="eastAsia" w:eastAsia="宋体"/>
          <w:color w:val="auto"/>
          <w:highlight w:val="none"/>
          <w:lang w:eastAsia="zh-CN"/>
        </w:rPr>
      </w:pPr>
      <w:r>
        <w:rPr>
          <w:rFonts w:hint="eastAsia"/>
          <w:color w:val="auto"/>
          <w:highlight w:val="none"/>
        </w:rPr>
        <w:t>⑥</w:t>
      </w:r>
      <w:r>
        <w:rPr>
          <w:color w:val="auto"/>
          <w:highlight w:val="none"/>
        </w:rPr>
        <w:t>建立火灾报警系统，制定救援方案，组织演习，使每个职工都会使用消防器材，有效地扑救初期火灾</w:t>
      </w:r>
      <w:r>
        <w:rPr>
          <w:rFonts w:hint="eastAsia"/>
          <w:color w:val="auto"/>
          <w:highlight w:val="none"/>
          <w:lang w:eastAsia="zh-CN"/>
        </w:rPr>
        <w:t>。</w:t>
      </w:r>
    </w:p>
    <w:p>
      <w:pPr>
        <w:ind w:firstLine="480"/>
        <w:rPr>
          <w:rFonts w:hint="eastAsia" w:eastAsia="宋体"/>
          <w:color w:val="auto"/>
          <w:highlight w:val="none"/>
          <w:lang w:eastAsia="zh-CN"/>
        </w:rPr>
      </w:pPr>
      <w:r>
        <w:rPr>
          <w:rFonts w:hint="eastAsia"/>
          <w:color w:val="auto"/>
          <w:highlight w:val="none"/>
          <w:lang w:eastAsia="zh-CN"/>
        </w:rPr>
        <w:t>⑦</w:t>
      </w:r>
      <w:r>
        <w:rPr>
          <w:rFonts w:hint="eastAsia"/>
          <w:color w:val="auto"/>
          <w:highlight w:val="none"/>
        </w:rPr>
        <w:t>储罐区</w:t>
      </w:r>
      <w:r>
        <w:rPr>
          <w:color w:val="auto"/>
          <w:highlight w:val="none"/>
        </w:rPr>
        <w:t>配备消防灭火器材等</w:t>
      </w:r>
      <w:r>
        <w:rPr>
          <w:rFonts w:hint="eastAsia"/>
          <w:color w:val="auto"/>
          <w:highlight w:val="none"/>
        </w:rPr>
        <w:t>；加强明火管理</w:t>
      </w:r>
      <w:r>
        <w:rPr>
          <w:rFonts w:hint="eastAsia"/>
          <w:color w:val="auto"/>
          <w:highlight w:val="none"/>
          <w:lang w:eastAsia="zh-CN"/>
        </w:rPr>
        <w:t>。</w:t>
      </w:r>
    </w:p>
    <w:p>
      <w:pPr>
        <w:ind w:firstLine="480"/>
        <w:rPr>
          <w:color w:val="auto"/>
          <w:highlight w:val="none"/>
        </w:rPr>
      </w:pPr>
      <w:r>
        <w:rPr>
          <w:rFonts w:hint="eastAsia"/>
          <w:color w:val="auto"/>
          <w:highlight w:val="none"/>
          <w:lang w:eastAsia="zh-CN"/>
        </w:rPr>
        <w:t>⑧</w:t>
      </w:r>
      <w:r>
        <w:rPr>
          <w:rFonts w:hint="eastAsia"/>
          <w:color w:val="auto"/>
          <w:highlight w:val="none"/>
        </w:rPr>
        <w:t>柴油</w:t>
      </w:r>
      <w:r>
        <w:rPr>
          <w:color w:val="auto"/>
          <w:highlight w:val="none"/>
        </w:rPr>
        <w:t>运输委托有资质的运输公司油罐车进行，运输过程中卸油装置、油气回收装置及其密闭性、管阀等配套设施均符合《汽油运输大气污染物排放标准》（GB20951－2007）中的相关要求</w:t>
      </w:r>
      <w:r>
        <w:rPr>
          <w:rFonts w:hint="eastAsia"/>
          <w:color w:val="auto"/>
          <w:highlight w:val="none"/>
          <w:lang w:eastAsia="zh-CN"/>
        </w:rPr>
        <w:t>。</w:t>
      </w:r>
    </w:p>
    <w:p>
      <w:pPr>
        <w:pStyle w:val="4"/>
        <w:rPr>
          <w:color w:val="auto"/>
          <w:highlight w:val="none"/>
        </w:rPr>
      </w:pPr>
      <w:bookmarkStart w:id="478" w:name="_Toc27906"/>
      <w:r>
        <w:rPr>
          <w:rFonts w:hint="eastAsia"/>
          <w:color w:val="auto"/>
          <w:highlight w:val="none"/>
          <w:lang w:val="en-US" w:eastAsia="zh-CN"/>
        </w:rPr>
        <w:t>7</w:t>
      </w:r>
      <w:r>
        <w:rPr>
          <w:rFonts w:hint="eastAsia"/>
          <w:color w:val="auto"/>
          <w:highlight w:val="none"/>
        </w:rPr>
        <w:t>.</w:t>
      </w:r>
      <w:r>
        <w:rPr>
          <w:rFonts w:hint="eastAsia"/>
          <w:color w:val="auto"/>
          <w:highlight w:val="none"/>
          <w:lang w:val="en-US" w:eastAsia="zh-CN"/>
        </w:rPr>
        <w:t>8</w:t>
      </w:r>
      <w:r>
        <w:rPr>
          <w:rFonts w:hint="eastAsia"/>
          <w:color w:val="auto"/>
          <w:highlight w:val="none"/>
        </w:rPr>
        <w:t>分析结论</w:t>
      </w:r>
      <w:bookmarkEnd w:id="478"/>
    </w:p>
    <w:p>
      <w:pPr>
        <w:ind w:firstLine="528" w:firstLineChars="220"/>
        <w:rPr>
          <w:color w:val="auto"/>
          <w:highlight w:val="none"/>
        </w:rPr>
      </w:pPr>
      <w:r>
        <w:rPr>
          <w:rFonts w:hint="eastAsia"/>
          <w:color w:val="auto"/>
          <w:highlight w:val="none"/>
        </w:rPr>
        <w:t>经上述风险评价可知，本项目运营过程中存在泄漏、火灾、爆炸等环境风险。通过对本项目运营过程中存在的风险潜势进行判断，本项目环境风险潜势为I，本评价认为只要在运营过程中不断加强生产安全和环境管理，对每一环节按风险评价</w:t>
      </w:r>
      <w:r>
        <w:rPr>
          <w:rFonts w:hint="eastAsia"/>
          <w:color w:val="auto"/>
          <w:highlight w:val="none"/>
          <w:lang w:eastAsia="zh-CN"/>
        </w:rPr>
        <w:t>和现有突发环境事件应急预案</w:t>
      </w:r>
      <w:r>
        <w:rPr>
          <w:rFonts w:hint="eastAsia"/>
          <w:color w:val="auto"/>
          <w:highlight w:val="none"/>
        </w:rPr>
        <w:t>要求落实防范措施和应急措施，项目环境风险是可控制的，可以将环境风险降到最低程度。从环境风险评价的角度上分析，该项目的风险水平及影响程度是可以接受的。</w:t>
      </w:r>
    </w:p>
    <w:p>
      <w:pPr>
        <w:pStyle w:val="17"/>
        <w:ind w:firstLine="0" w:firstLineChars="0"/>
        <w:rPr>
          <w:highlight w:val="none"/>
        </w:rPr>
      </w:pPr>
    </w:p>
    <w:p>
      <w:pPr>
        <w:pStyle w:val="17"/>
        <w:ind w:firstLine="0" w:firstLineChars="0"/>
        <w:rPr>
          <w:rFonts w:ascii="Times New Roman" w:hAnsi="Times New Roman"/>
          <w:highlight w:val="none"/>
        </w:rPr>
        <w:sectPr>
          <w:pgSz w:w="11911" w:h="16838"/>
          <w:pgMar w:top="1417" w:right="1417" w:bottom="1417" w:left="1417" w:header="879" w:footer="952" w:gutter="0"/>
          <w:pgBorders>
            <w:top w:val="none" w:sz="0" w:space="0"/>
            <w:left w:val="none" w:sz="0" w:space="0"/>
            <w:bottom w:val="none" w:sz="0" w:space="0"/>
            <w:right w:val="none" w:sz="0" w:space="0"/>
          </w:pgBorders>
          <w:pgNumType w:fmt="decimal"/>
          <w:cols w:space="720" w:num="1"/>
          <w:docGrid w:linePitch="312" w:charSpace="0"/>
        </w:sectPr>
      </w:pPr>
    </w:p>
    <w:p>
      <w:pPr>
        <w:pStyle w:val="3"/>
        <w:rPr>
          <w:highlight w:val="none"/>
        </w:rPr>
      </w:pPr>
      <w:bookmarkStart w:id="479" w:name="_Toc12671"/>
      <w:r>
        <w:rPr>
          <w:rFonts w:hint="eastAsia"/>
          <w:highlight w:val="none"/>
          <w:lang w:val="en-US" w:eastAsia="zh-CN"/>
        </w:rPr>
        <w:t>8</w:t>
      </w:r>
      <w:r>
        <w:rPr>
          <w:rFonts w:hint="eastAsia"/>
          <w:szCs w:val="32"/>
          <w:highlight w:val="none"/>
          <w:lang w:val="zh-CN"/>
        </w:rPr>
        <w:t>环境保护措施及其可行性论证</w:t>
      </w:r>
      <w:bookmarkEnd w:id="479"/>
    </w:p>
    <w:p>
      <w:pPr>
        <w:adjustRightInd w:val="0"/>
        <w:snapToGrid w:val="0"/>
        <w:ind w:firstLine="480"/>
        <w:rPr>
          <w:rFonts w:ascii="宋体" w:hAnsi="宋体"/>
          <w:highlight w:val="none"/>
        </w:rPr>
      </w:pPr>
      <w:r>
        <w:rPr>
          <w:rFonts w:ascii="宋体" w:hAnsi="宋体"/>
          <w:highlight w:val="none"/>
        </w:rPr>
        <w:t>污染防治措施是控制污染物排放的重要手段，其处理效果的好坏及运行正常与否，将直接影响到污染物的排放情况，进而影响环境质量。因此，对建设项目污染防治措施的选择要本着工艺可行、技术成熟可靠、经济合理的原则，并且在运行中的日常维护与管理要严格要求。在发展经济的同时，保护好环境。</w:t>
      </w:r>
    </w:p>
    <w:p>
      <w:pPr>
        <w:adjustRightInd w:val="0"/>
        <w:snapToGrid w:val="0"/>
        <w:ind w:firstLine="480"/>
        <w:rPr>
          <w:rFonts w:ascii="宋体" w:hAnsi="宋体"/>
          <w:highlight w:val="none"/>
        </w:rPr>
      </w:pPr>
      <w:r>
        <w:rPr>
          <w:rFonts w:ascii="宋体" w:hAnsi="宋体"/>
          <w:highlight w:val="none"/>
        </w:rPr>
        <w:t>本章将重点评述废气、废水、噪声、固废等各项污染防治措施的可行性和可靠性，通过分析，针对存在的环保问题，提出切实可行的对策建议，最大限度地减少建设项目对环境的不利影响。同时，为环境工程设计及运行后的环境管理提供科学依据。</w:t>
      </w:r>
    </w:p>
    <w:p>
      <w:pPr>
        <w:keepNext/>
        <w:keepLines/>
        <w:ind w:firstLine="0" w:firstLineChars="0"/>
        <w:outlineLvl w:val="1"/>
        <w:rPr>
          <w:b/>
          <w:sz w:val="30"/>
          <w:szCs w:val="28"/>
          <w:highlight w:val="none"/>
        </w:rPr>
      </w:pPr>
      <w:bookmarkStart w:id="480" w:name="_Toc505861715"/>
      <w:bookmarkStart w:id="481" w:name="_Toc6470"/>
      <w:bookmarkStart w:id="482" w:name="_Toc501110099"/>
      <w:r>
        <w:rPr>
          <w:rFonts w:hint="eastAsia"/>
          <w:b/>
          <w:sz w:val="30"/>
          <w:szCs w:val="28"/>
          <w:highlight w:val="none"/>
          <w:lang w:val="en-US" w:eastAsia="zh-CN"/>
        </w:rPr>
        <w:t>8</w:t>
      </w:r>
      <w:r>
        <w:rPr>
          <w:rFonts w:hint="eastAsia"/>
          <w:b/>
          <w:sz w:val="30"/>
          <w:szCs w:val="28"/>
          <w:highlight w:val="none"/>
        </w:rPr>
        <w:t>.1</w:t>
      </w:r>
      <w:r>
        <w:rPr>
          <w:b/>
          <w:sz w:val="30"/>
          <w:szCs w:val="28"/>
          <w:highlight w:val="none"/>
        </w:rPr>
        <w:t xml:space="preserve"> </w:t>
      </w:r>
      <w:r>
        <w:rPr>
          <w:rFonts w:hint="eastAsia"/>
          <w:b/>
          <w:sz w:val="30"/>
          <w:szCs w:val="28"/>
          <w:highlight w:val="none"/>
          <w:lang w:val="zh-CN"/>
        </w:rPr>
        <w:t>施工期污染防治</w:t>
      </w:r>
      <w:r>
        <w:rPr>
          <w:b/>
          <w:sz w:val="30"/>
          <w:szCs w:val="28"/>
          <w:highlight w:val="none"/>
          <w:lang w:val="zh-CN"/>
        </w:rPr>
        <w:t>措施及其可行性分析</w:t>
      </w:r>
      <w:bookmarkEnd w:id="480"/>
      <w:bookmarkEnd w:id="481"/>
      <w:bookmarkEnd w:id="482"/>
    </w:p>
    <w:p>
      <w:pPr>
        <w:pStyle w:val="5"/>
        <w:widowControl/>
        <w:adjustRightInd w:val="0"/>
        <w:snapToGrid w:val="0"/>
        <w:rPr>
          <w:rFonts w:hint="default"/>
          <w:highlight w:val="none"/>
        </w:rPr>
      </w:pPr>
      <w:bookmarkStart w:id="483" w:name="_Toc501110100"/>
      <w:bookmarkStart w:id="484" w:name="_Toc505861716"/>
      <w:bookmarkStart w:id="485" w:name="_Toc2857"/>
      <w:r>
        <w:rPr>
          <w:rFonts w:hint="eastAsia"/>
          <w:highlight w:val="none"/>
          <w:lang w:val="en-US" w:eastAsia="zh-CN"/>
        </w:rPr>
        <w:t>8</w:t>
      </w:r>
      <w:r>
        <w:rPr>
          <w:highlight w:val="none"/>
        </w:rPr>
        <w:t>.1.1 施工期废气防治措施</w:t>
      </w:r>
      <w:bookmarkEnd w:id="483"/>
      <w:bookmarkEnd w:id="484"/>
      <w:bookmarkEnd w:id="485"/>
    </w:p>
    <w:p>
      <w:pPr>
        <w:adjustRightInd w:val="0"/>
        <w:snapToGrid w:val="0"/>
        <w:ind w:firstLine="480"/>
        <w:rPr>
          <w:rFonts w:hint="eastAsia"/>
          <w:highlight w:val="none"/>
        </w:rPr>
      </w:pPr>
      <w:r>
        <w:rPr>
          <w:rFonts w:hint="eastAsia"/>
          <w:highlight w:val="none"/>
        </w:rPr>
        <w:t>1、废气环境保护措施</w:t>
      </w:r>
    </w:p>
    <w:p>
      <w:pPr>
        <w:adjustRightInd w:val="0"/>
        <w:snapToGrid w:val="0"/>
        <w:ind w:firstLine="480"/>
        <w:rPr>
          <w:rFonts w:hint="eastAsia"/>
          <w:highlight w:val="none"/>
        </w:rPr>
      </w:pPr>
      <w:r>
        <w:rPr>
          <w:rFonts w:hint="eastAsia"/>
          <w:highlight w:val="none"/>
        </w:rPr>
        <w:t>（1）施工期间实行围挡封闭施工，尽量避免在大风天气下进行施工作业；</w:t>
      </w:r>
    </w:p>
    <w:p>
      <w:pPr>
        <w:adjustRightInd w:val="0"/>
        <w:snapToGrid w:val="0"/>
        <w:ind w:firstLine="480"/>
        <w:rPr>
          <w:rFonts w:hint="eastAsia"/>
          <w:highlight w:val="none"/>
        </w:rPr>
      </w:pPr>
      <w:r>
        <w:rPr>
          <w:rFonts w:hint="eastAsia"/>
          <w:highlight w:val="none"/>
        </w:rPr>
        <w:t>（2）在施工机械的选型上考虑相应的环保型产品，主要使用轻质柴油或电作为能源，不得使用劣质燃料；</w:t>
      </w:r>
    </w:p>
    <w:p>
      <w:pPr>
        <w:adjustRightInd w:val="0"/>
        <w:snapToGrid w:val="0"/>
        <w:ind w:firstLine="480"/>
        <w:rPr>
          <w:rFonts w:hint="eastAsia"/>
          <w:highlight w:val="none"/>
        </w:rPr>
      </w:pPr>
      <w:r>
        <w:rPr>
          <w:rFonts w:hint="eastAsia"/>
          <w:highlight w:val="none"/>
        </w:rPr>
        <w:t>（3）施工期间，施工单位应在施工现场醒目位置设置施工标志牌和施工现场总平面布置图以及安全生产、消防保卫、环境保护、文明施工等制度牌。施工标志牌应当标明建设工程名称，建设单位、设计单位、施工单位、工程监理单位名称，项目经理姓名和联系电话，开工和计划竣工日期以及施工许可证批准文号等。</w:t>
      </w:r>
    </w:p>
    <w:p>
      <w:pPr>
        <w:adjustRightInd w:val="0"/>
        <w:snapToGrid w:val="0"/>
        <w:ind w:firstLine="480"/>
        <w:rPr>
          <w:rFonts w:hint="eastAsia"/>
          <w:highlight w:val="none"/>
        </w:rPr>
      </w:pPr>
      <w:r>
        <w:rPr>
          <w:rFonts w:hint="eastAsia"/>
          <w:highlight w:val="none"/>
        </w:rPr>
        <w:t>（4）在施工场地安排专门员工对施工场地洒水以减少扬尘量，洒水次数根据天气状况而定。一般每天不少于</w:t>
      </w:r>
      <w:r>
        <w:rPr>
          <w:rFonts w:hint="eastAsia"/>
          <w:highlight w:val="none"/>
          <w:lang w:val="en-US" w:eastAsia="zh-CN"/>
        </w:rPr>
        <w:t>2</w:t>
      </w:r>
      <w:r>
        <w:rPr>
          <w:rFonts w:hint="eastAsia"/>
          <w:highlight w:val="none"/>
        </w:rPr>
        <w:t>次，若遇到大风或干燥天气要适当增加洒水次数。遇到大风天气，应停止土方作业。</w:t>
      </w:r>
    </w:p>
    <w:p>
      <w:pPr>
        <w:adjustRightInd w:val="0"/>
        <w:snapToGrid w:val="0"/>
        <w:ind w:firstLine="480"/>
        <w:rPr>
          <w:rFonts w:hint="eastAsia"/>
          <w:highlight w:val="none"/>
        </w:rPr>
      </w:pPr>
      <w:r>
        <w:rPr>
          <w:rFonts w:hint="eastAsia"/>
          <w:highlight w:val="none"/>
        </w:rPr>
        <w:t>（5）施工过程中产生的弃土、弃料及其它建筑垃圾，应及时清运。若在工地内堆置超过一周的，则应采取覆盖防尘布、防尘网，定期喷洒抑尘剂，定期喷水压尘等措施，防止风蚀起尘及水蚀迁移。</w:t>
      </w:r>
    </w:p>
    <w:p>
      <w:pPr>
        <w:adjustRightInd w:val="0"/>
        <w:snapToGrid w:val="0"/>
        <w:ind w:firstLine="480"/>
        <w:rPr>
          <w:rFonts w:hint="eastAsia"/>
          <w:highlight w:val="none"/>
        </w:rPr>
      </w:pPr>
      <w:r>
        <w:rPr>
          <w:rFonts w:hint="eastAsia"/>
          <w:highlight w:val="none"/>
        </w:rPr>
        <w:t>（6）进出工地的物料、渣土、垃圾运输车辆也应该加强管理，尽可能采用密闭车斗，并保证物料不遗撒外漏。若无密闭车斗，物料、垃圾、渣土的装载高度不得超过车辆槽帮上沿，车斗应用苫布遮盖严实，防止在运输途中发生跑、冒、漏、滴。车辆应按照批准的路线和时间进行物料、渣土、垃圾的运输。</w:t>
      </w:r>
    </w:p>
    <w:p>
      <w:pPr>
        <w:adjustRightInd w:val="0"/>
        <w:snapToGrid w:val="0"/>
        <w:ind w:firstLine="480"/>
        <w:rPr>
          <w:highlight w:val="none"/>
        </w:rPr>
      </w:pPr>
      <w:r>
        <w:rPr>
          <w:rFonts w:hint="eastAsia"/>
          <w:highlight w:val="none"/>
          <w:lang w:eastAsia="zh-CN"/>
        </w:rPr>
        <w:t>（</w:t>
      </w:r>
      <w:r>
        <w:rPr>
          <w:rFonts w:hint="eastAsia"/>
          <w:highlight w:val="none"/>
          <w:lang w:val="en-US" w:eastAsia="zh-CN"/>
        </w:rPr>
        <w:t>7</w:t>
      </w:r>
      <w:r>
        <w:rPr>
          <w:rFonts w:hint="eastAsia"/>
          <w:highlight w:val="none"/>
          <w:lang w:eastAsia="zh-CN"/>
        </w:rPr>
        <w:t>）</w:t>
      </w:r>
      <w:r>
        <w:rPr>
          <w:rFonts w:hint="eastAsia"/>
          <w:highlight w:val="none"/>
        </w:rPr>
        <w:t>优化施工期间运输车辆的出入场路径</w:t>
      </w:r>
      <w:r>
        <w:rPr>
          <w:highlight w:val="none"/>
        </w:rPr>
        <w:t>。</w:t>
      </w:r>
    </w:p>
    <w:p>
      <w:pPr>
        <w:adjustRightInd w:val="0"/>
        <w:snapToGrid w:val="0"/>
        <w:ind w:firstLine="480"/>
        <w:rPr>
          <w:rFonts w:hint="eastAsia"/>
          <w:highlight w:val="none"/>
        </w:rPr>
      </w:pPr>
      <w:r>
        <w:rPr>
          <w:rFonts w:hint="eastAsia"/>
          <w:highlight w:val="none"/>
        </w:rPr>
        <w:t>2、措施可行性论证</w:t>
      </w:r>
    </w:p>
    <w:p>
      <w:pPr>
        <w:adjustRightInd w:val="0"/>
        <w:snapToGrid w:val="0"/>
        <w:ind w:firstLine="480"/>
        <w:rPr>
          <w:highlight w:val="none"/>
        </w:rPr>
      </w:pPr>
      <w:r>
        <w:rPr>
          <w:rFonts w:hint="eastAsia"/>
          <w:highlight w:val="none"/>
        </w:rPr>
        <w:t>洒水降尘是施工场地扬尘防治的常用措施，也是比较有效的措施，施工期安排一个兼职人员在干旱大风天气进行洒水降尘，可取得较好的降尘效果。综上所述，项目施工期采取的措施是可行的。</w:t>
      </w:r>
    </w:p>
    <w:p>
      <w:pPr>
        <w:pStyle w:val="5"/>
        <w:widowControl/>
        <w:adjustRightInd w:val="0"/>
        <w:snapToGrid w:val="0"/>
        <w:rPr>
          <w:rFonts w:hint="default"/>
          <w:highlight w:val="none"/>
        </w:rPr>
      </w:pPr>
      <w:bookmarkStart w:id="486" w:name="_Toc501110101"/>
      <w:bookmarkStart w:id="487" w:name="_Toc7946"/>
      <w:bookmarkStart w:id="488" w:name="_Toc505861717"/>
      <w:r>
        <w:rPr>
          <w:rFonts w:hint="eastAsia"/>
          <w:highlight w:val="none"/>
          <w:lang w:val="en-US" w:eastAsia="zh-CN"/>
        </w:rPr>
        <w:t>8</w:t>
      </w:r>
      <w:r>
        <w:rPr>
          <w:highlight w:val="none"/>
        </w:rPr>
        <w:t>.1.2 施工期废水防治措施</w:t>
      </w:r>
      <w:bookmarkEnd w:id="486"/>
      <w:bookmarkEnd w:id="487"/>
      <w:bookmarkEnd w:id="488"/>
    </w:p>
    <w:p>
      <w:pPr>
        <w:adjustRightInd w:val="0"/>
        <w:snapToGrid w:val="0"/>
        <w:ind w:firstLine="480"/>
        <w:rPr>
          <w:rFonts w:hint="eastAsia"/>
          <w:highlight w:val="none"/>
        </w:rPr>
      </w:pPr>
      <w:r>
        <w:rPr>
          <w:rFonts w:hint="eastAsia"/>
          <w:highlight w:val="none"/>
        </w:rPr>
        <w:t>1、废水环境保护措施</w:t>
      </w:r>
    </w:p>
    <w:p>
      <w:pPr>
        <w:adjustRightInd w:val="0"/>
        <w:snapToGrid w:val="0"/>
        <w:ind w:firstLine="480"/>
        <w:rPr>
          <w:rFonts w:hint="eastAsia"/>
          <w:highlight w:val="none"/>
        </w:rPr>
      </w:pPr>
      <w:r>
        <w:rPr>
          <w:rFonts w:hint="eastAsia"/>
          <w:highlight w:val="none"/>
        </w:rPr>
        <w:t>（1）项目施工废水和生活污水产生量为</w:t>
      </w:r>
      <w:r>
        <w:rPr>
          <w:rFonts w:hint="eastAsia"/>
          <w:highlight w:val="none"/>
          <w:lang w:val="en-US" w:eastAsia="zh-CN"/>
        </w:rPr>
        <w:t>2.48</w:t>
      </w:r>
      <w:r>
        <w:rPr>
          <w:rFonts w:hint="eastAsia"/>
          <w:highlight w:val="none"/>
        </w:rPr>
        <w:t>m</w:t>
      </w:r>
      <w:r>
        <w:rPr>
          <w:rFonts w:hint="eastAsia"/>
          <w:highlight w:val="none"/>
          <w:vertAlign w:val="superscript"/>
        </w:rPr>
        <w:t>3</w:t>
      </w:r>
      <w:r>
        <w:rPr>
          <w:rFonts w:hint="eastAsia"/>
          <w:highlight w:val="none"/>
        </w:rPr>
        <w:t>/d，设置沉淀池（1个</w:t>
      </w:r>
      <w:r>
        <w:rPr>
          <w:rFonts w:hint="eastAsia"/>
          <w:highlight w:val="none"/>
          <w:lang w:eastAsia="zh-CN"/>
        </w:rPr>
        <w:t>，</w:t>
      </w:r>
      <w:r>
        <w:rPr>
          <w:rFonts w:hint="eastAsia"/>
          <w:highlight w:val="none"/>
        </w:rPr>
        <w:t>3m</w:t>
      </w:r>
      <w:r>
        <w:rPr>
          <w:rFonts w:hint="eastAsia"/>
          <w:highlight w:val="none"/>
          <w:vertAlign w:val="superscript"/>
        </w:rPr>
        <w:t>3</w:t>
      </w:r>
      <w:r>
        <w:rPr>
          <w:rFonts w:hint="eastAsia"/>
          <w:highlight w:val="none"/>
        </w:rPr>
        <w:t>）沉淀处理后回用于场区洒水降尘。</w:t>
      </w:r>
    </w:p>
    <w:p>
      <w:pPr>
        <w:adjustRightInd w:val="0"/>
        <w:snapToGrid w:val="0"/>
        <w:ind w:firstLine="480"/>
        <w:rPr>
          <w:rFonts w:hint="eastAsia"/>
          <w:highlight w:val="none"/>
        </w:rPr>
      </w:pPr>
      <w:r>
        <w:rPr>
          <w:rFonts w:hint="eastAsia"/>
          <w:highlight w:val="none"/>
        </w:rPr>
        <w:t>（2）施工期雨天地表径流产生量为736.2m</w:t>
      </w:r>
      <w:r>
        <w:rPr>
          <w:rFonts w:hint="eastAsia"/>
          <w:highlight w:val="none"/>
          <w:vertAlign w:val="superscript"/>
        </w:rPr>
        <w:t>3</w:t>
      </w:r>
      <w:r>
        <w:rPr>
          <w:rFonts w:hint="eastAsia"/>
          <w:highlight w:val="none"/>
        </w:rPr>
        <w:t>/d，项目拟收集前30min雨水进行处理，收集量为15.3m³，后期雨水直排。项目拟在地势较低处靠近排放口处设置容积为30m</w:t>
      </w:r>
      <w:r>
        <w:rPr>
          <w:rFonts w:hint="eastAsia"/>
          <w:highlight w:val="none"/>
          <w:vertAlign w:val="superscript"/>
        </w:rPr>
        <w:t>3</w:t>
      </w:r>
      <w:r>
        <w:rPr>
          <w:rFonts w:hint="eastAsia"/>
          <w:highlight w:val="none"/>
        </w:rPr>
        <w:t>的雨水沉淀池收集地表径流，经沉淀处理后回用于场区洒水降尘，不外排。</w:t>
      </w:r>
    </w:p>
    <w:p>
      <w:pPr>
        <w:adjustRightInd w:val="0"/>
        <w:snapToGrid w:val="0"/>
        <w:ind w:firstLine="480"/>
        <w:rPr>
          <w:rFonts w:hint="eastAsia"/>
          <w:highlight w:val="none"/>
        </w:rPr>
      </w:pPr>
      <w:r>
        <w:rPr>
          <w:rFonts w:hint="eastAsia"/>
          <w:highlight w:val="none"/>
        </w:rPr>
        <w:t>2、措施可行性论证</w:t>
      </w:r>
    </w:p>
    <w:p>
      <w:pPr>
        <w:adjustRightInd w:val="0"/>
        <w:snapToGrid w:val="0"/>
        <w:ind w:firstLine="480"/>
        <w:rPr>
          <w:highlight w:val="none"/>
        </w:rPr>
      </w:pPr>
      <w:r>
        <w:rPr>
          <w:rFonts w:hint="eastAsia"/>
          <w:highlight w:val="none"/>
        </w:rPr>
        <w:t>项目施工期施工废水中污染物主要为SS，而洒水降尘对水质要求不高，经沉淀处理后的生活污水、施工废水用于洒水降尘。施工期初期雨水经沉淀池（1个，30m</w:t>
      </w:r>
      <w:r>
        <w:rPr>
          <w:rFonts w:hint="eastAsia"/>
          <w:highlight w:val="none"/>
          <w:vertAlign w:val="superscript"/>
        </w:rPr>
        <w:t>3</w:t>
      </w:r>
      <w:r>
        <w:rPr>
          <w:rFonts w:hint="eastAsia"/>
          <w:highlight w:val="none"/>
        </w:rPr>
        <w:t>）沉淀处理后回用于场区洒水降尘，项目建设期废水均能得到有效处理，采取的措施可行，对周边水环境影响较小</w:t>
      </w:r>
      <w:r>
        <w:rPr>
          <w:highlight w:val="none"/>
        </w:rPr>
        <w:t>。</w:t>
      </w:r>
    </w:p>
    <w:p>
      <w:pPr>
        <w:pStyle w:val="5"/>
        <w:widowControl/>
        <w:adjustRightInd w:val="0"/>
        <w:snapToGrid w:val="0"/>
        <w:rPr>
          <w:rFonts w:hint="default"/>
          <w:highlight w:val="none"/>
        </w:rPr>
      </w:pPr>
      <w:bookmarkStart w:id="489" w:name="_Toc501110102"/>
      <w:bookmarkStart w:id="490" w:name="_Toc505861718"/>
      <w:bookmarkStart w:id="491" w:name="_Toc14138"/>
      <w:r>
        <w:rPr>
          <w:rFonts w:hint="eastAsia"/>
          <w:highlight w:val="none"/>
          <w:lang w:val="en-US" w:eastAsia="zh-CN"/>
        </w:rPr>
        <w:t>8</w:t>
      </w:r>
      <w:r>
        <w:rPr>
          <w:highlight w:val="none"/>
        </w:rPr>
        <w:t>.1.3 施工期噪声防治措施</w:t>
      </w:r>
      <w:bookmarkEnd w:id="489"/>
      <w:bookmarkEnd w:id="490"/>
      <w:bookmarkEnd w:id="491"/>
    </w:p>
    <w:p>
      <w:pPr>
        <w:adjustRightInd w:val="0"/>
        <w:snapToGrid w:val="0"/>
        <w:ind w:firstLine="480"/>
        <w:rPr>
          <w:rFonts w:hint="eastAsia"/>
          <w:highlight w:val="none"/>
        </w:rPr>
      </w:pPr>
      <w:r>
        <w:rPr>
          <w:rFonts w:hint="eastAsia"/>
          <w:highlight w:val="none"/>
        </w:rPr>
        <w:t>1、噪声环境保护措施</w:t>
      </w:r>
    </w:p>
    <w:p>
      <w:pPr>
        <w:adjustRightInd w:val="0"/>
        <w:snapToGrid w:val="0"/>
        <w:ind w:firstLine="480"/>
        <w:rPr>
          <w:rFonts w:hint="eastAsia"/>
          <w:highlight w:val="none"/>
        </w:rPr>
      </w:pPr>
      <w:r>
        <w:rPr>
          <w:rFonts w:hint="eastAsia"/>
          <w:highlight w:val="none"/>
        </w:rPr>
        <w:t>（1）施工期间，施工单位应选用低噪声的施工设备，从源头上控制噪声排放；加强施工机械的维修、管理，保证施工机械处于低噪声、高效率的良好工作状态；</w:t>
      </w:r>
    </w:p>
    <w:p>
      <w:pPr>
        <w:adjustRightInd w:val="0"/>
        <w:snapToGrid w:val="0"/>
        <w:ind w:firstLine="480"/>
        <w:rPr>
          <w:rFonts w:hint="eastAsia"/>
          <w:highlight w:val="none"/>
        </w:rPr>
      </w:pPr>
      <w:r>
        <w:rPr>
          <w:rFonts w:hint="eastAsia"/>
          <w:highlight w:val="none"/>
        </w:rPr>
        <w:t>（2）合理布置施工作业面和安排施工时间；</w:t>
      </w:r>
    </w:p>
    <w:p>
      <w:pPr>
        <w:adjustRightInd w:val="0"/>
        <w:snapToGrid w:val="0"/>
        <w:ind w:firstLine="480"/>
        <w:rPr>
          <w:rFonts w:hint="eastAsia"/>
          <w:highlight w:val="none"/>
        </w:rPr>
      </w:pPr>
      <w:r>
        <w:rPr>
          <w:rFonts w:hint="eastAsia"/>
          <w:highlight w:val="none"/>
        </w:rPr>
        <w:t>（3）科学合理地安排施工步骤，合理安排施工工序，优化施工方式，避免在同一时间集中使用大量的施工机械设备；</w:t>
      </w:r>
    </w:p>
    <w:p>
      <w:pPr>
        <w:adjustRightInd w:val="0"/>
        <w:snapToGrid w:val="0"/>
        <w:ind w:firstLine="480"/>
        <w:rPr>
          <w:rFonts w:hint="eastAsia" w:eastAsia="宋体"/>
          <w:highlight w:val="none"/>
          <w:lang w:eastAsia="zh-CN"/>
        </w:rPr>
      </w:pPr>
      <w:r>
        <w:rPr>
          <w:rFonts w:hint="eastAsia"/>
          <w:highlight w:val="none"/>
        </w:rPr>
        <w:t>禁止夜间（晚22点至早晨6点之间），中午12时至14时进行产生环境噪声污染的建筑施工作业。因特殊需要必须连续作业的，施工单位必须持有关主管部门的证明向环境保护局登记备案，并于连续施工之日1天前公告环境保护目标</w:t>
      </w:r>
      <w:r>
        <w:rPr>
          <w:rFonts w:hint="eastAsia"/>
          <w:highlight w:val="none"/>
          <w:lang w:eastAsia="zh-CN"/>
        </w:rPr>
        <w:t>。</w:t>
      </w:r>
    </w:p>
    <w:p>
      <w:pPr>
        <w:adjustRightInd w:val="0"/>
        <w:snapToGrid w:val="0"/>
        <w:ind w:firstLine="480"/>
        <w:rPr>
          <w:rFonts w:hint="eastAsia"/>
          <w:highlight w:val="none"/>
        </w:rPr>
      </w:pPr>
      <w:r>
        <w:rPr>
          <w:rFonts w:hint="eastAsia"/>
          <w:highlight w:val="none"/>
        </w:rPr>
        <w:t>2、措施可行性论证</w:t>
      </w:r>
    </w:p>
    <w:p>
      <w:pPr>
        <w:adjustRightInd w:val="0"/>
        <w:snapToGrid w:val="0"/>
        <w:ind w:firstLine="480"/>
        <w:rPr>
          <w:highlight w:val="none"/>
        </w:rPr>
      </w:pPr>
      <w:r>
        <w:rPr>
          <w:rFonts w:hint="eastAsia"/>
          <w:highlight w:val="none"/>
        </w:rPr>
        <w:t>根据对施工现场调查及预测，采取措施后，施工各阶段的场界噪声符合《建筑施工场界环境噪声排放标准》（GB12523-2011）中的规定，采取的措施简单有效，经济技术可行</w:t>
      </w:r>
      <w:r>
        <w:rPr>
          <w:highlight w:val="none"/>
        </w:rPr>
        <w:t>。</w:t>
      </w:r>
    </w:p>
    <w:p>
      <w:pPr>
        <w:pStyle w:val="5"/>
        <w:widowControl/>
        <w:adjustRightInd w:val="0"/>
        <w:snapToGrid w:val="0"/>
        <w:rPr>
          <w:rFonts w:hint="default"/>
          <w:highlight w:val="none"/>
        </w:rPr>
      </w:pPr>
      <w:bookmarkStart w:id="492" w:name="_Toc501110103"/>
      <w:bookmarkStart w:id="493" w:name="_Toc505861719"/>
      <w:bookmarkStart w:id="494" w:name="_Toc478"/>
      <w:r>
        <w:rPr>
          <w:rFonts w:hint="eastAsia"/>
          <w:highlight w:val="none"/>
          <w:lang w:val="en-US" w:eastAsia="zh-CN"/>
        </w:rPr>
        <w:t>8</w:t>
      </w:r>
      <w:r>
        <w:rPr>
          <w:highlight w:val="none"/>
        </w:rPr>
        <w:t>.1.4 施工期固废防治措施</w:t>
      </w:r>
      <w:bookmarkEnd w:id="492"/>
      <w:bookmarkEnd w:id="493"/>
      <w:bookmarkEnd w:id="494"/>
    </w:p>
    <w:p>
      <w:pPr>
        <w:adjustRightInd w:val="0"/>
        <w:snapToGrid w:val="0"/>
        <w:ind w:firstLine="480"/>
        <w:rPr>
          <w:rFonts w:hint="eastAsia"/>
          <w:highlight w:val="none"/>
        </w:rPr>
      </w:pPr>
      <w:r>
        <w:rPr>
          <w:rFonts w:hint="eastAsia"/>
          <w:highlight w:val="none"/>
        </w:rPr>
        <w:t>1、项目施工期产生土石方5710m³，回填5710m³，可达到挖填平衡。</w:t>
      </w:r>
    </w:p>
    <w:p>
      <w:pPr>
        <w:adjustRightInd w:val="0"/>
        <w:snapToGrid w:val="0"/>
        <w:ind w:firstLine="480"/>
        <w:rPr>
          <w:rFonts w:hint="eastAsia"/>
          <w:highlight w:val="none"/>
        </w:rPr>
      </w:pPr>
      <w:r>
        <w:rPr>
          <w:rFonts w:hint="eastAsia"/>
          <w:highlight w:val="none"/>
        </w:rPr>
        <w:t>2、建筑垃圾具有回收价值的可送废品收购站回收利用，其余按当地相关部门要求处置。</w:t>
      </w:r>
    </w:p>
    <w:p>
      <w:pPr>
        <w:adjustRightInd w:val="0"/>
        <w:snapToGrid w:val="0"/>
        <w:ind w:firstLine="480"/>
        <w:rPr>
          <w:rFonts w:hint="eastAsia"/>
          <w:highlight w:val="none"/>
        </w:rPr>
      </w:pPr>
      <w:r>
        <w:rPr>
          <w:rFonts w:hint="eastAsia"/>
          <w:highlight w:val="none"/>
        </w:rPr>
        <w:t>3、生活垃圾经集中收集后运至</w:t>
      </w:r>
      <w:r>
        <w:rPr>
          <w:rFonts w:hint="eastAsia"/>
          <w:highlight w:val="none"/>
          <w:lang w:eastAsia="zh-CN"/>
        </w:rPr>
        <w:t>卡子村</w:t>
      </w:r>
      <w:r>
        <w:rPr>
          <w:rFonts w:hint="eastAsia"/>
          <w:highlight w:val="none"/>
        </w:rPr>
        <w:t>垃圾收集点，由环卫部门清运处置。</w:t>
      </w:r>
    </w:p>
    <w:p>
      <w:pPr>
        <w:adjustRightInd w:val="0"/>
        <w:snapToGrid w:val="0"/>
        <w:ind w:firstLine="480"/>
        <w:rPr>
          <w:highlight w:val="none"/>
        </w:rPr>
      </w:pPr>
      <w:r>
        <w:rPr>
          <w:rFonts w:hint="eastAsia"/>
          <w:highlight w:val="none"/>
        </w:rPr>
        <w:t>以上措施简单有效，经济技术可行</w:t>
      </w:r>
      <w:r>
        <w:rPr>
          <w:highlight w:val="none"/>
        </w:rPr>
        <w:t>。</w:t>
      </w:r>
    </w:p>
    <w:p>
      <w:pPr>
        <w:pStyle w:val="5"/>
        <w:widowControl/>
        <w:adjustRightInd w:val="0"/>
        <w:snapToGrid w:val="0"/>
        <w:rPr>
          <w:rFonts w:hint="default"/>
          <w:highlight w:val="none"/>
        </w:rPr>
      </w:pPr>
      <w:bookmarkStart w:id="495" w:name="_Toc505861720"/>
      <w:bookmarkStart w:id="496" w:name="_Toc501110104"/>
      <w:bookmarkStart w:id="497" w:name="_Toc31816"/>
      <w:r>
        <w:rPr>
          <w:rFonts w:hint="eastAsia"/>
          <w:highlight w:val="none"/>
          <w:lang w:val="en-US" w:eastAsia="zh-CN"/>
        </w:rPr>
        <w:t>8</w:t>
      </w:r>
      <w:r>
        <w:rPr>
          <w:highlight w:val="none"/>
        </w:rPr>
        <w:t>.1.5 施工期生态环境保护措施</w:t>
      </w:r>
      <w:bookmarkEnd w:id="495"/>
      <w:bookmarkEnd w:id="496"/>
      <w:bookmarkEnd w:id="497"/>
    </w:p>
    <w:p>
      <w:pPr>
        <w:adjustRightInd w:val="0"/>
        <w:snapToGrid w:val="0"/>
        <w:ind w:firstLine="480"/>
        <w:rPr>
          <w:highlight w:val="none"/>
        </w:rPr>
      </w:pPr>
      <w:r>
        <w:rPr>
          <w:rFonts w:hint="eastAsia"/>
          <w:highlight w:val="none"/>
        </w:rPr>
        <w:t>（1）确定施工区域范围，不得随意扩大施工区域范围，保护施工间接影响区域内的植被不被破坏。</w:t>
      </w:r>
    </w:p>
    <w:p>
      <w:pPr>
        <w:adjustRightInd w:val="0"/>
        <w:snapToGrid w:val="0"/>
        <w:ind w:firstLine="480"/>
        <w:rPr>
          <w:highlight w:val="none"/>
        </w:rPr>
      </w:pPr>
      <w:r>
        <w:rPr>
          <w:rFonts w:hint="eastAsia"/>
          <w:highlight w:val="none"/>
        </w:rPr>
        <w:t>（2）</w:t>
      </w:r>
      <w:r>
        <w:rPr>
          <w:rFonts w:hint="eastAsia" w:cs="宋体"/>
          <w:highlight w:val="none"/>
        </w:rPr>
        <w:t>优化施工方式，避开雨天施工。</w:t>
      </w:r>
      <w:r>
        <w:rPr>
          <w:rFonts w:hint="eastAsia"/>
          <w:highlight w:val="none"/>
        </w:rPr>
        <w:t>合理安排施工顺序，减少施工对土地扰动，减少弃土的临时堆放。</w:t>
      </w:r>
    </w:p>
    <w:p>
      <w:pPr>
        <w:adjustRightInd w:val="0"/>
        <w:snapToGrid w:val="0"/>
        <w:ind w:firstLine="480"/>
        <w:rPr>
          <w:rFonts w:hint="eastAsia" w:eastAsia="宋体"/>
          <w:highlight w:val="none"/>
          <w:lang w:eastAsia="zh-CN"/>
        </w:rPr>
      </w:pPr>
      <w:r>
        <w:rPr>
          <w:rFonts w:hint="eastAsia"/>
          <w:highlight w:val="none"/>
        </w:rPr>
        <w:t>（3）施工期间，将产生少量废土石，应及时清运至</w:t>
      </w:r>
      <w:r>
        <w:rPr>
          <w:rFonts w:hint="eastAsia"/>
          <w:highlight w:val="none"/>
          <w:lang w:eastAsia="zh-CN"/>
        </w:rPr>
        <w:t>排土场最为后续采场复垦</w:t>
      </w:r>
      <w:r>
        <w:rPr>
          <w:rFonts w:hint="eastAsia"/>
          <w:highlight w:val="none"/>
        </w:rPr>
        <w:t>，防止雨季冲刷造成水土流失</w:t>
      </w:r>
      <w:r>
        <w:rPr>
          <w:rFonts w:hint="eastAsia"/>
          <w:highlight w:val="none"/>
          <w:lang w:eastAsia="zh-CN"/>
        </w:rPr>
        <w:t>。</w:t>
      </w:r>
    </w:p>
    <w:p>
      <w:pPr>
        <w:adjustRightInd w:val="0"/>
        <w:snapToGrid w:val="0"/>
        <w:ind w:firstLine="480"/>
        <w:rPr>
          <w:highlight w:val="none"/>
        </w:rPr>
      </w:pPr>
      <w:r>
        <w:rPr>
          <w:rFonts w:hint="eastAsia"/>
          <w:highlight w:val="none"/>
        </w:rPr>
        <w:t>以上措施简单有效，经济技术可行。</w:t>
      </w:r>
    </w:p>
    <w:p>
      <w:pPr>
        <w:keepNext/>
        <w:keepLines/>
        <w:ind w:firstLine="0" w:firstLineChars="0"/>
        <w:outlineLvl w:val="1"/>
        <w:rPr>
          <w:b/>
          <w:sz w:val="30"/>
          <w:szCs w:val="28"/>
          <w:highlight w:val="none"/>
          <w:lang w:val="zh-CN"/>
        </w:rPr>
      </w:pPr>
      <w:bookmarkStart w:id="498" w:name="_Toc575"/>
      <w:bookmarkStart w:id="499" w:name="_Toc505861722"/>
      <w:bookmarkStart w:id="500" w:name="_Toc501110106"/>
      <w:r>
        <w:rPr>
          <w:rFonts w:hint="eastAsia"/>
          <w:b/>
          <w:sz w:val="30"/>
          <w:szCs w:val="28"/>
          <w:highlight w:val="none"/>
          <w:lang w:val="en-US" w:eastAsia="zh-CN"/>
        </w:rPr>
        <w:t>8</w:t>
      </w:r>
      <w:r>
        <w:rPr>
          <w:rFonts w:hint="eastAsia"/>
          <w:b/>
          <w:sz w:val="30"/>
          <w:szCs w:val="28"/>
          <w:highlight w:val="none"/>
          <w:lang w:val="zh-CN"/>
        </w:rPr>
        <w:t>.</w:t>
      </w:r>
      <w:r>
        <w:rPr>
          <w:b/>
          <w:sz w:val="30"/>
          <w:szCs w:val="28"/>
          <w:highlight w:val="none"/>
          <w:lang w:val="zh-CN"/>
        </w:rPr>
        <w:t xml:space="preserve">2 </w:t>
      </w:r>
      <w:r>
        <w:rPr>
          <w:rFonts w:hint="eastAsia"/>
          <w:b/>
          <w:sz w:val="30"/>
          <w:szCs w:val="28"/>
          <w:highlight w:val="none"/>
          <w:lang w:val="zh-CN"/>
        </w:rPr>
        <w:t>运营期污染防治</w:t>
      </w:r>
      <w:r>
        <w:rPr>
          <w:b/>
          <w:sz w:val="30"/>
          <w:szCs w:val="28"/>
          <w:highlight w:val="none"/>
          <w:lang w:val="zh-CN"/>
        </w:rPr>
        <w:t>措施及其可行性分析</w:t>
      </w:r>
      <w:bookmarkEnd w:id="498"/>
      <w:bookmarkEnd w:id="499"/>
      <w:bookmarkEnd w:id="500"/>
    </w:p>
    <w:p>
      <w:pPr>
        <w:pStyle w:val="5"/>
        <w:widowControl/>
        <w:adjustRightInd w:val="0"/>
        <w:snapToGrid w:val="0"/>
        <w:rPr>
          <w:rFonts w:hint="default"/>
          <w:highlight w:val="none"/>
        </w:rPr>
      </w:pPr>
      <w:bookmarkStart w:id="501" w:name="_Toc505861723"/>
      <w:bookmarkStart w:id="502" w:name="_Toc17447"/>
      <w:bookmarkStart w:id="503" w:name="_Toc501110107"/>
      <w:r>
        <w:rPr>
          <w:rFonts w:hint="eastAsia"/>
          <w:highlight w:val="none"/>
          <w:lang w:val="en-US" w:eastAsia="zh-CN"/>
        </w:rPr>
        <w:t>8</w:t>
      </w:r>
      <w:r>
        <w:rPr>
          <w:highlight w:val="none"/>
        </w:rPr>
        <w:t xml:space="preserve">.2.1 </w:t>
      </w:r>
      <w:bookmarkEnd w:id="501"/>
      <w:r>
        <w:rPr>
          <w:highlight w:val="none"/>
        </w:rPr>
        <w:t>运营期大气污染防治</w:t>
      </w:r>
      <w:bookmarkEnd w:id="502"/>
    </w:p>
    <w:bookmarkEnd w:id="503"/>
    <w:p>
      <w:pPr>
        <w:adjustRightInd w:val="0"/>
        <w:snapToGrid w:val="0"/>
        <w:ind w:firstLine="480"/>
        <w:rPr>
          <w:rFonts w:hint="eastAsia"/>
          <w:highlight w:val="none"/>
        </w:rPr>
      </w:pPr>
      <w:r>
        <w:rPr>
          <w:rFonts w:hint="eastAsia"/>
          <w:highlight w:val="none"/>
        </w:rPr>
        <w:t>矿山工程开采方式为露天开采，生产过程废气污染源有露天采场扬尘、破碎场粉尘、堆场粉尘、爆破有害气体、运输道路扬尘等。</w:t>
      </w:r>
    </w:p>
    <w:p>
      <w:pPr>
        <w:adjustRightInd w:val="0"/>
        <w:snapToGrid w:val="0"/>
        <w:ind w:firstLine="480"/>
        <w:rPr>
          <w:rFonts w:hint="eastAsia"/>
          <w:highlight w:val="none"/>
        </w:rPr>
      </w:pPr>
      <w:r>
        <w:rPr>
          <w:rFonts w:hint="eastAsia"/>
          <w:highlight w:val="none"/>
          <w:lang w:val="en-US" w:eastAsia="zh-CN"/>
        </w:rPr>
        <w:t>1、</w:t>
      </w:r>
      <w:r>
        <w:rPr>
          <w:rFonts w:hint="eastAsia"/>
          <w:highlight w:val="none"/>
        </w:rPr>
        <w:t>露天采场粉尘</w:t>
      </w:r>
    </w:p>
    <w:p>
      <w:pPr>
        <w:adjustRightInd w:val="0"/>
        <w:snapToGrid w:val="0"/>
        <w:ind w:firstLine="480"/>
        <w:rPr>
          <w:rFonts w:hint="eastAsia"/>
          <w:highlight w:val="none"/>
        </w:rPr>
      </w:pPr>
      <w:r>
        <w:rPr>
          <w:rFonts w:hint="eastAsia"/>
          <w:highlight w:val="none"/>
        </w:rPr>
        <w:t>项目露天采场产生的大气污染源强主要为露天开采凿岩钻孔粉尘、爆破粉尘及有害气体、铲装粉尘。</w:t>
      </w:r>
    </w:p>
    <w:p>
      <w:pPr>
        <w:adjustRightInd w:val="0"/>
        <w:snapToGrid w:val="0"/>
        <w:ind w:firstLine="480"/>
        <w:rPr>
          <w:rFonts w:hint="eastAsia"/>
          <w:highlight w:val="none"/>
        </w:rPr>
      </w:pPr>
      <w:r>
        <w:rPr>
          <w:rFonts w:hint="eastAsia"/>
          <w:highlight w:val="none"/>
        </w:rPr>
        <w:t>（1）项目凿岩钻孔作业拟采用湿法作业，且在作业面勤于洒水抑尘。</w:t>
      </w:r>
    </w:p>
    <w:p>
      <w:pPr>
        <w:adjustRightInd w:val="0"/>
        <w:snapToGrid w:val="0"/>
        <w:ind w:firstLine="480"/>
        <w:rPr>
          <w:rFonts w:hint="eastAsia"/>
          <w:highlight w:val="none"/>
        </w:rPr>
      </w:pPr>
      <w:r>
        <w:rPr>
          <w:rFonts w:hint="eastAsia"/>
          <w:highlight w:val="none"/>
        </w:rPr>
        <w:t>（2）严格控制剥、采进度，剥采同步，以避免挖掘面大面积裸露</w:t>
      </w:r>
    </w:p>
    <w:p>
      <w:pPr>
        <w:adjustRightInd w:val="0"/>
        <w:snapToGrid w:val="0"/>
        <w:ind w:firstLine="480"/>
        <w:rPr>
          <w:rFonts w:hint="eastAsia"/>
          <w:highlight w:val="none"/>
        </w:rPr>
      </w:pPr>
      <w:r>
        <w:rPr>
          <w:rFonts w:hint="eastAsia"/>
          <w:highlight w:val="none"/>
        </w:rPr>
        <w:t>（3）配备有洒水车，评价要求矿区装卸作业时必须对矿石进行充分预湿， 增大含水率，以减少装车和下料过程中粉尘的产生量。</w:t>
      </w:r>
    </w:p>
    <w:p>
      <w:pPr>
        <w:adjustRightInd w:val="0"/>
        <w:snapToGrid w:val="0"/>
        <w:ind w:firstLine="480"/>
        <w:rPr>
          <w:rFonts w:hint="eastAsia"/>
          <w:highlight w:val="none"/>
        </w:rPr>
      </w:pPr>
      <w:r>
        <w:rPr>
          <w:rFonts w:hint="eastAsia"/>
          <w:highlight w:val="none"/>
        </w:rPr>
        <w:t>（4）在装卸过程中降低落料高度、装车前洒水使石料含水率为 8%以上、装车时洒水抑尘等措施，减少粉尘产生量。</w:t>
      </w:r>
    </w:p>
    <w:p>
      <w:pPr>
        <w:adjustRightInd w:val="0"/>
        <w:snapToGrid w:val="0"/>
        <w:ind w:firstLine="480"/>
        <w:rPr>
          <w:rFonts w:hint="eastAsia"/>
          <w:highlight w:val="none"/>
        </w:rPr>
      </w:pPr>
      <w:r>
        <w:rPr>
          <w:rFonts w:hint="eastAsia"/>
          <w:highlight w:val="none"/>
        </w:rPr>
        <w:t>（5）项目采用微差爆破工艺，并配以洒水降尘。</w:t>
      </w:r>
    </w:p>
    <w:p>
      <w:pPr>
        <w:adjustRightInd w:val="0"/>
        <w:snapToGrid w:val="0"/>
        <w:ind w:firstLine="480"/>
        <w:rPr>
          <w:rFonts w:hint="eastAsia"/>
          <w:highlight w:val="none"/>
        </w:rPr>
      </w:pPr>
      <w:r>
        <w:rPr>
          <w:rFonts w:hint="eastAsia"/>
          <w:highlight w:val="none"/>
        </w:rPr>
        <w:t>（6）在采区周边种植一些防尘树种。</w:t>
      </w:r>
    </w:p>
    <w:p>
      <w:pPr>
        <w:adjustRightInd w:val="0"/>
        <w:snapToGrid w:val="0"/>
        <w:ind w:firstLine="480"/>
        <w:rPr>
          <w:rFonts w:hint="eastAsia"/>
          <w:highlight w:val="none"/>
        </w:rPr>
      </w:pPr>
      <w:r>
        <w:rPr>
          <w:rFonts w:hint="eastAsia"/>
          <w:highlight w:val="none"/>
          <w:lang w:eastAsia="zh-CN"/>
        </w:rPr>
        <w:t>（</w:t>
      </w:r>
      <w:r>
        <w:rPr>
          <w:rFonts w:hint="eastAsia"/>
          <w:highlight w:val="none"/>
          <w:lang w:val="en-US" w:eastAsia="zh-CN"/>
        </w:rPr>
        <w:t>7</w:t>
      </w:r>
      <w:r>
        <w:rPr>
          <w:rFonts w:hint="eastAsia"/>
          <w:highlight w:val="none"/>
          <w:lang w:eastAsia="zh-CN"/>
        </w:rPr>
        <w:t>）</w:t>
      </w:r>
      <w:r>
        <w:rPr>
          <w:rFonts w:hint="eastAsia"/>
          <w:highlight w:val="none"/>
        </w:rPr>
        <w:t>采空区应及时覆土绿化，种植防尘树种。</w:t>
      </w:r>
    </w:p>
    <w:p>
      <w:pPr>
        <w:adjustRightInd w:val="0"/>
        <w:snapToGrid w:val="0"/>
        <w:ind w:firstLine="480"/>
        <w:rPr>
          <w:highlight w:val="none"/>
        </w:rPr>
      </w:pPr>
      <w:r>
        <w:rPr>
          <w:rFonts w:hint="eastAsia"/>
          <w:highlight w:val="none"/>
        </w:rPr>
        <w:t>洒水抑尘具体的工艺操作流程如图 8.2-1 所示</w:t>
      </w:r>
      <w:r>
        <w:rPr>
          <w:highlight w:val="none"/>
        </w:rPr>
        <w:t>。</w:t>
      </w:r>
    </w:p>
    <w:p>
      <w:pPr>
        <w:adjustRightInd w:val="0"/>
        <w:snapToGrid w:val="0"/>
        <w:ind w:firstLine="480"/>
        <w:rPr>
          <w:rFonts w:hint="eastAsia"/>
          <w:highlight w:val="none"/>
        </w:rPr>
      </w:pPr>
      <w:r>
        <w:rPr>
          <w:rFonts w:ascii="Times New Roman" w:hAnsi="Times New Roman" w:eastAsia="宋体"/>
          <w:sz w:val="20"/>
          <w:highlight w:val="none"/>
        </w:rPr>
        <w:drawing>
          <wp:inline distT="0" distB="0" distL="0" distR="0">
            <wp:extent cx="4525645" cy="2253615"/>
            <wp:effectExtent l="0" t="0" r="8255" b="13335"/>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9.jpeg"/>
                    <pic:cNvPicPr>
                      <a:picLocks noChangeAspect="1"/>
                    </pic:cNvPicPr>
                  </pic:nvPicPr>
                  <pic:blipFill>
                    <a:blip r:embed="rId31" cstate="print"/>
                    <a:stretch>
                      <a:fillRect/>
                    </a:stretch>
                  </pic:blipFill>
                  <pic:spPr>
                    <a:xfrm>
                      <a:off x="0" y="0"/>
                      <a:ext cx="4525817" cy="2253710"/>
                    </a:xfrm>
                    <a:prstGeom prst="rect">
                      <a:avLst/>
                    </a:prstGeom>
                  </pic:spPr>
                </pic:pic>
              </a:graphicData>
            </a:graphic>
          </wp:inline>
        </w:drawing>
      </w:r>
    </w:p>
    <w:p>
      <w:pPr>
        <w:adjustRightInd w:val="0"/>
        <w:snapToGrid w:val="0"/>
        <w:ind w:firstLine="480"/>
        <w:jc w:val="center"/>
        <w:rPr>
          <w:rFonts w:hint="eastAsia"/>
          <w:highlight w:val="none"/>
        </w:rPr>
      </w:pPr>
      <w:r>
        <w:rPr>
          <w:rFonts w:ascii="Times New Roman" w:hAnsi="Times New Roman" w:eastAsia="宋体"/>
          <w:b/>
          <w:sz w:val="21"/>
          <w:highlight w:val="none"/>
        </w:rPr>
        <w:t>图 8.2-1 采装生产工作面抑尘洒水措施流程</w:t>
      </w:r>
    </w:p>
    <w:p>
      <w:pPr>
        <w:adjustRightInd w:val="0"/>
        <w:snapToGrid w:val="0"/>
        <w:ind w:firstLine="480"/>
        <w:rPr>
          <w:rFonts w:hint="eastAsia" w:eastAsia="宋体"/>
          <w:highlight w:val="none"/>
          <w:lang w:eastAsia="zh-CN"/>
        </w:rPr>
      </w:pPr>
      <w:r>
        <w:rPr>
          <w:rFonts w:ascii="Times New Roman" w:hAnsi="Times New Roman" w:eastAsia="宋体"/>
          <w:spacing w:val="-9"/>
          <w:highlight w:val="none"/>
        </w:rPr>
        <w:t>采取以上措施后，可将采场大气污染物排放降低到最低程度，可确保项目周</w:t>
      </w:r>
      <w:r>
        <w:rPr>
          <w:rFonts w:ascii="Times New Roman" w:hAnsi="Times New Roman" w:eastAsia="宋体"/>
          <w:highlight w:val="none"/>
        </w:rPr>
        <w:t>界颗粒物无组织排放浓度满足《大气污染物综合排放标准》（GB16297-1996）颗粒物无组织排放限值≤1.0mg/m</w:t>
      </w:r>
      <w:r>
        <w:rPr>
          <w:rFonts w:ascii="Times New Roman" w:hAnsi="Times New Roman" w:eastAsia="宋体"/>
          <w:position w:val="8"/>
          <w:sz w:val="15"/>
          <w:highlight w:val="none"/>
        </w:rPr>
        <w:t xml:space="preserve">3 </w:t>
      </w:r>
      <w:r>
        <w:rPr>
          <w:rFonts w:ascii="Times New Roman" w:hAnsi="Times New Roman" w:eastAsia="宋体"/>
          <w:highlight w:val="none"/>
        </w:rPr>
        <w:t>的要求</w:t>
      </w:r>
      <w:r>
        <w:rPr>
          <w:rFonts w:hint="eastAsia"/>
          <w:highlight w:val="none"/>
          <w:lang w:eastAsia="zh-CN"/>
        </w:rPr>
        <w:t>。</w:t>
      </w:r>
    </w:p>
    <w:p>
      <w:pPr>
        <w:pStyle w:val="17"/>
        <w:ind w:firstLine="480"/>
        <w:rPr>
          <w:rFonts w:hint="eastAsia" w:ascii="Times New Roman" w:hAnsi="Times New Roman"/>
          <w:highlight w:val="none"/>
          <w:lang w:val="en-US" w:eastAsia="zh-CN"/>
        </w:rPr>
      </w:pPr>
      <w:r>
        <w:rPr>
          <w:rFonts w:hint="eastAsia" w:ascii="Times New Roman" w:hAnsi="Times New Roman"/>
          <w:highlight w:val="none"/>
          <w:lang w:val="en-US" w:eastAsia="zh-CN"/>
        </w:rPr>
        <w:t>2、破碎加工区粉尘</w:t>
      </w:r>
    </w:p>
    <w:p>
      <w:pPr>
        <w:pStyle w:val="17"/>
        <w:ind w:firstLine="480"/>
        <w:rPr>
          <w:rFonts w:hint="eastAsia" w:ascii="Times New Roman" w:hAnsi="Times New Roman"/>
          <w:highlight w:val="none"/>
          <w:lang w:val="en-US" w:eastAsia="zh-CN"/>
        </w:rPr>
      </w:pPr>
      <w:r>
        <w:rPr>
          <w:rFonts w:hint="eastAsia" w:ascii="Times New Roman" w:hAnsi="Times New Roman"/>
          <w:highlight w:val="none"/>
          <w:lang w:val="en-US" w:eastAsia="zh-CN"/>
        </w:rPr>
        <w:t>①破碎粉尘</w:t>
      </w:r>
    </w:p>
    <w:p>
      <w:pPr>
        <w:pStyle w:val="17"/>
        <w:ind w:firstLine="480"/>
        <w:rPr>
          <w:rFonts w:hint="eastAsia" w:ascii="Times New Roman" w:hAnsi="Times New Roman"/>
          <w:highlight w:val="none"/>
          <w:lang w:val="en-US" w:eastAsia="zh-CN"/>
        </w:rPr>
      </w:pPr>
      <w:r>
        <w:rPr>
          <w:rFonts w:hint="eastAsia" w:ascii="Times New Roman" w:hAnsi="Times New Roman"/>
          <w:highlight w:val="none"/>
          <w:lang w:val="en-US" w:eastAsia="zh-CN"/>
        </w:rPr>
        <w:t>项目原矿的破碎主要分为破碎、筛分、输送三个主要环节。项目在破碎、筛分过程中产生的粉尘强度大，加工设备均位于密闭厂房内部，且全部工序设置有洒水湿润矿石，破碎场内安装有喷头，对逸散到密闭破碎场内的粉尘进行喷淋降尘，可大大减少逸散出来的粉尘量。</w:t>
      </w:r>
    </w:p>
    <w:p>
      <w:pPr>
        <w:pStyle w:val="17"/>
        <w:ind w:firstLine="480"/>
        <w:rPr>
          <w:rFonts w:hint="eastAsia" w:ascii="Times New Roman" w:hAnsi="Times New Roman"/>
          <w:highlight w:val="none"/>
          <w:lang w:val="en-US" w:eastAsia="zh-CN"/>
        </w:rPr>
      </w:pPr>
      <w:r>
        <w:rPr>
          <w:rFonts w:hint="eastAsia" w:ascii="Times New Roman" w:hAnsi="Times New Roman"/>
          <w:highlight w:val="none"/>
          <w:lang w:val="en-US" w:eastAsia="zh-CN"/>
        </w:rPr>
        <w:t>破碎场粉尘防治措施具体如下：</w:t>
      </w:r>
    </w:p>
    <w:p>
      <w:pPr>
        <w:pStyle w:val="17"/>
        <w:ind w:firstLine="480"/>
        <w:rPr>
          <w:rFonts w:hint="eastAsia" w:ascii="Times New Roman" w:hAnsi="Times New Roman"/>
          <w:highlight w:val="none"/>
          <w:lang w:val="en-US" w:eastAsia="zh-CN"/>
        </w:rPr>
      </w:pPr>
      <w:r>
        <w:rPr>
          <w:rFonts w:hint="eastAsia" w:ascii="Times New Roman" w:hAnsi="Times New Roman"/>
          <w:highlight w:val="none"/>
          <w:lang w:val="en-US" w:eastAsia="zh-CN"/>
        </w:rPr>
        <w:t>（1）破碎车间为密闭厂房，破碎机、筛分机上方设置集气罩，集气罩收集的粉尘通过排气管道引至布袋除尘器处理，处理过后的气体通过15m高排气筒（内径0.25m）排放。项目设置一台布袋除尘器负责处理粗碎及筛分、细碎及筛分工序产生的粉尘，设备均位于生产车间内部，距离较近，约10m左右，可完全收集该工序产生的粉尘。</w:t>
      </w:r>
    </w:p>
    <w:p>
      <w:pPr>
        <w:pStyle w:val="17"/>
        <w:ind w:firstLine="480"/>
        <w:rPr>
          <w:rFonts w:hint="eastAsia" w:ascii="Times New Roman" w:hAnsi="Times New Roman"/>
          <w:highlight w:val="none"/>
          <w:lang w:eastAsia="zh-CN"/>
        </w:rPr>
      </w:pPr>
      <w:r>
        <w:rPr>
          <w:rFonts w:hint="eastAsia" w:ascii="Times New Roman" w:hAnsi="Times New Roman"/>
          <w:highlight w:val="none"/>
          <w:lang w:val="en-US" w:eastAsia="zh-CN"/>
        </w:rPr>
        <w:t>布袋除尘器是一种干式滤尘装置。它适用于捕集细小、干燥、非纤维性粉尘。滤袋采用纺织的滤布或非纺织的毡制成，利用纤维织物的过滤作用对含尘气体进行过滤，当含尘气体进入袋式除尘器地，颗粒大、比重大的粉尘，由于重力的作用沉降下来，落入灰斗，含较细小粉尘的气体在通过滤料是，粉尘被阻留，使气体得到净化。粉尘除尘效率总体上可达到99.9%。故本项目采用该除尘工艺后，</w:t>
      </w:r>
      <w:r>
        <w:rPr>
          <w:rFonts w:ascii="Times New Roman" w:hAnsi="Times New Roman" w:eastAsia="宋体"/>
          <w:highlight w:val="none"/>
        </w:rPr>
        <w:t>项目粉尘可达标排放</w:t>
      </w:r>
      <w:r>
        <w:rPr>
          <w:rFonts w:hint="eastAsia" w:ascii="Times New Roman" w:hAnsi="Times New Roman"/>
          <w:highlight w:val="none"/>
          <w:lang w:eastAsia="zh-CN"/>
        </w:rPr>
        <w:t>。</w:t>
      </w:r>
    </w:p>
    <w:p>
      <w:pPr>
        <w:pStyle w:val="17"/>
        <w:ind w:firstLine="480"/>
        <w:jc w:val="center"/>
        <w:rPr>
          <w:rFonts w:ascii="Times New Roman" w:hAnsi="Times New Roman"/>
          <w:b/>
          <w:bCs/>
          <w:highlight w:val="none"/>
        </w:rPr>
      </w:pPr>
      <w:r>
        <w:rPr>
          <w:rFonts w:ascii="Times New Roman" w:hAnsi="Times New Roman" w:eastAsia="宋体"/>
          <w:b/>
          <w:sz w:val="21"/>
          <w:highlight w:val="none"/>
        </w:rPr>
        <w:t>图</w:t>
      </w:r>
      <w:r>
        <w:rPr>
          <w:rFonts w:ascii="Times New Roman" w:hAnsi="Times New Roman" w:eastAsia="宋体"/>
          <w:b/>
          <w:spacing w:val="-55"/>
          <w:sz w:val="21"/>
          <w:highlight w:val="none"/>
        </w:rPr>
        <w:t xml:space="preserve"> </w:t>
      </w:r>
      <w:r>
        <w:rPr>
          <w:rFonts w:ascii="Times New Roman" w:hAnsi="Times New Roman" w:eastAsia="宋体"/>
          <w:b/>
          <w:sz w:val="21"/>
          <w:highlight w:val="none"/>
        </w:rPr>
        <w:t>8.2-2</w:t>
      </w:r>
      <w:r>
        <w:rPr>
          <w:rFonts w:ascii="Times New Roman" w:hAnsi="Times New Roman" w:eastAsia="宋体"/>
          <w:b/>
          <w:sz w:val="21"/>
          <w:highlight w:val="none"/>
        </w:rPr>
        <w:tab/>
      </w:r>
      <w:r>
        <w:rPr>
          <w:rFonts w:ascii="Times New Roman" w:hAnsi="Times New Roman" w:eastAsia="宋体"/>
          <w:b/>
          <w:sz w:val="21"/>
          <w:highlight w:val="none"/>
        </w:rPr>
        <w:t>布袋除尘器结构示意图</w:t>
      </w:r>
      <w:r>
        <w:rPr>
          <w:rFonts w:ascii="Times New Roman" w:hAnsi="Times New Roman" w:eastAsia="宋体"/>
          <w:highlight w:val="none"/>
        </w:rPr>
        <w:drawing>
          <wp:anchor distT="0" distB="0" distL="0" distR="0" simplePos="0" relativeHeight="24609792" behindDoc="0" locked="0" layoutInCell="1" allowOverlap="1">
            <wp:simplePos x="0" y="0"/>
            <wp:positionH relativeFrom="page">
              <wp:posOffset>2084705</wp:posOffset>
            </wp:positionH>
            <wp:positionV relativeFrom="paragraph">
              <wp:posOffset>41910</wp:posOffset>
            </wp:positionV>
            <wp:extent cx="3388360" cy="2693035"/>
            <wp:effectExtent l="0" t="0" r="2540" b="12065"/>
            <wp:wrapTopAndBottom/>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0.jpeg"/>
                    <pic:cNvPicPr>
                      <a:picLocks noChangeAspect="1"/>
                    </pic:cNvPicPr>
                  </pic:nvPicPr>
                  <pic:blipFill>
                    <a:blip r:embed="rId32" cstate="print"/>
                    <a:stretch>
                      <a:fillRect/>
                    </a:stretch>
                  </pic:blipFill>
                  <pic:spPr>
                    <a:xfrm>
                      <a:off x="0" y="0"/>
                      <a:ext cx="3388360" cy="2693035"/>
                    </a:xfrm>
                    <a:prstGeom prst="rect">
                      <a:avLst/>
                    </a:prstGeom>
                  </pic:spPr>
                </pic:pic>
              </a:graphicData>
            </a:graphic>
          </wp:anchor>
        </w:drawing>
      </w:r>
    </w:p>
    <w:p>
      <w:pPr>
        <w:pStyle w:val="17"/>
        <w:ind w:firstLine="480"/>
        <w:rPr>
          <w:rFonts w:hint="eastAsia" w:ascii="Times New Roman" w:hAnsi="Times New Roman" w:cs="宋体"/>
          <w:highlight w:val="none"/>
        </w:rPr>
      </w:pPr>
      <w:r>
        <w:rPr>
          <w:rFonts w:hint="eastAsia" w:ascii="Times New Roman" w:hAnsi="Times New Roman" w:cs="宋体"/>
          <w:highlight w:val="none"/>
        </w:rPr>
        <w:t>（2）运输皮带增加密闭措施，防止扬尘扩散，运输皮带下料处增加下放槽，采取洒水抑尘措施。</w:t>
      </w:r>
    </w:p>
    <w:p>
      <w:pPr>
        <w:pStyle w:val="17"/>
        <w:ind w:firstLine="480"/>
        <w:rPr>
          <w:rFonts w:hint="eastAsia" w:ascii="Times New Roman" w:hAnsi="Times New Roman" w:eastAsia="宋体" w:cs="宋体"/>
          <w:highlight w:val="none"/>
          <w:lang w:eastAsia="zh-CN"/>
        </w:rPr>
      </w:pPr>
      <w:r>
        <w:rPr>
          <w:rFonts w:hint="eastAsia" w:ascii="Times New Roman" w:hAnsi="Times New Roman" w:cs="宋体"/>
          <w:highlight w:val="none"/>
        </w:rPr>
        <w:t>（3）</w:t>
      </w:r>
      <w:r>
        <w:rPr>
          <w:rFonts w:hint="eastAsia" w:ascii="Times New Roman" w:hAnsi="Times New Roman" w:cs="宋体"/>
          <w:highlight w:val="yellow"/>
        </w:rPr>
        <w:t>原料堆场设置</w:t>
      </w:r>
      <w:r>
        <w:rPr>
          <w:rFonts w:hint="eastAsia" w:ascii="Times New Roman" w:hAnsi="Times New Roman" w:cs="宋体"/>
          <w:highlight w:val="yellow"/>
          <w:lang w:val="en-US" w:eastAsia="zh-CN"/>
        </w:rPr>
        <w:t>2套</w:t>
      </w:r>
      <w:r>
        <w:rPr>
          <w:rFonts w:hint="eastAsia" w:ascii="Times New Roman" w:hAnsi="Times New Roman" w:cs="宋体"/>
          <w:highlight w:val="yellow"/>
        </w:rPr>
        <w:t>洒水</w:t>
      </w:r>
      <w:r>
        <w:rPr>
          <w:rFonts w:hint="eastAsia" w:ascii="Times New Roman" w:hAnsi="Times New Roman" w:cs="宋体"/>
          <w:highlight w:val="yellow"/>
          <w:lang w:eastAsia="zh-CN"/>
        </w:rPr>
        <w:t>喷淋</w:t>
      </w:r>
      <w:r>
        <w:rPr>
          <w:rFonts w:hint="eastAsia" w:ascii="Times New Roman" w:hAnsi="Times New Roman" w:cs="宋体"/>
          <w:highlight w:val="yellow"/>
        </w:rPr>
        <w:t>设备</w:t>
      </w:r>
      <w:r>
        <w:rPr>
          <w:rFonts w:hint="eastAsia" w:ascii="Times New Roman" w:hAnsi="Times New Roman" w:cs="宋体"/>
          <w:highlight w:val="none"/>
        </w:rPr>
        <w:t>，通过洒水增大矿石含水率，控制扬尘产生。经过厂房密闭+布袋除尘+破碎加工场内喷淋可有效降低破碎场内粉尘的浓度并极大减少逸散到外界环境中无组织粉尘的量，1套布袋除尘器及排气筒等投资约</w:t>
      </w:r>
      <w:r>
        <w:rPr>
          <w:rFonts w:hint="eastAsia" w:ascii="Times New Roman" w:hAnsi="Times New Roman" w:cs="宋体"/>
          <w:highlight w:val="none"/>
          <w:lang w:val="en-US" w:eastAsia="zh-CN"/>
        </w:rPr>
        <w:t>20</w:t>
      </w:r>
      <w:r>
        <w:rPr>
          <w:rFonts w:hint="eastAsia" w:ascii="Times New Roman" w:hAnsi="Times New Roman" w:cs="宋体"/>
          <w:highlight w:val="none"/>
        </w:rPr>
        <w:t>万元，占项目总投资</w:t>
      </w:r>
      <w:r>
        <w:rPr>
          <w:rFonts w:hint="eastAsia" w:ascii="Times New Roman" w:hAnsi="Times New Roman" w:cs="宋体"/>
          <w:highlight w:val="none"/>
          <w:lang w:val="en-US" w:eastAsia="zh-CN"/>
        </w:rPr>
        <w:t>3.5</w:t>
      </w:r>
      <w:r>
        <w:rPr>
          <w:rFonts w:hint="eastAsia" w:ascii="Times New Roman" w:hAnsi="Times New Roman" w:cs="宋体"/>
          <w:highlight w:val="none"/>
        </w:rPr>
        <w:t>%，这套除尘措施破碎场粉尘处置措施在技术上可行，在经济上较合理</w:t>
      </w:r>
      <w:r>
        <w:rPr>
          <w:rFonts w:hint="eastAsia" w:ascii="Times New Roman" w:hAnsi="Times New Roman" w:cs="宋体"/>
          <w:highlight w:val="none"/>
          <w:lang w:eastAsia="zh-CN"/>
        </w:rPr>
        <w:t>。</w:t>
      </w:r>
    </w:p>
    <w:p>
      <w:pPr>
        <w:pStyle w:val="17"/>
        <w:ind w:firstLine="480"/>
        <w:rPr>
          <w:rFonts w:hint="eastAsia" w:ascii="Times New Roman" w:hAnsi="Times New Roman"/>
          <w:highlight w:val="none"/>
          <w:lang w:eastAsia="zh-CN"/>
        </w:rPr>
      </w:pPr>
      <w:r>
        <w:rPr>
          <w:rFonts w:hint="eastAsia" w:ascii="Times New Roman" w:hAnsi="Times New Roman"/>
          <w:highlight w:val="none"/>
          <w:lang w:eastAsia="zh-CN"/>
        </w:rPr>
        <w:t>②堆场、装卸扬尘</w:t>
      </w:r>
    </w:p>
    <w:p>
      <w:pPr>
        <w:pStyle w:val="17"/>
        <w:ind w:firstLine="480"/>
        <w:rPr>
          <w:rFonts w:hint="eastAsia" w:ascii="Times New Roman" w:hAnsi="Times New Roman"/>
          <w:highlight w:val="none"/>
          <w:lang w:eastAsia="zh-CN"/>
        </w:rPr>
      </w:pPr>
      <w:r>
        <w:rPr>
          <w:rFonts w:hint="eastAsia" w:ascii="Times New Roman" w:hAnsi="Times New Roman"/>
          <w:highlight w:val="none"/>
          <w:lang w:eastAsia="zh-CN"/>
        </w:rPr>
        <w:t>针对堆场、装卸扬尘采取的防尘措施主要有：</w:t>
      </w:r>
    </w:p>
    <w:p>
      <w:pPr>
        <w:pStyle w:val="17"/>
        <w:ind w:firstLine="480"/>
        <w:rPr>
          <w:rFonts w:hint="eastAsia" w:ascii="Times New Roman" w:hAnsi="Times New Roman"/>
          <w:highlight w:val="none"/>
          <w:lang w:eastAsia="zh-CN"/>
        </w:rPr>
      </w:pPr>
      <w:r>
        <w:rPr>
          <w:rFonts w:hint="eastAsia" w:ascii="Times New Roman" w:hAnsi="Times New Roman"/>
          <w:highlight w:val="none"/>
          <w:lang w:eastAsia="zh-CN"/>
        </w:rPr>
        <w:t>（1）原矿和产品卸料时，应尽量降低卸料高度，并实时洒水抑尘，减少卸料产生的扬尘；</w:t>
      </w:r>
    </w:p>
    <w:p>
      <w:pPr>
        <w:pStyle w:val="17"/>
        <w:ind w:firstLine="480"/>
        <w:rPr>
          <w:rFonts w:hint="eastAsia" w:ascii="Times New Roman" w:hAnsi="Times New Roman"/>
          <w:highlight w:val="none"/>
          <w:lang w:eastAsia="zh-CN"/>
        </w:rPr>
      </w:pPr>
      <w:r>
        <w:rPr>
          <w:rFonts w:hint="eastAsia" w:ascii="Times New Roman" w:hAnsi="Times New Roman"/>
          <w:highlight w:val="none"/>
          <w:lang w:eastAsia="zh-CN"/>
        </w:rPr>
        <w:t>（2）</w:t>
      </w:r>
      <w:r>
        <w:rPr>
          <w:rFonts w:hint="eastAsia" w:ascii="Times New Roman" w:hAnsi="Times New Roman"/>
          <w:highlight w:val="yellow"/>
          <w:lang w:eastAsia="zh-CN"/>
        </w:rPr>
        <w:t>堆放场地进行三面围挡，加盖顶棚，设置</w:t>
      </w:r>
      <w:r>
        <w:rPr>
          <w:rFonts w:hint="eastAsia" w:ascii="Times New Roman" w:hAnsi="Times New Roman"/>
          <w:highlight w:val="yellow"/>
          <w:lang w:val="en-US" w:eastAsia="zh-CN"/>
        </w:rPr>
        <w:t>4套</w:t>
      </w:r>
      <w:r>
        <w:rPr>
          <w:rFonts w:hint="eastAsia" w:ascii="Times New Roman" w:hAnsi="Times New Roman"/>
          <w:highlight w:val="yellow"/>
          <w:lang w:eastAsia="zh-CN"/>
        </w:rPr>
        <w:t>自动喷淋装置，在干燥天气开启自动洒水装置，</w:t>
      </w:r>
      <w:r>
        <w:rPr>
          <w:rFonts w:hint="eastAsia" w:ascii="Times New Roman" w:hAnsi="Times New Roman"/>
          <w:highlight w:val="none"/>
          <w:lang w:eastAsia="zh-CN"/>
        </w:rPr>
        <w:t>保持堆矿的矿体湿润，降低风力扬尘；</w:t>
      </w:r>
    </w:p>
    <w:p>
      <w:pPr>
        <w:pStyle w:val="17"/>
        <w:ind w:firstLine="480"/>
        <w:rPr>
          <w:rFonts w:hint="eastAsia" w:ascii="Times New Roman" w:hAnsi="Times New Roman"/>
          <w:highlight w:val="none"/>
          <w:lang w:eastAsia="zh-CN"/>
        </w:rPr>
      </w:pPr>
      <w:r>
        <w:rPr>
          <w:rFonts w:hint="eastAsia" w:ascii="Times New Roman" w:hAnsi="Times New Roman"/>
          <w:highlight w:val="none"/>
          <w:lang w:eastAsia="zh-CN"/>
        </w:rPr>
        <w:t>（3）破碎场及场内石料运输路线配备洒水车进行定期洒水，干燥、炎热天气时，定期观察路面，发现路面干燥、起尘量大即进行洒水；</w:t>
      </w:r>
    </w:p>
    <w:p>
      <w:pPr>
        <w:pStyle w:val="17"/>
        <w:ind w:firstLine="480"/>
        <w:rPr>
          <w:rFonts w:hint="eastAsia" w:ascii="Times New Roman" w:hAnsi="Times New Roman"/>
          <w:highlight w:val="none"/>
          <w:lang w:eastAsia="zh-CN"/>
        </w:rPr>
      </w:pPr>
      <w:r>
        <w:rPr>
          <w:rFonts w:hint="eastAsia" w:ascii="Times New Roman" w:hAnsi="Times New Roman"/>
          <w:highlight w:val="none"/>
          <w:lang w:eastAsia="zh-CN"/>
        </w:rPr>
        <w:t>（4）运输车辆所装石料辆的装载高度不得超过车辆槽帮上沿，应用防尘网布遮盖严实，并保证物料不遗撒外漏；</w:t>
      </w:r>
    </w:p>
    <w:p>
      <w:pPr>
        <w:pStyle w:val="17"/>
        <w:ind w:firstLine="480"/>
        <w:rPr>
          <w:rFonts w:hint="eastAsia" w:ascii="Times New Roman" w:hAnsi="Times New Roman"/>
          <w:highlight w:val="none"/>
          <w:lang w:val="en-US" w:eastAsia="zh-CN"/>
        </w:rPr>
      </w:pPr>
      <w:r>
        <w:rPr>
          <w:rFonts w:hint="eastAsia" w:ascii="Times New Roman" w:hAnsi="Times New Roman"/>
          <w:highlight w:val="none"/>
          <w:lang w:eastAsia="zh-CN"/>
        </w:rPr>
        <w:t>（</w:t>
      </w:r>
      <w:r>
        <w:rPr>
          <w:rFonts w:hint="eastAsia" w:ascii="Times New Roman" w:hAnsi="Times New Roman"/>
          <w:highlight w:val="none"/>
          <w:lang w:val="en-US" w:eastAsia="zh-CN"/>
        </w:rPr>
        <w:t>5</w:t>
      </w:r>
      <w:r>
        <w:rPr>
          <w:rFonts w:hint="eastAsia" w:ascii="Times New Roman" w:hAnsi="Times New Roman"/>
          <w:highlight w:val="none"/>
          <w:lang w:eastAsia="zh-CN"/>
        </w:rPr>
        <w:t>）</w:t>
      </w:r>
      <w:r>
        <w:rPr>
          <w:rFonts w:hint="eastAsia" w:ascii="Times New Roman" w:hAnsi="Times New Roman"/>
          <w:highlight w:val="none"/>
          <w:lang w:val="en-US" w:eastAsia="zh-CN"/>
        </w:rPr>
        <w:t>排土场适当使用洒水以降尘，降低扬尘量。</w:t>
      </w:r>
    </w:p>
    <w:p>
      <w:pPr>
        <w:pStyle w:val="17"/>
        <w:ind w:firstLine="480"/>
        <w:rPr>
          <w:rFonts w:hint="eastAsia" w:ascii="Times New Roman" w:hAnsi="Times New Roman"/>
          <w:highlight w:val="none"/>
          <w:lang w:val="en-US" w:eastAsia="zh-CN"/>
        </w:rPr>
      </w:pPr>
      <w:r>
        <w:rPr>
          <w:rFonts w:hint="eastAsia" w:ascii="Times New Roman" w:hAnsi="Times New Roman"/>
          <w:highlight w:val="none"/>
          <w:lang w:val="en-US" w:eastAsia="zh-CN"/>
        </w:rPr>
        <w:t>堆场、装卸扬尘大气污染物防治措施投资不大、实施简便，并且根据其它同类项目的经验表明可有效降低污染物排放，因此堆场、装卸扬尘大气污染物防治措施经济可行。</w:t>
      </w:r>
    </w:p>
    <w:p>
      <w:pPr>
        <w:pStyle w:val="17"/>
        <w:ind w:firstLine="480"/>
        <w:rPr>
          <w:rFonts w:hint="default" w:ascii="Times New Roman" w:hAnsi="Times New Roman"/>
          <w:highlight w:val="none"/>
          <w:lang w:val="en-US" w:eastAsia="zh-CN"/>
        </w:rPr>
      </w:pPr>
      <w:r>
        <w:rPr>
          <w:rFonts w:hint="eastAsia" w:ascii="Times New Roman" w:hAnsi="Times New Roman"/>
          <w:highlight w:val="none"/>
          <w:lang w:val="en-US" w:eastAsia="zh-CN"/>
        </w:rPr>
        <w:t>3、运输扬尘</w:t>
      </w:r>
    </w:p>
    <w:p>
      <w:pPr>
        <w:pStyle w:val="17"/>
        <w:ind w:firstLine="480"/>
        <w:rPr>
          <w:rFonts w:hint="eastAsia" w:ascii="Times New Roman" w:hAnsi="Times New Roman"/>
          <w:highlight w:val="none"/>
          <w:lang w:val="en-US" w:eastAsia="zh-CN"/>
        </w:rPr>
      </w:pPr>
      <w:r>
        <w:rPr>
          <w:rFonts w:hint="eastAsia" w:ascii="Times New Roman" w:hAnsi="Times New Roman"/>
          <w:highlight w:val="none"/>
          <w:lang w:val="en-US" w:eastAsia="zh-CN"/>
        </w:rPr>
        <w:t>项目将采取如下措施，减缓运输扬尘的影响：</w:t>
      </w:r>
    </w:p>
    <w:p>
      <w:pPr>
        <w:pStyle w:val="17"/>
        <w:ind w:firstLine="480"/>
        <w:rPr>
          <w:rFonts w:hint="eastAsia" w:ascii="Times New Roman" w:hAnsi="Times New Roman"/>
          <w:highlight w:val="none"/>
          <w:lang w:val="en-US" w:eastAsia="zh-CN"/>
        </w:rPr>
      </w:pPr>
      <w:r>
        <w:rPr>
          <w:rFonts w:hint="eastAsia" w:ascii="Times New Roman" w:hAnsi="Times New Roman"/>
          <w:highlight w:val="none"/>
          <w:lang w:val="en-US" w:eastAsia="zh-CN"/>
        </w:rPr>
        <w:t>（1）运输车辆要搞好车辆外部清洁，车轮过水；</w:t>
      </w:r>
    </w:p>
    <w:p>
      <w:pPr>
        <w:pStyle w:val="17"/>
        <w:ind w:firstLine="480"/>
        <w:rPr>
          <w:rFonts w:hint="eastAsia" w:ascii="Times New Roman" w:hAnsi="Times New Roman"/>
          <w:highlight w:val="none"/>
          <w:lang w:val="en-US" w:eastAsia="zh-CN"/>
        </w:rPr>
      </w:pPr>
      <w:r>
        <w:rPr>
          <w:rFonts w:hint="eastAsia" w:ascii="Times New Roman" w:hAnsi="Times New Roman"/>
          <w:highlight w:val="none"/>
          <w:lang w:val="en-US" w:eastAsia="zh-CN"/>
        </w:rPr>
        <w:t>（2）运送车辆在运输时，采取洒水措施，且运输车辆需定期检查，如有破损及时修补；</w:t>
      </w:r>
    </w:p>
    <w:p>
      <w:pPr>
        <w:pStyle w:val="17"/>
        <w:ind w:firstLine="480"/>
        <w:rPr>
          <w:rFonts w:hint="eastAsia" w:ascii="Times New Roman" w:hAnsi="Times New Roman"/>
          <w:highlight w:val="none"/>
          <w:lang w:val="en-US" w:eastAsia="zh-CN"/>
        </w:rPr>
      </w:pPr>
      <w:r>
        <w:rPr>
          <w:rFonts w:hint="eastAsia" w:ascii="Times New Roman" w:hAnsi="Times New Roman"/>
          <w:highlight w:val="none"/>
          <w:lang w:val="en-US" w:eastAsia="zh-CN"/>
        </w:rPr>
        <w:t>（3）运输经过村庄、农田时要减速慢行；</w:t>
      </w:r>
    </w:p>
    <w:p>
      <w:pPr>
        <w:pStyle w:val="17"/>
        <w:ind w:firstLine="480"/>
        <w:rPr>
          <w:rFonts w:hint="eastAsia" w:ascii="Times New Roman" w:hAnsi="Times New Roman"/>
          <w:highlight w:val="none"/>
          <w:lang w:val="en-US" w:eastAsia="zh-CN"/>
        </w:rPr>
      </w:pPr>
      <w:r>
        <w:rPr>
          <w:rFonts w:hint="eastAsia" w:ascii="Times New Roman" w:hAnsi="Times New Roman"/>
          <w:highlight w:val="none"/>
          <w:lang w:val="en-US" w:eastAsia="zh-CN"/>
        </w:rPr>
        <w:t>（4）运输路段定时洒水降尘，适当增加洒水次数，保持路面清洁。</w:t>
      </w:r>
    </w:p>
    <w:p>
      <w:pPr>
        <w:pStyle w:val="17"/>
        <w:ind w:firstLine="480"/>
        <w:rPr>
          <w:rFonts w:hint="eastAsia" w:ascii="Times New Roman" w:hAnsi="Times New Roman"/>
          <w:highlight w:val="none"/>
          <w:lang w:val="en-US" w:eastAsia="zh-CN"/>
        </w:rPr>
      </w:pPr>
      <w:r>
        <w:rPr>
          <w:rFonts w:hint="eastAsia" w:ascii="Times New Roman" w:hAnsi="Times New Roman"/>
          <w:highlight w:val="none"/>
          <w:lang w:val="en-US" w:eastAsia="zh-CN"/>
        </w:rPr>
        <w:t>（5）运输汽车运输时加盖篷布，减少粉尘外排。</w:t>
      </w:r>
    </w:p>
    <w:p>
      <w:pPr>
        <w:pStyle w:val="17"/>
        <w:ind w:firstLine="480"/>
        <w:rPr>
          <w:rFonts w:hint="eastAsia" w:ascii="Times New Roman" w:hAnsi="Times New Roman"/>
          <w:highlight w:val="none"/>
          <w:lang w:val="en-US" w:eastAsia="zh-CN"/>
        </w:rPr>
      </w:pPr>
      <w:r>
        <w:rPr>
          <w:rFonts w:hint="eastAsia" w:ascii="Times New Roman" w:hAnsi="Times New Roman"/>
          <w:highlight w:val="none"/>
          <w:lang w:val="en-US" w:eastAsia="zh-CN"/>
        </w:rPr>
        <w:t>（6）运输车辆外运时进行清扫车轮，不得带泥上路。</w:t>
      </w:r>
    </w:p>
    <w:p>
      <w:pPr>
        <w:pStyle w:val="17"/>
        <w:ind w:firstLine="480"/>
        <w:rPr>
          <w:rFonts w:hint="eastAsia" w:ascii="Times New Roman" w:hAnsi="Times New Roman"/>
          <w:highlight w:val="none"/>
          <w:lang w:val="en-US" w:eastAsia="zh-CN"/>
        </w:rPr>
      </w:pPr>
      <w:r>
        <w:rPr>
          <w:rFonts w:hint="eastAsia" w:ascii="Times New Roman" w:hAnsi="Times New Roman"/>
          <w:highlight w:val="none"/>
          <w:lang w:val="en-US" w:eastAsia="zh-CN"/>
        </w:rPr>
        <w:t>（7）设1辆洒水车，运输路线每天洒水4次。</w:t>
      </w:r>
    </w:p>
    <w:p>
      <w:pPr>
        <w:pStyle w:val="17"/>
        <w:ind w:firstLine="480"/>
        <w:rPr>
          <w:rFonts w:hint="eastAsia" w:ascii="Times New Roman" w:hAnsi="Times New Roman"/>
          <w:highlight w:val="none"/>
          <w:lang w:val="en-US" w:eastAsia="zh-CN"/>
        </w:rPr>
      </w:pPr>
      <w:r>
        <w:rPr>
          <w:rFonts w:hint="eastAsia" w:ascii="Times New Roman" w:hAnsi="Times New Roman"/>
          <w:highlight w:val="none"/>
          <w:lang w:val="en-US" w:eastAsia="zh-CN"/>
        </w:rPr>
        <w:t>（8）运输车辆沿线经过有村屯等居民区时，限速行驶15km/h。</w:t>
      </w:r>
    </w:p>
    <w:p>
      <w:pPr>
        <w:pStyle w:val="17"/>
        <w:ind w:firstLine="480"/>
        <w:rPr>
          <w:highlight w:val="none"/>
        </w:rPr>
      </w:pPr>
      <w:r>
        <w:rPr>
          <w:rFonts w:hint="eastAsia" w:ascii="Times New Roman" w:hAnsi="Times New Roman"/>
          <w:highlight w:val="none"/>
          <w:lang w:val="en-US" w:eastAsia="zh-CN"/>
        </w:rPr>
        <w:t>通过采取以上抑尘措施、加强矿山机械和汽车的环保管理后，矿山作业粉尘和道路扬尘的防治措施均为简单、易行、有效的环境空气污染防治措施，具有很强的可操作性和实用性，可以达到“双达标”的要求（污染物排放达标、环境质量达标），因此以上措施经济、技术可行的。</w:t>
      </w:r>
    </w:p>
    <w:p>
      <w:pPr>
        <w:pStyle w:val="5"/>
        <w:widowControl/>
        <w:adjustRightInd w:val="0"/>
        <w:snapToGrid w:val="0"/>
        <w:rPr>
          <w:rFonts w:hint="default"/>
          <w:highlight w:val="none"/>
        </w:rPr>
      </w:pPr>
      <w:bookmarkStart w:id="504" w:name="_Toc501110108"/>
      <w:bookmarkStart w:id="505" w:name="_Toc10423"/>
      <w:bookmarkStart w:id="506" w:name="_Toc504996489"/>
      <w:bookmarkStart w:id="507" w:name="_Toc505861726"/>
      <w:r>
        <w:rPr>
          <w:rFonts w:hint="eastAsia"/>
          <w:highlight w:val="none"/>
          <w:lang w:val="en-US" w:eastAsia="zh-CN"/>
        </w:rPr>
        <w:t>8</w:t>
      </w:r>
      <w:r>
        <w:rPr>
          <w:highlight w:val="none"/>
        </w:rPr>
        <w:t>.2.2 运营期水污染防治措施</w:t>
      </w:r>
      <w:bookmarkEnd w:id="504"/>
      <w:bookmarkEnd w:id="505"/>
      <w:bookmarkEnd w:id="506"/>
      <w:bookmarkEnd w:id="507"/>
    </w:p>
    <w:p>
      <w:pPr>
        <w:pStyle w:val="17"/>
        <w:ind w:firstLine="480"/>
        <w:rPr>
          <w:rFonts w:hint="eastAsia" w:ascii="Times New Roman" w:hAnsi="Times New Roman"/>
          <w:highlight w:val="none"/>
          <w:lang w:val="en-US" w:eastAsia="zh-CN"/>
        </w:rPr>
      </w:pPr>
      <w:r>
        <w:rPr>
          <w:rFonts w:hint="eastAsia" w:ascii="Times New Roman" w:hAnsi="Times New Roman"/>
          <w:highlight w:val="none"/>
          <w:lang w:val="en-US" w:eastAsia="zh-CN"/>
        </w:rPr>
        <w:t>根据工程分析，项目废水主要有露天采场及破碎场初期雨水和职工生活污水。</w:t>
      </w:r>
    </w:p>
    <w:p>
      <w:pPr>
        <w:pStyle w:val="17"/>
        <w:ind w:firstLine="480"/>
        <w:rPr>
          <w:rFonts w:hint="eastAsia" w:ascii="Times New Roman" w:hAnsi="Times New Roman"/>
          <w:highlight w:val="none"/>
          <w:lang w:val="en-US" w:eastAsia="zh-CN"/>
        </w:rPr>
      </w:pPr>
      <w:r>
        <w:rPr>
          <w:rFonts w:hint="eastAsia" w:ascii="Times New Roman" w:hAnsi="Times New Roman"/>
          <w:highlight w:val="none"/>
          <w:lang w:val="en-US" w:eastAsia="zh-CN"/>
        </w:rPr>
        <w:t>1、初期雨水污染防治措施</w:t>
      </w:r>
    </w:p>
    <w:p>
      <w:pPr>
        <w:pStyle w:val="17"/>
        <w:ind w:firstLine="480"/>
        <w:rPr>
          <w:rFonts w:hint="eastAsia" w:ascii="Times New Roman" w:hAnsi="Times New Roman"/>
          <w:highlight w:val="none"/>
          <w:lang w:val="en-US" w:eastAsia="zh-CN"/>
        </w:rPr>
      </w:pPr>
      <w:r>
        <w:rPr>
          <w:rFonts w:hint="eastAsia" w:ascii="Times New Roman" w:hAnsi="Times New Roman"/>
          <w:highlight w:val="none"/>
          <w:lang w:val="en-US" w:eastAsia="zh-CN"/>
        </w:rPr>
        <w:t>根据工程分析，露天采场前30min最大降雨量3.07m³/次；破碎场前30min 最大降雨量7.7m³/次。露天采场平台内侧设置截排水沟，将初期雨水引至1#初期雨水沉淀池进行沉淀处理；破碎场四周设置截排水沟，将初期雨水汇集至2#初期雨水沉淀池进行处理；1#初期雨水沉淀池位于露天采场东南面20m处，容积为30m</w:t>
      </w:r>
      <w:r>
        <w:rPr>
          <w:rFonts w:hint="eastAsia" w:ascii="Times New Roman" w:hAnsi="Times New Roman"/>
          <w:highlight w:val="none"/>
          <w:vertAlign w:val="superscript"/>
          <w:lang w:val="en-US" w:eastAsia="zh-CN"/>
        </w:rPr>
        <w:t>3</w:t>
      </w:r>
      <w:r>
        <w:rPr>
          <w:rFonts w:hint="eastAsia" w:ascii="Times New Roman" w:hAnsi="Times New Roman"/>
          <w:highlight w:val="none"/>
          <w:lang w:val="en-US" w:eastAsia="zh-CN"/>
        </w:rPr>
        <w:t>，2#初期雨水沉淀池位于破碎场西北面，容积为160m</w:t>
      </w:r>
      <w:r>
        <w:rPr>
          <w:rFonts w:hint="eastAsia" w:ascii="Times New Roman" w:hAnsi="Times New Roman"/>
          <w:highlight w:val="none"/>
          <w:vertAlign w:val="superscript"/>
          <w:lang w:val="en-US" w:eastAsia="zh-CN"/>
        </w:rPr>
        <w:t>3</w:t>
      </w:r>
      <w:r>
        <w:rPr>
          <w:rFonts w:hint="eastAsia" w:ascii="Times New Roman" w:hAnsi="Times New Roman"/>
          <w:highlight w:val="none"/>
          <w:lang w:val="en-US" w:eastAsia="zh-CN"/>
        </w:rPr>
        <w:t>；池体均采用砖混结构，底部和四周为水泥抹面；露天采场、破碎场初期雨水均汇相应雨水沉淀池进行处理，经收集沉淀处理后回用于堆场、矿山道路降尘。</w:t>
      </w:r>
    </w:p>
    <w:p>
      <w:pPr>
        <w:pStyle w:val="17"/>
        <w:ind w:firstLine="480"/>
        <w:rPr>
          <w:rFonts w:hint="eastAsia" w:ascii="Times New Roman" w:hAnsi="Times New Roman"/>
          <w:highlight w:val="none"/>
          <w:lang w:val="en-US" w:eastAsia="zh-CN"/>
        </w:rPr>
      </w:pPr>
      <w:r>
        <w:rPr>
          <w:rFonts w:hint="eastAsia" w:ascii="Times New Roman" w:hAnsi="Times New Roman"/>
          <w:highlight w:val="none"/>
          <w:lang w:val="en-US" w:eastAsia="zh-CN"/>
        </w:rPr>
        <w:t>开采区及破碎场初期雨水经过截排水沟截流后顺坡向下游地区排放，经过排水沟收集后进入到初期雨水沉淀池进行沉淀处理。项目截排水沟根据地形条件设置，各工作面向东南方向保留一定坡度，使场地雨水向东南面汇聚，同时，在破碎场四周建设截排水沟，将破碎场雨水导入初期雨水沉淀池。截排水沟总长为1090m，其中露天采场截排水沟场600m，破碎场截排水沟长420m，排土场截排水沟70m，浆砌石截水沟，截水沟尺寸均为0.4×0.6m（深×宽），断面均为矩形断面。</w:t>
      </w:r>
    </w:p>
    <w:p>
      <w:pPr>
        <w:pStyle w:val="17"/>
        <w:ind w:firstLine="480"/>
        <w:rPr>
          <w:rFonts w:hint="eastAsia" w:ascii="Times New Roman" w:hAnsi="Times New Roman" w:eastAsia="宋体"/>
          <w:highlight w:val="none"/>
          <w:lang w:val="en-US" w:eastAsia="zh-CN"/>
        </w:rPr>
      </w:pPr>
      <w:r>
        <w:rPr>
          <w:rFonts w:hint="eastAsia" w:ascii="Times New Roman" w:hAnsi="Times New Roman"/>
          <w:highlight w:val="none"/>
          <w:lang w:val="en-US" w:eastAsia="zh-CN"/>
        </w:rPr>
        <w:t>项目初期雨水经过沉淀后用于场地及开采工作面洒水降尘、矿山道路降尘是可行的，该方法可节约利用水资源，减少项目降尘成本。同时该法不需添加任何药剂，可不设专人管理，仅需定期将沉砂清走，运行费用不高，经济技术上可行。</w:t>
      </w:r>
    </w:p>
    <w:p>
      <w:pPr>
        <w:pStyle w:val="27"/>
        <w:autoSpaceDE w:val="0"/>
        <w:autoSpaceDN w:val="0"/>
        <w:adjustRightInd w:val="0"/>
        <w:snapToGrid w:val="0"/>
        <w:ind w:firstLine="480"/>
        <w:rPr>
          <w:rFonts w:hint="eastAsia" w:ascii="Times New Roman" w:hAnsi="Times New Roman"/>
          <w:highlight w:val="none"/>
          <w:lang w:val="en-US" w:eastAsia="zh-CN"/>
        </w:rPr>
      </w:pPr>
      <w:r>
        <w:rPr>
          <w:rFonts w:hint="eastAsia" w:ascii="Times New Roman" w:hAnsi="Times New Roman"/>
          <w:highlight w:val="none"/>
          <w:lang w:val="en-US" w:eastAsia="zh-CN"/>
        </w:rPr>
        <w:t>2、生活污水污染防治措施</w:t>
      </w:r>
    </w:p>
    <w:p>
      <w:pPr>
        <w:pStyle w:val="27"/>
        <w:autoSpaceDE w:val="0"/>
        <w:autoSpaceDN w:val="0"/>
        <w:adjustRightInd w:val="0"/>
        <w:snapToGrid w:val="0"/>
        <w:ind w:firstLine="480"/>
        <w:rPr>
          <w:rFonts w:hint="eastAsia" w:ascii="Times New Roman" w:hAnsi="Times New Roman"/>
          <w:highlight w:val="none"/>
          <w:lang w:val="en-US" w:eastAsia="zh-CN"/>
        </w:rPr>
      </w:pPr>
      <w:r>
        <w:rPr>
          <w:rFonts w:hint="eastAsia" w:ascii="Times New Roman" w:hAnsi="Times New Roman"/>
          <w:highlight w:val="none"/>
          <w:lang w:val="en-US" w:eastAsia="zh-CN"/>
        </w:rPr>
        <w:t>矿山生活污水排放量为0.48m</w:t>
      </w:r>
      <w:r>
        <w:rPr>
          <w:rFonts w:hint="eastAsia" w:ascii="Times New Roman" w:hAnsi="Times New Roman"/>
          <w:highlight w:val="none"/>
          <w:vertAlign w:val="superscript"/>
          <w:lang w:val="en-US" w:eastAsia="zh-CN"/>
        </w:rPr>
        <w:t>3</w:t>
      </w:r>
      <w:r>
        <w:rPr>
          <w:rFonts w:hint="eastAsia" w:ascii="Times New Roman" w:hAnsi="Times New Roman"/>
          <w:highlight w:val="none"/>
          <w:lang w:val="en-US" w:eastAsia="zh-CN"/>
        </w:rPr>
        <w:t>/d，主要污染物为化学需氧量、生化需氧量、氨氮等，经沉淀池处理后回用于项目区洒水降尘。由于生活污水量不大，不仅不会对环境造成不良影响，反而有利于绿化植被的生长。因此，生活污水经沉淀池处理后回用于项目区洒水降尘，在技术上是可行的。</w:t>
      </w:r>
    </w:p>
    <w:p>
      <w:pPr>
        <w:pStyle w:val="5"/>
        <w:widowControl/>
        <w:adjustRightInd w:val="0"/>
        <w:snapToGrid w:val="0"/>
        <w:rPr>
          <w:rFonts w:hint="default"/>
          <w:highlight w:val="none"/>
        </w:rPr>
      </w:pPr>
      <w:bookmarkStart w:id="508" w:name="_Toc504996490"/>
      <w:bookmarkStart w:id="509" w:name="_Toc501110109"/>
      <w:bookmarkStart w:id="510" w:name="_Toc19233"/>
      <w:bookmarkStart w:id="511" w:name="_Toc505861727"/>
      <w:r>
        <w:rPr>
          <w:rFonts w:hint="eastAsia"/>
          <w:highlight w:val="none"/>
          <w:lang w:val="en-US" w:eastAsia="zh-CN"/>
        </w:rPr>
        <w:t>8</w:t>
      </w:r>
      <w:r>
        <w:rPr>
          <w:highlight w:val="none"/>
        </w:rPr>
        <w:t>.2.3 运营期噪声污染防治措施</w:t>
      </w:r>
      <w:bookmarkEnd w:id="508"/>
      <w:bookmarkEnd w:id="509"/>
      <w:bookmarkEnd w:id="510"/>
      <w:bookmarkEnd w:id="511"/>
    </w:p>
    <w:p>
      <w:pPr>
        <w:adjustRightInd w:val="0"/>
        <w:snapToGrid w:val="0"/>
        <w:ind w:firstLine="480"/>
        <w:rPr>
          <w:bCs/>
          <w:highlight w:val="none"/>
        </w:rPr>
      </w:pPr>
      <w:r>
        <w:rPr>
          <w:rFonts w:hint="eastAsia"/>
          <w:bCs/>
          <w:highlight w:val="none"/>
        </w:rPr>
        <w:t>项目噪声源主要有空压机、凿岩机、挖掘机、装载机、运输汽车、破碎机等机械噪声和爆破噪声，处理措施如下</w:t>
      </w:r>
      <w:r>
        <w:rPr>
          <w:bCs/>
          <w:highlight w:val="none"/>
        </w:rPr>
        <w:t>。</w:t>
      </w:r>
    </w:p>
    <w:p>
      <w:pPr>
        <w:ind w:firstLine="480"/>
        <w:rPr>
          <w:rFonts w:hint="eastAsia" w:ascii="Times New Roman" w:hAnsi="Times New Roman"/>
          <w:bCs/>
          <w:highlight w:val="none"/>
          <w:lang w:val="en-US" w:eastAsia="zh-CN"/>
        </w:rPr>
      </w:pPr>
      <w:r>
        <w:rPr>
          <w:rFonts w:hint="eastAsia" w:ascii="Times New Roman" w:hAnsi="Times New Roman"/>
          <w:bCs/>
          <w:highlight w:val="none"/>
          <w:lang w:val="en-US" w:eastAsia="zh-CN"/>
        </w:rPr>
        <w:t>1、机械噪声防治措施</w:t>
      </w:r>
    </w:p>
    <w:p>
      <w:pPr>
        <w:ind w:firstLine="480"/>
        <w:rPr>
          <w:rFonts w:hint="eastAsia" w:ascii="Times New Roman" w:hAnsi="Times New Roman"/>
          <w:bCs/>
          <w:highlight w:val="none"/>
          <w:lang w:val="en-US" w:eastAsia="zh-CN"/>
        </w:rPr>
      </w:pPr>
      <w:r>
        <w:rPr>
          <w:rFonts w:hint="eastAsia" w:ascii="Times New Roman" w:hAnsi="Times New Roman"/>
          <w:bCs/>
          <w:highlight w:val="none"/>
          <w:lang w:val="en-US" w:eastAsia="zh-CN"/>
        </w:rPr>
        <w:t>（1）矿石开采</w:t>
      </w:r>
    </w:p>
    <w:p>
      <w:pPr>
        <w:ind w:firstLine="480"/>
        <w:rPr>
          <w:rFonts w:hint="eastAsia" w:ascii="Times New Roman" w:hAnsi="Times New Roman"/>
          <w:bCs/>
          <w:highlight w:val="none"/>
          <w:lang w:val="en-US" w:eastAsia="zh-CN"/>
        </w:rPr>
      </w:pPr>
      <w:r>
        <w:rPr>
          <w:rFonts w:hint="eastAsia" w:ascii="Times New Roman" w:hAnsi="Times New Roman"/>
          <w:bCs/>
          <w:highlight w:val="none"/>
          <w:lang w:val="en-US" w:eastAsia="zh-CN"/>
        </w:rPr>
        <w:t>采石过程噪声主要来自凿岩机，应加强操作人员个人防护措施，如防声耳塞、耳罩等措施，以减少噪声对操作人员的影响。</w:t>
      </w:r>
    </w:p>
    <w:p>
      <w:pPr>
        <w:ind w:firstLine="480"/>
        <w:rPr>
          <w:rFonts w:hint="eastAsia" w:ascii="Times New Roman" w:hAnsi="Times New Roman"/>
          <w:bCs/>
          <w:highlight w:val="none"/>
          <w:lang w:val="en-US" w:eastAsia="zh-CN"/>
        </w:rPr>
      </w:pPr>
      <w:r>
        <w:rPr>
          <w:rFonts w:hint="eastAsia" w:ascii="Times New Roman" w:hAnsi="Times New Roman"/>
          <w:bCs/>
          <w:highlight w:val="none"/>
          <w:lang w:val="en-US" w:eastAsia="zh-CN"/>
        </w:rPr>
        <w:t>（2）矿石破碎</w:t>
      </w:r>
    </w:p>
    <w:p>
      <w:pPr>
        <w:ind w:firstLine="480"/>
        <w:rPr>
          <w:rFonts w:hint="eastAsia" w:ascii="Times New Roman" w:hAnsi="Times New Roman"/>
          <w:bCs/>
          <w:highlight w:val="none"/>
          <w:lang w:val="en-US" w:eastAsia="zh-CN"/>
        </w:rPr>
      </w:pPr>
      <w:r>
        <w:rPr>
          <w:rFonts w:hint="eastAsia" w:ascii="Times New Roman" w:hAnsi="Times New Roman"/>
          <w:bCs/>
          <w:highlight w:val="none"/>
          <w:lang w:val="en-US" w:eastAsia="zh-CN"/>
        </w:rPr>
        <w:t>①破碎机、粉碎机安装减振基座等措施。</w:t>
      </w:r>
    </w:p>
    <w:p>
      <w:pPr>
        <w:ind w:firstLine="480"/>
        <w:rPr>
          <w:rFonts w:hint="eastAsia" w:ascii="Times New Roman" w:hAnsi="Times New Roman"/>
          <w:bCs/>
          <w:highlight w:val="none"/>
          <w:lang w:val="en-US" w:eastAsia="zh-CN"/>
        </w:rPr>
      </w:pPr>
      <w:r>
        <w:rPr>
          <w:rFonts w:hint="eastAsia" w:ascii="Times New Roman" w:hAnsi="Times New Roman"/>
          <w:bCs/>
          <w:highlight w:val="none"/>
          <w:lang w:val="en-US" w:eastAsia="zh-CN"/>
        </w:rPr>
        <w:t>②加强项目场地内及场界四周的绿化，可起到隔声降噪作用；加强对矿石破碎设备的维修和保养，确保设备正常运行。</w:t>
      </w:r>
    </w:p>
    <w:p>
      <w:pPr>
        <w:ind w:firstLine="480"/>
        <w:rPr>
          <w:rFonts w:hint="eastAsia" w:ascii="Times New Roman" w:hAnsi="Times New Roman"/>
          <w:bCs/>
          <w:highlight w:val="none"/>
          <w:lang w:val="en-US" w:eastAsia="zh-CN"/>
        </w:rPr>
      </w:pPr>
      <w:r>
        <w:rPr>
          <w:rFonts w:hint="eastAsia" w:ascii="Times New Roman" w:hAnsi="Times New Roman"/>
          <w:bCs/>
          <w:highlight w:val="none"/>
          <w:lang w:val="en-US" w:eastAsia="zh-CN"/>
        </w:rPr>
        <w:t>③建设全封闭生产厂房，破碎、筛分等生产设备布置于封闭厂房内，利用厂房隔声。</w:t>
      </w:r>
    </w:p>
    <w:p>
      <w:pPr>
        <w:ind w:firstLine="480"/>
        <w:rPr>
          <w:rFonts w:hint="eastAsia" w:ascii="Times New Roman" w:hAnsi="Times New Roman"/>
          <w:bCs/>
          <w:highlight w:val="none"/>
          <w:lang w:val="en-US" w:eastAsia="zh-CN"/>
        </w:rPr>
      </w:pPr>
      <w:r>
        <w:rPr>
          <w:rFonts w:hint="eastAsia" w:ascii="Times New Roman" w:hAnsi="Times New Roman"/>
          <w:bCs/>
          <w:highlight w:val="none"/>
          <w:lang w:val="en-US" w:eastAsia="zh-CN"/>
        </w:rPr>
        <w:t>（3）矿石集堆、铲装、运输</w:t>
      </w:r>
    </w:p>
    <w:p>
      <w:pPr>
        <w:ind w:firstLine="480"/>
        <w:rPr>
          <w:rFonts w:hint="eastAsia" w:ascii="Times New Roman" w:hAnsi="Times New Roman"/>
          <w:bCs/>
          <w:highlight w:val="none"/>
          <w:lang w:val="en-US" w:eastAsia="zh-CN"/>
        </w:rPr>
      </w:pPr>
      <w:r>
        <w:rPr>
          <w:rFonts w:hint="eastAsia" w:ascii="Times New Roman" w:hAnsi="Times New Roman"/>
          <w:bCs/>
          <w:highlight w:val="none"/>
          <w:lang w:val="en-US" w:eastAsia="zh-CN"/>
        </w:rPr>
        <w:t>①集堆、铲装时不要把石料举起太高，轻装轻放，尽量减少在铲装过程中产生的噪声；</w:t>
      </w:r>
    </w:p>
    <w:p>
      <w:pPr>
        <w:ind w:firstLine="480"/>
        <w:rPr>
          <w:rFonts w:hint="eastAsia" w:ascii="Times New Roman" w:hAnsi="Times New Roman"/>
          <w:bCs/>
          <w:highlight w:val="none"/>
          <w:lang w:val="en-US" w:eastAsia="zh-CN"/>
        </w:rPr>
      </w:pPr>
      <w:r>
        <w:rPr>
          <w:rFonts w:hint="eastAsia" w:ascii="Times New Roman" w:hAnsi="Times New Roman"/>
          <w:bCs/>
          <w:highlight w:val="none"/>
          <w:lang w:val="en-US" w:eastAsia="zh-CN"/>
        </w:rPr>
        <w:t>②对运输交通噪声，禁止使用超过噪声限值的运输车辆，禁用高音喇叭；</w:t>
      </w:r>
    </w:p>
    <w:p>
      <w:pPr>
        <w:ind w:firstLine="480"/>
        <w:rPr>
          <w:rFonts w:hint="eastAsia" w:ascii="Times New Roman" w:hAnsi="Times New Roman"/>
          <w:bCs/>
          <w:highlight w:val="none"/>
          <w:lang w:val="en-US" w:eastAsia="zh-CN"/>
        </w:rPr>
      </w:pPr>
      <w:r>
        <w:rPr>
          <w:rFonts w:hint="eastAsia" w:ascii="Times New Roman" w:hAnsi="Times New Roman"/>
          <w:bCs/>
          <w:highlight w:val="none"/>
          <w:lang w:val="en-US" w:eastAsia="zh-CN"/>
        </w:rPr>
        <w:t>③机动车辆必须加强维修和保养，保持技术性能良好，在经过沿途敏感点时， 应限制鸣笛，合理安排运输车辆工作时间，不得在夜间、休息时间运输，避免交通噪声对沿途较近敏感点产生影响。</w:t>
      </w:r>
    </w:p>
    <w:p>
      <w:pPr>
        <w:ind w:firstLine="480"/>
        <w:rPr>
          <w:rFonts w:hint="eastAsia" w:ascii="Times New Roman" w:hAnsi="Times New Roman"/>
          <w:bCs/>
          <w:highlight w:val="none"/>
          <w:lang w:val="en-US" w:eastAsia="zh-CN"/>
        </w:rPr>
      </w:pPr>
      <w:r>
        <w:rPr>
          <w:rFonts w:hint="eastAsia" w:ascii="Times New Roman" w:hAnsi="Times New Roman"/>
          <w:bCs/>
          <w:highlight w:val="none"/>
          <w:lang w:val="en-US" w:eastAsia="zh-CN"/>
        </w:rPr>
        <w:t>通过采取上述措施，场界噪声符合《工业企业厂界环境噪声排放标准》</w:t>
      </w:r>
    </w:p>
    <w:p>
      <w:pPr>
        <w:ind w:left="0" w:leftChars="0" w:firstLine="0" w:firstLineChars="0"/>
        <w:rPr>
          <w:highlight w:val="none"/>
        </w:rPr>
      </w:pPr>
      <w:r>
        <w:rPr>
          <w:rFonts w:hint="eastAsia" w:ascii="Times New Roman" w:hAnsi="Times New Roman"/>
          <w:bCs/>
          <w:highlight w:val="none"/>
          <w:lang w:val="en-US" w:eastAsia="zh-CN"/>
        </w:rPr>
        <w:t>（GB12348-2008）2类标准。项目采取的噪声防治措施使用范围广、简单易行， 在技术及经济方面是可行的</w:t>
      </w:r>
      <w:r>
        <w:rPr>
          <w:rFonts w:hint="eastAsia"/>
          <w:highlight w:val="none"/>
        </w:rPr>
        <w:t>。</w:t>
      </w:r>
    </w:p>
    <w:p>
      <w:pPr>
        <w:ind w:firstLine="480"/>
        <w:rPr>
          <w:rFonts w:hint="eastAsia"/>
          <w:highlight w:val="none"/>
          <w:lang w:val="en-US" w:eastAsia="zh-CN"/>
        </w:rPr>
      </w:pPr>
      <w:r>
        <w:rPr>
          <w:rFonts w:hint="eastAsia"/>
          <w:highlight w:val="none"/>
          <w:lang w:val="en-US" w:eastAsia="zh-CN"/>
        </w:rPr>
        <w:t>2、爆破噪声及振动防治措施</w:t>
      </w:r>
    </w:p>
    <w:p>
      <w:pPr>
        <w:ind w:firstLine="480"/>
        <w:rPr>
          <w:rFonts w:hint="eastAsia"/>
          <w:highlight w:val="none"/>
          <w:lang w:val="en-US" w:eastAsia="zh-CN"/>
        </w:rPr>
      </w:pPr>
      <w:r>
        <w:rPr>
          <w:rFonts w:hint="eastAsia"/>
          <w:highlight w:val="none"/>
          <w:lang w:val="en-US" w:eastAsia="zh-CN"/>
        </w:rPr>
        <w:t>工程爆破施工过程中的有害效应有爆破地震、冲击波和个别飞石等，下面分类叙述各种工况的防治措施：</w:t>
      </w:r>
    </w:p>
    <w:p>
      <w:pPr>
        <w:ind w:firstLine="480"/>
        <w:rPr>
          <w:rFonts w:hint="eastAsia"/>
          <w:highlight w:val="none"/>
          <w:lang w:val="en-US" w:eastAsia="zh-CN"/>
        </w:rPr>
      </w:pPr>
      <w:r>
        <w:rPr>
          <w:rFonts w:hint="eastAsia"/>
          <w:highlight w:val="none"/>
          <w:lang w:val="en-US" w:eastAsia="zh-CN"/>
        </w:rPr>
        <w:t>（1）减少爆破地震波的措施</w:t>
      </w:r>
    </w:p>
    <w:p>
      <w:pPr>
        <w:ind w:firstLine="480"/>
        <w:rPr>
          <w:rFonts w:hint="eastAsia"/>
          <w:highlight w:val="none"/>
          <w:lang w:val="en-US" w:eastAsia="zh-CN"/>
        </w:rPr>
      </w:pPr>
      <w:r>
        <w:rPr>
          <w:rFonts w:hint="eastAsia"/>
          <w:highlight w:val="none"/>
          <w:lang w:val="en-US" w:eastAsia="zh-CN"/>
        </w:rPr>
        <w:t>① 严格限制最大一段的装药量，总药量相同时，分段越多，则爆破震动强度越小。</w:t>
      </w:r>
    </w:p>
    <w:p>
      <w:pPr>
        <w:ind w:firstLine="480"/>
        <w:rPr>
          <w:rFonts w:hint="eastAsia"/>
          <w:highlight w:val="none"/>
          <w:lang w:val="en-US" w:eastAsia="zh-CN"/>
        </w:rPr>
      </w:pPr>
      <w:r>
        <w:rPr>
          <w:rFonts w:hint="eastAsia"/>
          <w:highlight w:val="none"/>
          <w:lang w:val="en-US" w:eastAsia="zh-CN"/>
        </w:rPr>
        <w:t>② 合理选取微差间隔时间和爆破参数，减少爆破夹制作用；</w:t>
      </w:r>
    </w:p>
    <w:p>
      <w:pPr>
        <w:ind w:firstLine="480"/>
        <w:rPr>
          <w:rFonts w:hint="eastAsia"/>
          <w:highlight w:val="none"/>
          <w:lang w:val="en-US" w:eastAsia="zh-CN"/>
        </w:rPr>
      </w:pPr>
      <w:r>
        <w:rPr>
          <w:rFonts w:hint="eastAsia"/>
          <w:highlight w:val="none"/>
          <w:lang w:val="en-US" w:eastAsia="zh-CN"/>
        </w:rPr>
        <w:t>③ 选用低爆速的炸药和不耦合装药。</w:t>
      </w:r>
    </w:p>
    <w:p>
      <w:pPr>
        <w:ind w:firstLine="480"/>
        <w:rPr>
          <w:highlight w:val="none"/>
        </w:rPr>
      </w:pPr>
      <w:r>
        <w:rPr>
          <w:rFonts w:hint="eastAsia"/>
          <w:highlight w:val="none"/>
          <w:lang w:val="en-US" w:eastAsia="zh-CN"/>
        </w:rPr>
        <w:t>（2）控制飞石的措施</w:t>
      </w:r>
    </w:p>
    <w:p>
      <w:pPr>
        <w:ind w:firstLine="480"/>
        <w:rPr>
          <w:rFonts w:hint="eastAsia"/>
          <w:color w:val="auto"/>
          <w:highlight w:val="none"/>
          <w:lang w:val="en-US" w:eastAsia="zh-CN"/>
        </w:rPr>
      </w:pPr>
      <w:r>
        <w:rPr>
          <w:rFonts w:hint="eastAsia"/>
          <w:color w:val="auto"/>
          <w:highlight w:val="none"/>
          <w:lang w:val="en-US" w:eastAsia="zh-CN"/>
        </w:rPr>
        <w:t>① 设计合理，测量验收严格，避免单耗失控，是控制飞石危害的基础工作；</w:t>
      </w:r>
    </w:p>
    <w:p>
      <w:pPr>
        <w:ind w:firstLine="480"/>
        <w:rPr>
          <w:rFonts w:hint="eastAsia"/>
          <w:color w:val="auto"/>
          <w:highlight w:val="none"/>
          <w:lang w:val="en-US" w:eastAsia="zh-CN"/>
        </w:rPr>
      </w:pPr>
      <w:r>
        <w:rPr>
          <w:rFonts w:hint="eastAsia"/>
          <w:color w:val="auto"/>
          <w:highlight w:val="none"/>
          <w:lang w:val="en-US" w:eastAsia="zh-CN"/>
        </w:rPr>
        <w:t>② 慎重对待断层、软弱带、张开裂隙、成组发育的节理、溶洞、采空区、覆盖层等地质构造，采取间隔堵塞，调整药量，避免过量装药等措施；</w:t>
      </w:r>
    </w:p>
    <w:p>
      <w:pPr>
        <w:ind w:firstLine="480"/>
        <w:rPr>
          <w:rFonts w:hint="eastAsia"/>
          <w:color w:val="auto"/>
          <w:highlight w:val="none"/>
          <w:lang w:val="en-US" w:eastAsia="zh-CN"/>
        </w:rPr>
      </w:pPr>
      <w:r>
        <w:rPr>
          <w:rFonts w:hint="eastAsia"/>
          <w:color w:val="auto"/>
          <w:highlight w:val="none"/>
          <w:lang w:val="en-US" w:eastAsia="zh-CN"/>
        </w:rPr>
        <w:t>③ 保证堵塞质量，不但要保证堵塞长度，而且保证堵塞密实；</w:t>
      </w:r>
    </w:p>
    <w:p>
      <w:pPr>
        <w:ind w:firstLine="480"/>
        <w:rPr>
          <w:rFonts w:hint="eastAsia"/>
          <w:color w:val="auto"/>
          <w:highlight w:val="none"/>
          <w:lang w:val="en-US" w:eastAsia="zh-CN"/>
        </w:rPr>
      </w:pPr>
      <w:r>
        <w:rPr>
          <w:rFonts w:hint="eastAsia"/>
          <w:color w:val="auto"/>
          <w:highlight w:val="none"/>
          <w:lang w:val="en-US" w:eastAsia="zh-CN"/>
        </w:rPr>
        <w:t>④ 多排爆破时要选择合理的延迟时间，防止因前排带炮（后冲），造成后排最小抵抗线大小与方向失控；</w:t>
      </w:r>
    </w:p>
    <w:p>
      <w:pPr>
        <w:ind w:firstLine="480"/>
        <w:rPr>
          <w:rFonts w:hint="eastAsia"/>
          <w:color w:val="auto"/>
          <w:highlight w:val="none"/>
          <w:lang w:val="en-US" w:eastAsia="zh-CN"/>
        </w:rPr>
      </w:pPr>
      <w:r>
        <w:rPr>
          <w:rFonts w:hint="eastAsia"/>
          <w:color w:val="auto"/>
          <w:highlight w:val="none"/>
          <w:lang w:val="en-US" w:eastAsia="zh-CN"/>
        </w:rPr>
        <w:t>⑤ 采用低速炸药，不耦合装药，挤压爆破和毫秒微差起爆等；</w:t>
      </w:r>
    </w:p>
    <w:p>
      <w:pPr>
        <w:ind w:firstLine="480"/>
        <w:rPr>
          <w:rFonts w:hint="eastAsia"/>
          <w:color w:val="auto"/>
          <w:highlight w:val="none"/>
          <w:lang w:val="en-US" w:eastAsia="zh-CN"/>
        </w:rPr>
      </w:pPr>
      <w:r>
        <w:rPr>
          <w:rFonts w:hint="eastAsia"/>
          <w:color w:val="auto"/>
          <w:highlight w:val="none"/>
          <w:lang w:val="en-US" w:eastAsia="zh-CN"/>
        </w:rPr>
        <w:t>⑥ 本项目矿山设计爆破安全距离为300m。爆破前，所有在场的工作人员需撤离到爆破禁戒线（300m）之外。爆破前需张贴公告，做好办公生活区的日常管理工作；</w:t>
      </w:r>
    </w:p>
    <w:p>
      <w:pPr>
        <w:ind w:firstLine="480"/>
        <w:rPr>
          <w:color w:val="auto"/>
          <w:highlight w:val="none"/>
          <w:lang w:val="zh-CN"/>
        </w:rPr>
      </w:pPr>
      <w:r>
        <w:rPr>
          <w:rFonts w:hint="eastAsia"/>
          <w:color w:val="auto"/>
          <w:highlight w:val="none"/>
          <w:lang w:val="en-US" w:eastAsia="zh-CN"/>
        </w:rPr>
        <w:t>⑦ 若在爆破时，发生人员伤亡等危险事故，应立即通知当地政府、安监等部门，第一时间保护好现场，作好人员的抢救工作，并采取相应的事故应急预案。</w:t>
      </w:r>
    </w:p>
    <w:p>
      <w:pPr>
        <w:adjustRightInd w:val="0"/>
        <w:snapToGrid w:val="0"/>
        <w:ind w:firstLine="480"/>
        <w:rPr>
          <w:rFonts w:hint="eastAsia"/>
          <w:highlight w:val="none"/>
          <w:lang w:val="en-US" w:eastAsia="zh-CN"/>
        </w:rPr>
      </w:pPr>
      <w:r>
        <w:rPr>
          <w:rFonts w:hint="eastAsia"/>
          <w:highlight w:val="none"/>
          <w:lang w:val="en-US" w:eastAsia="zh-CN"/>
        </w:rPr>
        <w:t>3、运输噪声</w:t>
      </w:r>
    </w:p>
    <w:p>
      <w:pPr>
        <w:adjustRightInd w:val="0"/>
        <w:snapToGrid w:val="0"/>
        <w:ind w:firstLine="480"/>
        <w:rPr>
          <w:rFonts w:hint="eastAsia"/>
          <w:highlight w:val="none"/>
          <w:lang w:val="en-US" w:eastAsia="zh-CN"/>
        </w:rPr>
      </w:pPr>
      <w:r>
        <w:rPr>
          <w:rFonts w:hint="eastAsia"/>
          <w:highlight w:val="none"/>
          <w:lang w:val="en-US" w:eastAsia="zh-CN"/>
        </w:rPr>
        <w:t>为减轻运输噪声对周边环境的影响，提出以下措施：</w:t>
      </w:r>
    </w:p>
    <w:p>
      <w:pPr>
        <w:adjustRightInd w:val="0"/>
        <w:snapToGrid w:val="0"/>
        <w:ind w:firstLine="480"/>
        <w:rPr>
          <w:rFonts w:hint="eastAsia"/>
          <w:highlight w:val="none"/>
          <w:lang w:val="en-US" w:eastAsia="zh-CN"/>
        </w:rPr>
      </w:pPr>
      <w:r>
        <w:rPr>
          <w:rFonts w:hint="eastAsia"/>
          <w:highlight w:val="none"/>
          <w:lang w:val="en-US" w:eastAsia="zh-CN"/>
        </w:rPr>
        <w:t>（1）作好运输汽车维护，确保汽车在正常状态下运行。加强运矿公路段的经常性维护和路面平整，以保证运矿行车平稳，减少噪声。在运输过程中，车辆应平稳低速行驶。</w:t>
      </w:r>
    </w:p>
    <w:p>
      <w:pPr>
        <w:adjustRightInd w:val="0"/>
        <w:snapToGrid w:val="0"/>
        <w:ind w:firstLine="480"/>
        <w:rPr>
          <w:rFonts w:hint="eastAsia"/>
          <w:highlight w:val="none"/>
          <w:lang w:val="en-US" w:eastAsia="zh-CN"/>
        </w:rPr>
      </w:pPr>
      <w:r>
        <w:rPr>
          <w:rFonts w:hint="eastAsia"/>
          <w:highlight w:val="none"/>
          <w:lang w:val="en-US" w:eastAsia="zh-CN"/>
        </w:rPr>
        <w:t>（2）矿山地处山区，村级运输道路两侧树木较多，形成隔声屏障。</w:t>
      </w:r>
    </w:p>
    <w:p>
      <w:pPr>
        <w:adjustRightInd w:val="0"/>
        <w:snapToGrid w:val="0"/>
        <w:ind w:firstLine="480"/>
        <w:rPr>
          <w:rFonts w:hint="eastAsia"/>
          <w:highlight w:val="none"/>
          <w:lang w:val="en-US" w:eastAsia="zh-CN"/>
        </w:rPr>
      </w:pPr>
      <w:r>
        <w:rPr>
          <w:rFonts w:hint="eastAsia"/>
          <w:highlight w:val="none"/>
          <w:lang w:val="en-US" w:eastAsia="zh-CN"/>
        </w:rPr>
        <w:t>（3）项目运输应选在昼间进行，在晚上22：00至次日早上6：00时段不得进行采、运作业；同时车辆应减速慢行、禁鸣喇叭，减轻交通噪声对附近村屯敏感点的影响。</w:t>
      </w:r>
    </w:p>
    <w:p>
      <w:pPr>
        <w:adjustRightInd w:val="0"/>
        <w:snapToGrid w:val="0"/>
        <w:ind w:firstLine="480"/>
        <w:rPr>
          <w:rFonts w:hint="eastAsia"/>
          <w:highlight w:val="none"/>
          <w:lang w:val="en-US" w:eastAsia="zh-CN"/>
        </w:rPr>
      </w:pPr>
      <w:r>
        <w:rPr>
          <w:rFonts w:hint="eastAsia"/>
          <w:highlight w:val="none"/>
          <w:lang w:val="en-US" w:eastAsia="zh-CN"/>
        </w:rPr>
        <w:t>（4）运输车辆沿线经过有村屯等居民区时，应适当减速（建议运输车辆时速≤20 km/h），禁止使用高音喇叭，以减轻对当地居民的影响。</w:t>
      </w:r>
    </w:p>
    <w:p>
      <w:pPr>
        <w:adjustRightInd w:val="0"/>
        <w:snapToGrid w:val="0"/>
        <w:ind w:firstLine="480"/>
        <w:rPr>
          <w:highlight w:val="none"/>
        </w:rPr>
      </w:pPr>
      <w:r>
        <w:rPr>
          <w:rFonts w:hint="eastAsia"/>
          <w:highlight w:val="none"/>
          <w:lang w:val="en-US" w:eastAsia="zh-CN"/>
        </w:rPr>
        <w:t>综上所述，噪声防治措施投资约1万元，占总投资0.02%，投资额不大，措施简单易行，从技术、经济的角度考虑可行</w:t>
      </w:r>
      <w:r>
        <w:rPr>
          <w:rFonts w:hint="eastAsia"/>
          <w:highlight w:val="none"/>
        </w:rPr>
        <w:t>。</w:t>
      </w:r>
    </w:p>
    <w:p>
      <w:pPr>
        <w:pStyle w:val="5"/>
        <w:widowControl/>
        <w:adjustRightInd w:val="0"/>
        <w:snapToGrid w:val="0"/>
        <w:rPr>
          <w:rFonts w:hint="default"/>
          <w:highlight w:val="none"/>
        </w:rPr>
      </w:pPr>
      <w:bookmarkStart w:id="512" w:name="_Toc504996491"/>
      <w:bookmarkStart w:id="513" w:name="_Toc18114"/>
      <w:bookmarkStart w:id="514" w:name="_Toc501110110"/>
      <w:bookmarkStart w:id="515" w:name="_Toc505861728"/>
      <w:r>
        <w:rPr>
          <w:rFonts w:hint="eastAsia"/>
          <w:highlight w:val="none"/>
          <w:lang w:val="en-US" w:eastAsia="zh-CN"/>
        </w:rPr>
        <w:t>8</w:t>
      </w:r>
      <w:r>
        <w:rPr>
          <w:highlight w:val="none"/>
        </w:rPr>
        <w:t>.2.4 运营期固体废物污染防治措施</w:t>
      </w:r>
      <w:bookmarkEnd w:id="512"/>
      <w:bookmarkEnd w:id="513"/>
      <w:bookmarkEnd w:id="514"/>
      <w:bookmarkEnd w:id="515"/>
    </w:p>
    <w:p>
      <w:pPr>
        <w:adjustRightInd w:val="0"/>
        <w:snapToGrid w:val="0"/>
        <w:ind w:firstLine="480"/>
        <w:rPr>
          <w:rFonts w:hint="eastAsia"/>
          <w:highlight w:val="none"/>
          <w:lang w:val="en-US" w:eastAsia="zh-CN"/>
        </w:rPr>
      </w:pPr>
      <w:r>
        <w:rPr>
          <w:rFonts w:hint="eastAsia"/>
          <w:highlight w:val="none"/>
          <w:lang w:val="en-US" w:eastAsia="zh-CN"/>
        </w:rPr>
        <w:t>1、一般工业固废处置措施</w:t>
      </w:r>
    </w:p>
    <w:p>
      <w:pPr>
        <w:pStyle w:val="17"/>
        <w:ind w:firstLine="480"/>
        <w:rPr>
          <w:rFonts w:hint="eastAsia" w:eastAsia="宋体"/>
          <w:highlight w:val="none"/>
          <w:lang w:val="en-US" w:eastAsia="zh-CN"/>
        </w:rPr>
      </w:pPr>
      <w:r>
        <w:rPr>
          <w:rFonts w:hint="eastAsia" w:ascii="Times New Roman" w:hAnsi="Times New Roman"/>
          <w:spacing w:val="-6"/>
          <w:highlight w:val="none"/>
          <w:lang w:eastAsia="zh-CN"/>
        </w:rPr>
        <w:t>排土</w:t>
      </w:r>
      <w:r>
        <w:rPr>
          <w:rFonts w:ascii="Times New Roman" w:hAnsi="Times New Roman" w:eastAsia="宋体"/>
          <w:spacing w:val="-6"/>
          <w:highlight w:val="none"/>
        </w:rPr>
        <w:t>场总占地面积</w:t>
      </w:r>
      <w:r>
        <w:rPr>
          <w:rFonts w:hint="eastAsia" w:ascii="Times New Roman" w:hAnsi="Times New Roman"/>
          <w:spacing w:val="-6"/>
          <w:highlight w:val="none"/>
          <w:lang w:val="en-US" w:eastAsia="zh-CN"/>
        </w:rPr>
        <w:t>1600</w:t>
      </w:r>
      <w:r>
        <w:rPr>
          <w:rFonts w:ascii="Times New Roman" w:hAnsi="Times New Roman" w:eastAsia="宋体"/>
          <w:highlight w:val="none"/>
        </w:rPr>
        <w:t>m</w:t>
      </w:r>
      <w:r>
        <w:rPr>
          <w:rFonts w:ascii="Times New Roman" w:hAnsi="Times New Roman" w:eastAsia="宋体"/>
          <w:position w:val="8"/>
          <w:sz w:val="15"/>
          <w:highlight w:val="none"/>
        </w:rPr>
        <w:t>2</w:t>
      </w:r>
      <w:r>
        <w:rPr>
          <w:rFonts w:ascii="Times New Roman" w:hAnsi="Times New Roman" w:eastAsia="宋体"/>
          <w:spacing w:val="-7"/>
          <w:highlight w:val="none"/>
        </w:rPr>
        <w:t>，设计容量约</w:t>
      </w:r>
      <w:r>
        <w:rPr>
          <w:rFonts w:hint="eastAsia" w:ascii="Times New Roman" w:hAnsi="Times New Roman"/>
          <w:spacing w:val="-7"/>
          <w:highlight w:val="none"/>
          <w:lang w:val="en-US" w:eastAsia="zh-CN"/>
        </w:rPr>
        <w:t>6.5</w:t>
      </w:r>
      <w:r>
        <w:rPr>
          <w:rFonts w:ascii="Times New Roman" w:hAnsi="Times New Roman" w:eastAsia="宋体"/>
          <w:spacing w:val="-24"/>
          <w:highlight w:val="none"/>
        </w:rPr>
        <w:t xml:space="preserve">万 </w:t>
      </w:r>
      <w:r>
        <w:rPr>
          <w:rFonts w:ascii="Times New Roman" w:hAnsi="Times New Roman" w:eastAsia="宋体"/>
          <w:highlight w:val="none"/>
        </w:rPr>
        <w:t>m</w:t>
      </w:r>
      <w:r>
        <w:rPr>
          <w:rFonts w:ascii="Times New Roman" w:hAnsi="Times New Roman" w:eastAsia="宋体"/>
          <w:position w:val="8"/>
          <w:sz w:val="15"/>
          <w:highlight w:val="none"/>
        </w:rPr>
        <w:t xml:space="preserve">3 </w:t>
      </w:r>
      <w:r>
        <w:rPr>
          <w:rFonts w:ascii="Times New Roman" w:hAnsi="Times New Roman" w:eastAsia="宋体"/>
          <w:highlight w:val="none"/>
        </w:rPr>
        <w:t>的</w:t>
      </w:r>
      <w:r>
        <w:rPr>
          <w:rFonts w:hint="eastAsia" w:ascii="Times New Roman" w:hAnsi="Times New Roman"/>
          <w:highlight w:val="none"/>
          <w:lang w:eastAsia="zh-CN"/>
        </w:rPr>
        <w:t>排土</w:t>
      </w:r>
      <w:r>
        <w:rPr>
          <w:rFonts w:ascii="Times New Roman" w:hAnsi="Times New Roman" w:eastAsia="宋体"/>
          <w:highlight w:val="none"/>
        </w:rPr>
        <w:t>场对废土石方进行</w:t>
      </w:r>
      <w:r>
        <w:rPr>
          <w:rFonts w:ascii="Times New Roman" w:hAnsi="Times New Roman" w:eastAsia="宋体"/>
          <w:spacing w:val="-5"/>
          <w:highlight w:val="none"/>
        </w:rPr>
        <w:t>堆存，项目共产生废石量为</w:t>
      </w:r>
      <w:r>
        <w:rPr>
          <w:rFonts w:hint="eastAsia" w:ascii="Times New Roman" w:hAnsi="Times New Roman"/>
          <w:spacing w:val="-5"/>
          <w:highlight w:val="none"/>
          <w:lang w:val="en-US" w:eastAsia="zh-CN"/>
        </w:rPr>
        <w:t>4.08</w:t>
      </w:r>
      <w:r>
        <w:rPr>
          <w:rFonts w:ascii="Times New Roman" w:hAnsi="Times New Roman" w:eastAsia="宋体"/>
          <w:spacing w:val="-28"/>
          <w:highlight w:val="none"/>
        </w:rPr>
        <w:t xml:space="preserve">万 </w:t>
      </w:r>
      <w:r>
        <w:rPr>
          <w:rFonts w:ascii="Times New Roman" w:hAnsi="Times New Roman" w:eastAsia="宋体"/>
          <w:highlight w:val="none"/>
        </w:rPr>
        <w:t>m³</w:t>
      </w:r>
      <w:r>
        <w:rPr>
          <w:rFonts w:ascii="Times New Roman" w:hAnsi="Times New Roman" w:eastAsia="宋体"/>
          <w:spacing w:val="-1"/>
          <w:highlight w:val="none"/>
        </w:rPr>
        <w:t>，</w:t>
      </w:r>
      <w:r>
        <w:rPr>
          <w:rFonts w:hint="eastAsia" w:ascii="Times New Roman" w:hAnsi="Times New Roman"/>
          <w:spacing w:val="-1"/>
          <w:highlight w:val="none"/>
          <w:lang w:eastAsia="zh-CN"/>
        </w:rPr>
        <w:t>排土场</w:t>
      </w:r>
      <w:r>
        <w:rPr>
          <w:rFonts w:ascii="Times New Roman" w:hAnsi="Times New Roman" w:eastAsia="宋体"/>
          <w:spacing w:val="-1"/>
          <w:highlight w:val="none"/>
        </w:rPr>
        <w:t>可满足废土石永久堆存要求；因</w:t>
      </w:r>
      <w:r>
        <w:rPr>
          <w:rFonts w:ascii="Times New Roman" w:hAnsi="Times New Roman" w:eastAsia="宋体"/>
          <w:highlight w:val="none"/>
        </w:rPr>
        <w:t>此，设计容积合理</w:t>
      </w:r>
      <w:r>
        <w:rPr>
          <w:rFonts w:hint="eastAsia" w:ascii="Times New Roman" w:hAnsi="Times New Roman"/>
          <w:highlight w:val="none"/>
          <w:lang w:eastAsia="zh-CN"/>
        </w:rPr>
        <w:t>。</w:t>
      </w:r>
    </w:p>
    <w:p>
      <w:pPr>
        <w:pStyle w:val="17"/>
        <w:ind w:firstLine="480"/>
        <w:rPr>
          <w:rFonts w:ascii="Times New Roman" w:hAnsi="Times New Roman"/>
          <w:highlight w:val="none"/>
        </w:rPr>
      </w:pPr>
      <w:r>
        <w:rPr>
          <w:rFonts w:hint="eastAsia" w:ascii="Times New Roman" w:hAnsi="Times New Roman"/>
          <w:highlight w:val="none"/>
        </w:rPr>
        <w:t>废土石弃渣属于一般工业固体废物，按照《一般工业固体废物贮存、处置场污染控制标准》及 2013年修改单，对</w:t>
      </w:r>
      <w:r>
        <w:rPr>
          <w:rFonts w:hint="eastAsia" w:ascii="Times New Roman" w:hAnsi="Times New Roman"/>
          <w:highlight w:val="none"/>
          <w:lang w:eastAsia="zh-CN"/>
        </w:rPr>
        <w:t>排土场</w:t>
      </w:r>
      <w:r>
        <w:rPr>
          <w:rFonts w:hint="eastAsia" w:ascii="Times New Roman" w:hAnsi="Times New Roman"/>
          <w:highlight w:val="none"/>
        </w:rPr>
        <w:t>及表土堆场进行选址合理性分析，如下表</w:t>
      </w:r>
      <w:r>
        <w:rPr>
          <w:rFonts w:ascii="Times New Roman" w:hAnsi="Times New Roman"/>
          <w:highlight w:val="none"/>
        </w:rPr>
        <w:t>。</w:t>
      </w:r>
    </w:p>
    <w:p>
      <w:pPr>
        <w:pStyle w:val="7"/>
        <w:ind w:firstLine="480"/>
        <w:jc w:val="center"/>
        <w:rPr>
          <w:rFonts w:hint="default"/>
          <w:highlight w:val="none"/>
          <w:lang w:val="en-US" w:eastAsia="zh-CN"/>
        </w:rPr>
      </w:pPr>
      <w:r>
        <w:rPr>
          <w:rFonts w:hint="eastAsia"/>
          <w:b/>
          <w:bCs/>
          <w:sz w:val="21"/>
          <w:szCs w:val="21"/>
          <w:highlight w:val="none"/>
          <w:lang w:val="en-US" w:eastAsia="zh-CN"/>
        </w:rPr>
        <w:t>表8.2-1  排土场场址选择的环境保护要求与拟建项目的符合性</w:t>
      </w:r>
    </w:p>
    <w:tbl>
      <w:tblPr>
        <w:tblStyle w:val="3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3919"/>
        <w:gridCol w:w="912"/>
        <w:gridCol w:w="3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pStyle w:val="7"/>
              <w:ind w:left="0" w:leftChars="0" w:firstLine="0" w:firstLineChars="0"/>
              <w:jc w:val="center"/>
              <w:rPr>
                <w:rFonts w:hint="eastAsia"/>
                <w:sz w:val="21"/>
                <w:szCs w:val="21"/>
                <w:highlight w:val="none"/>
                <w:vertAlign w:val="baseline"/>
                <w:lang w:val="en-US" w:eastAsia="zh-CN"/>
              </w:rPr>
            </w:pPr>
            <w:r>
              <w:rPr>
                <w:rFonts w:hint="eastAsia"/>
                <w:sz w:val="21"/>
                <w:szCs w:val="21"/>
                <w:highlight w:val="none"/>
                <w:vertAlign w:val="baseline"/>
                <w:lang w:val="en-US" w:eastAsia="zh-CN"/>
              </w:rPr>
              <w:t>序号</w:t>
            </w:r>
          </w:p>
        </w:tc>
        <w:tc>
          <w:tcPr>
            <w:tcW w:w="3919" w:type="dxa"/>
            <w:vAlign w:val="center"/>
          </w:tcPr>
          <w:p>
            <w:pPr>
              <w:pStyle w:val="7"/>
              <w:ind w:left="0" w:leftChars="0" w:firstLine="0" w:firstLineChars="0"/>
              <w:jc w:val="center"/>
              <w:rPr>
                <w:rFonts w:hint="eastAsia"/>
                <w:sz w:val="21"/>
                <w:szCs w:val="21"/>
                <w:highlight w:val="none"/>
                <w:vertAlign w:val="baseline"/>
                <w:lang w:val="en-US" w:eastAsia="zh-CN"/>
              </w:rPr>
            </w:pPr>
            <w:r>
              <w:rPr>
                <w:rFonts w:hint="eastAsia"/>
                <w:sz w:val="21"/>
                <w:szCs w:val="21"/>
                <w:highlight w:val="none"/>
                <w:vertAlign w:val="baseline"/>
                <w:lang w:val="en-US" w:eastAsia="zh-CN"/>
              </w:rPr>
              <w:t>场址选择的环境保护要求</w:t>
            </w:r>
          </w:p>
        </w:tc>
        <w:tc>
          <w:tcPr>
            <w:tcW w:w="912" w:type="dxa"/>
            <w:vAlign w:val="center"/>
          </w:tcPr>
          <w:p>
            <w:pPr>
              <w:pStyle w:val="7"/>
              <w:ind w:left="0" w:leftChars="0" w:firstLine="0" w:firstLineChars="0"/>
              <w:jc w:val="center"/>
              <w:rPr>
                <w:rFonts w:hint="eastAsia"/>
                <w:sz w:val="21"/>
                <w:szCs w:val="21"/>
                <w:highlight w:val="none"/>
                <w:vertAlign w:val="baseline"/>
                <w:lang w:val="en-US" w:eastAsia="zh-CN"/>
              </w:rPr>
            </w:pPr>
            <w:r>
              <w:rPr>
                <w:rFonts w:hint="eastAsia"/>
                <w:sz w:val="21"/>
                <w:szCs w:val="21"/>
                <w:highlight w:val="none"/>
                <w:vertAlign w:val="baseline"/>
                <w:lang w:val="en-US" w:eastAsia="zh-CN"/>
              </w:rPr>
              <w:t>类别</w:t>
            </w:r>
          </w:p>
        </w:tc>
        <w:tc>
          <w:tcPr>
            <w:tcW w:w="3807" w:type="dxa"/>
            <w:vAlign w:val="center"/>
          </w:tcPr>
          <w:p>
            <w:pPr>
              <w:pStyle w:val="7"/>
              <w:ind w:left="0" w:leftChars="0" w:firstLine="0" w:firstLineChars="0"/>
              <w:jc w:val="center"/>
              <w:rPr>
                <w:rFonts w:hint="eastAsia"/>
                <w:sz w:val="21"/>
                <w:szCs w:val="21"/>
                <w:highlight w:val="none"/>
                <w:vertAlign w:val="baseline"/>
                <w:lang w:val="en-US" w:eastAsia="zh-CN"/>
              </w:rPr>
            </w:pPr>
            <w:r>
              <w:rPr>
                <w:rFonts w:hint="eastAsia"/>
                <w:sz w:val="21"/>
                <w:szCs w:val="21"/>
                <w:highlight w:val="none"/>
                <w:vertAlign w:val="baseline"/>
                <w:lang w:val="en-US" w:eastAsia="zh-CN"/>
              </w:rPr>
              <w:t>拟建项目的符合性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pStyle w:val="7"/>
              <w:ind w:left="0" w:leftChars="0" w:firstLine="0" w:firstLineChars="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c>
          <w:tcPr>
            <w:tcW w:w="3919" w:type="dxa"/>
            <w:vAlign w:val="center"/>
          </w:tcPr>
          <w:p>
            <w:pPr>
              <w:pStyle w:val="7"/>
              <w:ind w:left="0" w:leftChars="0" w:firstLine="0" w:firstLineChars="0"/>
              <w:jc w:val="center"/>
              <w:rPr>
                <w:rFonts w:hint="eastAsia"/>
                <w:sz w:val="21"/>
                <w:szCs w:val="21"/>
                <w:highlight w:val="none"/>
                <w:vertAlign w:val="baseline"/>
                <w:lang w:val="en-US" w:eastAsia="zh-CN"/>
              </w:rPr>
            </w:pPr>
            <w:r>
              <w:rPr>
                <w:rFonts w:hint="eastAsia"/>
                <w:sz w:val="21"/>
                <w:szCs w:val="21"/>
                <w:highlight w:val="none"/>
                <w:vertAlign w:val="baseline"/>
                <w:lang w:val="en-US" w:eastAsia="zh-CN"/>
              </w:rPr>
              <w:t>所选场址应符合当地城乡建设总体规划要求</w:t>
            </w:r>
          </w:p>
        </w:tc>
        <w:tc>
          <w:tcPr>
            <w:tcW w:w="912" w:type="dxa"/>
            <w:vMerge w:val="restart"/>
            <w:vAlign w:val="center"/>
          </w:tcPr>
          <w:p>
            <w:pPr>
              <w:pStyle w:val="7"/>
              <w:ind w:left="0" w:leftChars="0" w:firstLine="0" w:firstLineChars="0"/>
              <w:jc w:val="center"/>
              <w:rPr>
                <w:rFonts w:hint="eastAsia"/>
                <w:sz w:val="21"/>
                <w:szCs w:val="21"/>
                <w:highlight w:val="none"/>
                <w:vertAlign w:val="baseline"/>
                <w:lang w:val="en-US" w:eastAsia="zh-CN"/>
              </w:rPr>
            </w:pPr>
            <w:r>
              <w:rPr>
                <w:rFonts w:hint="eastAsia"/>
                <w:sz w:val="21"/>
                <w:szCs w:val="21"/>
                <w:highlight w:val="none"/>
                <w:vertAlign w:val="baseline"/>
                <w:lang w:val="en-US" w:eastAsia="zh-CN"/>
              </w:rPr>
              <w:t>排土场</w:t>
            </w:r>
          </w:p>
        </w:tc>
        <w:tc>
          <w:tcPr>
            <w:tcW w:w="3807" w:type="dxa"/>
            <w:vAlign w:val="center"/>
          </w:tcPr>
          <w:p>
            <w:pPr>
              <w:pStyle w:val="7"/>
              <w:ind w:left="0" w:leftChars="0" w:firstLine="0" w:firstLineChars="0"/>
              <w:jc w:val="center"/>
              <w:rPr>
                <w:rFonts w:hint="eastAsia"/>
                <w:sz w:val="21"/>
                <w:szCs w:val="21"/>
                <w:highlight w:val="none"/>
                <w:vertAlign w:val="baseline"/>
                <w:lang w:val="en-US" w:eastAsia="zh-CN"/>
              </w:rPr>
            </w:pPr>
            <w:r>
              <w:rPr>
                <w:rFonts w:hint="eastAsia"/>
                <w:sz w:val="21"/>
                <w:szCs w:val="21"/>
                <w:highlight w:val="none"/>
                <w:vertAlign w:val="baseline"/>
                <w:lang w:val="en-US" w:eastAsia="zh-CN"/>
              </w:rPr>
              <w:t>排土场位于矿区范围内的西部最低开采标高之下地段，不在砚山县城市总体规划范围内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pStyle w:val="7"/>
              <w:ind w:left="0" w:leftChars="0" w:firstLine="0" w:firstLineChars="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2</w:t>
            </w:r>
          </w:p>
        </w:tc>
        <w:tc>
          <w:tcPr>
            <w:tcW w:w="3919" w:type="dxa"/>
            <w:vAlign w:val="center"/>
          </w:tcPr>
          <w:p>
            <w:pPr>
              <w:pStyle w:val="7"/>
              <w:ind w:left="0" w:leftChars="0" w:firstLine="0" w:firstLineChars="0"/>
              <w:jc w:val="center"/>
              <w:rPr>
                <w:rFonts w:hint="eastAsia"/>
                <w:sz w:val="21"/>
                <w:szCs w:val="21"/>
                <w:highlight w:val="none"/>
                <w:vertAlign w:val="baseline"/>
                <w:lang w:val="en-US" w:eastAsia="zh-CN"/>
              </w:rPr>
            </w:pPr>
            <w:r>
              <w:rPr>
                <w:rFonts w:hint="eastAsia"/>
                <w:sz w:val="21"/>
                <w:szCs w:val="21"/>
                <w:highlight w:val="none"/>
                <w:vertAlign w:val="baseline"/>
                <w:lang w:val="en-US" w:eastAsia="zh-CN"/>
              </w:rPr>
              <w:t>应选在满足承载力要求的地基 上，以避免地基下沉的影响，特别是不均匀或局部下沉的影响</w:t>
            </w:r>
          </w:p>
        </w:tc>
        <w:tc>
          <w:tcPr>
            <w:tcW w:w="912" w:type="dxa"/>
            <w:vMerge w:val="continue"/>
            <w:vAlign w:val="center"/>
          </w:tcPr>
          <w:p>
            <w:pPr>
              <w:pStyle w:val="7"/>
              <w:ind w:left="0" w:leftChars="0" w:firstLine="0" w:firstLineChars="0"/>
              <w:jc w:val="center"/>
              <w:rPr>
                <w:rFonts w:hint="eastAsia"/>
                <w:sz w:val="21"/>
                <w:szCs w:val="21"/>
                <w:highlight w:val="none"/>
                <w:vertAlign w:val="baseline"/>
                <w:lang w:val="en-US" w:eastAsia="zh-CN"/>
              </w:rPr>
            </w:pPr>
          </w:p>
        </w:tc>
        <w:tc>
          <w:tcPr>
            <w:tcW w:w="3807" w:type="dxa"/>
            <w:vAlign w:val="center"/>
          </w:tcPr>
          <w:p>
            <w:pPr>
              <w:pStyle w:val="7"/>
              <w:ind w:left="0" w:leftChars="0" w:firstLine="0" w:firstLineChars="0"/>
              <w:jc w:val="center"/>
              <w:rPr>
                <w:rFonts w:hint="eastAsia"/>
                <w:sz w:val="21"/>
                <w:szCs w:val="21"/>
                <w:highlight w:val="none"/>
                <w:vertAlign w:val="baseline"/>
                <w:lang w:val="en-US" w:eastAsia="zh-CN"/>
              </w:rPr>
            </w:pPr>
            <w:r>
              <w:rPr>
                <w:rFonts w:hint="eastAsia"/>
                <w:sz w:val="21"/>
                <w:szCs w:val="21"/>
                <w:highlight w:val="none"/>
                <w:vertAlign w:val="baseline"/>
                <w:lang w:val="en-US" w:eastAsia="zh-CN"/>
              </w:rPr>
              <w:t>根据矿山地质报告，排土场可满足承载力要求，不存在地基下沉和不均匀影响；场址选择符合该条要求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pStyle w:val="7"/>
              <w:ind w:left="0" w:leftChars="0" w:firstLine="0" w:firstLineChars="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3</w:t>
            </w:r>
          </w:p>
        </w:tc>
        <w:tc>
          <w:tcPr>
            <w:tcW w:w="3919" w:type="dxa"/>
            <w:vAlign w:val="center"/>
          </w:tcPr>
          <w:p>
            <w:pPr>
              <w:pStyle w:val="7"/>
              <w:ind w:left="0" w:leftChars="0" w:firstLine="0" w:firstLineChars="0"/>
              <w:jc w:val="center"/>
              <w:rPr>
                <w:rFonts w:hint="eastAsia"/>
                <w:sz w:val="21"/>
                <w:szCs w:val="21"/>
                <w:highlight w:val="none"/>
                <w:vertAlign w:val="baseline"/>
                <w:lang w:val="en-US" w:eastAsia="zh-CN"/>
              </w:rPr>
            </w:pPr>
            <w:r>
              <w:rPr>
                <w:rFonts w:hint="eastAsia"/>
                <w:sz w:val="21"/>
                <w:szCs w:val="21"/>
                <w:highlight w:val="none"/>
                <w:vertAlign w:val="baseline"/>
                <w:lang w:val="en-US" w:eastAsia="zh-CN"/>
              </w:rPr>
              <w:t>应避开断层、断层破碎带、溶洞区，以及天然滑坡或泥石流影响区</w:t>
            </w:r>
          </w:p>
        </w:tc>
        <w:tc>
          <w:tcPr>
            <w:tcW w:w="912" w:type="dxa"/>
            <w:vMerge w:val="continue"/>
            <w:vAlign w:val="center"/>
          </w:tcPr>
          <w:p>
            <w:pPr>
              <w:pStyle w:val="7"/>
              <w:ind w:left="0" w:leftChars="0" w:firstLine="0" w:firstLineChars="0"/>
              <w:jc w:val="center"/>
              <w:rPr>
                <w:rFonts w:hint="eastAsia"/>
                <w:sz w:val="21"/>
                <w:szCs w:val="21"/>
                <w:highlight w:val="none"/>
                <w:vertAlign w:val="baseline"/>
                <w:lang w:val="en-US" w:eastAsia="zh-CN"/>
              </w:rPr>
            </w:pPr>
          </w:p>
        </w:tc>
        <w:tc>
          <w:tcPr>
            <w:tcW w:w="3807" w:type="dxa"/>
            <w:vAlign w:val="center"/>
          </w:tcPr>
          <w:p>
            <w:pPr>
              <w:pStyle w:val="7"/>
              <w:ind w:left="0" w:leftChars="0" w:firstLine="0" w:firstLineChars="0"/>
              <w:jc w:val="center"/>
              <w:rPr>
                <w:rFonts w:hint="eastAsia"/>
                <w:sz w:val="21"/>
                <w:szCs w:val="21"/>
                <w:highlight w:val="none"/>
                <w:vertAlign w:val="baseline"/>
                <w:lang w:val="en-US" w:eastAsia="zh-CN"/>
              </w:rPr>
            </w:pPr>
            <w:r>
              <w:rPr>
                <w:rFonts w:hint="eastAsia"/>
                <w:sz w:val="21"/>
                <w:szCs w:val="21"/>
                <w:highlight w:val="none"/>
                <w:vertAlign w:val="baseline"/>
                <w:lang w:val="en-US" w:eastAsia="zh-CN"/>
              </w:rPr>
              <w:t>根据项目地勘资料，排土场不在断层、断层破碎带、溶洞区，以及天然滑坡或泥石流影响区，因此排土场选址符合该条要求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pStyle w:val="7"/>
              <w:ind w:left="0" w:leftChars="0" w:firstLine="0" w:firstLineChars="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4</w:t>
            </w:r>
          </w:p>
        </w:tc>
        <w:tc>
          <w:tcPr>
            <w:tcW w:w="3919" w:type="dxa"/>
            <w:vAlign w:val="center"/>
          </w:tcPr>
          <w:p>
            <w:pPr>
              <w:pStyle w:val="7"/>
              <w:ind w:left="0" w:leftChars="0" w:firstLine="0" w:firstLineChars="0"/>
              <w:jc w:val="center"/>
              <w:rPr>
                <w:rFonts w:hint="eastAsia"/>
                <w:sz w:val="21"/>
                <w:szCs w:val="21"/>
                <w:highlight w:val="none"/>
                <w:vertAlign w:val="baseline"/>
                <w:lang w:val="en-US" w:eastAsia="zh-CN"/>
              </w:rPr>
            </w:pPr>
            <w:r>
              <w:rPr>
                <w:rFonts w:hint="eastAsia"/>
                <w:sz w:val="21"/>
                <w:szCs w:val="21"/>
                <w:highlight w:val="none"/>
                <w:vertAlign w:val="baseline"/>
                <w:lang w:val="en-US" w:eastAsia="zh-CN"/>
              </w:rPr>
              <w:t>选址禁止选在江河、湖泊、水库最高水位线以下的滩地和洪泛区</w:t>
            </w:r>
          </w:p>
        </w:tc>
        <w:tc>
          <w:tcPr>
            <w:tcW w:w="912" w:type="dxa"/>
            <w:vMerge w:val="continue"/>
            <w:vAlign w:val="center"/>
          </w:tcPr>
          <w:p>
            <w:pPr>
              <w:pStyle w:val="7"/>
              <w:ind w:left="0" w:leftChars="0" w:firstLine="0" w:firstLineChars="0"/>
              <w:jc w:val="center"/>
              <w:rPr>
                <w:rFonts w:hint="eastAsia"/>
                <w:sz w:val="21"/>
                <w:szCs w:val="21"/>
                <w:highlight w:val="none"/>
                <w:vertAlign w:val="baseline"/>
                <w:lang w:val="en-US" w:eastAsia="zh-CN"/>
              </w:rPr>
            </w:pPr>
          </w:p>
        </w:tc>
        <w:tc>
          <w:tcPr>
            <w:tcW w:w="3807" w:type="dxa"/>
            <w:vAlign w:val="center"/>
          </w:tcPr>
          <w:p>
            <w:pPr>
              <w:pStyle w:val="7"/>
              <w:ind w:left="0" w:leftChars="0" w:firstLine="0" w:firstLineChars="0"/>
              <w:jc w:val="center"/>
              <w:rPr>
                <w:rFonts w:hint="eastAsia"/>
                <w:sz w:val="21"/>
                <w:szCs w:val="21"/>
                <w:highlight w:val="none"/>
                <w:vertAlign w:val="baseline"/>
                <w:lang w:val="en-US" w:eastAsia="zh-CN"/>
              </w:rPr>
            </w:pPr>
            <w:r>
              <w:rPr>
                <w:rFonts w:hint="eastAsia"/>
                <w:sz w:val="21"/>
                <w:szCs w:val="21"/>
                <w:highlight w:val="none"/>
                <w:vertAlign w:val="baseline"/>
                <w:lang w:val="en-US" w:eastAsia="zh-CN"/>
              </w:rPr>
              <w:t>排土场所在区域地表水体以冲沟为主，因此不在江河、湖泊、水库最高水位线以下的滩地和洪泛区；场址选择符合该条要求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pStyle w:val="7"/>
              <w:ind w:left="0" w:leftChars="0" w:firstLine="0" w:firstLineChars="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5</w:t>
            </w:r>
          </w:p>
        </w:tc>
        <w:tc>
          <w:tcPr>
            <w:tcW w:w="3919" w:type="dxa"/>
            <w:vAlign w:val="center"/>
          </w:tcPr>
          <w:p>
            <w:pPr>
              <w:pStyle w:val="7"/>
              <w:ind w:left="0" w:leftChars="0" w:firstLine="0" w:firstLineChars="0"/>
              <w:jc w:val="center"/>
              <w:rPr>
                <w:rFonts w:hint="eastAsia"/>
                <w:sz w:val="21"/>
                <w:szCs w:val="21"/>
                <w:highlight w:val="none"/>
                <w:vertAlign w:val="baseline"/>
                <w:lang w:val="en-US" w:eastAsia="zh-CN"/>
              </w:rPr>
            </w:pPr>
            <w:r>
              <w:rPr>
                <w:rFonts w:hint="eastAsia"/>
                <w:sz w:val="21"/>
                <w:szCs w:val="21"/>
                <w:highlight w:val="none"/>
                <w:vertAlign w:val="baseline"/>
                <w:lang w:val="en-US" w:eastAsia="zh-CN"/>
              </w:rPr>
              <w:t>禁止选在自然保护区、风景名胜区和其他需要特别保护的区域</w:t>
            </w:r>
          </w:p>
        </w:tc>
        <w:tc>
          <w:tcPr>
            <w:tcW w:w="912" w:type="dxa"/>
            <w:vMerge w:val="continue"/>
            <w:vAlign w:val="center"/>
          </w:tcPr>
          <w:p>
            <w:pPr>
              <w:pStyle w:val="7"/>
              <w:ind w:left="0" w:leftChars="0" w:firstLine="0" w:firstLineChars="0"/>
              <w:jc w:val="center"/>
              <w:rPr>
                <w:rFonts w:hint="eastAsia"/>
                <w:sz w:val="21"/>
                <w:szCs w:val="21"/>
                <w:highlight w:val="none"/>
                <w:vertAlign w:val="baseline"/>
                <w:lang w:val="en-US" w:eastAsia="zh-CN"/>
              </w:rPr>
            </w:pPr>
          </w:p>
        </w:tc>
        <w:tc>
          <w:tcPr>
            <w:tcW w:w="3807" w:type="dxa"/>
            <w:vAlign w:val="center"/>
          </w:tcPr>
          <w:p>
            <w:pPr>
              <w:pStyle w:val="7"/>
              <w:ind w:left="0" w:leftChars="0" w:firstLine="0" w:firstLineChars="0"/>
              <w:jc w:val="center"/>
              <w:rPr>
                <w:rFonts w:hint="eastAsia"/>
                <w:sz w:val="21"/>
                <w:szCs w:val="21"/>
                <w:highlight w:val="none"/>
                <w:vertAlign w:val="baseline"/>
                <w:lang w:val="en-US" w:eastAsia="zh-CN"/>
              </w:rPr>
            </w:pPr>
            <w:r>
              <w:rPr>
                <w:rFonts w:hint="eastAsia"/>
                <w:sz w:val="21"/>
                <w:szCs w:val="21"/>
                <w:highlight w:val="none"/>
                <w:vertAlign w:val="baseline"/>
                <w:lang w:val="en-US" w:eastAsia="zh-CN"/>
              </w:rPr>
              <w:t>排土场区域内无自然保护区， 风景名胜区和其他需要特别保护的区域，场址选择符合该条要求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pStyle w:val="7"/>
              <w:ind w:left="0" w:leftChars="0" w:firstLine="0" w:firstLineChars="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6</w:t>
            </w:r>
          </w:p>
        </w:tc>
        <w:tc>
          <w:tcPr>
            <w:tcW w:w="3919" w:type="dxa"/>
            <w:vAlign w:val="center"/>
          </w:tcPr>
          <w:p>
            <w:pPr>
              <w:pStyle w:val="7"/>
              <w:ind w:left="0" w:leftChars="0" w:firstLine="0" w:firstLineChars="0"/>
              <w:jc w:val="center"/>
              <w:rPr>
                <w:rFonts w:hint="eastAsia"/>
                <w:sz w:val="21"/>
                <w:szCs w:val="21"/>
                <w:highlight w:val="none"/>
                <w:vertAlign w:val="baseline"/>
                <w:lang w:val="en-US" w:eastAsia="zh-CN"/>
              </w:rPr>
            </w:pPr>
            <w:r>
              <w:rPr>
                <w:rFonts w:hint="eastAsia"/>
                <w:sz w:val="21"/>
                <w:szCs w:val="21"/>
                <w:highlight w:val="none"/>
                <w:vertAlign w:val="baseline"/>
                <w:lang w:val="en-US" w:eastAsia="zh-CN"/>
              </w:rPr>
              <w:t>在对一般工业固体废物贮存、处置场场址进行环境影响评价时，应重点考虑一般工业固体废物贮存、处置场产生的渗滤液以及粉尘等大气污染物等因素，根据其所在地区的环境功能区类别，综合评价其对周围环境、居住人群的身体健康、日常生活和生产活动的影响，确定其与常住居民居住场所、农用地、地表水体、高速公路、交通主干道（国道或省道）、铁路、飞机场、军事基地等敏感对象之间合理的位置</w:t>
            </w:r>
          </w:p>
          <w:p>
            <w:pPr>
              <w:pStyle w:val="7"/>
              <w:ind w:left="0" w:leftChars="0" w:firstLine="0" w:firstLineChars="0"/>
              <w:jc w:val="center"/>
              <w:rPr>
                <w:rFonts w:hint="eastAsia"/>
                <w:sz w:val="21"/>
                <w:szCs w:val="21"/>
                <w:highlight w:val="none"/>
                <w:vertAlign w:val="baseline"/>
                <w:lang w:val="en-US" w:eastAsia="zh-CN"/>
              </w:rPr>
            </w:pPr>
            <w:r>
              <w:rPr>
                <w:rFonts w:hint="eastAsia"/>
                <w:sz w:val="21"/>
                <w:szCs w:val="21"/>
                <w:highlight w:val="none"/>
                <w:vertAlign w:val="baseline"/>
                <w:lang w:val="en-US" w:eastAsia="zh-CN"/>
              </w:rPr>
              <w:t>关系</w:t>
            </w:r>
          </w:p>
        </w:tc>
        <w:tc>
          <w:tcPr>
            <w:tcW w:w="912" w:type="dxa"/>
            <w:vMerge w:val="continue"/>
            <w:vAlign w:val="center"/>
          </w:tcPr>
          <w:p>
            <w:pPr>
              <w:pStyle w:val="7"/>
              <w:ind w:left="0" w:leftChars="0" w:firstLine="0" w:firstLineChars="0"/>
              <w:jc w:val="center"/>
              <w:rPr>
                <w:rFonts w:hint="eastAsia"/>
                <w:sz w:val="21"/>
                <w:szCs w:val="21"/>
                <w:highlight w:val="none"/>
                <w:vertAlign w:val="baseline"/>
                <w:lang w:val="en-US" w:eastAsia="zh-CN"/>
              </w:rPr>
            </w:pPr>
          </w:p>
        </w:tc>
        <w:tc>
          <w:tcPr>
            <w:tcW w:w="3807" w:type="dxa"/>
            <w:vAlign w:val="center"/>
          </w:tcPr>
          <w:p>
            <w:pPr>
              <w:pStyle w:val="7"/>
              <w:ind w:left="0" w:leftChars="0" w:firstLine="0" w:firstLineChars="0"/>
              <w:jc w:val="center"/>
              <w:rPr>
                <w:rFonts w:hint="eastAsia"/>
                <w:sz w:val="21"/>
                <w:szCs w:val="21"/>
                <w:highlight w:val="none"/>
                <w:vertAlign w:val="baseline"/>
                <w:lang w:val="en-US" w:eastAsia="zh-CN"/>
              </w:rPr>
            </w:pPr>
            <w:r>
              <w:rPr>
                <w:rFonts w:hint="eastAsia"/>
                <w:sz w:val="21"/>
                <w:szCs w:val="21"/>
                <w:highlight w:val="none"/>
                <w:vertAlign w:val="baseline"/>
                <w:lang w:val="en-US" w:eastAsia="zh-CN"/>
              </w:rPr>
              <w:t>根据本环评对项目的环境影响分析，项目排土场粉尘等大气污染物等因素对环境保护目标的影响较小，对周围环境、居住人群的身体健康、日常生活和生产活动的影响不大，对农用地、地表水体影响较小，排土场周围无铁路、飞机场、军事基地等敏感对象，另外本环评采用《环境影响评价技术导则 大气环境》（HJ2.2-2018）推荐模式中的大气环境防护距离模式计算各无组织源的大气环境防护距离，该项目扬尘无超标点，因此排土场选址合理</w:t>
            </w:r>
          </w:p>
        </w:tc>
      </w:tr>
    </w:tbl>
    <w:p>
      <w:pPr>
        <w:pStyle w:val="7"/>
        <w:ind w:firstLine="480"/>
        <w:rPr>
          <w:rFonts w:hint="eastAsia"/>
          <w:highlight w:val="none"/>
          <w:lang w:val="en-US" w:eastAsia="zh-CN"/>
        </w:rPr>
      </w:pPr>
      <w:r>
        <w:rPr>
          <w:rFonts w:hint="eastAsia"/>
          <w:highlight w:val="none"/>
          <w:lang w:val="en-US" w:eastAsia="zh-CN"/>
        </w:rPr>
        <w:t>综上所述，项目排土场符合《一般工业固体废物贮存、处置场污染控制标准》（GB18599-2001）及2013年修改单相关要求，因此表土堆场、废石场选址合理。</w:t>
      </w:r>
    </w:p>
    <w:p>
      <w:pPr>
        <w:pStyle w:val="7"/>
        <w:ind w:firstLine="480"/>
        <w:rPr>
          <w:rFonts w:hint="eastAsia"/>
          <w:highlight w:val="none"/>
          <w:lang w:val="en-US" w:eastAsia="zh-CN"/>
        </w:rPr>
      </w:pPr>
      <w:r>
        <w:rPr>
          <w:rFonts w:hint="eastAsia"/>
          <w:highlight w:val="none"/>
          <w:lang w:val="en-US" w:eastAsia="zh-CN"/>
        </w:rPr>
        <w:t>2、危险废物处置措施</w:t>
      </w:r>
    </w:p>
    <w:p>
      <w:pPr>
        <w:pStyle w:val="7"/>
        <w:ind w:firstLine="480"/>
        <w:rPr>
          <w:rFonts w:hint="eastAsia"/>
          <w:highlight w:val="none"/>
          <w:lang w:val="en-US" w:eastAsia="zh-CN"/>
        </w:rPr>
      </w:pPr>
      <w:r>
        <w:rPr>
          <w:rFonts w:hint="eastAsia"/>
          <w:highlight w:val="none"/>
          <w:lang w:val="en-US" w:eastAsia="zh-CN"/>
        </w:rPr>
        <w:t>矿山机修车间产生少量的废机油，属于危险废物（HW08），项目设置一间危险废物暂存间（1间，10m</w:t>
      </w:r>
      <w:r>
        <w:rPr>
          <w:rFonts w:hint="eastAsia"/>
          <w:highlight w:val="none"/>
          <w:vertAlign w:val="superscript"/>
          <w:lang w:val="en-US" w:eastAsia="zh-CN"/>
        </w:rPr>
        <w:t>2</w:t>
      </w:r>
      <w:r>
        <w:rPr>
          <w:rFonts w:hint="eastAsia"/>
          <w:highlight w:val="none"/>
          <w:lang w:val="en-US" w:eastAsia="zh-CN"/>
        </w:rPr>
        <w:t>），地面和裙角用水泥防渗处理。废机油收集后盛放于专用的盛放桶中，暂存于危废暂存间，后交由有资质的单位回收处置。</w:t>
      </w:r>
    </w:p>
    <w:p>
      <w:pPr>
        <w:pStyle w:val="7"/>
        <w:ind w:firstLine="480"/>
        <w:rPr>
          <w:rFonts w:hint="eastAsia"/>
          <w:highlight w:val="none"/>
          <w:lang w:val="en-US" w:eastAsia="zh-CN"/>
        </w:rPr>
      </w:pPr>
      <w:r>
        <w:rPr>
          <w:rFonts w:hint="eastAsia"/>
          <w:highlight w:val="none"/>
          <w:lang w:val="en-US" w:eastAsia="zh-CN"/>
        </w:rPr>
        <w:t>危险废物暂时贮存间远离人员活动区以及生活垃圾存放场所，为封闭暂存间，按规范设置堵截泄漏的裙脚，底部设置高标号水泥硬化，满足“防风、防雨、防晒、防渗漏”要求，并设置明显的警示标识和防鼠、防蚊蝇、防蟑螂、防盗以及预防儿童接触等安全措施，场地内危险废物临时贮存场所满足《危险废物贮存污染控制标准》（GB18597-2001）及2013年修改单的要求。危险废物及时清运，严格履行国家与地方政府关于危险废物转移的规定，与具有危险废物处理资质的单位签订接收处理协议，并报当地环保部门备案，落实追踪制度，严防二次污染，杜绝随意交易。</w:t>
      </w:r>
    </w:p>
    <w:p>
      <w:pPr>
        <w:pStyle w:val="7"/>
        <w:ind w:firstLine="480"/>
        <w:rPr>
          <w:highlight w:val="none"/>
        </w:rPr>
      </w:pPr>
      <w:r>
        <w:rPr>
          <w:rFonts w:hint="eastAsia"/>
          <w:highlight w:val="none"/>
          <w:lang w:val="en-US" w:eastAsia="zh-CN"/>
        </w:rPr>
        <w:t>本项目危废暂存间位于机修车间东南侧，地面要求为耐腐蚀硬化地面，且表面无裂缝；暂存间设计有堵截泄漏的裙脚、围堰、排水沟等设施，地面与裙角要用坚固、防渗的材料建造，建筑材料必须与危险废物相容。危废暂存间地面进行防腐防渗处理，防渗层为至少1.5m厚粘土层(渗透系数≤10</w:t>
      </w:r>
      <w:r>
        <w:rPr>
          <w:rFonts w:hint="eastAsia"/>
          <w:highlight w:val="none"/>
          <w:vertAlign w:val="superscript"/>
          <w:lang w:val="en-US" w:eastAsia="zh-CN"/>
        </w:rPr>
        <w:t>-7</w:t>
      </w:r>
      <w:r>
        <w:rPr>
          <w:rFonts w:hint="eastAsia"/>
          <w:highlight w:val="none"/>
          <w:lang w:val="en-US" w:eastAsia="zh-CN"/>
        </w:rPr>
        <w:t>cm/s)或2mm厚高密度聚乙烯。堆放危险废物的高度应根据地面承载能力确定；贮存设施内应有危险废物要放入符合标准的容器内，加上标签；设计堵截泄露的裙脚，地面与裙脚所围建的容积不低于堵截最大容器的最大储量或总量的1/5；暂存库中设置安全照明设施和观察窗口；不相容的危险废物必须分开存放，并设有隔离间隔断；危废储存库为砖混结构的封闭空间，以防风、防雨、防日晒</w:t>
      </w:r>
      <w:r>
        <w:rPr>
          <w:highlight w:val="none"/>
        </w:rPr>
        <w:t>。</w:t>
      </w:r>
    </w:p>
    <w:p>
      <w:pPr>
        <w:pStyle w:val="17"/>
        <w:ind w:firstLine="480"/>
        <w:rPr>
          <w:highlight w:val="none"/>
        </w:rPr>
      </w:pPr>
      <w:r>
        <w:rPr>
          <w:rFonts w:hint="eastAsia"/>
          <w:highlight w:val="none"/>
        </w:rPr>
        <w:t>危险废物暂存及转运应遵照《中华人民共和国固体废物污染环境防治法》（2016 年 11月7日修订）、《危险废物贮存污染控制标准》（GB18597-2001）及2013年修改单的有关规定，严禁随意堆放和扩散，暂存间外要有明显的标志，收集和运输都必须有经过培训的专业人员操作，并委托有资质的单位回收处理。</w:t>
      </w:r>
    </w:p>
    <w:p>
      <w:pPr>
        <w:pStyle w:val="17"/>
        <w:ind w:firstLine="480"/>
        <w:rPr>
          <w:rFonts w:hint="eastAsia" w:ascii="Times New Roman" w:hAnsi="Times New Roman"/>
          <w:highlight w:val="none"/>
          <w:lang w:val="en-US" w:eastAsia="zh-CN"/>
        </w:rPr>
      </w:pPr>
      <w:r>
        <w:rPr>
          <w:rFonts w:hint="eastAsia" w:ascii="Times New Roman" w:hAnsi="Times New Roman"/>
          <w:highlight w:val="none"/>
          <w:lang w:val="en-US" w:eastAsia="zh-CN"/>
        </w:rPr>
        <w:t>3、生活垃圾处置措施</w:t>
      </w:r>
    </w:p>
    <w:p>
      <w:pPr>
        <w:pStyle w:val="17"/>
        <w:ind w:firstLine="480"/>
        <w:rPr>
          <w:rFonts w:hint="eastAsia" w:ascii="Times New Roman" w:hAnsi="Times New Roman"/>
          <w:highlight w:val="none"/>
          <w:lang w:val="en-US" w:eastAsia="zh-CN"/>
        </w:rPr>
      </w:pPr>
      <w:r>
        <w:rPr>
          <w:rFonts w:hint="eastAsia" w:ascii="Times New Roman" w:hAnsi="Times New Roman"/>
          <w:highlight w:val="none"/>
          <w:lang w:val="en-US" w:eastAsia="zh-CN"/>
        </w:rPr>
        <w:t>职工生活垃圾定期运至卡子村生活垃圾收集点处置，按照《一般工业固体废物贮存、处置场污染控制标准》（GB18599-2001）及2013年修改单要求进行处置。</w:t>
      </w:r>
    </w:p>
    <w:p>
      <w:pPr>
        <w:pStyle w:val="17"/>
        <w:ind w:firstLine="480"/>
        <w:rPr>
          <w:rFonts w:ascii="Times New Roman" w:hAnsi="Times New Roman"/>
          <w:highlight w:val="none"/>
        </w:rPr>
      </w:pPr>
      <w:r>
        <w:rPr>
          <w:rFonts w:hint="eastAsia" w:ascii="Times New Roman" w:hAnsi="Times New Roman"/>
          <w:highlight w:val="none"/>
          <w:lang w:val="en-US" w:eastAsia="zh-CN"/>
        </w:rPr>
        <w:t>综上，项目固体废物处理措施总投资约7.95万元，占项目总投资额的1.4%， 投资额不大，从技术经济方面考虑可行</w:t>
      </w:r>
      <w:r>
        <w:rPr>
          <w:rFonts w:hint="eastAsia" w:ascii="Times New Roman" w:hAnsi="Times New Roman"/>
          <w:highlight w:val="none"/>
        </w:rPr>
        <w:t>。</w:t>
      </w:r>
    </w:p>
    <w:p>
      <w:pPr>
        <w:keepNext/>
        <w:keepLines/>
        <w:ind w:firstLine="0" w:firstLineChars="0"/>
        <w:outlineLvl w:val="1"/>
        <w:rPr>
          <w:highlight w:val="none"/>
        </w:rPr>
      </w:pPr>
      <w:bookmarkStart w:id="516" w:name="_Toc29107"/>
      <w:r>
        <w:rPr>
          <w:rFonts w:hint="eastAsia"/>
          <w:b/>
          <w:sz w:val="30"/>
          <w:szCs w:val="28"/>
          <w:highlight w:val="none"/>
          <w:lang w:val="en-US" w:eastAsia="zh-CN"/>
        </w:rPr>
        <w:t>8</w:t>
      </w:r>
      <w:r>
        <w:rPr>
          <w:rFonts w:hint="eastAsia"/>
          <w:b/>
          <w:sz w:val="30"/>
          <w:szCs w:val="28"/>
          <w:highlight w:val="none"/>
        </w:rPr>
        <w:t>.3 生态环境保护及恢复措施</w:t>
      </w:r>
      <w:bookmarkEnd w:id="516"/>
    </w:p>
    <w:p>
      <w:pPr>
        <w:pStyle w:val="17"/>
        <w:ind w:firstLine="482"/>
        <w:rPr>
          <w:rFonts w:hint="eastAsia" w:ascii="Times New Roman" w:hAnsi="Times New Roman" w:eastAsia="宋体"/>
          <w:b/>
          <w:bCs/>
          <w:highlight w:val="none"/>
          <w:lang w:eastAsia="zh-CN"/>
        </w:rPr>
      </w:pPr>
      <w:r>
        <w:rPr>
          <w:rFonts w:ascii="Times New Roman" w:hAnsi="Times New Roman"/>
          <w:b/>
          <w:bCs/>
          <w:highlight w:val="none"/>
        </w:rPr>
        <w:t>1、</w:t>
      </w:r>
      <w:r>
        <w:rPr>
          <w:rFonts w:hint="eastAsia" w:ascii="Times New Roman" w:hAnsi="Times New Roman"/>
          <w:b/>
          <w:bCs/>
          <w:highlight w:val="none"/>
          <w:lang w:eastAsia="zh-CN"/>
        </w:rPr>
        <w:t>环境保护措施</w:t>
      </w:r>
    </w:p>
    <w:p>
      <w:pPr>
        <w:spacing w:line="360" w:lineRule="auto"/>
        <w:ind w:firstLine="482" w:firstLineChars="200"/>
        <w:rPr>
          <w:rFonts w:hint="default" w:ascii="Times New Roman" w:hAnsi="Times New Roman"/>
          <w:b/>
          <w:bCs/>
          <w:color w:val="auto"/>
          <w:sz w:val="24"/>
          <w:szCs w:val="24"/>
          <w:highlight w:val="none"/>
          <w:lang w:val="en-US" w:eastAsia="zh-CN"/>
        </w:rPr>
      </w:pPr>
      <w:r>
        <w:rPr>
          <w:rFonts w:hint="eastAsia" w:ascii="Times New Roman" w:hAnsi="Times New Roman"/>
          <w:b/>
          <w:bCs/>
          <w:color w:val="auto"/>
          <w:sz w:val="24"/>
          <w:szCs w:val="24"/>
          <w:highlight w:val="none"/>
          <w:lang w:val="en-US" w:eastAsia="zh-CN"/>
        </w:rPr>
        <w:t>1）复垦计划</w:t>
      </w:r>
    </w:p>
    <w:p>
      <w:pPr>
        <w:adjustRightInd w:val="0"/>
        <w:snapToGrid w:val="0"/>
        <w:ind w:firstLine="480"/>
        <w:rPr>
          <w:color w:val="auto"/>
          <w:highlight w:val="none"/>
        </w:rPr>
      </w:pPr>
      <w:r>
        <w:rPr>
          <w:rFonts w:hint="eastAsia"/>
          <w:color w:val="auto"/>
          <w:highlight w:val="none"/>
          <w:lang w:val="en-US" w:eastAsia="zh-CN"/>
        </w:rPr>
        <w:t>A、</w:t>
      </w:r>
      <w:r>
        <w:rPr>
          <w:rFonts w:hint="eastAsia"/>
          <w:color w:val="auto"/>
          <w:highlight w:val="none"/>
        </w:rPr>
        <w:t>编制关闭或封场计划和实施方案</w:t>
      </w:r>
    </w:p>
    <w:p>
      <w:pPr>
        <w:adjustRightInd w:val="0"/>
        <w:snapToGrid w:val="0"/>
        <w:ind w:firstLine="480"/>
        <w:rPr>
          <w:color w:val="auto"/>
          <w:highlight w:val="none"/>
        </w:rPr>
      </w:pPr>
      <w:r>
        <w:rPr>
          <w:rFonts w:hint="eastAsia"/>
          <w:color w:val="auto"/>
          <w:highlight w:val="none"/>
        </w:rPr>
        <w:t>本项目在服务期即将到期前，必须编制关闭或封场计划和实施方案，并报请当地环境保护行政主管部门核准，并采取污染防止措施。在服务期满后立即实施关闭或封场计划。</w:t>
      </w:r>
    </w:p>
    <w:p>
      <w:pPr>
        <w:adjustRightInd w:val="0"/>
        <w:snapToGrid w:val="0"/>
        <w:ind w:firstLine="480"/>
        <w:rPr>
          <w:color w:val="auto"/>
          <w:highlight w:val="none"/>
        </w:rPr>
      </w:pPr>
      <w:r>
        <w:rPr>
          <w:rFonts w:hint="eastAsia"/>
          <w:color w:val="auto"/>
          <w:highlight w:val="none"/>
          <w:lang w:val="en-US" w:eastAsia="zh-CN"/>
        </w:rPr>
        <w:t>B、</w:t>
      </w:r>
      <w:r>
        <w:rPr>
          <w:rFonts w:hint="eastAsia"/>
          <w:color w:val="auto"/>
          <w:highlight w:val="none"/>
        </w:rPr>
        <w:t>土地复垦</w:t>
      </w:r>
    </w:p>
    <w:p>
      <w:pPr>
        <w:adjustRightInd w:val="0"/>
        <w:snapToGrid w:val="0"/>
        <w:ind w:firstLine="480"/>
        <w:rPr>
          <w:color w:val="auto"/>
          <w:highlight w:val="none"/>
        </w:rPr>
      </w:pPr>
      <w:r>
        <w:rPr>
          <w:rFonts w:hint="eastAsia"/>
          <w:color w:val="auto"/>
          <w:highlight w:val="none"/>
        </w:rPr>
        <w:t>土地复垦是露天采场服务期满后治理的最佳途径，不仅改善了矿山环境，而且恢复大量土地。因而复垦具有深远的社会效益、环境效益和经济效益。根据国家有关规定，破坏土地复垦率达到75%以上。</w:t>
      </w:r>
    </w:p>
    <w:p>
      <w:pPr>
        <w:adjustRightInd w:val="0"/>
        <w:snapToGrid w:val="0"/>
        <w:ind w:firstLine="480"/>
        <w:rPr>
          <w:color w:val="auto"/>
          <w:highlight w:val="none"/>
        </w:rPr>
      </w:pPr>
      <w:r>
        <w:rPr>
          <w:rFonts w:hint="eastAsia"/>
          <w:color w:val="auto"/>
          <w:highlight w:val="none"/>
        </w:rPr>
        <w:t>在这方面国内有许多成功的经验，在表面覆土0.3~0.4m后种植草或植树，采取最合理的方式进行废弃地复垦。对本项目的废弃地是否可开发为农牧业用地，应请有关部门对其进行全面的监测和评估后，方可确定其用地性质。复垦工作宜在旱季完成整坡，雨季来临前配合栽植，以春、秋两季为宜。</w:t>
      </w:r>
    </w:p>
    <w:p>
      <w:pPr>
        <w:adjustRightInd w:val="0"/>
        <w:snapToGrid w:val="0"/>
        <w:ind w:firstLine="480"/>
        <w:rPr>
          <w:color w:val="auto"/>
          <w:highlight w:val="none"/>
        </w:rPr>
      </w:pPr>
      <w:r>
        <w:rPr>
          <w:rFonts w:hint="eastAsia"/>
          <w:color w:val="auto"/>
          <w:highlight w:val="none"/>
          <w:lang w:val="en-US" w:eastAsia="zh-CN"/>
        </w:rPr>
        <w:t>C、</w:t>
      </w:r>
      <w:r>
        <w:rPr>
          <w:rFonts w:hint="eastAsia"/>
          <w:color w:val="auto"/>
          <w:highlight w:val="none"/>
        </w:rPr>
        <w:t>植被恢复</w:t>
      </w:r>
    </w:p>
    <w:p>
      <w:pPr>
        <w:adjustRightInd w:val="0"/>
        <w:snapToGrid w:val="0"/>
        <w:ind w:firstLine="480"/>
        <w:rPr>
          <w:color w:val="auto"/>
          <w:highlight w:val="none"/>
        </w:rPr>
      </w:pPr>
      <w:r>
        <w:rPr>
          <w:rFonts w:hint="eastAsia"/>
          <w:color w:val="auto"/>
          <w:highlight w:val="none"/>
        </w:rPr>
        <w:t>根据矿区植被种类和土壤特性，宜种植水保型薪炭林和灌木及种草。形成乔、灌、草相结合的立体型林草面，以利涵养水土、改善生态环境。</w:t>
      </w:r>
    </w:p>
    <w:p>
      <w:pPr>
        <w:adjustRightInd w:val="0"/>
        <w:snapToGrid w:val="0"/>
        <w:ind w:firstLine="480"/>
        <w:rPr>
          <w:color w:val="auto"/>
          <w:highlight w:val="none"/>
        </w:rPr>
      </w:pPr>
      <w:r>
        <w:rPr>
          <w:rFonts w:hint="eastAsia"/>
          <w:color w:val="auto"/>
          <w:highlight w:val="none"/>
          <w:lang w:val="en-US" w:eastAsia="zh-CN"/>
        </w:rPr>
        <w:t>D、</w:t>
      </w:r>
      <w:r>
        <w:rPr>
          <w:rFonts w:hint="eastAsia"/>
          <w:color w:val="auto"/>
          <w:highlight w:val="none"/>
        </w:rPr>
        <w:t>加强管理</w:t>
      </w:r>
    </w:p>
    <w:p>
      <w:pPr>
        <w:adjustRightInd w:val="0"/>
        <w:snapToGrid w:val="0"/>
        <w:ind w:firstLine="480"/>
        <w:rPr>
          <w:rFonts w:hint="eastAsia"/>
          <w:color w:val="auto"/>
          <w:highlight w:val="none"/>
        </w:rPr>
      </w:pPr>
      <w:r>
        <w:rPr>
          <w:rFonts w:hint="eastAsia"/>
          <w:color w:val="auto"/>
          <w:highlight w:val="none"/>
        </w:rPr>
        <w:t>关闭或封场后，露天开采场的开采面、开采平台以及露天开采场区等仍存在很大的水土流失隐患，仍需继续维护管理。</w:t>
      </w:r>
    </w:p>
    <w:p>
      <w:pPr>
        <w:spacing w:line="360" w:lineRule="auto"/>
        <w:ind w:firstLine="482" w:firstLineChars="200"/>
        <w:rPr>
          <w:rFonts w:ascii="Times New Roman" w:hAnsi="Times New Roman"/>
          <w:b/>
          <w:bCs/>
          <w:color w:val="auto"/>
          <w:sz w:val="24"/>
          <w:szCs w:val="24"/>
          <w:highlight w:val="none"/>
        </w:rPr>
      </w:pPr>
      <w:r>
        <w:rPr>
          <w:rFonts w:hint="eastAsia" w:ascii="Times New Roman" w:hAnsi="Times New Roman"/>
          <w:b/>
          <w:bCs/>
          <w:color w:val="auto"/>
          <w:sz w:val="24"/>
          <w:szCs w:val="24"/>
          <w:highlight w:val="none"/>
          <w:lang w:val="en-US" w:eastAsia="zh-CN"/>
        </w:rPr>
        <w:t>2）</w:t>
      </w:r>
      <w:r>
        <w:rPr>
          <w:rFonts w:ascii="Times New Roman" w:hAnsi="Times New Roman"/>
          <w:b/>
          <w:bCs/>
          <w:color w:val="auto"/>
          <w:sz w:val="24"/>
          <w:szCs w:val="24"/>
          <w:highlight w:val="none"/>
        </w:rPr>
        <w:t>工程措施</w:t>
      </w:r>
    </w:p>
    <w:p>
      <w:pPr>
        <w:spacing w:line="360" w:lineRule="auto"/>
        <w:ind w:firstLine="482" w:firstLineChars="200"/>
        <w:rPr>
          <w:rFonts w:hint="eastAsia" w:ascii="Times New Roman" w:hAnsi="Times New Roman"/>
          <w:color w:val="auto"/>
          <w:sz w:val="24"/>
          <w:szCs w:val="24"/>
          <w:highlight w:val="none"/>
        </w:rPr>
      </w:pPr>
      <w:r>
        <w:rPr>
          <w:rFonts w:hint="eastAsia" w:ascii="Times New Roman" w:hAnsi="Times New Roman"/>
          <w:b/>
          <w:bCs/>
          <w:color w:val="auto"/>
          <w:sz w:val="24"/>
          <w:szCs w:val="24"/>
          <w:highlight w:val="none"/>
          <w:lang w:eastAsia="zh-CN"/>
        </w:rPr>
        <w:t>采场：</w:t>
      </w:r>
      <w:r>
        <w:rPr>
          <w:rFonts w:hint="eastAsia" w:ascii="Times New Roman" w:hAnsi="Times New Roman"/>
          <w:color w:val="auto"/>
          <w:sz w:val="24"/>
          <w:szCs w:val="24"/>
          <w:highlight w:val="none"/>
        </w:rPr>
        <w:t>在四周竖立警示牌，采矿结束后对采场底部及各平台进行覆土，覆土厚度为0.5m。</w:t>
      </w:r>
    </w:p>
    <w:p>
      <w:pPr>
        <w:spacing w:line="360" w:lineRule="auto"/>
        <w:ind w:firstLine="482" w:firstLineChars="200"/>
        <w:rPr>
          <w:rFonts w:ascii="Times New Roman" w:hAnsi="Times New Roman"/>
          <w:color w:val="auto"/>
          <w:sz w:val="24"/>
          <w:szCs w:val="24"/>
          <w:highlight w:val="none"/>
        </w:rPr>
      </w:pPr>
      <w:r>
        <w:rPr>
          <w:rFonts w:hint="eastAsia" w:ascii="Times New Roman" w:hAnsi="Times New Roman"/>
          <w:b/>
          <w:bCs/>
          <w:color w:val="auto"/>
          <w:sz w:val="24"/>
          <w:szCs w:val="24"/>
          <w:highlight w:val="none"/>
          <w:lang w:eastAsia="zh-CN"/>
        </w:rPr>
        <w:t>工业场地：</w:t>
      </w:r>
      <w:r>
        <w:rPr>
          <w:rFonts w:hint="eastAsia" w:ascii="Times New Roman" w:hAnsi="Times New Roman"/>
          <w:color w:val="auto"/>
          <w:sz w:val="24"/>
          <w:szCs w:val="24"/>
          <w:highlight w:val="none"/>
        </w:rPr>
        <w:t>对工业场地等建筑进行拆除，对场地进行整地，然后按水土保持方案和地质环境保护与恢复治理方案相应生态恢复措施对工业场地和办公生活区进行生态恢复，覆土植被。</w:t>
      </w:r>
    </w:p>
    <w:p>
      <w:pPr>
        <w:spacing w:line="360" w:lineRule="auto"/>
        <w:ind w:firstLine="482" w:firstLineChars="200"/>
        <w:rPr>
          <w:rFonts w:hint="eastAsia" w:ascii="Times New Roman" w:hAnsi="Times New Roman"/>
          <w:color w:val="auto"/>
          <w:sz w:val="24"/>
          <w:szCs w:val="24"/>
          <w:highlight w:val="none"/>
        </w:rPr>
      </w:pPr>
      <w:r>
        <w:rPr>
          <w:rFonts w:hint="eastAsia" w:ascii="Times New Roman" w:hAnsi="Times New Roman"/>
          <w:b/>
          <w:bCs/>
          <w:color w:val="auto"/>
          <w:sz w:val="24"/>
          <w:szCs w:val="24"/>
          <w:highlight w:val="none"/>
          <w:lang w:eastAsia="zh-CN"/>
        </w:rPr>
        <w:t>矿区道路：</w:t>
      </w:r>
      <w:r>
        <w:rPr>
          <w:rFonts w:hint="eastAsia" w:ascii="Times New Roman" w:hAnsi="Times New Roman"/>
          <w:color w:val="auto"/>
          <w:sz w:val="24"/>
          <w:szCs w:val="24"/>
          <w:highlight w:val="none"/>
        </w:rPr>
        <w:t>在矿区公路设置安全警示牌</w:t>
      </w:r>
      <w:r>
        <w:rPr>
          <w:rFonts w:hint="eastAsia" w:ascii="Times New Roman" w:hAnsi="Times New Roman"/>
          <w:color w:val="auto"/>
          <w:sz w:val="24"/>
          <w:szCs w:val="24"/>
          <w:highlight w:val="none"/>
          <w:lang w:eastAsia="zh-CN"/>
        </w:rPr>
        <w:t>若干</w:t>
      </w:r>
      <w:r>
        <w:rPr>
          <w:rFonts w:hint="eastAsia" w:ascii="Times New Roman" w:hAnsi="Times New Roman"/>
          <w:color w:val="auto"/>
          <w:sz w:val="24"/>
          <w:szCs w:val="24"/>
          <w:highlight w:val="none"/>
        </w:rPr>
        <w:t>，</w:t>
      </w:r>
      <w:r>
        <w:rPr>
          <w:rFonts w:hint="eastAsia" w:ascii="Times New Roman" w:hAnsi="Times New Roman"/>
          <w:color w:val="auto"/>
          <w:sz w:val="24"/>
          <w:szCs w:val="24"/>
          <w:highlight w:val="none"/>
          <w:lang w:eastAsia="zh-CN"/>
        </w:rPr>
        <w:t>道路</w:t>
      </w:r>
      <w:r>
        <w:rPr>
          <w:rFonts w:hint="eastAsia" w:ascii="Times New Roman" w:hAnsi="Times New Roman"/>
          <w:color w:val="auto"/>
          <w:sz w:val="24"/>
          <w:szCs w:val="24"/>
          <w:highlight w:val="none"/>
        </w:rPr>
        <w:t>一侧种植行道树</w:t>
      </w:r>
    </w:p>
    <w:p>
      <w:pPr>
        <w:spacing w:line="360" w:lineRule="auto"/>
        <w:ind w:firstLine="482" w:firstLineChars="200"/>
        <w:rPr>
          <w:rFonts w:ascii="Times New Roman" w:hAnsi="Times New Roman"/>
          <w:b/>
          <w:bCs/>
          <w:color w:val="auto"/>
          <w:sz w:val="24"/>
          <w:szCs w:val="24"/>
          <w:highlight w:val="none"/>
        </w:rPr>
      </w:pPr>
      <w:r>
        <w:rPr>
          <w:rFonts w:hint="eastAsia" w:ascii="Times New Roman" w:hAnsi="Times New Roman"/>
          <w:b/>
          <w:bCs/>
          <w:color w:val="auto"/>
          <w:sz w:val="24"/>
          <w:szCs w:val="24"/>
          <w:highlight w:val="none"/>
          <w:lang w:val="en-US" w:eastAsia="zh-CN"/>
        </w:rPr>
        <w:t>3）</w:t>
      </w:r>
      <w:r>
        <w:rPr>
          <w:rFonts w:ascii="Times New Roman" w:hAnsi="Times New Roman"/>
          <w:b/>
          <w:bCs/>
          <w:color w:val="auto"/>
          <w:sz w:val="24"/>
          <w:szCs w:val="24"/>
          <w:highlight w:val="none"/>
        </w:rPr>
        <w:t>植物措施</w:t>
      </w:r>
    </w:p>
    <w:p>
      <w:pPr>
        <w:spacing w:line="360" w:lineRule="auto"/>
        <w:ind w:firstLine="480" w:firstLineChars="200"/>
        <w:rPr>
          <w:rFonts w:ascii="Times New Roman" w:hAnsi="Times New Roman"/>
          <w:color w:val="auto"/>
          <w:highlight w:val="none"/>
        </w:rPr>
      </w:pPr>
      <w:r>
        <w:rPr>
          <w:rFonts w:ascii="Times New Roman" w:hAnsi="Times New Roman"/>
          <w:color w:val="auto"/>
          <w:sz w:val="24"/>
          <w:szCs w:val="24"/>
          <w:highlight w:val="none"/>
        </w:rPr>
        <w:t>根据当地的气象、降雨及土壤</w:t>
      </w:r>
      <w:r>
        <w:rPr>
          <w:rFonts w:hint="eastAsia" w:ascii="Times New Roman" w:hAnsi="Times New Roman"/>
          <w:color w:val="auto"/>
          <w:sz w:val="24"/>
          <w:szCs w:val="24"/>
          <w:highlight w:val="none"/>
          <w:lang w:eastAsia="zh-CN"/>
        </w:rPr>
        <w:t>等条件，</w:t>
      </w:r>
      <w:r>
        <w:rPr>
          <w:rFonts w:ascii="宋体" w:hAnsi="宋体"/>
          <w:color w:val="auto"/>
          <w:sz w:val="24"/>
          <w:highlight w:val="none"/>
        </w:rPr>
        <w:t>选择生长快、适应性强、抗逆性好的植物；优先考虑选择固磷物种和乡土物种，并且需要综合考虑经济价值和生态效益。进行植被恢复时，应将乔、灌、草综合起来进行恢复</w:t>
      </w:r>
      <w:r>
        <w:rPr>
          <w:rFonts w:hint="eastAsia" w:ascii="宋体" w:hAnsi="宋体"/>
          <w:color w:val="auto"/>
          <w:sz w:val="24"/>
          <w:highlight w:val="none"/>
          <w:lang w:eastAsia="zh-CN"/>
        </w:rPr>
        <w:t>，</w:t>
      </w:r>
      <w:r>
        <w:rPr>
          <w:rFonts w:hint="eastAsia" w:ascii="Times New Roman" w:hAnsi="Times New Roman" w:cs="Times New Roman"/>
          <w:color w:val="auto"/>
          <w:sz w:val="24"/>
          <w:szCs w:val="24"/>
          <w:highlight w:val="none"/>
        </w:rPr>
        <w:t>达到防治水土流失和改善生态环境的目的。</w:t>
      </w:r>
    </w:p>
    <w:p>
      <w:pPr>
        <w:pStyle w:val="17"/>
        <w:ind w:firstLine="482"/>
        <w:rPr>
          <w:rFonts w:hint="eastAsia" w:ascii="Times New Roman" w:hAnsi="Times New Roman" w:eastAsia="宋体"/>
          <w:b/>
          <w:bCs/>
          <w:highlight w:val="none"/>
          <w:lang w:eastAsia="zh-CN"/>
        </w:rPr>
      </w:pPr>
      <w:r>
        <w:rPr>
          <w:rFonts w:ascii="Times New Roman" w:hAnsi="Times New Roman"/>
          <w:b/>
          <w:bCs/>
          <w:highlight w:val="none"/>
        </w:rPr>
        <w:t>2、矿山服务期满后</w:t>
      </w:r>
      <w:r>
        <w:rPr>
          <w:rFonts w:hint="eastAsia" w:ascii="Times New Roman" w:hAnsi="Times New Roman"/>
          <w:b/>
          <w:bCs/>
          <w:highlight w:val="none"/>
          <w:lang w:eastAsia="zh-CN"/>
        </w:rPr>
        <w:t>管理措施</w:t>
      </w:r>
    </w:p>
    <w:p>
      <w:pPr>
        <w:adjustRightInd w:val="0"/>
        <w:snapToGrid w:val="0"/>
        <w:ind w:firstLine="480"/>
        <w:rPr>
          <w:highlight w:val="none"/>
        </w:rPr>
      </w:pPr>
      <w:r>
        <w:rPr>
          <w:rFonts w:hint="eastAsia"/>
          <w:highlight w:val="none"/>
        </w:rPr>
        <w:t>1）矿山在开采末期应建立详细的闭矿计划，采取相应的环境对策，利用矿山现有的人员和设备，开展土地复垦和环境治理等工作，减少相应的资金投入。</w:t>
      </w:r>
    </w:p>
    <w:p>
      <w:pPr>
        <w:adjustRightInd w:val="0"/>
        <w:snapToGrid w:val="0"/>
        <w:ind w:firstLine="480"/>
        <w:rPr>
          <w:highlight w:val="none"/>
        </w:rPr>
      </w:pPr>
      <w:r>
        <w:rPr>
          <w:rFonts w:hint="eastAsia"/>
          <w:highlight w:val="none"/>
        </w:rPr>
        <w:t>2）闭矿后保持露天采场截排水设施通畅。</w:t>
      </w:r>
    </w:p>
    <w:p>
      <w:pPr>
        <w:adjustRightInd w:val="0"/>
        <w:snapToGrid w:val="0"/>
        <w:ind w:firstLine="480"/>
        <w:rPr>
          <w:rFonts w:ascii="Times New Roman" w:hAnsi="Times New Roman"/>
          <w:highlight w:val="none"/>
        </w:rPr>
      </w:pPr>
      <w:r>
        <w:rPr>
          <w:rFonts w:hint="eastAsia"/>
          <w:highlight w:val="none"/>
          <w:lang w:val="en-US" w:eastAsia="zh-CN"/>
        </w:rPr>
        <w:t>3</w:t>
      </w:r>
      <w:r>
        <w:rPr>
          <w:rFonts w:hint="eastAsia"/>
          <w:highlight w:val="none"/>
        </w:rPr>
        <w:t>）矿山闭矿经过收合格后，方能正式宣布闭矿。</w:t>
      </w:r>
    </w:p>
    <w:p>
      <w:pPr>
        <w:pStyle w:val="17"/>
        <w:ind w:firstLine="480"/>
        <w:rPr>
          <w:rFonts w:hint="eastAsia" w:ascii="Times New Roman" w:hAnsi="Times New Roman" w:eastAsia="宋体"/>
          <w:highlight w:val="none"/>
          <w:lang w:eastAsia="zh-CN"/>
        </w:rPr>
      </w:pPr>
      <w:r>
        <w:rPr>
          <w:rFonts w:hint="eastAsia" w:ascii="Times New Roman" w:hAnsi="Times New Roman"/>
          <w:highlight w:val="none"/>
          <w:lang w:val="en-US" w:eastAsia="zh-CN"/>
        </w:rPr>
        <w:t>4）</w:t>
      </w:r>
      <w:r>
        <w:rPr>
          <w:rFonts w:hint="eastAsia" w:ascii="Times New Roman" w:hAnsi="Times New Roman"/>
          <w:highlight w:val="none"/>
        </w:rPr>
        <w:t>根据财政部、国土资源部、环保总局《关于逐步建立矿石环境治理和生态恢复责任机制的指导意见》，建设单位每年必须从年销售收入中提取0.4％作为环境治理和矿山生态恢复保证金，并列入成本计划</w:t>
      </w:r>
      <w:r>
        <w:rPr>
          <w:rFonts w:hint="eastAsia" w:ascii="Times New Roman" w:hAnsi="Times New Roman"/>
          <w:highlight w:val="none"/>
          <w:lang w:eastAsia="zh-CN"/>
        </w:rPr>
        <w:t>。</w:t>
      </w:r>
    </w:p>
    <w:p>
      <w:pPr>
        <w:pStyle w:val="17"/>
        <w:ind w:firstLine="480"/>
        <w:rPr>
          <w:rFonts w:hint="eastAsia" w:ascii="Times New Roman" w:hAnsi="Times New Roman"/>
          <w:highlight w:val="none"/>
        </w:rPr>
      </w:pPr>
    </w:p>
    <w:p>
      <w:pPr>
        <w:pStyle w:val="17"/>
        <w:ind w:firstLine="480"/>
        <w:rPr>
          <w:rFonts w:hint="eastAsia" w:ascii="Times New Roman" w:hAnsi="Times New Roman"/>
          <w:highlight w:val="none"/>
        </w:rPr>
      </w:pPr>
    </w:p>
    <w:p>
      <w:pPr>
        <w:pStyle w:val="17"/>
        <w:ind w:firstLine="480"/>
        <w:rPr>
          <w:rFonts w:hint="eastAsia" w:ascii="Times New Roman" w:hAnsi="Times New Roman"/>
          <w:highlight w:val="none"/>
        </w:rPr>
      </w:pPr>
    </w:p>
    <w:p>
      <w:pPr>
        <w:pStyle w:val="17"/>
        <w:ind w:firstLine="480"/>
        <w:rPr>
          <w:rFonts w:hint="eastAsia" w:ascii="Times New Roman" w:hAnsi="Times New Roman"/>
          <w:highlight w:val="none"/>
        </w:rPr>
      </w:pPr>
    </w:p>
    <w:p>
      <w:pPr>
        <w:pStyle w:val="17"/>
        <w:ind w:firstLine="480"/>
        <w:rPr>
          <w:rFonts w:hint="eastAsia" w:ascii="Times New Roman" w:hAnsi="Times New Roman"/>
          <w:highlight w:val="none"/>
        </w:rPr>
      </w:pPr>
    </w:p>
    <w:p>
      <w:pPr>
        <w:pStyle w:val="17"/>
        <w:ind w:firstLine="480"/>
        <w:rPr>
          <w:rFonts w:hint="eastAsia" w:ascii="Times New Roman" w:hAnsi="Times New Roman"/>
          <w:highlight w:val="none"/>
        </w:rPr>
      </w:pPr>
    </w:p>
    <w:p>
      <w:pPr>
        <w:pStyle w:val="17"/>
        <w:ind w:firstLine="480"/>
        <w:rPr>
          <w:rFonts w:hint="eastAsia" w:ascii="Times New Roman" w:hAnsi="Times New Roman"/>
          <w:highlight w:val="none"/>
        </w:rPr>
      </w:pPr>
    </w:p>
    <w:p>
      <w:pPr>
        <w:pStyle w:val="17"/>
        <w:ind w:firstLine="480"/>
        <w:rPr>
          <w:rFonts w:hint="eastAsia" w:ascii="Times New Roman" w:hAnsi="Times New Roman"/>
          <w:highlight w:val="none"/>
        </w:rPr>
      </w:pPr>
    </w:p>
    <w:p>
      <w:pPr>
        <w:pStyle w:val="17"/>
        <w:ind w:firstLine="480"/>
        <w:rPr>
          <w:rFonts w:hint="eastAsia" w:ascii="Times New Roman" w:hAnsi="Times New Roman"/>
          <w:highlight w:val="none"/>
        </w:rPr>
      </w:pPr>
    </w:p>
    <w:p>
      <w:pPr>
        <w:pStyle w:val="17"/>
        <w:ind w:firstLine="480"/>
        <w:rPr>
          <w:rFonts w:hint="eastAsia" w:ascii="Times New Roman" w:hAnsi="Times New Roman"/>
          <w:highlight w:val="none"/>
        </w:rPr>
      </w:pPr>
    </w:p>
    <w:p>
      <w:pPr>
        <w:pStyle w:val="17"/>
        <w:ind w:firstLine="480"/>
        <w:rPr>
          <w:rFonts w:hint="eastAsia" w:ascii="Times New Roman" w:hAnsi="Times New Roman"/>
          <w:highlight w:val="none"/>
        </w:rPr>
      </w:pPr>
    </w:p>
    <w:p>
      <w:pPr>
        <w:pStyle w:val="17"/>
        <w:ind w:firstLine="480"/>
        <w:rPr>
          <w:rFonts w:hint="eastAsia" w:ascii="Times New Roman" w:hAnsi="Times New Roman"/>
          <w:highlight w:val="none"/>
        </w:rPr>
      </w:pPr>
    </w:p>
    <w:p>
      <w:pPr>
        <w:pStyle w:val="17"/>
        <w:ind w:firstLine="480"/>
        <w:rPr>
          <w:rFonts w:hint="eastAsia" w:ascii="Times New Roman" w:hAnsi="Times New Roman"/>
          <w:highlight w:val="none"/>
        </w:rPr>
      </w:pPr>
    </w:p>
    <w:p>
      <w:pPr>
        <w:pStyle w:val="17"/>
        <w:ind w:firstLine="480"/>
        <w:rPr>
          <w:rFonts w:ascii="Times New Roman" w:hAnsi="Times New Roman"/>
          <w:highlight w:val="none"/>
        </w:rPr>
      </w:pPr>
    </w:p>
    <w:p>
      <w:pPr>
        <w:pStyle w:val="3"/>
        <w:rPr>
          <w:highlight w:val="none"/>
        </w:rPr>
      </w:pPr>
      <w:bookmarkStart w:id="517" w:name="_Toc1045"/>
      <w:r>
        <w:rPr>
          <w:rFonts w:hint="eastAsia"/>
          <w:highlight w:val="none"/>
          <w:lang w:val="en-US" w:eastAsia="zh-CN"/>
        </w:rPr>
        <w:t>9</w:t>
      </w:r>
      <w:r>
        <w:rPr>
          <w:rFonts w:hint="eastAsia"/>
          <w:highlight w:val="none"/>
        </w:rPr>
        <w:t>环境影响经济损益分析</w:t>
      </w:r>
      <w:bookmarkEnd w:id="517"/>
    </w:p>
    <w:p>
      <w:pPr>
        <w:pStyle w:val="7"/>
        <w:ind w:firstLine="480"/>
        <w:rPr>
          <w:highlight w:val="none"/>
        </w:rPr>
      </w:pPr>
      <w:r>
        <w:rPr>
          <w:highlight w:val="none"/>
        </w:rPr>
        <w:t>环境影响经济损益分析主要是衡量项目的环保投资所能收到的环境效益和经济效益，建设项目应力争达到社会效益、环境效益、经济效益的统一，这样才能符合可持续发展的要求，实现经济的持续发展和环境质量的不断改善。</w:t>
      </w:r>
      <w:r>
        <w:rPr>
          <w:rFonts w:hint="eastAsia"/>
          <w:highlight w:val="none"/>
          <w:lang w:eastAsia="zh-CN"/>
        </w:rPr>
        <w:t>砚山县阿猛镇倮基黑卡子凹塘石料厂年产30万吨建筑石料用灰岩建设项目</w:t>
      </w:r>
      <w:r>
        <w:rPr>
          <w:highlight w:val="none"/>
        </w:rPr>
        <w:t>在一定程度上给周围环境质量带来一些负面影响，特别是对生态环境所造成的影响，因此有必要进行经济效益、社会效益、环境效益的综合分析，使项目的建设论证更加充分可靠，工程内容的设计和实施更加完善，以实现社会的良性发展、经济的持续增长和环境质量的保持与改善。</w:t>
      </w:r>
      <w:bookmarkStart w:id="518" w:name="_bookmark52"/>
      <w:bookmarkEnd w:id="518"/>
      <w:bookmarkStart w:id="519" w:name="9.1经济效益"/>
      <w:bookmarkEnd w:id="519"/>
    </w:p>
    <w:p>
      <w:pPr>
        <w:pStyle w:val="4"/>
        <w:rPr>
          <w:highlight w:val="none"/>
        </w:rPr>
      </w:pPr>
      <w:bookmarkStart w:id="520" w:name="_Toc3391"/>
      <w:r>
        <w:rPr>
          <w:rFonts w:hint="eastAsia"/>
          <w:highlight w:val="none"/>
          <w:lang w:val="en-US" w:eastAsia="zh-CN"/>
        </w:rPr>
        <w:t>9</w:t>
      </w:r>
      <w:r>
        <w:rPr>
          <w:rFonts w:hint="eastAsia"/>
          <w:highlight w:val="none"/>
        </w:rPr>
        <w:t>.1经济效益</w:t>
      </w:r>
      <w:bookmarkEnd w:id="520"/>
    </w:p>
    <w:p>
      <w:pPr>
        <w:pStyle w:val="7"/>
        <w:ind w:firstLine="480"/>
        <w:rPr>
          <w:highlight w:val="none"/>
        </w:rPr>
      </w:pPr>
      <w:r>
        <w:rPr>
          <w:highlight w:val="none"/>
        </w:rPr>
        <w:t>随着社会经济的迅速发展及人民生活水平的不断提高，各种工程建设项目日益增多，投资加大，建筑石料用灰岩的市场需求量快速上升，使石灰岩矿得到广泛开发利用。石灰岩矿层位较稳定、连续，矿石成份及质量均达到规定指标，是可开采、加工生产，属普通建筑材料类矿产，资源储量可保证矿山持续开采多年，资源开发及市场前景较好。矿山交通方便，因此，本矿床开发的外部条件较好。矿山除可以获得较好的经济效益外，在采矿过程中，还可以解决本地部分剩余劳动力的就业问题，对该石灰岩矿的开发利用，不仅具有一定的经济效益和社会效益，而且还能带动其它经济的发展。</w:t>
      </w:r>
    </w:p>
    <w:p>
      <w:pPr>
        <w:pStyle w:val="4"/>
        <w:rPr>
          <w:highlight w:val="none"/>
        </w:rPr>
      </w:pPr>
      <w:bookmarkStart w:id="521" w:name="_bookmark53"/>
      <w:bookmarkEnd w:id="521"/>
      <w:bookmarkStart w:id="522" w:name="9.2社会效益"/>
      <w:bookmarkEnd w:id="522"/>
      <w:bookmarkStart w:id="523" w:name="_Toc770"/>
      <w:r>
        <w:rPr>
          <w:rFonts w:hint="eastAsia"/>
          <w:highlight w:val="none"/>
          <w:lang w:val="en-US" w:eastAsia="zh-CN"/>
        </w:rPr>
        <w:t>9</w:t>
      </w:r>
      <w:r>
        <w:rPr>
          <w:highlight w:val="none"/>
        </w:rPr>
        <w:t>.2 社会效益</w:t>
      </w:r>
      <w:bookmarkEnd w:id="523"/>
    </w:p>
    <w:p>
      <w:pPr>
        <w:pStyle w:val="7"/>
        <w:ind w:firstLine="480"/>
        <w:rPr>
          <w:highlight w:val="none"/>
        </w:rPr>
      </w:pPr>
      <w:r>
        <w:rPr>
          <w:rFonts w:hint="eastAsia"/>
          <w:highlight w:val="none"/>
          <w:lang w:eastAsia="zh-CN"/>
        </w:rPr>
        <w:t>砚山县阿猛镇倮基黑卡子凹塘石料厂年产30万吨建筑石料用灰岩建设项目</w:t>
      </w:r>
      <w:r>
        <w:rPr>
          <w:highlight w:val="none"/>
        </w:rPr>
        <w:t>的建设生产符合市场的需要，有利于将</w:t>
      </w:r>
      <w:r>
        <w:rPr>
          <w:rFonts w:hint="eastAsia"/>
          <w:highlight w:val="none"/>
        </w:rPr>
        <w:t>砚山县</w:t>
      </w:r>
      <w:r>
        <w:rPr>
          <w:highlight w:val="none"/>
        </w:rPr>
        <w:t>的资源优势转化为经济优势，同时对推动云南省建筑发展、调整</w:t>
      </w:r>
      <w:r>
        <w:rPr>
          <w:rFonts w:hint="eastAsia"/>
          <w:highlight w:val="none"/>
        </w:rPr>
        <w:t>当地</w:t>
      </w:r>
      <w:r>
        <w:rPr>
          <w:highlight w:val="none"/>
        </w:rPr>
        <w:t>产业结构和促进</w:t>
      </w:r>
      <w:r>
        <w:rPr>
          <w:rFonts w:hint="eastAsia"/>
          <w:highlight w:val="none"/>
        </w:rPr>
        <w:t>当地</w:t>
      </w:r>
      <w:r>
        <w:rPr>
          <w:highlight w:val="none"/>
        </w:rPr>
        <w:t>地方经济社会的发展和脱贫致富将起到积极的作用。根据目前市场需求预测结果，矿石</w:t>
      </w:r>
      <w:r>
        <w:rPr>
          <w:rFonts w:hint="eastAsia"/>
          <w:highlight w:val="none"/>
          <w:lang w:eastAsia="zh-CN"/>
        </w:rPr>
        <w:t>建成</w:t>
      </w:r>
      <w:r>
        <w:rPr>
          <w:highlight w:val="none"/>
        </w:rPr>
        <w:t>投产后，仍然无法满足所在地区域的用矿需要。因此，矿山</w:t>
      </w:r>
      <w:r>
        <w:rPr>
          <w:rFonts w:hint="eastAsia"/>
          <w:highlight w:val="none"/>
          <w:lang w:eastAsia="zh-CN"/>
        </w:rPr>
        <w:t>新建</w:t>
      </w:r>
      <w:r>
        <w:rPr>
          <w:highlight w:val="none"/>
        </w:rPr>
        <w:t>完成后不会导致区内其它矿产的减产、转产和职工下岗，而且随着矿山的投产，为石灰石矿产行业生产服务的辅助及附属企业也会随之发展起来，当地的人们便有了更多就业机会。另外，将带动以石灰石矿产为原料的相关企业的发展。</w:t>
      </w:r>
    </w:p>
    <w:p>
      <w:pPr>
        <w:pStyle w:val="7"/>
        <w:ind w:firstLine="480"/>
        <w:rPr>
          <w:highlight w:val="none"/>
        </w:rPr>
      </w:pPr>
      <w:r>
        <w:rPr>
          <w:highlight w:val="none"/>
        </w:rPr>
        <w:t>根据调查，矿山位于山村地区，经济发展相对缓慢，人们的收入水平较低，农村相对较为贫困。</w:t>
      </w:r>
      <w:r>
        <w:rPr>
          <w:rFonts w:hint="eastAsia"/>
          <w:highlight w:val="none"/>
          <w:lang w:eastAsia="zh-CN"/>
        </w:rPr>
        <w:t>砚山县阿猛镇倮基黑卡子凹塘石料厂年产30万吨建筑石料用灰岩建设项目</w:t>
      </w:r>
      <w:r>
        <w:rPr>
          <w:highlight w:val="none"/>
        </w:rPr>
        <w:t>将充分利用当地的农村剩余劳动力和技术工人，增加当地居民的收入，提高他们的生活水平。当地经济相对落后，文化、教育、卫生的现状也滞后于城市，而矿山的建设和生产又需依靠文化、教育、卫生等服务作后盾和基础。项目在开采期内需要劳动力参与生产建设活动，将为项目区提供就业机会，项目建设同时也带动当地和周边地区运输、建材、商业、服务等相关行业和基础设施的发展，利于安置社会富余劳力和下岗分流人员，对增加当地群众的收入，提高生活水平有着积极的促进作用，社会效益明显。</w:t>
      </w:r>
    </w:p>
    <w:p>
      <w:pPr>
        <w:pStyle w:val="4"/>
        <w:rPr>
          <w:sz w:val="24"/>
          <w:highlight w:val="none"/>
        </w:rPr>
      </w:pPr>
      <w:bookmarkStart w:id="524" w:name="_Toc14175"/>
      <w:r>
        <w:rPr>
          <w:rFonts w:hint="eastAsia"/>
          <w:highlight w:val="none"/>
          <w:lang w:val="en-US" w:eastAsia="zh-CN"/>
        </w:rPr>
        <w:t>9</w:t>
      </w:r>
      <w:r>
        <w:rPr>
          <w:highlight w:val="none"/>
        </w:rPr>
        <w:t>.3 环保经济效益分析</w:t>
      </w:r>
      <w:bookmarkEnd w:id="524"/>
    </w:p>
    <w:p>
      <w:pPr>
        <w:pStyle w:val="5"/>
        <w:rPr>
          <w:rFonts w:hint="default"/>
          <w:sz w:val="24"/>
          <w:highlight w:val="none"/>
        </w:rPr>
      </w:pPr>
      <w:bookmarkStart w:id="525" w:name="9.3.1环保投资"/>
      <w:bookmarkEnd w:id="525"/>
      <w:bookmarkStart w:id="526" w:name="_Toc15626"/>
      <w:r>
        <w:rPr>
          <w:rFonts w:hint="eastAsia"/>
          <w:highlight w:val="none"/>
          <w:lang w:val="en-US" w:eastAsia="zh-CN"/>
        </w:rPr>
        <w:t>9</w:t>
      </w:r>
      <w:r>
        <w:rPr>
          <w:rFonts w:hint="default"/>
          <w:highlight w:val="none"/>
        </w:rPr>
        <w:t>.3.1 环保投资</w:t>
      </w:r>
      <w:bookmarkEnd w:id="526"/>
    </w:p>
    <w:p>
      <w:pPr>
        <w:pStyle w:val="7"/>
        <w:ind w:firstLine="480"/>
        <w:rPr>
          <w:highlight w:val="none"/>
        </w:rPr>
      </w:pPr>
      <w:r>
        <w:rPr>
          <w:highlight w:val="none"/>
        </w:rPr>
        <w:t>项目环保投资占总投资的比例按照下式进行计算：</w:t>
      </w:r>
    </w:p>
    <w:p>
      <w:pPr>
        <w:pStyle w:val="7"/>
        <w:ind w:firstLine="480"/>
        <w:jc w:val="center"/>
        <w:rPr>
          <w:highlight w:val="none"/>
        </w:rPr>
      </w:pPr>
      <w:r>
        <w:rPr>
          <w:highlight w:val="none"/>
        </w:rPr>
        <w:t>H j = HT</w:t>
      </w:r>
      <w:r>
        <w:rPr>
          <w:rFonts w:hint="eastAsia"/>
          <w:highlight w:val="none"/>
        </w:rPr>
        <w:t>/</w:t>
      </w:r>
      <w:r>
        <w:rPr>
          <w:highlight w:val="none"/>
        </w:rPr>
        <w:t>JT ×100%</w:t>
      </w:r>
    </w:p>
    <w:p>
      <w:pPr>
        <w:pStyle w:val="7"/>
        <w:ind w:firstLine="480"/>
        <w:rPr>
          <w:highlight w:val="none"/>
        </w:rPr>
      </w:pPr>
      <w:r>
        <w:rPr>
          <w:highlight w:val="none"/>
        </w:rPr>
        <w:t>式中：H</w:t>
      </w:r>
      <w:r>
        <w:rPr>
          <w:rFonts w:hint="eastAsia"/>
          <w:highlight w:val="none"/>
        </w:rPr>
        <w:t>T</w:t>
      </w:r>
      <w:r>
        <w:rPr>
          <w:highlight w:val="none"/>
        </w:rPr>
        <w:t>—环保投资；</w:t>
      </w:r>
    </w:p>
    <w:p>
      <w:pPr>
        <w:pStyle w:val="7"/>
        <w:ind w:firstLine="1200" w:firstLineChars="500"/>
        <w:rPr>
          <w:highlight w:val="none"/>
        </w:rPr>
      </w:pPr>
      <w:r>
        <w:rPr>
          <w:rFonts w:hint="eastAsia"/>
          <w:highlight w:val="none"/>
        </w:rPr>
        <w:t>JT</w:t>
      </w:r>
      <w:r>
        <w:rPr>
          <w:highlight w:val="none"/>
        </w:rPr>
        <w:t>—建设项目总投资。</w:t>
      </w:r>
    </w:p>
    <w:p>
      <w:pPr>
        <w:pStyle w:val="7"/>
        <w:ind w:firstLine="480"/>
        <w:rPr>
          <w:b/>
          <w:bCs/>
          <w:sz w:val="21"/>
          <w:szCs w:val="21"/>
          <w:highlight w:val="none"/>
        </w:rPr>
      </w:pPr>
      <w:r>
        <w:rPr>
          <w:highlight w:val="none"/>
        </w:rPr>
        <w:t>建设项目的环保投资情况见表</w:t>
      </w:r>
      <w:r>
        <w:rPr>
          <w:rFonts w:hint="eastAsia"/>
          <w:highlight w:val="none"/>
          <w:lang w:val="en-US" w:eastAsia="zh-CN"/>
        </w:rPr>
        <w:t>9</w:t>
      </w:r>
      <w:r>
        <w:rPr>
          <w:highlight w:val="none"/>
        </w:rPr>
        <w:t>.3-1。</w:t>
      </w:r>
    </w:p>
    <w:p>
      <w:pPr>
        <w:pStyle w:val="7"/>
        <w:ind w:firstLine="422"/>
        <w:jc w:val="center"/>
        <w:rPr>
          <w:b/>
          <w:bCs/>
          <w:sz w:val="21"/>
          <w:szCs w:val="21"/>
          <w:highlight w:val="none"/>
        </w:rPr>
      </w:pPr>
      <w:r>
        <w:rPr>
          <w:b/>
          <w:bCs/>
          <w:sz w:val="21"/>
          <w:szCs w:val="21"/>
          <w:highlight w:val="none"/>
        </w:rPr>
        <w:t>表</w:t>
      </w:r>
      <w:r>
        <w:rPr>
          <w:rFonts w:hint="eastAsia"/>
          <w:b/>
          <w:bCs/>
          <w:sz w:val="21"/>
          <w:szCs w:val="21"/>
          <w:highlight w:val="none"/>
          <w:lang w:val="en-US" w:eastAsia="zh-CN"/>
        </w:rPr>
        <w:t>9</w:t>
      </w:r>
      <w:r>
        <w:rPr>
          <w:b/>
          <w:bCs/>
          <w:sz w:val="21"/>
          <w:szCs w:val="21"/>
          <w:highlight w:val="none"/>
        </w:rPr>
        <w:t>.3-1 环保投资明细一览表</w:t>
      </w:r>
    </w:p>
    <w:tbl>
      <w:tblPr>
        <w:tblStyle w:val="29"/>
        <w:tblW w:w="92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898"/>
        <w:gridCol w:w="1058"/>
        <w:gridCol w:w="1481"/>
        <w:gridCol w:w="4068"/>
        <w:gridCol w:w="2"/>
        <w:gridCol w:w="1253"/>
        <w:gridCol w:w="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837" w:hRule="atLeast"/>
          <w:jc w:val="center"/>
        </w:trPr>
        <w:tc>
          <w:tcPr>
            <w:tcW w:w="526" w:type="dxa"/>
            <w:shd w:val="clear" w:color="auto" w:fill="auto"/>
            <w:vAlign w:val="center"/>
          </w:tcPr>
          <w:p>
            <w:pPr>
              <w:widowControl/>
              <w:adjustRightInd w:val="0"/>
              <w:snapToGrid w:val="0"/>
              <w:ind w:firstLine="0" w:firstLineChars="0"/>
              <w:jc w:val="center"/>
              <w:rPr>
                <w:b/>
                <w:bCs/>
                <w:snapToGrid w:val="0"/>
                <w:kern w:val="0"/>
                <w:sz w:val="21"/>
                <w:szCs w:val="21"/>
                <w:highlight w:val="none"/>
              </w:rPr>
            </w:pPr>
            <w:r>
              <w:rPr>
                <w:b/>
                <w:bCs/>
                <w:snapToGrid w:val="0"/>
                <w:kern w:val="0"/>
                <w:sz w:val="21"/>
                <w:szCs w:val="21"/>
                <w:highlight w:val="none"/>
              </w:rPr>
              <w:t>序号</w:t>
            </w:r>
          </w:p>
        </w:tc>
        <w:tc>
          <w:tcPr>
            <w:tcW w:w="898" w:type="dxa"/>
            <w:shd w:val="clear" w:color="auto" w:fill="auto"/>
            <w:vAlign w:val="center"/>
          </w:tcPr>
          <w:p>
            <w:pPr>
              <w:widowControl/>
              <w:adjustRightInd w:val="0"/>
              <w:snapToGrid w:val="0"/>
              <w:ind w:firstLine="0" w:firstLineChars="0"/>
              <w:jc w:val="center"/>
              <w:rPr>
                <w:b/>
                <w:bCs/>
                <w:snapToGrid w:val="0"/>
                <w:kern w:val="0"/>
                <w:sz w:val="21"/>
                <w:szCs w:val="21"/>
                <w:highlight w:val="none"/>
              </w:rPr>
            </w:pPr>
            <w:r>
              <w:rPr>
                <w:b/>
                <w:bCs/>
                <w:snapToGrid w:val="0"/>
                <w:kern w:val="0"/>
                <w:sz w:val="21"/>
                <w:szCs w:val="21"/>
                <w:highlight w:val="none"/>
              </w:rPr>
              <w:t>项目</w:t>
            </w:r>
          </w:p>
        </w:tc>
        <w:tc>
          <w:tcPr>
            <w:tcW w:w="2539" w:type="dxa"/>
            <w:gridSpan w:val="2"/>
            <w:shd w:val="clear" w:color="auto" w:fill="auto"/>
            <w:vAlign w:val="center"/>
          </w:tcPr>
          <w:p>
            <w:pPr>
              <w:widowControl/>
              <w:adjustRightInd w:val="0"/>
              <w:snapToGrid w:val="0"/>
              <w:ind w:firstLine="0" w:firstLineChars="0"/>
              <w:jc w:val="center"/>
              <w:rPr>
                <w:b/>
                <w:bCs/>
                <w:snapToGrid w:val="0"/>
                <w:kern w:val="0"/>
                <w:sz w:val="21"/>
                <w:szCs w:val="21"/>
                <w:highlight w:val="none"/>
              </w:rPr>
            </w:pPr>
            <w:r>
              <w:rPr>
                <w:rFonts w:hint="eastAsia"/>
                <w:b/>
                <w:bCs/>
                <w:snapToGrid w:val="0"/>
                <w:kern w:val="0"/>
                <w:sz w:val="21"/>
                <w:szCs w:val="21"/>
                <w:highlight w:val="none"/>
              </w:rPr>
              <w:t>内容</w:t>
            </w:r>
          </w:p>
        </w:tc>
        <w:tc>
          <w:tcPr>
            <w:tcW w:w="4068" w:type="dxa"/>
            <w:shd w:val="clear" w:color="auto" w:fill="auto"/>
            <w:vAlign w:val="center"/>
          </w:tcPr>
          <w:p>
            <w:pPr>
              <w:widowControl/>
              <w:adjustRightInd w:val="0"/>
              <w:snapToGrid w:val="0"/>
              <w:ind w:firstLine="0" w:firstLineChars="0"/>
              <w:jc w:val="center"/>
              <w:rPr>
                <w:b/>
                <w:bCs/>
                <w:snapToGrid w:val="0"/>
                <w:kern w:val="0"/>
                <w:sz w:val="21"/>
                <w:szCs w:val="21"/>
                <w:highlight w:val="none"/>
              </w:rPr>
            </w:pPr>
            <w:r>
              <w:rPr>
                <w:rFonts w:hint="eastAsia"/>
                <w:b/>
                <w:bCs/>
                <w:snapToGrid w:val="0"/>
                <w:kern w:val="0"/>
                <w:sz w:val="21"/>
                <w:szCs w:val="21"/>
                <w:highlight w:val="none"/>
              </w:rPr>
              <w:t>环保措施</w:t>
            </w:r>
          </w:p>
        </w:tc>
        <w:tc>
          <w:tcPr>
            <w:tcW w:w="1255" w:type="dxa"/>
            <w:gridSpan w:val="2"/>
            <w:shd w:val="clear" w:color="auto" w:fill="auto"/>
            <w:vAlign w:val="center"/>
          </w:tcPr>
          <w:p>
            <w:pPr>
              <w:widowControl/>
              <w:adjustRightInd w:val="0"/>
              <w:snapToGrid w:val="0"/>
              <w:ind w:firstLine="0" w:firstLineChars="0"/>
              <w:jc w:val="center"/>
              <w:rPr>
                <w:b/>
                <w:bCs/>
                <w:snapToGrid w:val="0"/>
                <w:kern w:val="0"/>
                <w:sz w:val="21"/>
                <w:szCs w:val="21"/>
                <w:highlight w:val="none"/>
              </w:rPr>
            </w:pPr>
            <w:r>
              <w:rPr>
                <w:b/>
                <w:bCs/>
                <w:snapToGrid w:val="0"/>
                <w:kern w:val="0"/>
                <w:sz w:val="21"/>
                <w:szCs w:val="21"/>
                <w:highlight w:val="none"/>
              </w:rPr>
              <w:t>投资金额</w:t>
            </w:r>
          </w:p>
          <w:p>
            <w:pPr>
              <w:widowControl/>
              <w:adjustRightInd w:val="0"/>
              <w:snapToGrid w:val="0"/>
              <w:ind w:firstLine="0" w:firstLineChars="0"/>
              <w:jc w:val="center"/>
              <w:rPr>
                <w:b/>
                <w:bCs/>
                <w:snapToGrid w:val="0"/>
                <w:kern w:val="0"/>
                <w:sz w:val="21"/>
                <w:szCs w:val="21"/>
                <w:highlight w:val="none"/>
              </w:rPr>
            </w:pPr>
            <w:r>
              <w:rPr>
                <w:b/>
                <w:bCs/>
                <w:snapToGrid w:val="0"/>
                <w:kern w:val="0"/>
                <w:sz w:val="21"/>
                <w:szCs w:val="21"/>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9293" w:type="dxa"/>
            <w:gridSpan w:val="8"/>
            <w:shd w:val="clear" w:color="auto" w:fill="auto"/>
            <w:vAlign w:val="center"/>
          </w:tcPr>
          <w:p>
            <w:pPr>
              <w:widowControl/>
              <w:adjustRightInd w:val="0"/>
              <w:snapToGrid w:val="0"/>
              <w:ind w:firstLine="0" w:firstLineChars="0"/>
              <w:jc w:val="center"/>
              <w:rPr>
                <w:b/>
                <w:bCs/>
                <w:snapToGrid w:val="0"/>
                <w:kern w:val="0"/>
                <w:sz w:val="21"/>
                <w:szCs w:val="21"/>
                <w:highlight w:val="none"/>
              </w:rPr>
            </w:pPr>
            <w:r>
              <w:rPr>
                <w:rFonts w:hint="eastAsia"/>
                <w:b/>
                <w:bCs/>
                <w:snapToGrid w:val="0"/>
                <w:kern w:val="0"/>
                <w:sz w:val="21"/>
                <w:szCs w:val="21"/>
                <w:highlight w:val="none"/>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33" w:hRule="atLeast"/>
          <w:jc w:val="center"/>
        </w:trPr>
        <w:tc>
          <w:tcPr>
            <w:tcW w:w="526" w:type="dxa"/>
            <w:vAlign w:val="center"/>
          </w:tcPr>
          <w:p>
            <w:pPr>
              <w:widowControl/>
              <w:adjustRightInd w:val="0"/>
              <w:snapToGrid w:val="0"/>
              <w:ind w:firstLine="0" w:firstLineChars="0"/>
              <w:jc w:val="center"/>
              <w:rPr>
                <w:snapToGrid w:val="0"/>
                <w:kern w:val="0"/>
                <w:sz w:val="21"/>
                <w:szCs w:val="21"/>
                <w:highlight w:val="none"/>
              </w:rPr>
            </w:pPr>
            <w:r>
              <w:rPr>
                <w:snapToGrid w:val="0"/>
                <w:kern w:val="0"/>
                <w:sz w:val="21"/>
                <w:szCs w:val="21"/>
                <w:highlight w:val="none"/>
              </w:rPr>
              <w:t>1</w:t>
            </w:r>
          </w:p>
        </w:tc>
        <w:tc>
          <w:tcPr>
            <w:tcW w:w="898" w:type="dxa"/>
            <w:vAlign w:val="center"/>
          </w:tcPr>
          <w:p>
            <w:pPr>
              <w:adjustRightInd w:val="0"/>
              <w:snapToGrid w:val="0"/>
              <w:ind w:firstLine="0" w:firstLineChars="0"/>
              <w:jc w:val="center"/>
              <w:rPr>
                <w:bCs/>
                <w:snapToGrid w:val="0"/>
                <w:kern w:val="0"/>
                <w:sz w:val="21"/>
                <w:szCs w:val="21"/>
                <w:highlight w:val="none"/>
              </w:rPr>
            </w:pPr>
            <w:r>
              <w:rPr>
                <w:bCs/>
                <w:snapToGrid w:val="0"/>
                <w:kern w:val="0"/>
                <w:sz w:val="21"/>
                <w:szCs w:val="21"/>
                <w:highlight w:val="none"/>
              </w:rPr>
              <w:t>废气</w:t>
            </w:r>
          </w:p>
        </w:tc>
        <w:tc>
          <w:tcPr>
            <w:tcW w:w="2539" w:type="dxa"/>
            <w:gridSpan w:val="2"/>
            <w:vAlign w:val="center"/>
          </w:tcPr>
          <w:p>
            <w:pPr>
              <w:adjustRightInd w:val="0"/>
              <w:snapToGrid w:val="0"/>
              <w:ind w:firstLine="0" w:firstLineChars="0"/>
              <w:jc w:val="center"/>
              <w:rPr>
                <w:rFonts w:hint="eastAsia" w:eastAsia="宋体"/>
                <w:bCs/>
                <w:snapToGrid w:val="0"/>
                <w:kern w:val="0"/>
                <w:sz w:val="21"/>
                <w:szCs w:val="21"/>
                <w:highlight w:val="none"/>
                <w:lang w:eastAsia="zh-CN"/>
              </w:rPr>
            </w:pPr>
            <w:r>
              <w:rPr>
                <w:rFonts w:hint="eastAsia"/>
                <w:bCs/>
                <w:snapToGrid w:val="0"/>
                <w:kern w:val="0"/>
                <w:sz w:val="21"/>
                <w:szCs w:val="21"/>
                <w:highlight w:val="none"/>
                <w:lang w:eastAsia="zh-CN"/>
              </w:rPr>
              <w:t>施工扬尘</w:t>
            </w:r>
          </w:p>
        </w:tc>
        <w:tc>
          <w:tcPr>
            <w:tcW w:w="4068" w:type="dxa"/>
            <w:vAlign w:val="center"/>
          </w:tcPr>
          <w:p>
            <w:pPr>
              <w:widowControl/>
              <w:adjustRightInd w:val="0"/>
              <w:snapToGrid w:val="0"/>
              <w:ind w:firstLine="0" w:firstLineChars="0"/>
              <w:jc w:val="center"/>
              <w:rPr>
                <w:snapToGrid w:val="0"/>
                <w:kern w:val="0"/>
                <w:sz w:val="21"/>
                <w:szCs w:val="21"/>
                <w:highlight w:val="none"/>
              </w:rPr>
            </w:pPr>
            <w:r>
              <w:rPr>
                <w:rFonts w:hint="eastAsia"/>
                <w:snapToGrid w:val="0"/>
                <w:kern w:val="0"/>
                <w:sz w:val="21"/>
                <w:szCs w:val="21"/>
                <w:highlight w:val="none"/>
              </w:rPr>
              <w:t>洒水降尘，运输车辆加盖篷布</w:t>
            </w:r>
          </w:p>
        </w:tc>
        <w:tc>
          <w:tcPr>
            <w:tcW w:w="1255" w:type="dxa"/>
            <w:gridSpan w:val="2"/>
            <w:vAlign w:val="center"/>
          </w:tcPr>
          <w:p>
            <w:pPr>
              <w:widowControl/>
              <w:adjustRightInd w:val="0"/>
              <w:snapToGrid w:val="0"/>
              <w:ind w:firstLine="0" w:firstLineChars="0"/>
              <w:jc w:val="center"/>
              <w:rPr>
                <w:rFonts w:hint="default" w:eastAsia="宋体"/>
                <w:snapToGrid w:val="0"/>
                <w:kern w:val="0"/>
                <w:sz w:val="21"/>
                <w:szCs w:val="21"/>
                <w:highlight w:val="none"/>
                <w:lang w:val="en-US" w:eastAsia="zh-CN"/>
              </w:rPr>
            </w:pPr>
            <w:r>
              <w:rPr>
                <w:rFonts w:hint="eastAsia"/>
                <w:snapToGrid w:val="0"/>
                <w:kern w:val="0"/>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33" w:hRule="atLeast"/>
          <w:jc w:val="center"/>
        </w:trPr>
        <w:tc>
          <w:tcPr>
            <w:tcW w:w="526" w:type="dxa"/>
            <w:vMerge w:val="restart"/>
            <w:vAlign w:val="center"/>
          </w:tcPr>
          <w:p>
            <w:pPr>
              <w:widowControl/>
              <w:adjustRightInd w:val="0"/>
              <w:snapToGrid w:val="0"/>
              <w:ind w:firstLine="0" w:firstLineChars="0"/>
              <w:jc w:val="center"/>
              <w:rPr>
                <w:rFonts w:hint="eastAsia" w:eastAsia="宋体"/>
                <w:snapToGrid w:val="0"/>
                <w:kern w:val="0"/>
                <w:sz w:val="21"/>
                <w:szCs w:val="21"/>
                <w:highlight w:val="none"/>
                <w:lang w:val="en-US" w:eastAsia="zh-CN"/>
              </w:rPr>
            </w:pPr>
            <w:r>
              <w:rPr>
                <w:rFonts w:hint="eastAsia"/>
                <w:snapToGrid w:val="0"/>
                <w:kern w:val="0"/>
                <w:sz w:val="21"/>
                <w:szCs w:val="21"/>
                <w:highlight w:val="none"/>
                <w:lang w:val="en-US" w:eastAsia="zh-CN"/>
              </w:rPr>
              <w:t>2</w:t>
            </w:r>
          </w:p>
        </w:tc>
        <w:tc>
          <w:tcPr>
            <w:tcW w:w="898" w:type="dxa"/>
            <w:vMerge w:val="restart"/>
            <w:vAlign w:val="center"/>
          </w:tcPr>
          <w:p>
            <w:pPr>
              <w:adjustRightInd w:val="0"/>
              <w:snapToGrid w:val="0"/>
              <w:ind w:firstLine="0" w:firstLineChars="0"/>
              <w:jc w:val="center"/>
              <w:rPr>
                <w:rFonts w:hint="eastAsia" w:eastAsia="宋体"/>
                <w:bCs/>
                <w:snapToGrid w:val="0"/>
                <w:kern w:val="0"/>
                <w:sz w:val="21"/>
                <w:szCs w:val="21"/>
                <w:highlight w:val="none"/>
                <w:lang w:eastAsia="zh-CN"/>
              </w:rPr>
            </w:pPr>
            <w:r>
              <w:rPr>
                <w:rFonts w:hint="eastAsia"/>
                <w:bCs/>
                <w:snapToGrid w:val="0"/>
                <w:kern w:val="0"/>
                <w:sz w:val="21"/>
                <w:szCs w:val="21"/>
                <w:highlight w:val="none"/>
                <w:lang w:eastAsia="zh-CN"/>
              </w:rPr>
              <w:t>废水</w:t>
            </w:r>
          </w:p>
        </w:tc>
        <w:tc>
          <w:tcPr>
            <w:tcW w:w="2539" w:type="dxa"/>
            <w:gridSpan w:val="2"/>
            <w:vAlign w:val="center"/>
          </w:tcPr>
          <w:p>
            <w:pPr>
              <w:adjustRightInd w:val="0"/>
              <w:snapToGrid w:val="0"/>
              <w:ind w:firstLine="0" w:firstLineChars="0"/>
              <w:jc w:val="center"/>
              <w:rPr>
                <w:rFonts w:hint="eastAsia"/>
                <w:bCs/>
                <w:snapToGrid w:val="0"/>
                <w:kern w:val="0"/>
                <w:sz w:val="21"/>
                <w:szCs w:val="21"/>
                <w:highlight w:val="none"/>
                <w:lang w:eastAsia="zh-CN"/>
              </w:rPr>
            </w:pPr>
            <w:r>
              <w:rPr>
                <w:rFonts w:hint="eastAsia"/>
                <w:bCs/>
                <w:snapToGrid w:val="0"/>
                <w:kern w:val="0"/>
                <w:sz w:val="21"/>
                <w:szCs w:val="21"/>
                <w:highlight w:val="none"/>
                <w:lang w:eastAsia="zh-CN"/>
              </w:rPr>
              <w:t>施工废水</w:t>
            </w:r>
          </w:p>
        </w:tc>
        <w:tc>
          <w:tcPr>
            <w:tcW w:w="4068" w:type="dxa"/>
            <w:vAlign w:val="center"/>
          </w:tcPr>
          <w:p>
            <w:pPr>
              <w:widowControl/>
              <w:adjustRightInd w:val="0"/>
              <w:snapToGrid w:val="0"/>
              <w:ind w:firstLine="0" w:firstLineChars="0"/>
              <w:jc w:val="center"/>
              <w:rPr>
                <w:rFonts w:hint="eastAsia"/>
                <w:snapToGrid w:val="0"/>
                <w:kern w:val="0"/>
                <w:sz w:val="21"/>
                <w:szCs w:val="21"/>
                <w:highlight w:val="none"/>
              </w:rPr>
            </w:pPr>
            <w:r>
              <w:rPr>
                <w:rFonts w:ascii="Times New Roman" w:hAnsi="Times New Roman" w:eastAsia="宋体"/>
                <w:sz w:val="21"/>
                <w:highlight w:val="none"/>
              </w:rPr>
              <w:t>沉淀池（1 个，3m</w:t>
            </w:r>
            <w:r>
              <w:rPr>
                <w:rFonts w:ascii="Times New Roman" w:hAnsi="Times New Roman" w:eastAsia="宋体"/>
                <w:position w:val="7"/>
                <w:sz w:val="13"/>
                <w:highlight w:val="none"/>
              </w:rPr>
              <w:t>3</w:t>
            </w:r>
            <w:r>
              <w:rPr>
                <w:rFonts w:ascii="Times New Roman" w:hAnsi="Times New Roman" w:eastAsia="宋体"/>
                <w:sz w:val="21"/>
                <w:highlight w:val="none"/>
              </w:rPr>
              <w:t>）</w:t>
            </w:r>
          </w:p>
        </w:tc>
        <w:tc>
          <w:tcPr>
            <w:tcW w:w="1255" w:type="dxa"/>
            <w:gridSpan w:val="2"/>
            <w:vAlign w:val="center"/>
          </w:tcPr>
          <w:p>
            <w:pPr>
              <w:widowControl/>
              <w:adjustRightInd w:val="0"/>
              <w:snapToGrid w:val="0"/>
              <w:ind w:firstLine="0" w:firstLineChars="0"/>
              <w:jc w:val="center"/>
              <w:rPr>
                <w:rFonts w:hint="default"/>
                <w:snapToGrid w:val="0"/>
                <w:kern w:val="0"/>
                <w:sz w:val="21"/>
                <w:szCs w:val="21"/>
                <w:highlight w:val="none"/>
                <w:lang w:val="en-US" w:eastAsia="zh-CN"/>
              </w:rPr>
            </w:pPr>
            <w:r>
              <w:rPr>
                <w:rFonts w:hint="eastAsia"/>
                <w:snapToGrid w:val="0"/>
                <w:kern w:val="0"/>
                <w:sz w:val="21"/>
                <w:szCs w:val="21"/>
                <w:highlight w:val="no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33" w:hRule="atLeast"/>
          <w:jc w:val="center"/>
        </w:trPr>
        <w:tc>
          <w:tcPr>
            <w:tcW w:w="526" w:type="dxa"/>
            <w:vMerge w:val="continue"/>
            <w:vAlign w:val="center"/>
          </w:tcPr>
          <w:p>
            <w:pPr>
              <w:widowControl/>
              <w:adjustRightInd w:val="0"/>
              <w:snapToGrid w:val="0"/>
              <w:ind w:firstLine="0" w:firstLineChars="0"/>
              <w:jc w:val="center"/>
              <w:rPr>
                <w:snapToGrid w:val="0"/>
                <w:kern w:val="0"/>
                <w:sz w:val="21"/>
                <w:szCs w:val="21"/>
                <w:highlight w:val="none"/>
              </w:rPr>
            </w:pPr>
          </w:p>
        </w:tc>
        <w:tc>
          <w:tcPr>
            <w:tcW w:w="898" w:type="dxa"/>
            <w:vMerge w:val="continue"/>
            <w:vAlign w:val="center"/>
          </w:tcPr>
          <w:p>
            <w:pPr>
              <w:adjustRightInd w:val="0"/>
              <w:snapToGrid w:val="0"/>
              <w:ind w:firstLine="0" w:firstLineChars="0"/>
              <w:jc w:val="center"/>
              <w:rPr>
                <w:bCs/>
                <w:snapToGrid w:val="0"/>
                <w:kern w:val="0"/>
                <w:sz w:val="21"/>
                <w:szCs w:val="21"/>
                <w:highlight w:val="none"/>
              </w:rPr>
            </w:pPr>
          </w:p>
        </w:tc>
        <w:tc>
          <w:tcPr>
            <w:tcW w:w="2539" w:type="dxa"/>
            <w:gridSpan w:val="2"/>
            <w:vAlign w:val="center"/>
          </w:tcPr>
          <w:p>
            <w:pPr>
              <w:adjustRightInd w:val="0"/>
              <w:snapToGrid w:val="0"/>
              <w:ind w:firstLine="0" w:firstLineChars="0"/>
              <w:jc w:val="center"/>
              <w:rPr>
                <w:rFonts w:hint="eastAsia"/>
                <w:bCs/>
                <w:snapToGrid w:val="0"/>
                <w:kern w:val="0"/>
                <w:sz w:val="21"/>
                <w:szCs w:val="21"/>
                <w:highlight w:val="none"/>
                <w:lang w:eastAsia="zh-CN"/>
              </w:rPr>
            </w:pPr>
            <w:r>
              <w:rPr>
                <w:rFonts w:hint="eastAsia"/>
                <w:bCs/>
                <w:snapToGrid w:val="0"/>
                <w:kern w:val="0"/>
                <w:sz w:val="21"/>
                <w:szCs w:val="21"/>
                <w:highlight w:val="none"/>
                <w:lang w:eastAsia="zh-CN"/>
              </w:rPr>
              <w:t>初期雨水</w:t>
            </w:r>
          </w:p>
        </w:tc>
        <w:tc>
          <w:tcPr>
            <w:tcW w:w="4068" w:type="dxa"/>
            <w:vAlign w:val="center"/>
          </w:tcPr>
          <w:p>
            <w:pPr>
              <w:widowControl/>
              <w:adjustRightInd w:val="0"/>
              <w:snapToGrid w:val="0"/>
              <w:ind w:firstLine="0" w:firstLineChars="0"/>
              <w:jc w:val="center"/>
              <w:rPr>
                <w:rFonts w:hint="eastAsia"/>
                <w:snapToGrid w:val="0"/>
                <w:kern w:val="0"/>
                <w:sz w:val="21"/>
                <w:szCs w:val="21"/>
                <w:highlight w:val="none"/>
              </w:rPr>
            </w:pPr>
            <w:r>
              <w:rPr>
                <w:rFonts w:ascii="Times New Roman" w:hAnsi="Times New Roman" w:eastAsia="宋体"/>
                <w:sz w:val="21"/>
                <w:highlight w:val="none"/>
              </w:rPr>
              <w:t>雨水沉淀池（1 个，30m</w:t>
            </w:r>
            <w:r>
              <w:rPr>
                <w:rFonts w:ascii="Times New Roman" w:hAnsi="Times New Roman" w:eastAsia="宋体"/>
                <w:position w:val="7"/>
                <w:sz w:val="13"/>
                <w:highlight w:val="none"/>
              </w:rPr>
              <w:t>3</w:t>
            </w:r>
            <w:r>
              <w:rPr>
                <w:rFonts w:ascii="Times New Roman" w:hAnsi="Times New Roman" w:eastAsia="宋体"/>
                <w:sz w:val="21"/>
                <w:highlight w:val="none"/>
              </w:rPr>
              <w:t>）</w:t>
            </w:r>
          </w:p>
        </w:tc>
        <w:tc>
          <w:tcPr>
            <w:tcW w:w="1255" w:type="dxa"/>
            <w:gridSpan w:val="2"/>
            <w:vAlign w:val="center"/>
          </w:tcPr>
          <w:p>
            <w:pPr>
              <w:widowControl/>
              <w:adjustRightInd w:val="0"/>
              <w:snapToGrid w:val="0"/>
              <w:ind w:firstLine="0" w:firstLineChars="0"/>
              <w:jc w:val="center"/>
              <w:rPr>
                <w:rFonts w:hint="default"/>
                <w:snapToGrid w:val="0"/>
                <w:kern w:val="0"/>
                <w:sz w:val="21"/>
                <w:szCs w:val="21"/>
                <w:highlight w:val="none"/>
                <w:lang w:val="en-US" w:eastAsia="zh-CN"/>
              </w:rPr>
            </w:pPr>
            <w:r>
              <w:rPr>
                <w:rFonts w:hint="eastAsia"/>
                <w:snapToGrid w:val="0"/>
                <w:kern w:val="0"/>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33" w:hRule="atLeast"/>
          <w:jc w:val="center"/>
        </w:trPr>
        <w:tc>
          <w:tcPr>
            <w:tcW w:w="526" w:type="dxa"/>
            <w:vAlign w:val="center"/>
          </w:tcPr>
          <w:p>
            <w:pPr>
              <w:widowControl/>
              <w:adjustRightInd w:val="0"/>
              <w:snapToGrid w:val="0"/>
              <w:ind w:firstLine="0" w:firstLineChars="0"/>
              <w:jc w:val="center"/>
              <w:rPr>
                <w:rFonts w:hint="eastAsia" w:eastAsia="宋体"/>
                <w:snapToGrid w:val="0"/>
                <w:kern w:val="0"/>
                <w:sz w:val="21"/>
                <w:szCs w:val="21"/>
                <w:highlight w:val="none"/>
                <w:lang w:val="en-US" w:eastAsia="zh-CN"/>
              </w:rPr>
            </w:pPr>
            <w:r>
              <w:rPr>
                <w:rFonts w:hint="eastAsia"/>
                <w:snapToGrid w:val="0"/>
                <w:kern w:val="0"/>
                <w:sz w:val="21"/>
                <w:szCs w:val="21"/>
                <w:highlight w:val="none"/>
                <w:lang w:val="en-US" w:eastAsia="zh-CN"/>
              </w:rPr>
              <w:t>3</w:t>
            </w:r>
          </w:p>
        </w:tc>
        <w:tc>
          <w:tcPr>
            <w:tcW w:w="898" w:type="dxa"/>
            <w:vAlign w:val="center"/>
          </w:tcPr>
          <w:p>
            <w:pPr>
              <w:adjustRightInd w:val="0"/>
              <w:snapToGrid w:val="0"/>
              <w:ind w:firstLine="0" w:firstLineChars="0"/>
              <w:jc w:val="center"/>
              <w:rPr>
                <w:rFonts w:hint="eastAsia" w:eastAsia="宋体"/>
                <w:bCs/>
                <w:snapToGrid w:val="0"/>
                <w:kern w:val="0"/>
                <w:sz w:val="21"/>
                <w:szCs w:val="21"/>
                <w:highlight w:val="none"/>
                <w:lang w:eastAsia="zh-CN"/>
              </w:rPr>
            </w:pPr>
            <w:r>
              <w:rPr>
                <w:rFonts w:hint="eastAsia"/>
                <w:bCs/>
                <w:snapToGrid w:val="0"/>
                <w:kern w:val="0"/>
                <w:sz w:val="21"/>
                <w:szCs w:val="21"/>
                <w:highlight w:val="none"/>
                <w:lang w:eastAsia="zh-CN"/>
              </w:rPr>
              <w:t>噪声</w:t>
            </w:r>
          </w:p>
        </w:tc>
        <w:tc>
          <w:tcPr>
            <w:tcW w:w="2539" w:type="dxa"/>
            <w:gridSpan w:val="2"/>
            <w:vAlign w:val="center"/>
          </w:tcPr>
          <w:p>
            <w:pPr>
              <w:adjustRightInd w:val="0"/>
              <w:snapToGrid w:val="0"/>
              <w:ind w:firstLine="0" w:firstLineChars="0"/>
              <w:jc w:val="center"/>
              <w:rPr>
                <w:rFonts w:hint="eastAsia"/>
                <w:bCs/>
                <w:snapToGrid w:val="0"/>
                <w:kern w:val="0"/>
                <w:sz w:val="21"/>
                <w:szCs w:val="21"/>
                <w:highlight w:val="none"/>
                <w:lang w:eastAsia="zh-CN"/>
              </w:rPr>
            </w:pPr>
            <w:r>
              <w:rPr>
                <w:rFonts w:hint="eastAsia"/>
                <w:bCs/>
                <w:snapToGrid w:val="0"/>
                <w:kern w:val="0"/>
                <w:sz w:val="21"/>
                <w:szCs w:val="21"/>
                <w:highlight w:val="none"/>
                <w:lang w:eastAsia="zh-CN"/>
              </w:rPr>
              <w:t>设备噪声</w:t>
            </w:r>
          </w:p>
        </w:tc>
        <w:tc>
          <w:tcPr>
            <w:tcW w:w="4068" w:type="dxa"/>
            <w:vAlign w:val="center"/>
          </w:tcPr>
          <w:p>
            <w:pPr>
              <w:widowControl/>
              <w:adjustRightInd w:val="0"/>
              <w:snapToGrid w:val="0"/>
              <w:ind w:firstLine="0" w:firstLineChars="0"/>
              <w:jc w:val="center"/>
              <w:rPr>
                <w:rFonts w:hint="eastAsia"/>
                <w:snapToGrid w:val="0"/>
                <w:kern w:val="0"/>
                <w:sz w:val="21"/>
                <w:szCs w:val="21"/>
                <w:highlight w:val="none"/>
              </w:rPr>
            </w:pPr>
            <w:r>
              <w:rPr>
                <w:rFonts w:hint="eastAsia"/>
                <w:snapToGrid w:val="0"/>
                <w:kern w:val="0"/>
                <w:sz w:val="21"/>
                <w:szCs w:val="21"/>
                <w:highlight w:val="none"/>
              </w:rPr>
              <w:t>选用低噪设备、基础减震等措施</w:t>
            </w:r>
          </w:p>
        </w:tc>
        <w:tc>
          <w:tcPr>
            <w:tcW w:w="1255" w:type="dxa"/>
            <w:gridSpan w:val="2"/>
            <w:vAlign w:val="center"/>
          </w:tcPr>
          <w:p>
            <w:pPr>
              <w:widowControl/>
              <w:adjustRightInd w:val="0"/>
              <w:snapToGrid w:val="0"/>
              <w:ind w:firstLine="0" w:firstLineChars="0"/>
              <w:jc w:val="center"/>
              <w:rPr>
                <w:rFonts w:hint="default"/>
                <w:snapToGrid w:val="0"/>
                <w:kern w:val="0"/>
                <w:sz w:val="21"/>
                <w:szCs w:val="21"/>
                <w:highlight w:val="none"/>
                <w:lang w:val="en-US" w:eastAsia="zh-CN"/>
              </w:rPr>
            </w:pPr>
            <w:r>
              <w:rPr>
                <w:rFonts w:hint="eastAsia"/>
                <w:snapToGrid w:val="0"/>
                <w:kern w:val="0"/>
                <w:sz w:val="21"/>
                <w:szCs w:val="21"/>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33" w:hRule="atLeast"/>
          <w:jc w:val="center"/>
        </w:trPr>
        <w:tc>
          <w:tcPr>
            <w:tcW w:w="526" w:type="dxa"/>
            <w:vMerge w:val="restart"/>
            <w:vAlign w:val="center"/>
          </w:tcPr>
          <w:p>
            <w:pPr>
              <w:widowControl/>
              <w:adjustRightInd w:val="0"/>
              <w:snapToGrid w:val="0"/>
              <w:ind w:firstLine="0" w:firstLineChars="0"/>
              <w:jc w:val="center"/>
              <w:rPr>
                <w:rFonts w:hint="eastAsia" w:eastAsia="宋体"/>
                <w:snapToGrid w:val="0"/>
                <w:kern w:val="0"/>
                <w:sz w:val="21"/>
                <w:szCs w:val="21"/>
                <w:highlight w:val="none"/>
                <w:lang w:eastAsia="zh-CN"/>
              </w:rPr>
            </w:pPr>
            <w:r>
              <w:rPr>
                <w:rFonts w:hint="eastAsia"/>
                <w:snapToGrid w:val="0"/>
                <w:kern w:val="0"/>
                <w:sz w:val="21"/>
                <w:szCs w:val="21"/>
                <w:highlight w:val="none"/>
                <w:lang w:val="en-US" w:eastAsia="zh-CN"/>
              </w:rPr>
              <w:t>4</w:t>
            </w:r>
          </w:p>
        </w:tc>
        <w:tc>
          <w:tcPr>
            <w:tcW w:w="898" w:type="dxa"/>
            <w:vMerge w:val="restart"/>
            <w:vAlign w:val="center"/>
          </w:tcPr>
          <w:p>
            <w:pPr>
              <w:widowControl/>
              <w:adjustRightInd w:val="0"/>
              <w:snapToGrid w:val="0"/>
              <w:ind w:firstLine="0" w:firstLineChars="0"/>
              <w:jc w:val="center"/>
              <w:rPr>
                <w:snapToGrid w:val="0"/>
                <w:kern w:val="0"/>
                <w:sz w:val="21"/>
                <w:szCs w:val="21"/>
                <w:highlight w:val="none"/>
              </w:rPr>
            </w:pPr>
            <w:r>
              <w:rPr>
                <w:snapToGrid w:val="0"/>
                <w:kern w:val="0"/>
                <w:sz w:val="21"/>
                <w:szCs w:val="21"/>
                <w:highlight w:val="none"/>
              </w:rPr>
              <w:t>固废</w:t>
            </w:r>
          </w:p>
        </w:tc>
        <w:tc>
          <w:tcPr>
            <w:tcW w:w="2539" w:type="dxa"/>
            <w:gridSpan w:val="2"/>
            <w:vAlign w:val="center"/>
          </w:tcPr>
          <w:p>
            <w:pPr>
              <w:widowControl/>
              <w:adjustRightInd w:val="0"/>
              <w:snapToGrid w:val="0"/>
              <w:ind w:firstLine="0" w:firstLineChars="0"/>
              <w:jc w:val="center"/>
              <w:rPr>
                <w:rFonts w:hint="eastAsia" w:eastAsia="宋体"/>
                <w:snapToGrid w:val="0"/>
                <w:kern w:val="0"/>
                <w:sz w:val="21"/>
                <w:szCs w:val="21"/>
                <w:highlight w:val="none"/>
                <w:lang w:eastAsia="zh-CN"/>
              </w:rPr>
            </w:pPr>
            <w:r>
              <w:rPr>
                <w:rFonts w:hint="eastAsia"/>
                <w:bCs/>
                <w:snapToGrid w:val="0"/>
                <w:kern w:val="0"/>
                <w:sz w:val="21"/>
                <w:szCs w:val="21"/>
                <w:highlight w:val="none"/>
                <w:lang w:eastAsia="zh-CN"/>
              </w:rPr>
              <w:t>建筑垃圾</w:t>
            </w:r>
          </w:p>
        </w:tc>
        <w:tc>
          <w:tcPr>
            <w:tcW w:w="4068" w:type="dxa"/>
            <w:vAlign w:val="center"/>
          </w:tcPr>
          <w:p>
            <w:pPr>
              <w:widowControl/>
              <w:adjustRightInd w:val="0"/>
              <w:snapToGrid w:val="0"/>
              <w:ind w:firstLine="0" w:firstLineChars="0"/>
              <w:jc w:val="center"/>
              <w:rPr>
                <w:rFonts w:hint="eastAsia" w:eastAsia="宋体"/>
                <w:snapToGrid w:val="0"/>
                <w:kern w:val="0"/>
                <w:sz w:val="21"/>
                <w:szCs w:val="21"/>
                <w:highlight w:val="none"/>
                <w:lang w:eastAsia="zh-CN"/>
              </w:rPr>
            </w:pPr>
            <w:r>
              <w:rPr>
                <w:rFonts w:hint="eastAsia"/>
                <w:snapToGrid w:val="0"/>
                <w:kern w:val="0"/>
                <w:sz w:val="21"/>
                <w:szCs w:val="21"/>
                <w:highlight w:val="none"/>
                <w:lang w:eastAsia="zh-CN"/>
              </w:rPr>
              <w:t>分类收集，可回收利用的回收利用，不可回收利用的清运至当地管理部门指定地点处置</w:t>
            </w:r>
          </w:p>
        </w:tc>
        <w:tc>
          <w:tcPr>
            <w:tcW w:w="1255" w:type="dxa"/>
            <w:gridSpan w:val="2"/>
            <w:vAlign w:val="center"/>
          </w:tcPr>
          <w:p>
            <w:pPr>
              <w:widowControl/>
              <w:adjustRightInd w:val="0"/>
              <w:snapToGrid w:val="0"/>
              <w:ind w:firstLine="0" w:firstLineChars="0"/>
              <w:jc w:val="center"/>
              <w:rPr>
                <w:rFonts w:hint="default" w:eastAsia="宋体"/>
                <w:snapToGrid w:val="0"/>
                <w:kern w:val="0"/>
                <w:sz w:val="21"/>
                <w:szCs w:val="21"/>
                <w:highlight w:val="none"/>
                <w:lang w:val="en-US" w:eastAsia="zh-CN"/>
              </w:rPr>
            </w:pPr>
            <w:r>
              <w:rPr>
                <w:rFonts w:hint="eastAsia"/>
                <w:snapToGrid w:val="0"/>
                <w:kern w:val="0"/>
                <w:sz w:val="21"/>
                <w:szCs w:val="21"/>
                <w:highlight w:val="non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33" w:hRule="atLeast"/>
          <w:jc w:val="center"/>
        </w:trPr>
        <w:tc>
          <w:tcPr>
            <w:tcW w:w="526" w:type="dxa"/>
            <w:vMerge w:val="continue"/>
            <w:vAlign w:val="center"/>
          </w:tcPr>
          <w:p>
            <w:pPr>
              <w:widowControl/>
              <w:adjustRightInd w:val="0"/>
              <w:snapToGrid w:val="0"/>
              <w:ind w:firstLine="0" w:firstLineChars="0"/>
              <w:jc w:val="center"/>
              <w:rPr>
                <w:rFonts w:hint="eastAsia"/>
                <w:snapToGrid w:val="0"/>
                <w:kern w:val="0"/>
                <w:sz w:val="21"/>
                <w:szCs w:val="21"/>
                <w:highlight w:val="none"/>
              </w:rPr>
            </w:pPr>
          </w:p>
        </w:tc>
        <w:tc>
          <w:tcPr>
            <w:tcW w:w="898" w:type="dxa"/>
            <w:vMerge w:val="continue"/>
            <w:vAlign w:val="center"/>
          </w:tcPr>
          <w:p>
            <w:pPr>
              <w:widowControl/>
              <w:adjustRightInd w:val="0"/>
              <w:snapToGrid w:val="0"/>
              <w:ind w:firstLine="0" w:firstLineChars="0"/>
              <w:jc w:val="center"/>
              <w:rPr>
                <w:snapToGrid w:val="0"/>
                <w:kern w:val="0"/>
                <w:sz w:val="21"/>
                <w:szCs w:val="21"/>
                <w:highlight w:val="none"/>
              </w:rPr>
            </w:pPr>
          </w:p>
        </w:tc>
        <w:tc>
          <w:tcPr>
            <w:tcW w:w="2539" w:type="dxa"/>
            <w:gridSpan w:val="2"/>
            <w:vAlign w:val="center"/>
          </w:tcPr>
          <w:p>
            <w:pPr>
              <w:widowControl/>
              <w:adjustRightInd w:val="0"/>
              <w:snapToGrid w:val="0"/>
              <w:ind w:firstLine="0" w:firstLineChars="0"/>
              <w:jc w:val="center"/>
              <w:rPr>
                <w:rFonts w:hint="eastAsia" w:eastAsia="宋体"/>
                <w:bCs/>
                <w:snapToGrid w:val="0"/>
                <w:kern w:val="0"/>
                <w:sz w:val="21"/>
                <w:szCs w:val="21"/>
                <w:highlight w:val="none"/>
                <w:lang w:eastAsia="zh-CN"/>
              </w:rPr>
            </w:pPr>
            <w:r>
              <w:rPr>
                <w:rFonts w:hint="eastAsia"/>
                <w:bCs/>
                <w:snapToGrid w:val="0"/>
                <w:kern w:val="0"/>
                <w:sz w:val="21"/>
                <w:szCs w:val="21"/>
                <w:highlight w:val="none"/>
                <w:lang w:eastAsia="zh-CN"/>
              </w:rPr>
              <w:t>生活垃圾</w:t>
            </w:r>
          </w:p>
        </w:tc>
        <w:tc>
          <w:tcPr>
            <w:tcW w:w="4068" w:type="dxa"/>
            <w:vAlign w:val="center"/>
          </w:tcPr>
          <w:p>
            <w:pPr>
              <w:widowControl/>
              <w:adjustRightInd w:val="0"/>
              <w:snapToGrid w:val="0"/>
              <w:ind w:firstLine="0" w:firstLineChars="0"/>
              <w:jc w:val="center"/>
              <w:rPr>
                <w:rFonts w:hint="eastAsia" w:eastAsia="宋体"/>
                <w:snapToGrid w:val="0"/>
                <w:kern w:val="0"/>
                <w:sz w:val="21"/>
                <w:szCs w:val="21"/>
                <w:highlight w:val="none"/>
                <w:lang w:eastAsia="zh-CN"/>
              </w:rPr>
            </w:pPr>
            <w:r>
              <w:rPr>
                <w:rFonts w:hint="eastAsia"/>
                <w:snapToGrid w:val="0"/>
                <w:kern w:val="0"/>
                <w:sz w:val="21"/>
                <w:szCs w:val="21"/>
                <w:highlight w:val="none"/>
                <w:lang w:eastAsia="zh-CN"/>
              </w:rPr>
              <w:t>垃圾桶</w:t>
            </w:r>
          </w:p>
        </w:tc>
        <w:tc>
          <w:tcPr>
            <w:tcW w:w="1255" w:type="dxa"/>
            <w:gridSpan w:val="2"/>
            <w:vAlign w:val="center"/>
          </w:tcPr>
          <w:p>
            <w:pPr>
              <w:widowControl/>
              <w:adjustRightInd w:val="0"/>
              <w:snapToGrid w:val="0"/>
              <w:ind w:firstLine="0" w:firstLineChars="0"/>
              <w:jc w:val="center"/>
              <w:rPr>
                <w:rFonts w:hint="default" w:eastAsia="宋体"/>
                <w:snapToGrid w:val="0"/>
                <w:kern w:val="0"/>
                <w:sz w:val="21"/>
                <w:szCs w:val="21"/>
                <w:highlight w:val="none"/>
                <w:lang w:val="en-US" w:eastAsia="zh-CN"/>
              </w:rPr>
            </w:pPr>
            <w:r>
              <w:rPr>
                <w:rFonts w:hint="eastAsia"/>
                <w:snapToGrid w:val="0"/>
                <w:kern w:val="0"/>
                <w:sz w:val="21"/>
                <w:szCs w:val="21"/>
                <w:highlight w:val="no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33" w:hRule="atLeast"/>
          <w:jc w:val="center"/>
        </w:trPr>
        <w:tc>
          <w:tcPr>
            <w:tcW w:w="8031" w:type="dxa"/>
            <w:gridSpan w:val="5"/>
            <w:vAlign w:val="center"/>
          </w:tcPr>
          <w:p>
            <w:pPr>
              <w:widowControl/>
              <w:adjustRightInd w:val="0"/>
              <w:snapToGrid w:val="0"/>
              <w:ind w:firstLine="0" w:firstLineChars="0"/>
              <w:jc w:val="center"/>
              <w:rPr>
                <w:b/>
                <w:bCs/>
                <w:snapToGrid w:val="0"/>
                <w:kern w:val="0"/>
                <w:sz w:val="21"/>
                <w:szCs w:val="21"/>
                <w:highlight w:val="none"/>
              </w:rPr>
            </w:pPr>
            <w:r>
              <w:rPr>
                <w:rFonts w:hint="eastAsia"/>
                <w:b/>
                <w:bCs/>
                <w:snapToGrid w:val="0"/>
                <w:kern w:val="0"/>
                <w:sz w:val="21"/>
                <w:szCs w:val="21"/>
                <w:highlight w:val="none"/>
              </w:rPr>
              <w:t>小计</w:t>
            </w:r>
          </w:p>
        </w:tc>
        <w:tc>
          <w:tcPr>
            <w:tcW w:w="1255" w:type="dxa"/>
            <w:gridSpan w:val="2"/>
            <w:vAlign w:val="center"/>
          </w:tcPr>
          <w:p>
            <w:pPr>
              <w:widowControl/>
              <w:adjustRightInd w:val="0"/>
              <w:snapToGrid w:val="0"/>
              <w:ind w:firstLine="0" w:firstLineChars="0"/>
              <w:jc w:val="center"/>
              <w:rPr>
                <w:rFonts w:hint="default" w:eastAsia="宋体"/>
                <w:b/>
                <w:bCs/>
                <w:snapToGrid w:val="0"/>
                <w:kern w:val="0"/>
                <w:sz w:val="21"/>
                <w:szCs w:val="21"/>
                <w:highlight w:val="none"/>
                <w:lang w:val="en-US" w:eastAsia="zh-CN"/>
              </w:rPr>
            </w:pPr>
            <w:r>
              <w:rPr>
                <w:rFonts w:hint="eastAsia"/>
                <w:b/>
                <w:bCs/>
                <w:snapToGrid w:val="0"/>
                <w:kern w:val="0"/>
                <w:sz w:val="21"/>
                <w:szCs w:val="21"/>
                <w:highlight w:val="none"/>
                <w:lang w:val="en-US" w:eastAsia="zh-CN"/>
              </w:rPr>
              <w:t>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9293" w:type="dxa"/>
            <w:gridSpan w:val="8"/>
            <w:shd w:val="clear" w:color="auto" w:fill="auto"/>
            <w:vAlign w:val="center"/>
          </w:tcPr>
          <w:p>
            <w:pPr>
              <w:widowControl/>
              <w:adjustRightInd w:val="0"/>
              <w:snapToGrid w:val="0"/>
              <w:ind w:firstLine="0" w:firstLineChars="0"/>
              <w:jc w:val="center"/>
              <w:rPr>
                <w:b/>
                <w:bCs/>
                <w:snapToGrid w:val="0"/>
                <w:kern w:val="0"/>
                <w:sz w:val="21"/>
                <w:szCs w:val="21"/>
                <w:highlight w:val="none"/>
              </w:rPr>
            </w:pPr>
            <w:r>
              <w:rPr>
                <w:rFonts w:hint="eastAsia"/>
                <w:b/>
                <w:bCs/>
                <w:snapToGrid w:val="0"/>
                <w:kern w:val="0"/>
                <w:sz w:val="21"/>
                <w:szCs w:val="21"/>
                <w:highlight w:val="none"/>
              </w:rPr>
              <w:t>运营期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837" w:hRule="atLeast"/>
          <w:jc w:val="center"/>
        </w:trPr>
        <w:tc>
          <w:tcPr>
            <w:tcW w:w="526" w:type="dxa"/>
            <w:vAlign w:val="center"/>
          </w:tcPr>
          <w:p>
            <w:pPr>
              <w:widowControl/>
              <w:adjustRightInd w:val="0"/>
              <w:snapToGrid w:val="0"/>
              <w:ind w:firstLine="0" w:firstLineChars="0"/>
              <w:jc w:val="center"/>
              <w:rPr>
                <w:snapToGrid w:val="0"/>
                <w:kern w:val="0"/>
                <w:sz w:val="21"/>
                <w:szCs w:val="21"/>
                <w:highlight w:val="none"/>
              </w:rPr>
            </w:pPr>
            <w:r>
              <w:rPr>
                <w:snapToGrid w:val="0"/>
                <w:kern w:val="0"/>
                <w:sz w:val="21"/>
                <w:szCs w:val="21"/>
                <w:highlight w:val="none"/>
              </w:rPr>
              <w:t>1</w:t>
            </w:r>
          </w:p>
        </w:tc>
        <w:tc>
          <w:tcPr>
            <w:tcW w:w="898" w:type="dxa"/>
            <w:vMerge w:val="restart"/>
            <w:vAlign w:val="center"/>
          </w:tcPr>
          <w:p>
            <w:pPr>
              <w:widowControl/>
              <w:adjustRightInd w:val="0"/>
              <w:snapToGrid w:val="0"/>
              <w:ind w:firstLine="0" w:firstLineChars="0"/>
              <w:jc w:val="center"/>
              <w:rPr>
                <w:snapToGrid w:val="0"/>
                <w:kern w:val="0"/>
                <w:sz w:val="21"/>
                <w:szCs w:val="21"/>
                <w:highlight w:val="none"/>
              </w:rPr>
            </w:pPr>
            <w:r>
              <w:rPr>
                <w:snapToGrid w:val="0"/>
                <w:kern w:val="0"/>
                <w:sz w:val="21"/>
                <w:szCs w:val="21"/>
                <w:highlight w:val="none"/>
              </w:rPr>
              <w:t>废气</w:t>
            </w:r>
          </w:p>
        </w:tc>
        <w:tc>
          <w:tcPr>
            <w:tcW w:w="2539" w:type="dxa"/>
            <w:gridSpan w:val="2"/>
            <w:vAlign w:val="center"/>
          </w:tcPr>
          <w:p>
            <w:pPr>
              <w:widowControl/>
              <w:adjustRightInd w:val="0"/>
              <w:snapToGrid w:val="0"/>
              <w:ind w:firstLine="0" w:firstLineChars="0"/>
              <w:jc w:val="center"/>
              <w:rPr>
                <w:snapToGrid w:val="0"/>
                <w:kern w:val="0"/>
                <w:sz w:val="21"/>
                <w:szCs w:val="21"/>
                <w:highlight w:val="none"/>
              </w:rPr>
            </w:pPr>
            <w:r>
              <w:rPr>
                <w:rFonts w:hint="eastAsia"/>
                <w:snapToGrid w:val="0"/>
                <w:kern w:val="0"/>
                <w:sz w:val="21"/>
                <w:szCs w:val="21"/>
                <w:highlight w:val="none"/>
              </w:rPr>
              <w:t>采区粉尘治理</w:t>
            </w:r>
          </w:p>
        </w:tc>
        <w:tc>
          <w:tcPr>
            <w:tcW w:w="4068" w:type="dxa"/>
            <w:vAlign w:val="center"/>
          </w:tcPr>
          <w:p>
            <w:pPr>
              <w:widowControl/>
              <w:adjustRightInd w:val="0"/>
              <w:snapToGrid w:val="0"/>
              <w:ind w:firstLine="420"/>
              <w:jc w:val="both"/>
              <w:rPr>
                <w:rFonts w:hint="eastAsia" w:eastAsia="宋体"/>
                <w:snapToGrid w:val="0"/>
                <w:kern w:val="0"/>
                <w:sz w:val="21"/>
                <w:szCs w:val="21"/>
                <w:highlight w:val="none"/>
                <w:lang w:eastAsia="zh-CN"/>
              </w:rPr>
            </w:pPr>
            <w:r>
              <w:rPr>
                <w:sz w:val="21"/>
                <w:szCs w:val="21"/>
                <w:highlight w:val="none"/>
              </w:rPr>
              <w:t>采矿区、运输道路</w:t>
            </w:r>
            <w:r>
              <w:rPr>
                <w:rFonts w:hint="eastAsia"/>
                <w:sz w:val="21"/>
                <w:szCs w:val="21"/>
                <w:highlight w:val="none"/>
              </w:rPr>
              <w:t>等配置</w:t>
            </w:r>
            <w:r>
              <w:rPr>
                <w:rFonts w:hint="eastAsia"/>
                <w:sz w:val="21"/>
                <w:szCs w:val="21"/>
                <w:highlight w:val="none"/>
                <w:lang w:val="en-US" w:eastAsia="zh-CN"/>
              </w:rPr>
              <w:t>1</w:t>
            </w:r>
            <w:r>
              <w:rPr>
                <w:rFonts w:hint="eastAsia"/>
                <w:sz w:val="21"/>
                <w:szCs w:val="21"/>
                <w:highlight w:val="none"/>
              </w:rPr>
              <w:t>台洒水车进行洒水抑尘</w:t>
            </w:r>
            <w:r>
              <w:rPr>
                <w:rFonts w:hint="eastAsia"/>
                <w:sz w:val="21"/>
                <w:szCs w:val="21"/>
                <w:highlight w:val="none"/>
                <w:lang w:eastAsia="zh-CN"/>
              </w:rPr>
              <w:t>；湿法作业</w:t>
            </w:r>
          </w:p>
        </w:tc>
        <w:tc>
          <w:tcPr>
            <w:tcW w:w="1255" w:type="dxa"/>
            <w:gridSpan w:val="2"/>
            <w:vAlign w:val="center"/>
          </w:tcPr>
          <w:p>
            <w:pPr>
              <w:widowControl/>
              <w:adjustRightInd w:val="0"/>
              <w:snapToGrid w:val="0"/>
              <w:ind w:firstLine="0" w:firstLineChars="0"/>
              <w:jc w:val="center"/>
              <w:rPr>
                <w:rFonts w:hint="default" w:eastAsia="宋体"/>
                <w:snapToGrid w:val="0"/>
                <w:kern w:val="0"/>
                <w:sz w:val="21"/>
                <w:szCs w:val="21"/>
                <w:highlight w:val="none"/>
                <w:lang w:val="en-US" w:eastAsia="zh-CN"/>
              </w:rPr>
            </w:pPr>
            <w:r>
              <w:rPr>
                <w:rFonts w:hint="eastAsia"/>
                <w:snapToGrid w:val="0"/>
                <w:kern w:val="0"/>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390" w:hRule="atLeast"/>
          <w:jc w:val="center"/>
        </w:trPr>
        <w:tc>
          <w:tcPr>
            <w:tcW w:w="526" w:type="dxa"/>
            <w:vMerge w:val="restart"/>
            <w:vAlign w:val="center"/>
          </w:tcPr>
          <w:p>
            <w:pPr>
              <w:widowControl/>
              <w:adjustRightInd w:val="0"/>
              <w:snapToGrid w:val="0"/>
              <w:ind w:firstLine="0" w:firstLineChars="0"/>
              <w:jc w:val="center"/>
              <w:rPr>
                <w:snapToGrid w:val="0"/>
                <w:kern w:val="0"/>
                <w:sz w:val="21"/>
                <w:szCs w:val="21"/>
                <w:highlight w:val="none"/>
              </w:rPr>
            </w:pPr>
            <w:r>
              <w:rPr>
                <w:rFonts w:hint="eastAsia"/>
                <w:snapToGrid w:val="0"/>
                <w:kern w:val="0"/>
                <w:sz w:val="21"/>
                <w:szCs w:val="21"/>
                <w:highlight w:val="none"/>
              </w:rPr>
              <w:t>2</w:t>
            </w:r>
          </w:p>
        </w:tc>
        <w:tc>
          <w:tcPr>
            <w:tcW w:w="898" w:type="dxa"/>
            <w:vMerge w:val="continue"/>
            <w:vAlign w:val="center"/>
          </w:tcPr>
          <w:p>
            <w:pPr>
              <w:widowControl/>
              <w:adjustRightInd w:val="0"/>
              <w:snapToGrid w:val="0"/>
              <w:ind w:firstLine="0" w:firstLineChars="0"/>
              <w:jc w:val="center"/>
              <w:rPr>
                <w:snapToGrid w:val="0"/>
                <w:kern w:val="0"/>
                <w:sz w:val="21"/>
                <w:szCs w:val="21"/>
                <w:highlight w:val="none"/>
              </w:rPr>
            </w:pPr>
          </w:p>
        </w:tc>
        <w:tc>
          <w:tcPr>
            <w:tcW w:w="1058" w:type="dxa"/>
            <w:vMerge w:val="restart"/>
            <w:vAlign w:val="center"/>
          </w:tcPr>
          <w:p>
            <w:pPr>
              <w:widowControl/>
              <w:adjustRightInd w:val="0"/>
              <w:snapToGrid w:val="0"/>
              <w:ind w:firstLine="0" w:firstLineChars="0"/>
              <w:jc w:val="center"/>
              <w:rPr>
                <w:snapToGrid w:val="0"/>
                <w:kern w:val="0"/>
                <w:sz w:val="21"/>
                <w:szCs w:val="21"/>
                <w:highlight w:val="none"/>
              </w:rPr>
            </w:pPr>
            <w:r>
              <w:rPr>
                <w:rFonts w:hint="eastAsia"/>
                <w:snapToGrid w:val="0"/>
                <w:kern w:val="0"/>
                <w:sz w:val="21"/>
                <w:szCs w:val="21"/>
                <w:highlight w:val="none"/>
              </w:rPr>
              <w:t>工业场地粉尘治理</w:t>
            </w:r>
          </w:p>
        </w:tc>
        <w:tc>
          <w:tcPr>
            <w:tcW w:w="1481" w:type="dxa"/>
            <w:vAlign w:val="center"/>
          </w:tcPr>
          <w:p>
            <w:pPr>
              <w:widowControl/>
              <w:adjustRightInd w:val="0"/>
              <w:snapToGrid w:val="0"/>
              <w:ind w:firstLine="0" w:firstLineChars="0"/>
              <w:jc w:val="center"/>
              <w:rPr>
                <w:rFonts w:hint="eastAsia" w:eastAsia="宋体"/>
                <w:snapToGrid w:val="0"/>
                <w:kern w:val="0"/>
                <w:sz w:val="21"/>
                <w:szCs w:val="21"/>
                <w:highlight w:val="none"/>
                <w:lang w:eastAsia="zh-CN"/>
              </w:rPr>
            </w:pPr>
            <w:r>
              <w:rPr>
                <w:rFonts w:hint="eastAsia"/>
                <w:snapToGrid w:val="0"/>
                <w:kern w:val="0"/>
                <w:sz w:val="21"/>
                <w:szCs w:val="21"/>
                <w:highlight w:val="none"/>
                <w:lang w:eastAsia="zh-CN"/>
              </w:rPr>
              <w:t>原料堆场</w:t>
            </w:r>
          </w:p>
        </w:tc>
        <w:tc>
          <w:tcPr>
            <w:tcW w:w="4068" w:type="dxa"/>
            <w:vAlign w:val="center"/>
          </w:tcPr>
          <w:p>
            <w:pPr>
              <w:widowControl/>
              <w:adjustRightInd w:val="0"/>
              <w:snapToGrid w:val="0"/>
              <w:ind w:firstLine="420"/>
              <w:jc w:val="both"/>
              <w:rPr>
                <w:rFonts w:hint="default" w:eastAsia="宋体"/>
                <w:sz w:val="21"/>
                <w:szCs w:val="21"/>
                <w:highlight w:val="none"/>
                <w:lang w:val="en-US" w:eastAsia="zh-CN"/>
              </w:rPr>
            </w:pPr>
            <w:r>
              <w:rPr>
                <w:rFonts w:hint="eastAsia"/>
                <w:sz w:val="21"/>
                <w:szCs w:val="21"/>
                <w:highlight w:val="yellow"/>
                <w:lang w:eastAsia="zh-CN"/>
              </w:rPr>
              <w:t>三面围挡，设置</w:t>
            </w:r>
            <w:r>
              <w:rPr>
                <w:rFonts w:hint="eastAsia"/>
                <w:sz w:val="21"/>
                <w:szCs w:val="21"/>
                <w:highlight w:val="yellow"/>
                <w:lang w:val="en-US" w:eastAsia="zh-CN"/>
              </w:rPr>
              <w:t>2套洒水喷淋设施</w:t>
            </w:r>
          </w:p>
        </w:tc>
        <w:tc>
          <w:tcPr>
            <w:tcW w:w="1255" w:type="dxa"/>
            <w:gridSpan w:val="2"/>
            <w:vAlign w:val="center"/>
          </w:tcPr>
          <w:p>
            <w:pPr>
              <w:widowControl/>
              <w:adjustRightInd w:val="0"/>
              <w:snapToGrid w:val="0"/>
              <w:ind w:firstLine="0" w:firstLineChars="0"/>
              <w:jc w:val="center"/>
              <w:rPr>
                <w:rFonts w:hint="default" w:eastAsia="宋体"/>
                <w:snapToGrid w:val="0"/>
                <w:kern w:val="0"/>
                <w:sz w:val="21"/>
                <w:szCs w:val="21"/>
                <w:highlight w:val="none"/>
                <w:lang w:val="en-US" w:eastAsia="zh-CN"/>
              </w:rPr>
            </w:pPr>
            <w:r>
              <w:rPr>
                <w:rFonts w:hint="eastAsia"/>
                <w:snapToGrid w:val="0"/>
                <w:kern w:val="0"/>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790" w:hRule="atLeast"/>
          <w:jc w:val="center"/>
        </w:trPr>
        <w:tc>
          <w:tcPr>
            <w:tcW w:w="526" w:type="dxa"/>
            <w:vMerge w:val="continue"/>
            <w:vAlign w:val="center"/>
          </w:tcPr>
          <w:p>
            <w:pPr>
              <w:widowControl/>
              <w:adjustRightInd w:val="0"/>
              <w:snapToGrid w:val="0"/>
              <w:ind w:firstLine="0" w:firstLineChars="0"/>
              <w:jc w:val="center"/>
              <w:rPr>
                <w:snapToGrid w:val="0"/>
                <w:kern w:val="0"/>
                <w:sz w:val="21"/>
                <w:szCs w:val="21"/>
                <w:highlight w:val="none"/>
              </w:rPr>
            </w:pPr>
          </w:p>
        </w:tc>
        <w:tc>
          <w:tcPr>
            <w:tcW w:w="898" w:type="dxa"/>
            <w:vMerge w:val="continue"/>
            <w:vAlign w:val="center"/>
          </w:tcPr>
          <w:p>
            <w:pPr>
              <w:widowControl/>
              <w:adjustRightInd w:val="0"/>
              <w:snapToGrid w:val="0"/>
              <w:ind w:firstLine="0" w:firstLineChars="0"/>
              <w:jc w:val="center"/>
              <w:rPr>
                <w:snapToGrid w:val="0"/>
                <w:kern w:val="0"/>
                <w:sz w:val="21"/>
                <w:szCs w:val="21"/>
                <w:highlight w:val="none"/>
              </w:rPr>
            </w:pPr>
          </w:p>
        </w:tc>
        <w:tc>
          <w:tcPr>
            <w:tcW w:w="1058" w:type="dxa"/>
            <w:vMerge w:val="continue"/>
            <w:vAlign w:val="center"/>
          </w:tcPr>
          <w:p>
            <w:pPr>
              <w:widowControl/>
              <w:adjustRightInd w:val="0"/>
              <w:snapToGrid w:val="0"/>
              <w:ind w:firstLine="0" w:firstLineChars="0"/>
              <w:jc w:val="center"/>
              <w:rPr>
                <w:snapToGrid w:val="0"/>
                <w:kern w:val="0"/>
                <w:sz w:val="21"/>
                <w:szCs w:val="21"/>
                <w:highlight w:val="none"/>
              </w:rPr>
            </w:pPr>
          </w:p>
        </w:tc>
        <w:tc>
          <w:tcPr>
            <w:tcW w:w="1481" w:type="dxa"/>
            <w:vAlign w:val="center"/>
          </w:tcPr>
          <w:p>
            <w:pPr>
              <w:widowControl/>
              <w:adjustRightInd w:val="0"/>
              <w:snapToGrid w:val="0"/>
              <w:ind w:firstLine="0" w:firstLineChars="0"/>
              <w:jc w:val="center"/>
              <w:rPr>
                <w:rFonts w:hint="eastAsia" w:eastAsia="宋体"/>
                <w:snapToGrid w:val="0"/>
                <w:kern w:val="0"/>
                <w:sz w:val="21"/>
                <w:szCs w:val="21"/>
                <w:highlight w:val="none"/>
                <w:lang w:eastAsia="zh-CN"/>
              </w:rPr>
            </w:pPr>
            <w:r>
              <w:rPr>
                <w:rFonts w:hint="eastAsia"/>
                <w:snapToGrid w:val="0"/>
                <w:kern w:val="0"/>
                <w:sz w:val="21"/>
                <w:szCs w:val="21"/>
                <w:highlight w:val="none"/>
                <w:lang w:eastAsia="zh-CN"/>
              </w:rPr>
              <w:t>破碎及筛分</w:t>
            </w:r>
          </w:p>
        </w:tc>
        <w:tc>
          <w:tcPr>
            <w:tcW w:w="4068" w:type="dxa"/>
            <w:vAlign w:val="center"/>
          </w:tcPr>
          <w:p>
            <w:pPr>
              <w:pStyle w:val="17"/>
              <w:ind w:firstLine="420"/>
              <w:rPr>
                <w:rFonts w:ascii="Times New Roman" w:hAnsi="Times New Roman"/>
                <w:color w:val="auto"/>
                <w:sz w:val="21"/>
                <w:szCs w:val="21"/>
                <w:highlight w:val="none"/>
              </w:rPr>
            </w:pPr>
            <w:r>
              <w:rPr>
                <w:rFonts w:hint="eastAsia" w:ascii="Times New Roman" w:hAnsi="Times New Roman"/>
                <w:color w:val="auto"/>
                <w:sz w:val="21"/>
                <w:szCs w:val="21"/>
                <w:highlight w:val="none"/>
              </w:rPr>
              <w:t>破碎车间为密闭厂房，</w:t>
            </w:r>
            <w:r>
              <w:rPr>
                <w:rFonts w:hint="eastAsia" w:ascii="Times New Roman" w:hAnsi="Times New Roman"/>
                <w:color w:val="auto"/>
                <w:sz w:val="21"/>
                <w:szCs w:val="21"/>
                <w:highlight w:val="none"/>
                <w:lang w:eastAsia="zh-CN"/>
              </w:rPr>
              <w:t>破碎入料口设置喷淋水管</w:t>
            </w:r>
            <w:r>
              <w:rPr>
                <w:rFonts w:hint="eastAsia" w:ascii="Times New Roman" w:hAnsi="Times New Roman"/>
                <w:color w:val="auto"/>
                <w:sz w:val="21"/>
                <w:szCs w:val="21"/>
                <w:highlight w:val="none"/>
              </w:rPr>
              <w:t xml:space="preserve">湿润矿石， </w:t>
            </w:r>
            <w:r>
              <w:rPr>
                <w:rFonts w:hint="eastAsia" w:ascii="Times New Roman" w:hAnsi="Times New Roman"/>
                <w:color w:val="auto"/>
                <w:sz w:val="21"/>
                <w:szCs w:val="21"/>
                <w:highlight w:val="none"/>
                <w:lang w:eastAsia="zh-CN"/>
              </w:rPr>
              <w:t>各落料口设置</w:t>
            </w:r>
            <w:r>
              <w:rPr>
                <w:rFonts w:hint="eastAsia" w:ascii="Times New Roman" w:hAnsi="Times New Roman"/>
                <w:color w:val="auto"/>
                <w:sz w:val="21"/>
                <w:szCs w:val="21"/>
                <w:highlight w:val="none"/>
              </w:rPr>
              <w:t>喷雾降尘措施，一套布袋除尘器+15m排气筒</w:t>
            </w:r>
          </w:p>
        </w:tc>
        <w:tc>
          <w:tcPr>
            <w:tcW w:w="1255" w:type="dxa"/>
            <w:gridSpan w:val="2"/>
            <w:vAlign w:val="center"/>
          </w:tcPr>
          <w:p>
            <w:pPr>
              <w:widowControl/>
              <w:adjustRightInd w:val="0"/>
              <w:snapToGrid w:val="0"/>
              <w:ind w:firstLine="0" w:firstLineChars="0"/>
              <w:jc w:val="center"/>
              <w:rPr>
                <w:rFonts w:hint="default" w:eastAsia="宋体"/>
                <w:snapToGrid w:val="0"/>
                <w:color w:val="auto"/>
                <w:kern w:val="0"/>
                <w:sz w:val="21"/>
                <w:szCs w:val="21"/>
                <w:highlight w:val="none"/>
                <w:lang w:val="en-US" w:eastAsia="zh-CN"/>
              </w:rPr>
            </w:pPr>
            <w:r>
              <w:rPr>
                <w:rFonts w:hint="eastAsia"/>
                <w:snapToGrid w:val="0"/>
                <w:color w:val="auto"/>
                <w:kern w:val="0"/>
                <w:sz w:val="21"/>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790" w:hRule="atLeast"/>
          <w:jc w:val="center"/>
        </w:trPr>
        <w:tc>
          <w:tcPr>
            <w:tcW w:w="526" w:type="dxa"/>
            <w:vMerge w:val="continue"/>
            <w:vAlign w:val="center"/>
          </w:tcPr>
          <w:p>
            <w:pPr>
              <w:widowControl/>
              <w:adjustRightInd w:val="0"/>
              <w:snapToGrid w:val="0"/>
              <w:ind w:firstLine="0" w:firstLineChars="0"/>
              <w:jc w:val="center"/>
              <w:rPr>
                <w:snapToGrid w:val="0"/>
                <w:kern w:val="0"/>
                <w:sz w:val="21"/>
                <w:szCs w:val="21"/>
                <w:highlight w:val="none"/>
              </w:rPr>
            </w:pPr>
          </w:p>
        </w:tc>
        <w:tc>
          <w:tcPr>
            <w:tcW w:w="898" w:type="dxa"/>
            <w:vMerge w:val="continue"/>
            <w:vAlign w:val="center"/>
          </w:tcPr>
          <w:p>
            <w:pPr>
              <w:widowControl/>
              <w:adjustRightInd w:val="0"/>
              <w:snapToGrid w:val="0"/>
              <w:ind w:firstLine="0" w:firstLineChars="0"/>
              <w:jc w:val="center"/>
              <w:rPr>
                <w:snapToGrid w:val="0"/>
                <w:kern w:val="0"/>
                <w:sz w:val="21"/>
                <w:szCs w:val="21"/>
                <w:highlight w:val="none"/>
              </w:rPr>
            </w:pPr>
          </w:p>
        </w:tc>
        <w:tc>
          <w:tcPr>
            <w:tcW w:w="1058" w:type="dxa"/>
            <w:vMerge w:val="continue"/>
            <w:vAlign w:val="center"/>
          </w:tcPr>
          <w:p>
            <w:pPr>
              <w:widowControl/>
              <w:adjustRightInd w:val="0"/>
              <w:snapToGrid w:val="0"/>
              <w:ind w:firstLine="0" w:firstLineChars="0"/>
              <w:jc w:val="center"/>
              <w:rPr>
                <w:snapToGrid w:val="0"/>
                <w:kern w:val="0"/>
                <w:sz w:val="21"/>
                <w:szCs w:val="21"/>
                <w:highlight w:val="none"/>
              </w:rPr>
            </w:pPr>
          </w:p>
        </w:tc>
        <w:tc>
          <w:tcPr>
            <w:tcW w:w="1481" w:type="dxa"/>
            <w:vAlign w:val="center"/>
          </w:tcPr>
          <w:p>
            <w:pPr>
              <w:widowControl/>
              <w:adjustRightInd w:val="0"/>
              <w:snapToGrid w:val="0"/>
              <w:ind w:firstLine="0" w:firstLineChars="0"/>
              <w:jc w:val="center"/>
              <w:rPr>
                <w:rFonts w:hint="eastAsia" w:eastAsia="宋体"/>
                <w:snapToGrid w:val="0"/>
                <w:kern w:val="0"/>
                <w:sz w:val="21"/>
                <w:szCs w:val="21"/>
                <w:highlight w:val="none"/>
                <w:lang w:eastAsia="zh-CN"/>
              </w:rPr>
            </w:pPr>
            <w:r>
              <w:rPr>
                <w:rFonts w:hint="eastAsia"/>
                <w:snapToGrid w:val="0"/>
                <w:kern w:val="0"/>
                <w:sz w:val="21"/>
                <w:szCs w:val="21"/>
                <w:highlight w:val="none"/>
                <w:lang w:eastAsia="zh-CN"/>
              </w:rPr>
              <w:t>皮带输送</w:t>
            </w:r>
          </w:p>
        </w:tc>
        <w:tc>
          <w:tcPr>
            <w:tcW w:w="4068" w:type="dxa"/>
            <w:vAlign w:val="center"/>
          </w:tcPr>
          <w:p>
            <w:pPr>
              <w:widowControl/>
              <w:adjustRightInd w:val="0"/>
              <w:snapToGrid w:val="0"/>
              <w:ind w:firstLine="420"/>
              <w:jc w:val="both"/>
              <w:rPr>
                <w:sz w:val="21"/>
                <w:szCs w:val="21"/>
                <w:highlight w:val="none"/>
              </w:rPr>
            </w:pPr>
            <w:r>
              <w:rPr>
                <w:rFonts w:hint="eastAsia"/>
                <w:sz w:val="21"/>
                <w:szCs w:val="21"/>
                <w:highlight w:val="none"/>
              </w:rPr>
              <w:t>运输皮带采用密闭措施、落料口设置溜槽、洒水降尘</w:t>
            </w:r>
          </w:p>
        </w:tc>
        <w:tc>
          <w:tcPr>
            <w:tcW w:w="1255" w:type="dxa"/>
            <w:gridSpan w:val="2"/>
            <w:vAlign w:val="center"/>
          </w:tcPr>
          <w:p>
            <w:pPr>
              <w:widowControl/>
              <w:adjustRightInd w:val="0"/>
              <w:snapToGrid w:val="0"/>
              <w:ind w:firstLine="0" w:firstLineChars="0"/>
              <w:jc w:val="center"/>
              <w:rPr>
                <w:rFonts w:hint="default" w:eastAsia="宋体"/>
                <w:snapToGrid w:val="0"/>
                <w:kern w:val="0"/>
                <w:sz w:val="21"/>
                <w:szCs w:val="21"/>
                <w:highlight w:val="none"/>
                <w:lang w:val="en-US" w:eastAsia="zh-CN"/>
              </w:rPr>
            </w:pPr>
            <w:r>
              <w:rPr>
                <w:rFonts w:hint="eastAsia"/>
                <w:snapToGrid w:val="0"/>
                <w:kern w:val="0"/>
                <w:sz w:val="21"/>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65" w:hRule="atLeast"/>
          <w:jc w:val="center"/>
        </w:trPr>
        <w:tc>
          <w:tcPr>
            <w:tcW w:w="526" w:type="dxa"/>
            <w:vAlign w:val="center"/>
          </w:tcPr>
          <w:p>
            <w:pPr>
              <w:widowControl/>
              <w:adjustRightInd w:val="0"/>
              <w:snapToGrid w:val="0"/>
              <w:ind w:firstLine="0" w:firstLineChars="0"/>
              <w:jc w:val="center"/>
              <w:rPr>
                <w:snapToGrid w:val="0"/>
                <w:kern w:val="0"/>
                <w:sz w:val="21"/>
                <w:szCs w:val="21"/>
                <w:highlight w:val="none"/>
              </w:rPr>
            </w:pPr>
            <w:r>
              <w:rPr>
                <w:rFonts w:hint="eastAsia"/>
                <w:snapToGrid w:val="0"/>
                <w:kern w:val="0"/>
                <w:sz w:val="21"/>
                <w:szCs w:val="21"/>
                <w:highlight w:val="none"/>
              </w:rPr>
              <w:t>3</w:t>
            </w:r>
          </w:p>
        </w:tc>
        <w:tc>
          <w:tcPr>
            <w:tcW w:w="898" w:type="dxa"/>
            <w:vMerge w:val="continue"/>
            <w:vAlign w:val="center"/>
          </w:tcPr>
          <w:p>
            <w:pPr>
              <w:widowControl/>
              <w:adjustRightInd w:val="0"/>
              <w:snapToGrid w:val="0"/>
              <w:ind w:firstLine="0" w:firstLineChars="0"/>
              <w:jc w:val="center"/>
              <w:rPr>
                <w:kern w:val="0"/>
                <w:sz w:val="21"/>
                <w:szCs w:val="21"/>
                <w:highlight w:val="none"/>
              </w:rPr>
            </w:pPr>
          </w:p>
        </w:tc>
        <w:tc>
          <w:tcPr>
            <w:tcW w:w="2539" w:type="dxa"/>
            <w:gridSpan w:val="2"/>
            <w:vAlign w:val="center"/>
          </w:tcPr>
          <w:p>
            <w:pPr>
              <w:widowControl/>
              <w:adjustRightInd w:val="0"/>
              <w:snapToGrid w:val="0"/>
              <w:ind w:firstLine="0" w:firstLineChars="0"/>
              <w:jc w:val="center"/>
              <w:rPr>
                <w:rFonts w:hint="eastAsia" w:eastAsia="宋体"/>
                <w:kern w:val="0"/>
                <w:sz w:val="21"/>
                <w:szCs w:val="21"/>
                <w:highlight w:val="none"/>
                <w:lang w:eastAsia="zh-CN"/>
              </w:rPr>
            </w:pPr>
            <w:r>
              <w:rPr>
                <w:rFonts w:hint="eastAsia"/>
                <w:snapToGrid w:val="0"/>
                <w:kern w:val="0"/>
                <w:sz w:val="21"/>
                <w:szCs w:val="21"/>
                <w:highlight w:val="none"/>
                <w:lang w:eastAsia="zh-CN"/>
              </w:rPr>
              <w:t>运输扬尘</w:t>
            </w:r>
          </w:p>
        </w:tc>
        <w:tc>
          <w:tcPr>
            <w:tcW w:w="4068" w:type="dxa"/>
            <w:vAlign w:val="center"/>
          </w:tcPr>
          <w:p>
            <w:pPr>
              <w:widowControl/>
              <w:adjustRightInd w:val="0"/>
              <w:snapToGrid w:val="0"/>
              <w:ind w:firstLine="420"/>
              <w:jc w:val="both"/>
              <w:rPr>
                <w:snapToGrid w:val="0"/>
                <w:kern w:val="0"/>
                <w:sz w:val="21"/>
                <w:szCs w:val="21"/>
                <w:highlight w:val="none"/>
              </w:rPr>
            </w:pPr>
            <w:r>
              <w:rPr>
                <w:rFonts w:hint="eastAsia"/>
                <w:snapToGrid w:val="0"/>
                <w:kern w:val="0"/>
                <w:sz w:val="21"/>
                <w:szCs w:val="21"/>
                <w:highlight w:val="none"/>
              </w:rPr>
              <w:t>洒水车；限速行驶；汽车加盖篷布等</w:t>
            </w:r>
          </w:p>
        </w:tc>
        <w:tc>
          <w:tcPr>
            <w:tcW w:w="1255" w:type="dxa"/>
            <w:gridSpan w:val="2"/>
            <w:vAlign w:val="center"/>
          </w:tcPr>
          <w:p>
            <w:pPr>
              <w:widowControl/>
              <w:adjustRightInd w:val="0"/>
              <w:snapToGrid w:val="0"/>
              <w:ind w:firstLine="0" w:firstLineChars="0"/>
              <w:jc w:val="center"/>
              <w:rPr>
                <w:rFonts w:hint="eastAsia" w:eastAsia="宋体"/>
                <w:snapToGrid w:val="0"/>
                <w:kern w:val="0"/>
                <w:sz w:val="21"/>
                <w:szCs w:val="21"/>
                <w:highlight w:val="none"/>
                <w:lang w:eastAsia="zh-CN"/>
              </w:rPr>
            </w:pPr>
            <w:r>
              <w:rPr>
                <w:rFonts w:hint="eastAsia"/>
                <w:snapToGrid w:val="0"/>
                <w:kern w:val="0"/>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77" w:hRule="atLeast"/>
          <w:jc w:val="center"/>
        </w:trPr>
        <w:tc>
          <w:tcPr>
            <w:tcW w:w="526" w:type="dxa"/>
            <w:vAlign w:val="center"/>
          </w:tcPr>
          <w:p>
            <w:pPr>
              <w:widowControl/>
              <w:adjustRightInd w:val="0"/>
              <w:snapToGrid w:val="0"/>
              <w:ind w:firstLine="0" w:firstLineChars="0"/>
              <w:jc w:val="center"/>
              <w:rPr>
                <w:snapToGrid w:val="0"/>
                <w:kern w:val="0"/>
                <w:sz w:val="21"/>
                <w:szCs w:val="21"/>
                <w:highlight w:val="none"/>
              </w:rPr>
            </w:pPr>
            <w:r>
              <w:rPr>
                <w:rFonts w:hint="eastAsia"/>
                <w:snapToGrid w:val="0"/>
                <w:kern w:val="0"/>
                <w:sz w:val="21"/>
                <w:szCs w:val="21"/>
                <w:highlight w:val="none"/>
              </w:rPr>
              <w:t>4</w:t>
            </w:r>
          </w:p>
        </w:tc>
        <w:tc>
          <w:tcPr>
            <w:tcW w:w="898" w:type="dxa"/>
            <w:vMerge w:val="continue"/>
            <w:vAlign w:val="center"/>
          </w:tcPr>
          <w:p>
            <w:pPr>
              <w:widowControl/>
              <w:adjustRightInd w:val="0"/>
              <w:snapToGrid w:val="0"/>
              <w:ind w:firstLine="0" w:firstLineChars="0"/>
              <w:jc w:val="center"/>
              <w:rPr>
                <w:snapToGrid w:val="0"/>
                <w:kern w:val="0"/>
                <w:sz w:val="21"/>
                <w:szCs w:val="21"/>
                <w:highlight w:val="none"/>
              </w:rPr>
            </w:pPr>
          </w:p>
        </w:tc>
        <w:tc>
          <w:tcPr>
            <w:tcW w:w="2539" w:type="dxa"/>
            <w:gridSpan w:val="2"/>
            <w:vAlign w:val="center"/>
          </w:tcPr>
          <w:p>
            <w:pPr>
              <w:widowControl/>
              <w:adjustRightInd w:val="0"/>
              <w:snapToGrid w:val="0"/>
              <w:ind w:firstLine="0" w:firstLineChars="0"/>
              <w:jc w:val="center"/>
              <w:rPr>
                <w:rFonts w:hint="eastAsia" w:eastAsia="宋体"/>
                <w:snapToGrid w:val="0"/>
                <w:kern w:val="0"/>
                <w:sz w:val="21"/>
                <w:szCs w:val="21"/>
                <w:highlight w:val="none"/>
                <w:lang w:eastAsia="zh-CN"/>
              </w:rPr>
            </w:pPr>
            <w:r>
              <w:rPr>
                <w:rFonts w:hint="eastAsia"/>
                <w:snapToGrid w:val="0"/>
                <w:kern w:val="0"/>
                <w:sz w:val="21"/>
                <w:szCs w:val="21"/>
                <w:highlight w:val="none"/>
                <w:lang w:eastAsia="zh-CN"/>
              </w:rPr>
              <w:t>堆场装卸粉尘</w:t>
            </w:r>
          </w:p>
        </w:tc>
        <w:tc>
          <w:tcPr>
            <w:tcW w:w="4068" w:type="dxa"/>
            <w:vAlign w:val="center"/>
          </w:tcPr>
          <w:p>
            <w:pPr>
              <w:widowControl/>
              <w:adjustRightInd w:val="0"/>
              <w:snapToGrid w:val="0"/>
              <w:ind w:firstLine="420"/>
              <w:jc w:val="both"/>
              <w:rPr>
                <w:snapToGrid w:val="0"/>
                <w:kern w:val="0"/>
                <w:sz w:val="21"/>
                <w:szCs w:val="21"/>
                <w:highlight w:val="none"/>
              </w:rPr>
            </w:pPr>
            <w:r>
              <w:rPr>
                <w:rFonts w:hint="eastAsia"/>
                <w:sz w:val="21"/>
                <w:szCs w:val="21"/>
                <w:highlight w:val="yellow"/>
                <w:lang w:eastAsia="zh-CN"/>
              </w:rPr>
              <w:t>细砂堆场设置顶棚，进行三面围挡，设置</w:t>
            </w:r>
            <w:r>
              <w:rPr>
                <w:rFonts w:hint="eastAsia"/>
                <w:sz w:val="21"/>
                <w:szCs w:val="21"/>
                <w:highlight w:val="yellow"/>
                <w:lang w:val="en-US" w:eastAsia="zh-CN"/>
              </w:rPr>
              <w:t>4套</w:t>
            </w:r>
            <w:r>
              <w:rPr>
                <w:rFonts w:hint="eastAsia"/>
                <w:sz w:val="21"/>
                <w:szCs w:val="21"/>
                <w:highlight w:val="yellow"/>
                <w:lang w:eastAsia="zh-CN"/>
              </w:rPr>
              <w:t>喷雾降尘设施，装卸过程开启自动喷雾装置</w:t>
            </w:r>
          </w:p>
        </w:tc>
        <w:tc>
          <w:tcPr>
            <w:tcW w:w="1255" w:type="dxa"/>
            <w:gridSpan w:val="2"/>
            <w:vAlign w:val="center"/>
          </w:tcPr>
          <w:p>
            <w:pPr>
              <w:widowControl/>
              <w:adjustRightInd w:val="0"/>
              <w:snapToGrid w:val="0"/>
              <w:ind w:firstLine="0" w:firstLineChars="0"/>
              <w:jc w:val="center"/>
              <w:rPr>
                <w:rFonts w:hint="eastAsia" w:eastAsia="宋体"/>
                <w:snapToGrid w:val="0"/>
                <w:kern w:val="0"/>
                <w:sz w:val="21"/>
                <w:szCs w:val="21"/>
                <w:highlight w:val="none"/>
                <w:lang w:eastAsia="zh-CN"/>
              </w:rPr>
            </w:pPr>
            <w:r>
              <w:rPr>
                <w:rFonts w:hint="eastAsia"/>
                <w:snapToGrid w:val="0"/>
                <w:kern w:val="0"/>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27" w:hRule="atLeast"/>
          <w:jc w:val="center"/>
        </w:trPr>
        <w:tc>
          <w:tcPr>
            <w:tcW w:w="526" w:type="dxa"/>
            <w:vAlign w:val="center"/>
          </w:tcPr>
          <w:p>
            <w:pPr>
              <w:widowControl/>
              <w:adjustRightInd w:val="0"/>
              <w:snapToGrid w:val="0"/>
              <w:ind w:firstLine="0" w:firstLineChars="0"/>
              <w:jc w:val="center"/>
              <w:rPr>
                <w:snapToGrid w:val="0"/>
                <w:kern w:val="0"/>
                <w:sz w:val="21"/>
                <w:szCs w:val="21"/>
                <w:highlight w:val="none"/>
              </w:rPr>
            </w:pPr>
            <w:r>
              <w:rPr>
                <w:rFonts w:hint="eastAsia"/>
                <w:snapToGrid w:val="0"/>
                <w:kern w:val="0"/>
                <w:sz w:val="21"/>
                <w:szCs w:val="21"/>
                <w:highlight w:val="none"/>
              </w:rPr>
              <w:t>5</w:t>
            </w:r>
          </w:p>
        </w:tc>
        <w:tc>
          <w:tcPr>
            <w:tcW w:w="898" w:type="dxa"/>
            <w:vMerge w:val="continue"/>
            <w:vAlign w:val="center"/>
          </w:tcPr>
          <w:p>
            <w:pPr>
              <w:widowControl/>
              <w:adjustRightInd w:val="0"/>
              <w:snapToGrid w:val="0"/>
              <w:ind w:firstLine="0" w:firstLineChars="0"/>
              <w:jc w:val="center"/>
              <w:rPr>
                <w:snapToGrid w:val="0"/>
                <w:kern w:val="0"/>
                <w:sz w:val="21"/>
                <w:szCs w:val="21"/>
                <w:highlight w:val="none"/>
              </w:rPr>
            </w:pPr>
          </w:p>
        </w:tc>
        <w:tc>
          <w:tcPr>
            <w:tcW w:w="2539" w:type="dxa"/>
            <w:gridSpan w:val="2"/>
            <w:vAlign w:val="center"/>
          </w:tcPr>
          <w:p>
            <w:pPr>
              <w:widowControl/>
              <w:adjustRightInd w:val="0"/>
              <w:snapToGrid w:val="0"/>
              <w:ind w:firstLine="0" w:firstLineChars="0"/>
              <w:jc w:val="center"/>
              <w:rPr>
                <w:rFonts w:hint="eastAsia" w:eastAsia="宋体"/>
                <w:snapToGrid w:val="0"/>
                <w:kern w:val="0"/>
                <w:sz w:val="21"/>
                <w:szCs w:val="21"/>
                <w:highlight w:val="none"/>
                <w:lang w:eastAsia="zh-CN"/>
              </w:rPr>
            </w:pPr>
            <w:r>
              <w:rPr>
                <w:rFonts w:hint="eastAsia"/>
                <w:snapToGrid w:val="0"/>
                <w:kern w:val="0"/>
                <w:sz w:val="21"/>
                <w:szCs w:val="21"/>
                <w:highlight w:val="none"/>
                <w:lang w:eastAsia="zh-CN"/>
              </w:rPr>
              <w:t>排土场粉尘</w:t>
            </w:r>
          </w:p>
        </w:tc>
        <w:tc>
          <w:tcPr>
            <w:tcW w:w="4068" w:type="dxa"/>
            <w:vAlign w:val="center"/>
          </w:tcPr>
          <w:p>
            <w:pPr>
              <w:widowControl/>
              <w:adjustRightInd w:val="0"/>
              <w:snapToGrid w:val="0"/>
              <w:ind w:firstLine="420"/>
              <w:jc w:val="both"/>
              <w:rPr>
                <w:snapToGrid w:val="0"/>
                <w:kern w:val="0"/>
                <w:sz w:val="21"/>
                <w:szCs w:val="21"/>
                <w:highlight w:val="none"/>
              </w:rPr>
            </w:pPr>
            <w:r>
              <w:rPr>
                <w:rFonts w:hint="eastAsia"/>
                <w:snapToGrid w:val="0"/>
                <w:kern w:val="0"/>
                <w:sz w:val="21"/>
                <w:szCs w:val="21"/>
                <w:highlight w:val="none"/>
              </w:rPr>
              <w:t>毡布覆盖，设置喷雾洒水措施</w:t>
            </w:r>
          </w:p>
        </w:tc>
        <w:tc>
          <w:tcPr>
            <w:tcW w:w="1255" w:type="dxa"/>
            <w:gridSpan w:val="2"/>
            <w:vAlign w:val="center"/>
          </w:tcPr>
          <w:p>
            <w:pPr>
              <w:widowControl/>
              <w:adjustRightInd w:val="0"/>
              <w:snapToGrid w:val="0"/>
              <w:ind w:firstLine="0" w:firstLineChars="0"/>
              <w:jc w:val="center"/>
              <w:rPr>
                <w:rFonts w:hint="default" w:eastAsia="宋体"/>
                <w:snapToGrid w:val="0"/>
                <w:kern w:val="0"/>
                <w:sz w:val="21"/>
                <w:szCs w:val="21"/>
                <w:highlight w:val="none"/>
                <w:lang w:val="en-US" w:eastAsia="zh-CN"/>
              </w:rPr>
            </w:pPr>
            <w:r>
              <w:rPr>
                <w:rFonts w:hint="eastAsia"/>
                <w:snapToGrid w:val="0"/>
                <w:kern w:val="0"/>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656" w:hRule="atLeast"/>
          <w:jc w:val="center"/>
        </w:trPr>
        <w:tc>
          <w:tcPr>
            <w:tcW w:w="526" w:type="dxa"/>
            <w:vAlign w:val="center"/>
          </w:tcPr>
          <w:p>
            <w:pPr>
              <w:widowControl/>
              <w:adjustRightInd w:val="0"/>
              <w:snapToGrid w:val="0"/>
              <w:ind w:firstLine="0" w:firstLineChars="0"/>
              <w:jc w:val="center"/>
              <w:rPr>
                <w:snapToGrid w:val="0"/>
                <w:kern w:val="0"/>
                <w:sz w:val="21"/>
                <w:szCs w:val="21"/>
                <w:highlight w:val="none"/>
              </w:rPr>
            </w:pPr>
            <w:r>
              <w:rPr>
                <w:rFonts w:hint="eastAsia"/>
                <w:snapToGrid w:val="0"/>
                <w:kern w:val="0"/>
                <w:sz w:val="21"/>
                <w:szCs w:val="21"/>
                <w:highlight w:val="none"/>
              </w:rPr>
              <w:t>6</w:t>
            </w:r>
          </w:p>
        </w:tc>
        <w:tc>
          <w:tcPr>
            <w:tcW w:w="898" w:type="dxa"/>
            <w:vMerge w:val="restart"/>
            <w:vAlign w:val="center"/>
          </w:tcPr>
          <w:p>
            <w:pPr>
              <w:widowControl/>
              <w:adjustRightInd w:val="0"/>
              <w:snapToGrid w:val="0"/>
              <w:ind w:firstLine="0" w:firstLineChars="0"/>
              <w:jc w:val="center"/>
              <w:rPr>
                <w:snapToGrid w:val="0"/>
                <w:kern w:val="0"/>
                <w:sz w:val="21"/>
                <w:szCs w:val="21"/>
                <w:highlight w:val="none"/>
              </w:rPr>
            </w:pPr>
            <w:r>
              <w:rPr>
                <w:snapToGrid w:val="0"/>
                <w:kern w:val="0"/>
                <w:sz w:val="21"/>
                <w:szCs w:val="21"/>
                <w:highlight w:val="none"/>
              </w:rPr>
              <w:t>废水</w:t>
            </w:r>
          </w:p>
        </w:tc>
        <w:tc>
          <w:tcPr>
            <w:tcW w:w="2539" w:type="dxa"/>
            <w:gridSpan w:val="2"/>
            <w:vAlign w:val="center"/>
          </w:tcPr>
          <w:p>
            <w:pPr>
              <w:widowControl/>
              <w:adjustRightInd w:val="0"/>
              <w:snapToGrid w:val="0"/>
              <w:ind w:firstLine="0" w:firstLineChars="0"/>
              <w:jc w:val="center"/>
              <w:rPr>
                <w:snapToGrid w:val="0"/>
                <w:kern w:val="0"/>
                <w:sz w:val="21"/>
                <w:szCs w:val="21"/>
                <w:highlight w:val="none"/>
              </w:rPr>
            </w:pPr>
            <w:r>
              <w:rPr>
                <w:rFonts w:hint="eastAsia"/>
                <w:snapToGrid w:val="0"/>
                <w:kern w:val="0"/>
                <w:sz w:val="21"/>
                <w:szCs w:val="21"/>
                <w:highlight w:val="none"/>
              </w:rPr>
              <w:t>露天采场初期雨水</w:t>
            </w:r>
          </w:p>
        </w:tc>
        <w:tc>
          <w:tcPr>
            <w:tcW w:w="4068" w:type="dxa"/>
            <w:vAlign w:val="center"/>
          </w:tcPr>
          <w:p>
            <w:pPr>
              <w:widowControl/>
              <w:adjustRightInd w:val="0"/>
              <w:snapToGrid w:val="0"/>
              <w:ind w:left="0" w:leftChars="0" w:firstLine="0" w:firstLineChars="0"/>
              <w:jc w:val="center"/>
              <w:rPr>
                <w:snapToGrid w:val="0"/>
                <w:kern w:val="0"/>
                <w:sz w:val="21"/>
                <w:szCs w:val="21"/>
                <w:highlight w:val="none"/>
              </w:rPr>
            </w:pPr>
            <w:r>
              <w:rPr>
                <w:rFonts w:ascii="Times New Roman" w:hAnsi="Times New Roman" w:eastAsia="宋体"/>
                <w:sz w:val="21"/>
                <w:highlight w:val="none"/>
              </w:rPr>
              <w:t>1#</w:t>
            </w:r>
            <w:r>
              <w:rPr>
                <w:rFonts w:ascii="Times New Roman" w:hAnsi="Times New Roman" w:eastAsia="宋体"/>
                <w:spacing w:val="-9"/>
                <w:sz w:val="21"/>
                <w:highlight w:val="none"/>
              </w:rPr>
              <w:t>初期雨水沉淀池</w:t>
            </w:r>
            <w:r>
              <w:rPr>
                <w:rFonts w:ascii="Times New Roman" w:hAnsi="Times New Roman" w:eastAsia="宋体"/>
                <w:sz w:val="21"/>
                <w:highlight w:val="none"/>
              </w:rPr>
              <w:t>（1</w:t>
            </w:r>
            <w:r>
              <w:rPr>
                <w:rFonts w:ascii="Times New Roman" w:hAnsi="Times New Roman" w:eastAsia="宋体"/>
                <w:spacing w:val="-5"/>
                <w:sz w:val="21"/>
                <w:highlight w:val="none"/>
              </w:rPr>
              <w:t xml:space="preserve"> </w:t>
            </w:r>
            <w:r>
              <w:rPr>
                <w:rFonts w:ascii="Times New Roman" w:hAnsi="Times New Roman" w:eastAsia="宋体"/>
                <w:spacing w:val="-22"/>
                <w:sz w:val="21"/>
                <w:highlight w:val="none"/>
              </w:rPr>
              <w:t>个，容积为</w:t>
            </w:r>
            <w:r>
              <w:rPr>
                <w:rFonts w:hint="eastAsia"/>
                <w:spacing w:val="-22"/>
                <w:sz w:val="21"/>
                <w:highlight w:val="none"/>
                <w:lang w:val="en-US" w:eastAsia="zh-CN"/>
              </w:rPr>
              <w:t>30</w:t>
            </w:r>
            <w:r>
              <w:rPr>
                <w:rFonts w:ascii="Times New Roman" w:hAnsi="Times New Roman" w:eastAsia="宋体"/>
                <w:sz w:val="21"/>
                <w:highlight w:val="none"/>
              </w:rPr>
              <w:t>m</w:t>
            </w:r>
            <w:r>
              <w:rPr>
                <w:rFonts w:ascii="Times New Roman" w:hAnsi="Times New Roman" w:eastAsia="宋体"/>
                <w:position w:val="7"/>
                <w:sz w:val="13"/>
                <w:highlight w:val="none"/>
              </w:rPr>
              <w:t>3</w:t>
            </w:r>
            <w:r>
              <w:rPr>
                <w:rFonts w:ascii="Times New Roman" w:hAnsi="Times New Roman" w:eastAsia="宋体"/>
                <w:sz w:val="21"/>
                <w:highlight w:val="none"/>
              </w:rPr>
              <w:t>）</w:t>
            </w:r>
          </w:p>
        </w:tc>
        <w:tc>
          <w:tcPr>
            <w:tcW w:w="1255" w:type="dxa"/>
            <w:gridSpan w:val="2"/>
            <w:vAlign w:val="center"/>
          </w:tcPr>
          <w:p>
            <w:pPr>
              <w:widowControl/>
              <w:adjustRightInd w:val="0"/>
              <w:snapToGrid w:val="0"/>
              <w:ind w:firstLine="0" w:firstLineChars="0"/>
              <w:jc w:val="center"/>
              <w:rPr>
                <w:rFonts w:hint="eastAsia" w:eastAsia="宋体"/>
                <w:snapToGrid w:val="0"/>
                <w:kern w:val="0"/>
                <w:sz w:val="21"/>
                <w:szCs w:val="21"/>
                <w:highlight w:val="none"/>
                <w:lang w:eastAsia="zh-CN"/>
              </w:rPr>
            </w:pPr>
            <w:r>
              <w:rPr>
                <w:rFonts w:hint="eastAsia"/>
                <w:snapToGrid w:val="0"/>
                <w:kern w:val="0"/>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660" w:hRule="atLeast"/>
          <w:jc w:val="center"/>
        </w:trPr>
        <w:tc>
          <w:tcPr>
            <w:tcW w:w="526" w:type="dxa"/>
            <w:vAlign w:val="center"/>
          </w:tcPr>
          <w:p>
            <w:pPr>
              <w:widowControl/>
              <w:adjustRightInd w:val="0"/>
              <w:snapToGrid w:val="0"/>
              <w:ind w:firstLine="0" w:firstLineChars="0"/>
              <w:jc w:val="center"/>
              <w:rPr>
                <w:snapToGrid w:val="0"/>
                <w:kern w:val="0"/>
                <w:sz w:val="21"/>
                <w:szCs w:val="21"/>
                <w:highlight w:val="none"/>
              </w:rPr>
            </w:pPr>
            <w:r>
              <w:rPr>
                <w:rFonts w:hint="eastAsia"/>
                <w:snapToGrid w:val="0"/>
                <w:kern w:val="0"/>
                <w:sz w:val="21"/>
                <w:szCs w:val="21"/>
                <w:highlight w:val="none"/>
              </w:rPr>
              <w:t>7</w:t>
            </w:r>
          </w:p>
        </w:tc>
        <w:tc>
          <w:tcPr>
            <w:tcW w:w="898" w:type="dxa"/>
            <w:vMerge w:val="continue"/>
            <w:vAlign w:val="center"/>
          </w:tcPr>
          <w:p>
            <w:pPr>
              <w:widowControl/>
              <w:adjustRightInd w:val="0"/>
              <w:snapToGrid w:val="0"/>
              <w:ind w:firstLine="0" w:firstLineChars="0"/>
              <w:jc w:val="center"/>
              <w:rPr>
                <w:snapToGrid w:val="0"/>
                <w:kern w:val="0"/>
                <w:sz w:val="21"/>
                <w:szCs w:val="21"/>
                <w:highlight w:val="none"/>
              </w:rPr>
            </w:pPr>
          </w:p>
        </w:tc>
        <w:tc>
          <w:tcPr>
            <w:tcW w:w="2539" w:type="dxa"/>
            <w:gridSpan w:val="2"/>
            <w:vAlign w:val="center"/>
          </w:tcPr>
          <w:p>
            <w:pPr>
              <w:widowControl/>
              <w:adjustRightInd w:val="0"/>
              <w:snapToGrid w:val="0"/>
              <w:ind w:firstLine="0" w:firstLineChars="0"/>
              <w:jc w:val="center"/>
              <w:rPr>
                <w:rFonts w:hint="eastAsia" w:eastAsia="宋体"/>
                <w:snapToGrid w:val="0"/>
                <w:kern w:val="0"/>
                <w:sz w:val="21"/>
                <w:szCs w:val="21"/>
                <w:highlight w:val="none"/>
                <w:lang w:eastAsia="zh-CN"/>
              </w:rPr>
            </w:pPr>
            <w:r>
              <w:rPr>
                <w:rFonts w:hint="eastAsia" w:eastAsia="宋体"/>
                <w:snapToGrid w:val="0"/>
                <w:kern w:val="0"/>
                <w:sz w:val="21"/>
                <w:szCs w:val="21"/>
                <w:highlight w:val="none"/>
                <w:lang w:eastAsia="zh-CN"/>
              </w:rPr>
              <w:t>破碎加工区初期雨水</w:t>
            </w:r>
          </w:p>
        </w:tc>
        <w:tc>
          <w:tcPr>
            <w:tcW w:w="4068" w:type="dxa"/>
            <w:vAlign w:val="center"/>
          </w:tcPr>
          <w:p>
            <w:pPr>
              <w:widowControl/>
              <w:adjustRightInd w:val="0"/>
              <w:snapToGrid w:val="0"/>
              <w:ind w:firstLine="420"/>
              <w:jc w:val="both"/>
              <w:rPr>
                <w:rFonts w:hint="eastAsia"/>
                <w:kern w:val="0"/>
                <w:sz w:val="21"/>
                <w:szCs w:val="21"/>
                <w:highlight w:val="none"/>
                <w:lang w:eastAsia="zh-CN"/>
              </w:rPr>
            </w:pPr>
            <w:r>
              <w:rPr>
                <w:rFonts w:ascii="Times New Roman" w:hAnsi="Times New Roman" w:eastAsia="宋体"/>
                <w:sz w:val="21"/>
                <w:highlight w:val="none"/>
              </w:rPr>
              <w:t>2#</w:t>
            </w:r>
            <w:r>
              <w:rPr>
                <w:rFonts w:ascii="Times New Roman" w:hAnsi="Times New Roman" w:eastAsia="宋体"/>
                <w:spacing w:val="-15"/>
                <w:sz w:val="21"/>
                <w:highlight w:val="none"/>
              </w:rPr>
              <w:t>初期雨水沉淀池</w:t>
            </w:r>
            <w:r>
              <w:rPr>
                <w:rFonts w:ascii="Times New Roman" w:hAnsi="Times New Roman" w:eastAsia="宋体"/>
                <w:sz w:val="21"/>
                <w:highlight w:val="none"/>
              </w:rPr>
              <w:t>（1</w:t>
            </w:r>
            <w:r>
              <w:rPr>
                <w:rFonts w:ascii="Times New Roman" w:hAnsi="Times New Roman" w:eastAsia="宋体"/>
                <w:spacing w:val="-18"/>
                <w:sz w:val="21"/>
                <w:highlight w:val="none"/>
              </w:rPr>
              <w:t xml:space="preserve"> </w:t>
            </w:r>
            <w:r>
              <w:rPr>
                <w:rFonts w:ascii="Times New Roman" w:hAnsi="Times New Roman" w:eastAsia="宋体"/>
                <w:spacing w:val="-30"/>
                <w:sz w:val="21"/>
                <w:highlight w:val="none"/>
              </w:rPr>
              <w:t xml:space="preserve">个，容积为 </w:t>
            </w:r>
            <w:r>
              <w:rPr>
                <w:rFonts w:ascii="Times New Roman" w:hAnsi="Times New Roman" w:eastAsia="宋体"/>
                <w:sz w:val="21"/>
                <w:highlight w:val="none"/>
              </w:rPr>
              <w:t>16</w:t>
            </w:r>
            <w:r>
              <w:rPr>
                <w:rFonts w:hint="eastAsia"/>
                <w:sz w:val="21"/>
                <w:highlight w:val="none"/>
                <w:lang w:val="en-US" w:eastAsia="zh-CN"/>
              </w:rPr>
              <w:t>0</w:t>
            </w:r>
            <w:r>
              <w:rPr>
                <w:rFonts w:ascii="Times New Roman" w:hAnsi="Times New Roman" w:eastAsia="宋体"/>
                <w:sz w:val="21"/>
                <w:highlight w:val="none"/>
              </w:rPr>
              <w:t>m</w:t>
            </w:r>
            <w:r>
              <w:rPr>
                <w:rFonts w:ascii="Times New Roman" w:hAnsi="Times New Roman" w:eastAsia="宋体"/>
                <w:position w:val="7"/>
                <w:sz w:val="13"/>
                <w:highlight w:val="none"/>
              </w:rPr>
              <w:t>3</w:t>
            </w:r>
            <w:r>
              <w:rPr>
                <w:rFonts w:ascii="Times New Roman" w:hAnsi="Times New Roman" w:eastAsia="宋体"/>
                <w:sz w:val="21"/>
                <w:highlight w:val="none"/>
              </w:rPr>
              <w:t>）</w:t>
            </w:r>
          </w:p>
        </w:tc>
        <w:tc>
          <w:tcPr>
            <w:tcW w:w="1255" w:type="dxa"/>
            <w:gridSpan w:val="2"/>
            <w:vAlign w:val="center"/>
          </w:tcPr>
          <w:p>
            <w:pPr>
              <w:widowControl/>
              <w:adjustRightInd w:val="0"/>
              <w:snapToGrid w:val="0"/>
              <w:ind w:firstLine="0" w:firstLineChars="0"/>
              <w:jc w:val="center"/>
              <w:rPr>
                <w:rFonts w:hint="default" w:eastAsia="宋体"/>
                <w:snapToGrid w:val="0"/>
                <w:kern w:val="0"/>
                <w:sz w:val="21"/>
                <w:szCs w:val="21"/>
                <w:highlight w:val="none"/>
                <w:lang w:val="en-US" w:eastAsia="zh-CN"/>
              </w:rPr>
            </w:pPr>
            <w:r>
              <w:rPr>
                <w:rFonts w:hint="eastAsia"/>
                <w:snapToGrid w:val="0"/>
                <w:kern w:val="0"/>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48" w:hRule="atLeast"/>
          <w:jc w:val="center"/>
        </w:trPr>
        <w:tc>
          <w:tcPr>
            <w:tcW w:w="526" w:type="dxa"/>
            <w:vAlign w:val="center"/>
          </w:tcPr>
          <w:p>
            <w:pPr>
              <w:widowControl/>
              <w:adjustRightInd w:val="0"/>
              <w:snapToGrid w:val="0"/>
              <w:ind w:firstLine="0" w:firstLineChars="0"/>
              <w:jc w:val="center"/>
              <w:rPr>
                <w:rFonts w:hint="eastAsia"/>
                <w:snapToGrid w:val="0"/>
                <w:kern w:val="0"/>
                <w:sz w:val="21"/>
                <w:szCs w:val="21"/>
                <w:highlight w:val="none"/>
              </w:rPr>
            </w:pPr>
          </w:p>
        </w:tc>
        <w:tc>
          <w:tcPr>
            <w:tcW w:w="898" w:type="dxa"/>
            <w:vMerge w:val="continue"/>
            <w:vAlign w:val="center"/>
          </w:tcPr>
          <w:p>
            <w:pPr>
              <w:widowControl/>
              <w:adjustRightInd w:val="0"/>
              <w:snapToGrid w:val="0"/>
              <w:ind w:firstLine="0" w:firstLineChars="0"/>
              <w:jc w:val="center"/>
              <w:rPr>
                <w:snapToGrid w:val="0"/>
                <w:kern w:val="0"/>
                <w:sz w:val="21"/>
                <w:szCs w:val="21"/>
                <w:highlight w:val="none"/>
              </w:rPr>
            </w:pPr>
          </w:p>
        </w:tc>
        <w:tc>
          <w:tcPr>
            <w:tcW w:w="2539" w:type="dxa"/>
            <w:gridSpan w:val="2"/>
            <w:vAlign w:val="center"/>
          </w:tcPr>
          <w:p>
            <w:pPr>
              <w:widowControl/>
              <w:adjustRightInd w:val="0"/>
              <w:snapToGrid w:val="0"/>
              <w:ind w:firstLine="0" w:firstLineChars="0"/>
              <w:jc w:val="center"/>
              <w:rPr>
                <w:rFonts w:hint="eastAsia" w:eastAsia="宋体"/>
                <w:snapToGrid w:val="0"/>
                <w:kern w:val="0"/>
                <w:sz w:val="21"/>
                <w:szCs w:val="21"/>
                <w:highlight w:val="none"/>
                <w:lang w:eastAsia="zh-CN"/>
              </w:rPr>
            </w:pPr>
            <w:r>
              <w:rPr>
                <w:rFonts w:hint="eastAsia" w:eastAsia="宋体"/>
                <w:snapToGrid w:val="0"/>
                <w:kern w:val="0"/>
                <w:sz w:val="21"/>
                <w:szCs w:val="21"/>
                <w:highlight w:val="none"/>
                <w:lang w:eastAsia="zh-CN"/>
              </w:rPr>
              <w:t>生活污水</w:t>
            </w:r>
          </w:p>
        </w:tc>
        <w:tc>
          <w:tcPr>
            <w:tcW w:w="4068" w:type="dxa"/>
            <w:vAlign w:val="center"/>
          </w:tcPr>
          <w:p>
            <w:pPr>
              <w:widowControl/>
              <w:adjustRightInd w:val="0"/>
              <w:snapToGrid w:val="0"/>
              <w:ind w:firstLine="420"/>
              <w:jc w:val="both"/>
              <w:rPr>
                <w:rFonts w:hint="eastAsia"/>
                <w:color w:val="auto"/>
                <w:kern w:val="0"/>
                <w:sz w:val="21"/>
                <w:szCs w:val="21"/>
                <w:highlight w:val="none"/>
                <w:lang w:val="en-US" w:eastAsia="zh-CN"/>
              </w:rPr>
            </w:pPr>
            <w:r>
              <w:rPr>
                <w:rFonts w:ascii="Times New Roman" w:hAnsi="Times New Roman" w:eastAsia="宋体"/>
                <w:sz w:val="21"/>
                <w:highlight w:val="none"/>
              </w:rPr>
              <w:t>沉淀池（1 个，容积为5m</w:t>
            </w:r>
            <w:r>
              <w:rPr>
                <w:rFonts w:ascii="Times New Roman" w:hAnsi="Times New Roman" w:eastAsia="宋体"/>
                <w:position w:val="7"/>
                <w:sz w:val="13"/>
                <w:highlight w:val="none"/>
              </w:rPr>
              <w:t>3</w:t>
            </w:r>
            <w:r>
              <w:rPr>
                <w:rFonts w:ascii="Times New Roman" w:hAnsi="Times New Roman" w:eastAsia="宋体"/>
                <w:sz w:val="21"/>
                <w:highlight w:val="none"/>
              </w:rPr>
              <w:t>）</w:t>
            </w:r>
          </w:p>
        </w:tc>
        <w:tc>
          <w:tcPr>
            <w:tcW w:w="1255" w:type="dxa"/>
            <w:gridSpan w:val="2"/>
            <w:vAlign w:val="center"/>
          </w:tcPr>
          <w:p>
            <w:pPr>
              <w:widowControl/>
              <w:adjustRightInd w:val="0"/>
              <w:snapToGrid w:val="0"/>
              <w:ind w:firstLine="0" w:firstLineChars="0"/>
              <w:jc w:val="center"/>
              <w:rPr>
                <w:rFonts w:hint="default"/>
                <w:snapToGrid w:val="0"/>
                <w:kern w:val="0"/>
                <w:sz w:val="21"/>
                <w:szCs w:val="21"/>
                <w:highlight w:val="none"/>
                <w:lang w:val="en-US" w:eastAsia="zh-CN"/>
              </w:rPr>
            </w:pPr>
            <w:r>
              <w:rPr>
                <w:rFonts w:hint="eastAsia"/>
                <w:snapToGrid w:val="0"/>
                <w:kern w:val="0"/>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2079" w:hRule="atLeast"/>
          <w:jc w:val="center"/>
        </w:trPr>
        <w:tc>
          <w:tcPr>
            <w:tcW w:w="526" w:type="dxa"/>
            <w:vAlign w:val="center"/>
          </w:tcPr>
          <w:p>
            <w:pPr>
              <w:widowControl/>
              <w:adjustRightInd w:val="0"/>
              <w:snapToGrid w:val="0"/>
              <w:ind w:firstLine="0" w:firstLineChars="0"/>
              <w:jc w:val="center"/>
              <w:rPr>
                <w:snapToGrid w:val="0"/>
                <w:kern w:val="0"/>
                <w:sz w:val="21"/>
                <w:szCs w:val="21"/>
                <w:highlight w:val="none"/>
              </w:rPr>
            </w:pPr>
            <w:r>
              <w:rPr>
                <w:rFonts w:hint="eastAsia"/>
                <w:snapToGrid w:val="0"/>
                <w:kern w:val="0"/>
                <w:sz w:val="21"/>
                <w:szCs w:val="21"/>
                <w:highlight w:val="none"/>
              </w:rPr>
              <w:t>8</w:t>
            </w:r>
          </w:p>
        </w:tc>
        <w:tc>
          <w:tcPr>
            <w:tcW w:w="898" w:type="dxa"/>
            <w:vMerge w:val="continue"/>
            <w:vAlign w:val="center"/>
          </w:tcPr>
          <w:p>
            <w:pPr>
              <w:widowControl/>
              <w:adjustRightInd w:val="0"/>
              <w:snapToGrid w:val="0"/>
              <w:ind w:firstLine="0" w:firstLineChars="0"/>
              <w:jc w:val="center"/>
              <w:rPr>
                <w:snapToGrid w:val="0"/>
                <w:kern w:val="0"/>
                <w:sz w:val="21"/>
                <w:szCs w:val="21"/>
                <w:highlight w:val="none"/>
              </w:rPr>
            </w:pPr>
          </w:p>
        </w:tc>
        <w:tc>
          <w:tcPr>
            <w:tcW w:w="2539" w:type="dxa"/>
            <w:gridSpan w:val="2"/>
            <w:vAlign w:val="center"/>
          </w:tcPr>
          <w:p>
            <w:pPr>
              <w:widowControl/>
              <w:adjustRightInd w:val="0"/>
              <w:snapToGrid w:val="0"/>
              <w:ind w:firstLine="0" w:firstLineChars="0"/>
              <w:jc w:val="center"/>
              <w:rPr>
                <w:snapToGrid w:val="0"/>
                <w:kern w:val="0"/>
                <w:sz w:val="21"/>
                <w:szCs w:val="21"/>
                <w:highlight w:val="none"/>
              </w:rPr>
            </w:pPr>
            <w:r>
              <w:rPr>
                <w:snapToGrid w:val="0"/>
                <w:kern w:val="0"/>
                <w:sz w:val="21"/>
                <w:szCs w:val="21"/>
                <w:highlight w:val="none"/>
              </w:rPr>
              <w:t>截排水沟</w:t>
            </w:r>
          </w:p>
        </w:tc>
        <w:tc>
          <w:tcPr>
            <w:tcW w:w="4068" w:type="dxa"/>
            <w:vAlign w:val="center"/>
          </w:tcPr>
          <w:p>
            <w:pPr>
              <w:widowControl/>
              <w:adjustRightInd w:val="0"/>
              <w:snapToGrid w:val="0"/>
              <w:ind w:firstLine="420"/>
              <w:jc w:val="both"/>
              <w:rPr>
                <w:snapToGrid w:val="0"/>
                <w:kern w:val="0"/>
                <w:sz w:val="21"/>
                <w:szCs w:val="21"/>
                <w:highlight w:val="none"/>
              </w:rPr>
            </w:pPr>
            <w:r>
              <w:rPr>
                <w:rFonts w:hint="eastAsia"/>
                <w:snapToGrid w:val="0"/>
                <w:kern w:val="0"/>
                <w:sz w:val="21"/>
                <w:szCs w:val="21"/>
                <w:highlight w:val="none"/>
              </w:rPr>
              <w:t>截排水沟总长为1090m，其中露天采场截排水沟场600m，破碎场截排水沟长420m，排土场截排水沟70m，浆砌石截水沟，截水沟尺寸均为0.4×0.6m（深×宽），断面均为矩形断面</w:t>
            </w:r>
          </w:p>
        </w:tc>
        <w:tc>
          <w:tcPr>
            <w:tcW w:w="1255" w:type="dxa"/>
            <w:gridSpan w:val="2"/>
            <w:vAlign w:val="center"/>
          </w:tcPr>
          <w:p>
            <w:pPr>
              <w:widowControl/>
              <w:adjustRightInd w:val="0"/>
              <w:snapToGrid w:val="0"/>
              <w:ind w:firstLine="0" w:firstLineChars="0"/>
              <w:jc w:val="center"/>
              <w:rPr>
                <w:rFonts w:hint="default" w:eastAsia="宋体"/>
                <w:snapToGrid w:val="0"/>
                <w:kern w:val="0"/>
                <w:sz w:val="21"/>
                <w:szCs w:val="21"/>
                <w:highlight w:val="none"/>
                <w:lang w:val="en-US" w:eastAsia="zh-CN"/>
              </w:rPr>
            </w:pPr>
            <w:r>
              <w:rPr>
                <w:rFonts w:hint="eastAsia"/>
                <w:snapToGrid w:val="0"/>
                <w:kern w:val="0"/>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33" w:hRule="atLeast"/>
          <w:jc w:val="center"/>
        </w:trPr>
        <w:tc>
          <w:tcPr>
            <w:tcW w:w="526" w:type="dxa"/>
            <w:vAlign w:val="center"/>
          </w:tcPr>
          <w:p>
            <w:pPr>
              <w:widowControl/>
              <w:adjustRightInd w:val="0"/>
              <w:snapToGrid w:val="0"/>
              <w:ind w:firstLine="0" w:firstLineChars="0"/>
              <w:jc w:val="center"/>
              <w:rPr>
                <w:snapToGrid w:val="0"/>
                <w:kern w:val="0"/>
                <w:sz w:val="21"/>
                <w:szCs w:val="21"/>
                <w:highlight w:val="none"/>
              </w:rPr>
            </w:pPr>
            <w:r>
              <w:rPr>
                <w:rFonts w:hint="eastAsia"/>
                <w:snapToGrid w:val="0"/>
                <w:kern w:val="0"/>
                <w:sz w:val="21"/>
                <w:szCs w:val="21"/>
                <w:highlight w:val="none"/>
              </w:rPr>
              <w:t>9</w:t>
            </w:r>
          </w:p>
        </w:tc>
        <w:tc>
          <w:tcPr>
            <w:tcW w:w="898" w:type="dxa"/>
            <w:vAlign w:val="center"/>
          </w:tcPr>
          <w:p>
            <w:pPr>
              <w:widowControl/>
              <w:adjustRightInd w:val="0"/>
              <w:snapToGrid w:val="0"/>
              <w:ind w:firstLine="0" w:firstLineChars="0"/>
              <w:jc w:val="center"/>
              <w:rPr>
                <w:snapToGrid w:val="0"/>
                <w:kern w:val="0"/>
                <w:sz w:val="21"/>
                <w:szCs w:val="21"/>
                <w:highlight w:val="none"/>
              </w:rPr>
            </w:pPr>
            <w:r>
              <w:rPr>
                <w:snapToGrid w:val="0"/>
                <w:kern w:val="0"/>
                <w:sz w:val="21"/>
                <w:szCs w:val="21"/>
                <w:highlight w:val="none"/>
              </w:rPr>
              <w:t>噪声</w:t>
            </w:r>
          </w:p>
        </w:tc>
        <w:tc>
          <w:tcPr>
            <w:tcW w:w="2539" w:type="dxa"/>
            <w:gridSpan w:val="2"/>
            <w:vAlign w:val="center"/>
          </w:tcPr>
          <w:p>
            <w:pPr>
              <w:widowControl/>
              <w:adjustRightInd w:val="0"/>
              <w:snapToGrid w:val="0"/>
              <w:ind w:firstLine="0" w:firstLineChars="0"/>
              <w:jc w:val="center"/>
              <w:rPr>
                <w:snapToGrid w:val="0"/>
                <w:kern w:val="0"/>
                <w:sz w:val="21"/>
                <w:szCs w:val="21"/>
                <w:highlight w:val="none"/>
              </w:rPr>
            </w:pPr>
            <w:r>
              <w:rPr>
                <w:snapToGrid w:val="0"/>
                <w:kern w:val="0"/>
                <w:sz w:val="21"/>
                <w:szCs w:val="21"/>
                <w:highlight w:val="none"/>
              </w:rPr>
              <w:t>噪声防治</w:t>
            </w:r>
          </w:p>
        </w:tc>
        <w:tc>
          <w:tcPr>
            <w:tcW w:w="4068" w:type="dxa"/>
            <w:vAlign w:val="center"/>
          </w:tcPr>
          <w:p>
            <w:pPr>
              <w:widowControl/>
              <w:adjustRightInd w:val="0"/>
              <w:snapToGrid w:val="0"/>
              <w:ind w:firstLine="0" w:firstLineChars="0"/>
              <w:jc w:val="center"/>
              <w:rPr>
                <w:snapToGrid w:val="0"/>
                <w:kern w:val="0"/>
                <w:sz w:val="21"/>
                <w:szCs w:val="21"/>
                <w:highlight w:val="none"/>
              </w:rPr>
            </w:pPr>
            <w:r>
              <w:rPr>
                <w:snapToGrid w:val="0"/>
                <w:kern w:val="0"/>
                <w:sz w:val="21"/>
                <w:szCs w:val="21"/>
                <w:highlight w:val="none"/>
              </w:rPr>
              <w:t>设备隔声、减振</w:t>
            </w:r>
          </w:p>
        </w:tc>
        <w:tc>
          <w:tcPr>
            <w:tcW w:w="1255" w:type="dxa"/>
            <w:gridSpan w:val="2"/>
            <w:vAlign w:val="center"/>
          </w:tcPr>
          <w:p>
            <w:pPr>
              <w:widowControl/>
              <w:adjustRightInd w:val="0"/>
              <w:snapToGrid w:val="0"/>
              <w:ind w:firstLine="0" w:firstLineChars="0"/>
              <w:jc w:val="center"/>
              <w:rPr>
                <w:rFonts w:hint="eastAsia" w:eastAsia="宋体"/>
                <w:snapToGrid w:val="0"/>
                <w:kern w:val="0"/>
                <w:sz w:val="21"/>
                <w:szCs w:val="21"/>
                <w:highlight w:val="none"/>
                <w:lang w:eastAsia="zh-CN"/>
              </w:rPr>
            </w:pPr>
            <w:r>
              <w:rPr>
                <w:rFonts w:hint="eastAsia"/>
                <w:snapToGrid w:val="0"/>
                <w:kern w:val="0"/>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33" w:hRule="atLeast"/>
          <w:jc w:val="center"/>
        </w:trPr>
        <w:tc>
          <w:tcPr>
            <w:tcW w:w="526" w:type="dxa"/>
            <w:vAlign w:val="center"/>
          </w:tcPr>
          <w:p>
            <w:pPr>
              <w:widowControl/>
              <w:adjustRightInd w:val="0"/>
              <w:snapToGrid w:val="0"/>
              <w:ind w:firstLine="0" w:firstLineChars="0"/>
              <w:jc w:val="center"/>
              <w:rPr>
                <w:snapToGrid w:val="0"/>
                <w:kern w:val="0"/>
                <w:sz w:val="21"/>
                <w:szCs w:val="21"/>
                <w:highlight w:val="none"/>
              </w:rPr>
            </w:pPr>
            <w:r>
              <w:rPr>
                <w:rFonts w:hint="eastAsia"/>
                <w:snapToGrid w:val="0"/>
                <w:kern w:val="0"/>
                <w:sz w:val="21"/>
                <w:szCs w:val="21"/>
                <w:highlight w:val="none"/>
              </w:rPr>
              <w:t>10</w:t>
            </w:r>
          </w:p>
        </w:tc>
        <w:tc>
          <w:tcPr>
            <w:tcW w:w="898" w:type="dxa"/>
            <w:vMerge w:val="restart"/>
            <w:vAlign w:val="center"/>
          </w:tcPr>
          <w:p>
            <w:pPr>
              <w:widowControl/>
              <w:adjustRightInd w:val="0"/>
              <w:snapToGrid w:val="0"/>
              <w:ind w:firstLine="0" w:firstLineChars="0"/>
              <w:jc w:val="center"/>
              <w:rPr>
                <w:snapToGrid w:val="0"/>
                <w:kern w:val="0"/>
                <w:sz w:val="21"/>
                <w:szCs w:val="21"/>
                <w:highlight w:val="none"/>
              </w:rPr>
            </w:pPr>
            <w:r>
              <w:rPr>
                <w:snapToGrid w:val="0"/>
                <w:kern w:val="0"/>
                <w:sz w:val="21"/>
                <w:szCs w:val="21"/>
                <w:highlight w:val="none"/>
              </w:rPr>
              <w:t>固废</w:t>
            </w:r>
          </w:p>
        </w:tc>
        <w:tc>
          <w:tcPr>
            <w:tcW w:w="2539" w:type="dxa"/>
            <w:gridSpan w:val="2"/>
            <w:vAlign w:val="center"/>
          </w:tcPr>
          <w:p>
            <w:pPr>
              <w:widowControl/>
              <w:adjustRightInd w:val="0"/>
              <w:snapToGrid w:val="0"/>
              <w:ind w:firstLine="0" w:firstLineChars="0"/>
              <w:jc w:val="center"/>
              <w:rPr>
                <w:rFonts w:hint="eastAsia" w:eastAsia="宋体"/>
                <w:snapToGrid w:val="0"/>
                <w:kern w:val="0"/>
                <w:sz w:val="21"/>
                <w:szCs w:val="21"/>
                <w:highlight w:val="none"/>
                <w:lang w:eastAsia="zh-CN"/>
              </w:rPr>
            </w:pPr>
            <w:r>
              <w:rPr>
                <w:rFonts w:hint="eastAsia"/>
                <w:snapToGrid w:val="0"/>
                <w:kern w:val="0"/>
                <w:sz w:val="21"/>
                <w:szCs w:val="21"/>
                <w:highlight w:val="none"/>
                <w:lang w:eastAsia="zh-CN"/>
              </w:rPr>
              <w:t>生活垃圾</w:t>
            </w:r>
          </w:p>
        </w:tc>
        <w:tc>
          <w:tcPr>
            <w:tcW w:w="4068" w:type="dxa"/>
            <w:vAlign w:val="center"/>
          </w:tcPr>
          <w:p>
            <w:pPr>
              <w:widowControl/>
              <w:adjustRightInd w:val="0"/>
              <w:snapToGrid w:val="0"/>
              <w:ind w:firstLine="0" w:firstLineChars="0"/>
              <w:jc w:val="center"/>
              <w:rPr>
                <w:rFonts w:hint="eastAsia" w:eastAsia="宋体"/>
                <w:snapToGrid w:val="0"/>
                <w:kern w:val="0"/>
                <w:sz w:val="21"/>
                <w:szCs w:val="21"/>
                <w:highlight w:val="none"/>
                <w:lang w:eastAsia="zh-CN"/>
              </w:rPr>
            </w:pPr>
            <w:r>
              <w:rPr>
                <w:rFonts w:hint="eastAsia"/>
                <w:sz w:val="21"/>
                <w:szCs w:val="21"/>
                <w:highlight w:val="none"/>
                <w:lang w:eastAsia="zh-CN"/>
              </w:rPr>
              <w:t>垃圾收集桶</w:t>
            </w:r>
          </w:p>
        </w:tc>
        <w:tc>
          <w:tcPr>
            <w:tcW w:w="1255" w:type="dxa"/>
            <w:gridSpan w:val="2"/>
            <w:vAlign w:val="center"/>
          </w:tcPr>
          <w:p>
            <w:pPr>
              <w:widowControl/>
              <w:adjustRightInd w:val="0"/>
              <w:snapToGrid w:val="0"/>
              <w:ind w:firstLine="0" w:firstLineChars="0"/>
              <w:jc w:val="center"/>
              <w:rPr>
                <w:rFonts w:hint="default" w:eastAsia="宋体"/>
                <w:snapToGrid w:val="0"/>
                <w:kern w:val="0"/>
                <w:sz w:val="21"/>
                <w:szCs w:val="21"/>
                <w:highlight w:val="none"/>
                <w:lang w:val="en-US" w:eastAsia="zh-CN"/>
              </w:rPr>
            </w:pPr>
            <w:r>
              <w:rPr>
                <w:rFonts w:hint="eastAsia"/>
                <w:snapToGrid w:val="0"/>
                <w:kern w:val="0"/>
                <w:sz w:val="21"/>
                <w:szCs w:val="21"/>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526" w:type="dxa"/>
            <w:vAlign w:val="center"/>
          </w:tcPr>
          <w:p>
            <w:pPr>
              <w:widowControl/>
              <w:adjustRightInd w:val="0"/>
              <w:snapToGrid w:val="0"/>
              <w:ind w:firstLine="0" w:firstLineChars="0"/>
              <w:jc w:val="center"/>
              <w:rPr>
                <w:snapToGrid w:val="0"/>
                <w:kern w:val="0"/>
                <w:sz w:val="21"/>
                <w:szCs w:val="21"/>
                <w:highlight w:val="none"/>
              </w:rPr>
            </w:pPr>
            <w:r>
              <w:rPr>
                <w:rFonts w:hint="eastAsia"/>
                <w:snapToGrid w:val="0"/>
                <w:kern w:val="0"/>
                <w:sz w:val="21"/>
                <w:szCs w:val="21"/>
                <w:highlight w:val="none"/>
              </w:rPr>
              <w:t>11</w:t>
            </w:r>
          </w:p>
        </w:tc>
        <w:tc>
          <w:tcPr>
            <w:tcW w:w="898" w:type="dxa"/>
            <w:vMerge w:val="continue"/>
            <w:vAlign w:val="center"/>
          </w:tcPr>
          <w:p>
            <w:pPr>
              <w:widowControl/>
              <w:adjustRightInd w:val="0"/>
              <w:snapToGrid w:val="0"/>
              <w:ind w:firstLine="0" w:firstLineChars="0"/>
              <w:jc w:val="center"/>
              <w:rPr>
                <w:snapToGrid w:val="0"/>
                <w:kern w:val="0"/>
                <w:sz w:val="21"/>
                <w:szCs w:val="21"/>
                <w:highlight w:val="none"/>
              </w:rPr>
            </w:pPr>
          </w:p>
        </w:tc>
        <w:tc>
          <w:tcPr>
            <w:tcW w:w="2539" w:type="dxa"/>
            <w:gridSpan w:val="2"/>
            <w:vAlign w:val="center"/>
          </w:tcPr>
          <w:p>
            <w:pPr>
              <w:widowControl/>
              <w:adjustRightInd w:val="0"/>
              <w:snapToGrid w:val="0"/>
              <w:ind w:firstLine="0" w:firstLineChars="0"/>
              <w:jc w:val="center"/>
              <w:rPr>
                <w:rFonts w:hint="eastAsia" w:eastAsia="宋体"/>
                <w:snapToGrid w:val="0"/>
                <w:kern w:val="0"/>
                <w:sz w:val="21"/>
                <w:szCs w:val="21"/>
                <w:highlight w:val="none"/>
                <w:lang w:eastAsia="zh-CN"/>
              </w:rPr>
            </w:pPr>
            <w:r>
              <w:rPr>
                <w:rFonts w:hint="eastAsia"/>
                <w:snapToGrid w:val="0"/>
                <w:kern w:val="0"/>
                <w:sz w:val="21"/>
                <w:szCs w:val="21"/>
                <w:highlight w:val="none"/>
                <w:lang w:eastAsia="zh-CN"/>
              </w:rPr>
              <w:t>废机油</w:t>
            </w:r>
          </w:p>
        </w:tc>
        <w:tc>
          <w:tcPr>
            <w:tcW w:w="4070" w:type="dxa"/>
            <w:gridSpan w:val="2"/>
            <w:vAlign w:val="center"/>
          </w:tcPr>
          <w:p>
            <w:pPr>
              <w:widowControl/>
              <w:adjustRightInd w:val="0"/>
              <w:snapToGrid w:val="0"/>
              <w:ind w:firstLine="0" w:firstLineChars="0"/>
              <w:jc w:val="both"/>
              <w:rPr>
                <w:b/>
                <w:bCs/>
                <w:snapToGrid w:val="0"/>
                <w:kern w:val="0"/>
                <w:sz w:val="21"/>
                <w:szCs w:val="21"/>
                <w:highlight w:val="none"/>
              </w:rPr>
            </w:pPr>
            <w:r>
              <w:rPr>
                <w:rFonts w:hint="eastAsia"/>
                <w:sz w:val="21"/>
                <w:szCs w:val="21"/>
                <w:highlight w:val="none"/>
                <w:lang w:eastAsia="zh-CN"/>
              </w:rPr>
              <w:t>危废暂存间（设置一间10m</w:t>
            </w:r>
            <w:r>
              <w:rPr>
                <w:rFonts w:hint="eastAsia"/>
                <w:sz w:val="21"/>
                <w:szCs w:val="21"/>
                <w:highlight w:val="none"/>
                <w:vertAlign w:val="superscript"/>
                <w:lang w:eastAsia="zh-CN"/>
              </w:rPr>
              <w:t>2</w:t>
            </w:r>
            <w:r>
              <w:rPr>
                <w:rFonts w:hint="eastAsia"/>
                <w:sz w:val="21"/>
                <w:szCs w:val="21"/>
                <w:highlight w:val="none"/>
                <w:lang w:eastAsia="zh-CN"/>
              </w:rPr>
              <w:t>危险废物暂存间，地面和裙角水泥防渗处理）</w:t>
            </w:r>
          </w:p>
        </w:tc>
        <w:tc>
          <w:tcPr>
            <w:tcW w:w="1260" w:type="dxa"/>
            <w:gridSpan w:val="2"/>
            <w:vAlign w:val="center"/>
          </w:tcPr>
          <w:p>
            <w:pPr>
              <w:widowControl/>
              <w:adjustRightInd w:val="0"/>
              <w:snapToGrid w:val="0"/>
              <w:ind w:firstLine="0" w:firstLineChars="0"/>
              <w:jc w:val="center"/>
              <w:rPr>
                <w:rFonts w:hint="default"/>
                <w:sz w:val="21"/>
                <w:szCs w:val="21"/>
                <w:highlight w:val="none"/>
                <w:lang w:val="en-US" w:eastAsia="zh-CN"/>
              </w:rPr>
            </w:pPr>
            <w:r>
              <w:rPr>
                <w:rFonts w:hint="eastAsia"/>
                <w:sz w:val="21"/>
                <w:szCs w:val="21"/>
                <w:highlight w:val="none"/>
                <w:lang w:val="en-US" w:eastAsia="zh-CN"/>
              </w:rPr>
              <w:t>7.45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33" w:hRule="atLeast"/>
          <w:jc w:val="center"/>
        </w:trPr>
        <w:tc>
          <w:tcPr>
            <w:tcW w:w="526" w:type="dxa"/>
            <w:vAlign w:val="center"/>
          </w:tcPr>
          <w:p>
            <w:pPr>
              <w:widowControl/>
              <w:adjustRightInd w:val="0"/>
              <w:snapToGrid w:val="0"/>
              <w:ind w:firstLine="0" w:firstLineChars="0"/>
              <w:jc w:val="center"/>
              <w:rPr>
                <w:snapToGrid w:val="0"/>
                <w:kern w:val="0"/>
                <w:sz w:val="21"/>
                <w:szCs w:val="21"/>
                <w:highlight w:val="none"/>
              </w:rPr>
            </w:pPr>
            <w:r>
              <w:rPr>
                <w:rFonts w:hint="eastAsia"/>
                <w:snapToGrid w:val="0"/>
                <w:kern w:val="0"/>
                <w:sz w:val="21"/>
                <w:szCs w:val="21"/>
                <w:highlight w:val="none"/>
              </w:rPr>
              <w:t>12</w:t>
            </w:r>
          </w:p>
        </w:tc>
        <w:tc>
          <w:tcPr>
            <w:tcW w:w="898" w:type="dxa"/>
            <w:vAlign w:val="center"/>
          </w:tcPr>
          <w:p>
            <w:pPr>
              <w:widowControl/>
              <w:adjustRightInd w:val="0"/>
              <w:snapToGrid w:val="0"/>
              <w:ind w:firstLine="0" w:firstLineChars="0"/>
              <w:jc w:val="center"/>
              <w:rPr>
                <w:snapToGrid w:val="0"/>
                <w:kern w:val="0"/>
                <w:sz w:val="21"/>
                <w:szCs w:val="21"/>
                <w:highlight w:val="none"/>
              </w:rPr>
            </w:pPr>
            <w:r>
              <w:rPr>
                <w:snapToGrid w:val="0"/>
                <w:kern w:val="0"/>
                <w:sz w:val="21"/>
                <w:szCs w:val="21"/>
                <w:highlight w:val="none"/>
              </w:rPr>
              <w:t>生态</w:t>
            </w:r>
          </w:p>
        </w:tc>
        <w:tc>
          <w:tcPr>
            <w:tcW w:w="2539" w:type="dxa"/>
            <w:gridSpan w:val="2"/>
            <w:vAlign w:val="center"/>
          </w:tcPr>
          <w:p>
            <w:pPr>
              <w:widowControl/>
              <w:adjustRightInd w:val="0"/>
              <w:snapToGrid w:val="0"/>
              <w:ind w:firstLine="0" w:firstLineChars="0"/>
              <w:jc w:val="center"/>
              <w:rPr>
                <w:snapToGrid w:val="0"/>
                <w:color w:val="auto"/>
                <w:kern w:val="0"/>
                <w:sz w:val="21"/>
                <w:szCs w:val="21"/>
                <w:highlight w:val="none"/>
              </w:rPr>
            </w:pPr>
            <w:r>
              <w:rPr>
                <w:rFonts w:hint="eastAsia"/>
                <w:snapToGrid w:val="0"/>
                <w:color w:val="auto"/>
                <w:kern w:val="0"/>
                <w:sz w:val="21"/>
                <w:szCs w:val="21"/>
                <w:highlight w:val="none"/>
              </w:rPr>
              <w:t>生态恢复</w:t>
            </w:r>
          </w:p>
        </w:tc>
        <w:tc>
          <w:tcPr>
            <w:tcW w:w="4068" w:type="dxa"/>
            <w:vAlign w:val="center"/>
          </w:tcPr>
          <w:p>
            <w:pPr>
              <w:widowControl/>
              <w:adjustRightInd w:val="0"/>
              <w:snapToGrid w:val="0"/>
              <w:ind w:firstLine="0" w:firstLineChars="0"/>
              <w:jc w:val="center"/>
              <w:rPr>
                <w:rFonts w:hint="eastAsia" w:eastAsia="宋体"/>
                <w:snapToGrid w:val="0"/>
                <w:color w:val="auto"/>
                <w:kern w:val="0"/>
                <w:sz w:val="21"/>
                <w:szCs w:val="21"/>
                <w:highlight w:val="none"/>
                <w:lang w:eastAsia="zh-CN"/>
              </w:rPr>
            </w:pPr>
            <w:r>
              <w:rPr>
                <w:rFonts w:hint="eastAsia" w:eastAsia="宋体"/>
                <w:snapToGrid w:val="0"/>
                <w:color w:val="auto"/>
                <w:kern w:val="0"/>
                <w:sz w:val="21"/>
                <w:szCs w:val="21"/>
                <w:highlight w:val="none"/>
                <w:lang w:eastAsia="zh-CN"/>
              </w:rPr>
              <w:t>前期场区绿化、后期土地复垦</w:t>
            </w:r>
          </w:p>
        </w:tc>
        <w:tc>
          <w:tcPr>
            <w:tcW w:w="1255" w:type="dxa"/>
            <w:gridSpan w:val="2"/>
            <w:vAlign w:val="center"/>
          </w:tcPr>
          <w:p>
            <w:pPr>
              <w:widowControl/>
              <w:adjustRightInd w:val="0"/>
              <w:snapToGrid w:val="0"/>
              <w:ind w:firstLine="0" w:firstLineChars="0"/>
              <w:jc w:val="center"/>
              <w:rPr>
                <w:rFonts w:hint="default"/>
                <w:snapToGrid w:val="0"/>
                <w:color w:val="auto"/>
                <w:kern w:val="0"/>
                <w:sz w:val="21"/>
                <w:szCs w:val="21"/>
                <w:highlight w:val="none"/>
                <w:lang w:val="en-US"/>
              </w:rPr>
            </w:pPr>
            <w:r>
              <w:rPr>
                <w:rFonts w:hint="eastAsia"/>
                <w:snapToGrid w:val="0"/>
                <w:color w:val="auto"/>
                <w:kern w:val="0"/>
                <w:sz w:val="21"/>
                <w:szCs w:val="21"/>
                <w:highlight w:val="none"/>
                <w:lang w:val="en-US" w:eastAsia="zh-CN"/>
              </w:rPr>
              <w:t>不计入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33" w:hRule="atLeast"/>
          <w:jc w:val="center"/>
        </w:trPr>
        <w:tc>
          <w:tcPr>
            <w:tcW w:w="526" w:type="dxa"/>
            <w:vAlign w:val="center"/>
          </w:tcPr>
          <w:p>
            <w:pPr>
              <w:widowControl/>
              <w:adjustRightInd w:val="0"/>
              <w:snapToGrid w:val="0"/>
              <w:ind w:firstLine="0" w:firstLineChars="0"/>
              <w:jc w:val="center"/>
              <w:rPr>
                <w:rFonts w:hint="default" w:eastAsia="宋体"/>
                <w:snapToGrid w:val="0"/>
                <w:kern w:val="0"/>
                <w:sz w:val="21"/>
                <w:szCs w:val="21"/>
                <w:highlight w:val="none"/>
                <w:lang w:val="en-US" w:eastAsia="zh-CN"/>
              </w:rPr>
            </w:pPr>
            <w:r>
              <w:rPr>
                <w:rFonts w:hint="eastAsia"/>
                <w:snapToGrid w:val="0"/>
                <w:kern w:val="0"/>
                <w:sz w:val="21"/>
                <w:szCs w:val="21"/>
                <w:highlight w:val="none"/>
                <w:lang w:val="en-US" w:eastAsia="zh-CN"/>
              </w:rPr>
              <w:t>13</w:t>
            </w:r>
          </w:p>
        </w:tc>
        <w:tc>
          <w:tcPr>
            <w:tcW w:w="898" w:type="dxa"/>
            <w:vAlign w:val="center"/>
          </w:tcPr>
          <w:p>
            <w:pPr>
              <w:widowControl/>
              <w:adjustRightInd w:val="0"/>
              <w:snapToGrid w:val="0"/>
              <w:ind w:firstLine="0" w:firstLineChars="0"/>
              <w:jc w:val="center"/>
              <w:rPr>
                <w:rFonts w:hint="eastAsia" w:eastAsia="宋体"/>
                <w:snapToGrid w:val="0"/>
                <w:kern w:val="0"/>
                <w:sz w:val="21"/>
                <w:szCs w:val="21"/>
                <w:highlight w:val="none"/>
                <w:lang w:eastAsia="zh-CN"/>
              </w:rPr>
            </w:pPr>
            <w:r>
              <w:rPr>
                <w:rFonts w:hint="eastAsia"/>
                <w:snapToGrid w:val="0"/>
                <w:kern w:val="0"/>
                <w:sz w:val="21"/>
                <w:szCs w:val="21"/>
                <w:highlight w:val="none"/>
                <w:lang w:eastAsia="zh-CN"/>
              </w:rPr>
              <w:t>风险</w:t>
            </w:r>
          </w:p>
        </w:tc>
        <w:tc>
          <w:tcPr>
            <w:tcW w:w="2539" w:type="dxa"/>
            <w:gridSpan w:val="2"/>
            <w:vAlign w:val="center"/>
          </w:tcPr>
          <w:p>
            <w:pPr>
              <w:widowControl/>
              <w:adjustRightInd w:val="0"/>
              <w:snapToGrid w:val="0"/>
              <w:ind w:firstLine="0" w:firstLineChars="0"/>
              <w:jc w:val="center"/>
              <w:rPr>
                <w:rFonts w:hint="eastAsia" w:eastAsia="宋体"/>
                <w:snapToGrid w:val="0"/>
                <w:color w:val="auto"/>
                <w:kern w:val="0"/>
                <w:sz w:val="21"/>
                <w:szCs w:val="21"/>
                <w:highlight w:val="none"/>
                <w:lang w:eastAsia="zh-CN"/>
              </w:rPr>
            </w:pPr>
            <w:r>
              <w:rPr>
                <w:rFonts w:hint="eastAsia"/>
                <w:snapToGrid w:val="0"/>
                <w:color w:val="auto"/>
                <w:kern w:val="0"/>
                <w:sz w:val="21"/>
                <w:szCs w:val="21"/>
                <w:highlight w:val="none"/>
                <w:lang w:eastAsia="zh-CN"/>
              </w:rPr>
              <w:t>柴油储罐</w:t>
            </w:r>
          </w:p>
        </w:tc>
        <w:tc>
          <w:tcPr>
            <w:tcW w:w="4068" w:type="dxa"/>
            <w:vAlign w:val="center"/>
          </w:tcPr>
          <w:p>
            <w:pPr>
              <w:widowControl/>
              <w:adjustRightInd w:val="0"/>
              <w:snapToGrid w:val="0"/>
              <w:ind w:firstLine="0" w:firstLineChars="0"/>
              <w:jc w:val="center"/>
              <w:rPr>
                <w:rFonts w:hint="eastAsia" w:eastAsia="宋体"/>
                <w:snapToGrid w:val="0"/>
                <w:color w:val="auto"/>
                <w:kern w:val="0"/>
                <w:sz w:val="21"/>
                <w:szCs w:val="21"/>
                <w:highlight w:val="none"/>
                <w:lang w:eastAsia="zh-CN"/>
              </w:rPr>
            </w:pPr>
            <w:r>
              <w:rPr>
                <w:rFonts w:hint="eastAsia" w:eastAsia="宋体"/>
                <w:snapToGrid w:val="0"/>
                <w:color w:val="auto"/>
                <w:kern w:val="0"/>
                <w:sz w:val="21"/>
                <w:szCs w:val="21"/>
                <w:highlight w:val="none"/>
                <w:lang w:eastAsia="zh-CN"/>
              </w:rPr>
              <w:t>设置围堰</w:t>
            </w:r>
          </w:p>
        </w:tc>
        <w:tc>
          <w:tcPr>
            <w:tcW w:w="1255" w:type="dxa"/>
            <w:gridSpan w:val="2"/>
            <w:vAlign w:val="center"/>
          </w:tcPr>
          <w:p>
            <w:pPr>
              <w:widowControl/>
              <w:adjustRightInd w:val="0"/>
              <w:snapToGrid w:val="0"/>
              <w:ind w:firstLine="0" w:firstLineChars="0"/>
              <w:jc w:val="center"/>
              <w:rPr>
                <w:rFonts w:hint="default"/>
                <w:snapToGrid w:val="0"/>
                <w:color w:val="auto"/>
                <w:kern w:val="0"/>
                <w:sz w:val="21"/>
                <w:szCs w:val="21"/>
                <w:highlight w:val="none"/>
                <w:lang w:val="en-US" w:eastAsia="zh-CN"/>
              </w:rPr>
            </w:pPr>
            <w:r>
              <w:rPr>
                <w:rFonts w:hint="eastAsia"/>
                <w:snapToGrid w:val="0"/>
                <w:color w:val="auto"/>
                <w:kern w:val="0"/>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33" w:hRule="atLeast"/>
          <w:jc w:val="center"/>
        </w:trPr>
        <w:tc>
          <w:tcPr>
            <w:tcW w:w="8031" w:type="dxa"/>
            <w:gridSpan w:val="5"/>
            <w:vAlign w:val="center"/>
          </w:tcPr>
          <w:p>
            <w:pPr>
              <w:widowControl/>
              <w:adjustRightInd w:val="0"/>
              <w:snapToGrid w:val="0"/>
              <w:ind w:firstLine="0" w:firstLineChars="0"/>
              <w:jc w:val="center"/>
              <w:rPr>
                <w:b/>
                <w:bCs/>
                <w:snapToGrid w:val="0"/>
                <w:kern w:val="0"/>
                <w:sz w:val="21"/>
                <w:szCs w:val="21"/>
                <w:highlight w:val="none"/>
              </w:rPr>
            </w:pPr>
            <w:r>
              <w:rPr>
                <w:rFonts w:hint="eastAsia"/>
                <w:b/>
                <w:bCs/>
                <w:snapToGrid w:val="0"/>
                <w:kern w:val="0"/>
                <w:sz w:val="21"/>
                <w:szCs w:val="21"/>
                <w:highlight w:val="none"/>
              </w:rPr>
              <w:t>小计</w:t>
            </w:r>
          </w:p>
        </w:tc>
        <w:tc>
          <w:tcPr>
            <w:tcW w:w="1255" w:type="dxa"/>
            <w:gridSpan w:val="2"/>
            <w:vAlign w:val="center"/>
          </w:tcPr>
          <w:p>
            <w:pPr>
              <w:widowControl/>
              <w:adjustRightInd w:val="0"/>
              <w:snapToGrid w:val="0"/>
              <w:ind w:firstLine="0" w:firstLineChars="0"/>
              <w:jc w:val="center"/>
              <w:rPr>
                <w:rFonts w:hint="default" w:eastAsia="宋体"/>
                <w:b/>
                <w:bCs/>
                <w:snapToGrid w:val="0"/>
                <w:kern w:val="0"/>
                <w:sz w:val="21"/>
                <w:szCs w:val="21"/>
                <w:highlight w:val="none"/>
                <w:lang w:val="en-US" w:eastAsia="zh-CN"/>
              </w:rPr>
            </w:pPr>
            <w:r>
              <w:rPr>
                <w:rFonts w:hint="eastAsia"/>
                <w:b/>
                <w:bCs/>
                <w:snapToGrid w:val="0"/>
                <w:kern w:val="0"/>
                <w:sz w:val="21"/>
                <w:szCs w:val="21"/>
                <w:highlight w:val="none"/>
                <w:lang w:val="en-US" w:eastAsia="zh-CN"/>
              </w:rPr>
              <w:t>87.45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9293" w:type="dxa"/>
            <w:gridSpan w:val="8"/>
            <w:shd w:val="clear" w:color="auto" w:fill="auto"/>
            <w:vAlign w:val="center"/>
          </w:tcPr>
          <w:p>
            <w:pPr>
              <w:widowControl/>
              <w:adjustRightInd w:val="0"/>
              <w:snapToGrid w:val="0"/>
              <w:ind w:firstLine="0" w:firstLineChars="0"/>
              <w:jc w:val="center"/>
              <w:rPr>
                <w:b/>
                <w:bCs/>
                <w:snapToGrid w:val="0"/>
                <w:kern w:val="0"/>
                <w:sz w:val="21"/>
                <w:szCs w:val="21"/>
                <w:highlight w:val="none"/>
              </w:rPr>
            </w:pPr>
            <w:r>
              <w:rPr>
                <w:rFonts w:hint="eastAsia"/>
                <w:b/>
                <w:bCs/>
                <w:snapToGrid w:val="0"/>
                <w:kern w:val="0"/>
                <w:sz w:val="21"/>
                <w:szCs w:val="21"/>
                <w:highlight w:val="none"/>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33" w:hRule="atLeast"/>
          <w:jc w:val="center"/>
        </w:trPr>
        <w:tc>
          <w:tcPr>
            <w:tcW w:w="526" w:type="dxa"/>
            <w:vAlign w:val="center"/>
          </w:tcPr>
          <w:p>
            <w:pPr>
              <w:widowControl/>
              <w:adjustRightInd w:val="0"/>
              <w:snapToGrid w:val="0"/>
              <w:ind w:firstLine="0" w:firstLineChars="0"/>
              <w:jc w:val="center"/>
              <w:rPr>
                <w:snapToGrid w:val="0"/>
                <w:kern w:val="0"/>
                <w:sz w:val="21"/>
                <w:szCs w:val="21"/>
                <w:highlight w:val="none"/>
              </w:rPr>
            </w:pPr>
            <w:r>
              <w:rPr>
                <w:rFonts w:hint="eastAsia"/>
                <w:snapToGrid w:val="0"/>
                <w:kern w:val="0"/>
                <w:sz w:val="21"/>
                <w:szCs w:val="21"/>
                <w:highlight w:val="none"/>
              </w:rPr>
              <w:t>1</w:t>
            </w:r>
          </w:p>
        </w:tc>
        <w:tc>
          <w:tcPr>
            <w:tcW w:w="3437" w:type="dxa"/>
            <w:gridSpan w:val="3"/>
            <w:vAlign w:val="center"/>
          </w:tcPr>
          <w:p>
            <w:pPr>
              <w:widowControl/>
              <w:adjustRightInd w:val="0"/>
              <w:snapToGrid w:val="0"/>
              <w:ind w:firstLine="0" w:firstLineChars="0"/>
              <w:jc w:val="center"/>
              <w:rPr>
                <w:snapToGrid w:val="0"/>
                <w:kern w:val="0"/>
                <w:sz w:val="21"/>
                <w:szCs w:val="21"/>
                <w:highlight w:val="none"/>
              </w:rPr>
            </w:pPr>
            <w:r>
              <w:rPr>
                <w:rFonts w:hint="eastAsia"/>
                <w:snapToGrid w:val="0"/>
                <w:kern w:val="0"/>
                <w:sz w:val="21"/>
                <w:szCs w:val="21"/>
                <w:highlight w:val="none"/>
              </w:rPr>
              <w:t>环境管理</w:t>
            </w:r>
          </w:p>
        </w:tc>
        <w:tc>
          <w:tcPr>
            <w:tcW w:w="4068" w:type="dxa"/>
            <w:vAlign w:val="center"/>
          </w:tcPr>
          <w:p>
            <w:pPr>
              <w:widowControl/>
              <w:adjustRightInd w:val="0"/>
              <w:snapToGrid w:val="0"/>
              <w:ind w:firstLine="0" w:firstLineChars="0"/>
              <w:jc w:val="center"/>
              <w:rPr>
                <w:snapToGrid w:val="0"/>
                <w:kern w:val="0"/>
                <w:sz w:val="21"/>
                <w:szCs w:val="21"/>
                <w:highlight w:val="none"/>
              </w:rPr>
            </w:pPr>
            <w:r>
              <w:rPr>
                <w:rFonts w:hint="eastAsia"/>
                <w:snapToGrid w:val="0"/>
                <w:kern w:val="0"/>
                <w:sz w:val="21"/>
                <w:szCs w:val="21"/>
                <w:highlight w:val="none"/>
              </w:rPr>
              <w:t>环评、竣工环境保护验收</w:t>
            </w:r>
          </w:p>
        </w:tc>
        <w:tc>
          <w:tcPr>
            <w:tcW w:w="1255" w:type="dxa"/>
            <w:gridSpan w:val="2"/>
            <w:vAlign w:val="center"/>
          </w:tcPr>
          <w:p>
            <w:pPr>
              <w:widowControl/>
              <w:adjustRightInd w:val="0"/>
              <w:snapToGrid w:val="0"/>
              <w:ind w:firstLine="0" w:firstLineChars="0"/>
              <w:jc w:val="center"/>
              <w:rPr>
                <w:snapToGrid w:val="0"/>
                <w:kern w:val="0"/>
                <w:sz w:val="21"/>
                <w:szCs w:val="21"/>
                <w:highlight w:val="none"/>
              </w:rPr>
            </w:pPr>
            <w:r>
              <w:rPr>
                <w:rFonts w:hint="eastAsia"/>
                <w:snapToGrid w:val="0"/>
                <w:kern w:val="0"/>
                <w:sz w:val="21"/>
                <w:szCs w:val="21"/>
                <w:highlight w:val="none"/>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33" w:hRule="atLeast"/>
          <w:jc w:val="center"/>
        </w:trPr>
        <w:tc>
          <w:tcPr>
            <w:tcW w:w="526" w:type="dxa"/>
            <w:vAlign w:val="center"/>
          </w:tcPr>
          <w:p>
            <w:pPr>
              <w:widowControl/>
              <w:adjustRightInd w:val="0"/>
              <w:snapToGrid w:val="0"/>
              <w:ind w:firstLine="0" w:firstLineChars="0"/>
              <w:jc w:val="center"/>
              <w:rPr>
                <w:snapToGrid w:val="0"/>
                <w:kern w:val="0"/>
                <w:sz w:val="21"/>
                <w:szCs w:val="21"/>
                <w:highlight w:val="none"/>
              </w:rPr>
            </w:pPr>
            <w:r>
              <w:rPr>
                <w:rFonts w:hint="eastAsia"/>
                <w:snapToGrid w:val="0"/>
                <w:kern w:val="0"/>
                <w:sz w:val="21"/>
                <w:szCs w:val="21"/>
                <w:highlight w:val="none"/>
              </w:rPr>
              <w:t>2</w:t>
            </w:r>
          </w:p>
        </w:tc>
        <w:tc>
          <w:tcPr>
            <w:tcW w:w="3437" w:type="dxa"/>
            <w:gridSpan w:val="3"/>
            <w:vAlign w:val="center"/>
          </w:tcPr>
          <w:p>
            <w:pPr>
              <w:widowControl/>
              <w:adjustRightInd w:val="0"/>
              <w:snapToGrid w:val="0"/>
              <w:ind w:firstLine="0" w:firstLineChars="0"/>
              <w:jc w:val="center"/>
              <w:rPr>
                <w:snapToGrid w:val="0"/>
                <w:kern w:val="0"/>
                <w:sz w:val="21"/>
                <w:szCs w:val="21"/>
                <w:highlight w:val="none"/>
              </w:rPr>
            </w:pPr>
            <w:r>
              <w:rPr>
                <w:rFonts w:hint="eastAsia"/>
                <w:snapToGrid w:val="0"/>
                <w:kern w:val="0"/>
                <w:sz w:val="21"/>
                <w:szCs w:val="21"/>
                <w:highlight w:val="none"/>
              </w:rPr>
              <w:t>环境监测</w:t>
            </w:r>
          </w:p>
        </w:tc>
        <w:tc>
          <w:tcPr>
            <w:tcW w:w="4068" w:type="dxa"/>
            <w:vAlign w:val="center"/>
          </w:tcPr>
          <w:p>
            <w:pPr>
              <w:widowControl/>
              <w:adjustRightInd w:val="0"/>
              <w:snapToGrid w:val="0"/>
              <w:ind w:firstLine="0" w:firstLineChars="0"/>
              <w:jc w:val="center"/>
              <w:rPr>
                <w:snapToGrid w:val="0"/>
                <w:kern w:val="0"/>
                <w:sz w:val="21"/>
                <w:szCs w:val="21"/>
                <w:highlight w:val="none"/>
              </w:rPr>
            </w:pPr>
            <w:r>
              <w:rPr>
                <w:rFonts w:hint="eastAsia"/>
                <w:snapToGrid w:val="0"/>
                <w:kern w:val="0"/>
                <w:sz w:val="21"/>
                <w:szCs w:val="21"/>
                <w:highlight w:val="none"/>
              </w:rPr>
              <w:t>运营期自行监测</w:t>
            </w:r>
          </w:p>
        </w:tc>
        <w:tc>
          <w:tcPr>
            <w:tcW w:w="1255" w:type="dxa"/>
            <w:gridSpan w:val="2"/>
            <w:vAlign w:val="center"/>
          </w:tcPr>
          <w:p>
            <w:pPr>
              <w:widowControl/>
              <w:adjustRightInd w:val="0"/>
              <w:snapToGrid w:val="0"/>
              <w:ind w:firstLine="0" w:firstLineChars="0"/>
              <w:jc w:val="center"/>
              <w:rPr>
                <w:rFonts w:hint="eastAsia" w:eastAsia="宋体"/>
                <w:snapToGrid w:val="0"/>
                <w:kern w:val="0"/>
                <w:sz w:val="21"/>
                <w:szCs w:val="21"/>
                <w:highlight w:val="none"/>
                <w:lang w:eastAsia="zh-CN"/>
              </w:rPr>
            </w:pPr>
            <w:r>
              <w:rPr>
                <w:rFonts w:hint="eastAsia"/>
                <w:snapToGrid w:val="0"/>
                <w:kern w:val="0"/>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33" w:hRule="atLeast"/>
          <w:jc w:val="center"/>
        </w:trPr>
        <w:tc>
          <w:tcPr>
            <w:tcW w:w="8031" w:type="dxa"/>
            <w:gridSpan w:val="5"/>
            <w:vAlign w:val="center"/>
          </w:tcPr>
          <w:p>
            <w:pPr>
              <w:widowControl/>
              <w:adjustRightInd w:val="0"/>
              <w:snapToGrid w:val="0"/>
              <w:ind w:firstLine="0" w:firstLineChars="0"/>
              <w:jc w:val="center"/>
              <w:rPr>
                <w:b/>
                <w:bCs/>
                <w:snapToGrid w:val="0"/>
                <w:kern w:val="0"/>
                <w:sz w:val="21"/>
                <w:szCs w:val="21"/>
                <w:highlight w:val="none"/>
              </w:rPr>
            </w:pPr>
            <w:r>
              <w:rPr>
                <w:rFonts w:hint="eastAsia"/>
                <w:b/>
                <w:bCs/>
                <w:snapToGrid w:val="0"/>
                <w:kern w:val="0"/>
                <w:sz w:val="21"/>
                <w:szCs w:val="21"/>
                <w:highlight w:val="none"/>
              </w:rPr>
              <w:t>小计</w:t>
            </w:r>
          </w:p>
        </w:tc>
        <w:tc>
          <w:tcPr>
            <w:tcW w:w="1255" w:type="dxa"/>
            <w:gridSpan w:val="2"/>
            <w:vAlign w:val="center"/>
          </w:tcPr>
          <w:p>
            <w:pPr>
              <w:widowControl/>
              <w:adjustRightInd w:val="0"/>
              <w:snapToGrid w:val="0"/>
              <w:ind w:firstLine="0" w:firstLineChars="0"/>
              <w:jc w:val="center"/>
              <w:rPr>
                <w:rFonts w:hint="default" w:eastAsia="宋体"/>
                <w:b/>
                <w:bCs/>
                <w:snapToGrid w:val="0"/>
                <w:kern w:val="0"/>
                <w:sz w:val="21"/>
                <w:szCs w:val="21"/>
                <w:highlight w:val="none"/>
                <w:lang w:val="en-US" w:eastAsia="zh-CN"/>
              </w:rPr>
            </w:pPr>
            <w:r>
              <w:rPr>
                <w:rFonts w:hint="eastAsia"/>
                <w:b/>
                <w:bCs/>
                <w:snapToGrid w:val="0"/>
                <w:kern w:val="0"/>
                <w:sz w:val="21"/>
                <w:szCs w:val="21"/>
                <w:highlight w:val="no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61" w:hRule="atLeast"/>
          <w:jc w:val="center"/>
        </w:trPr>
        <w:tc>
          <w:tcPr>
            <w:tcW w:w="8031" w:type="dxa"/>
            <w:gridSpan w:val="5"/>
            <w:vAlign w:val="center"/>
          </w:tcPr>
          <w:p>
            <w:pPr>
              <w:widowControl/>
              <w:adjustRightInd w:val="0"/>
              <w:snapToGrid w:val="0"/>
              <w:ind w:firstLine="0" w:firstLineChars="0"/>
              <w:jc w:val="center"/>
              <w:rPr>
                <w:b/>
                <w:snapToGrid w:val="0"/>
                <w:color w:val="auto"/>
                <w:kern w:val="0"/>
                <w:sz w:val="21"/>
                <w:szCs w:val="21"/>
                <w:highlight w:val="none"/>
              </w:rPr>
            </w:pPr>
            <w:r>
              <w:rPr>
                <w:rFonts w:hint="eastAsia"/>
                <w:b/>
                <w:snapToGrid w:val="0"/>
                <w:color w:val="auto"/>
                <w:kern w:val="0"/>
                <w:sz w:val="21"/>
                <w:szCs w:val="21"/>
                <w:highlight w:val="none"/>
              </w:rPr>
              <w:t>合计</w:t>
            </w:r>
          </w:p>
        </w:tc>
        <w:tc>
          <w:tcPr>
            <w:tcW w:w="1255" w:type="dxa"/>
            <w:gridSpan w:val="2"/>
            <w:vAlign w:val="center"/>
          </w:tcPr>
          <w:p>
            <w:pPr>
              <w:widowControl/>
              <w:adjustRightInd w:val="0"/>
              <w:snapToGrid w:val="0"/>
              <w:ind w:firstLine="0" w:firstLineChars="0"/>
              <w:jc w:val="center"/>
              <w:rPr>
                <w:rFonts w:hint="default" w:eastAsia="宋体"/>
                <w:b/>
                <w:snapToGrid w:val="0"/>
                <w:color w:val="auto"/>
                <w:kern w:val="0"/>
                <w:sz w:val="21"/>
                <w:szCs w:val="21"/>
                <w:highlight w:val="none"/>
                <w:lang w:val="en-US" w:eastAsia="zh-CN"/>
              </w:rPr>
            </w:pPr>
            <w:r>
              <w:rPr>
                <w:rFonts w:hint="eastAsia"/>
                <w:b/>
                <w:snapToGrid w:val="0"/>
                <w:color w:val="auto"/>
                <w:kern w:val="0"/>
                <w:sz w:val="21"/>
                <w:szCs w:val="21"/>
                <w:highlight w:val="none"/>
                <w:lang w:val="en-US" w:eastAsia="zh-CN"/>
              </w:rPr>
              <w:t>109.5</w:t>
            </w:r>
          </w:p>
        </w:tc>
      </w:tr>
    </w:tbl>
    <w:p>
      <w:pPr>
        <w:pStyle w:val="7"/>
        <w:ind w:firstLine="480"/>
        <w:rPr>
          <w:color w:val="auto"/>
          <w:highlight w:val="none"/>
        </w:rPr>
      </w:pPr>
    </w:p>
    <w:p>
      <w:pPr>
        <w:pStyle w:val="7"/>
        <w:ind w:firstLine="480"/>
        <w:rPr>
          <w:color w:val="FF0000"/>
          <w:highlight w:val="none"/>
        </w:rPr>
      </w:pPr>
      <w:r>
        <w:rPr>
          <w:color w:val="auto"/>
          <w:highlight w:val="none"/>
        </w:rPr>
        <w:t>根据设计，</w:t>
      </w:r>
      <w:r>
        <w:rPr>
          <w:rFonts w:hint="eastAsia"/>
          <w:color w:val="auto"/>
          <w:highlight w:val="none"/>
          <w:lang w:eastAsia="zh-CN"/>
        </w:rPr>
        <w:t>砚山县阿猛镇倮基黑卡子凹塘石料厂年产30万吨建筑石料用灰岩建设项目</w:t>
      </w:r>
      <w:r>
        <w:rPr>
          <w:color w:val="auto"/>
          <w:highlight w:val="none"/>
        </w:rPr>
        <w:t>总投资</w:t>
      </w:r>
      <w:r>
        <w:rPr>
          <w:rFonts w:hint="eastAsia"/>
          <w:color w:val="auto"/>
          <w:highlight w:val="none"/>
          <w:lang w:val="en-US" w:eastAsia="zh-CN"/>
        </w:rPr>
        <w:t>568</w:t>
      </w:r>
      <w:r>
        <w:rPr>
          <w:color w:val="auto"/>
          <w:highlight w:val="none"/>
        </w:rPr>
        <w:t>万元，其中环保投资为</w:t>
      </w:r>
      <w:r>
        <w:rPr>
          <w:rFonts w:hint="eastAsia"/>
          <w:color w:val="auto"/>
          <w:highlight w:val="none"/>
          <w:lang w:val="en-US" w:eastAsia="zh-CN"/>
        </w:rPr>
        <w:t>109.5</w:t>
      </w:r>
      <w:r>
        <w:rPr>
          <w:color w:val="auto"/>
          <w:highlight w:val="none"/>
        </w:rPr>
        <w:t>万元，按上式计算环保投资占总投资的比例Hj为</w:t>
      </w:r>
      <w:r>
        <w:rPr>
          <w:rFonts w:hint="eastAsia"/>
          <w:color w:val="auto"/>
          <w:highlight w:val="none"/>
          <w:lang w:val="en-US" w:eastAsia="zh-CN"/>
        </w:rPr>
        <w:t>19.3</w:t>
      </w:r>
      <w:r>
        <w:rPr>
          <w:color w:val="auto"/>
          <w:highlight w:val="none"/>
        </w:rPr>
        <w:t>%。</w:t>
      </w:r>
    </w:p>
    <w:p>
      <w:pPr>
        <w:pStyle w:val="5"/>
        <w:rPr>
          <w:rFonts w:hint="default" w:cs="宋体"/>
          <w:highlight w:val="none"/>
        </w:rPr>
      </w:pPr>
      <w:bookmarkStart w:id="527" w:name="9.3.2环保经济效益分析"/>
      <w:bookmarkEnd w:id="527"/>
      <w:bookmarkStart w:id="528" w:name="_Toc22710"/>
      <w:r>
        <w:rPr>
          <w:rFonts w:hint="eastAsia" w:cs="宋体"/>
          <w:highlight w:val="none"/>
          <w:lang w:val="en-US" w:eastAsia="zh-CN"/>
        </w:rPr>
        <w:t>9</w:t>
      </w:r>
      <w:r>
        <w:rPr>
          <w:rFonts w:hint="default" w:cs="宋体"/>
          <w:highlight w:val="none"/>
        </w:rPr>
        <w:t>.3.2环保经济效益分析</w:t>
      </w:r>
      <w:bookmarkEnd w:id="528"/>
    </w:p>
    <w:p>
      <w:pPr>
        <w:pStyle w:val="7"/>
        <w:ind w:firstLine="480"/>
        <w:rPr>
          <w:highlight w:val="none"/>
        </w:rPr>
      </w:pPr>
      <w:r>
        <w:rPr>
          <w:rFonts w:hint="eastAsia"/>
          <w:highlight w:val="none"/>
          <w:lang w:eastAsia="zh-CN"/>
        </w:rPr>
        <w:t>砚山县阿猛镇倮基黑卡子凹塘石料厂年产30万吨建筑石料用灰岩建设项目</w:t>
      </w:r>
      <w:r>
        <w:rPr>
          <w:highlight w:val="none"/>
        </w:rPr>
        <w:t>在建设和运行过程中若不采取上述环保措施，</w:t>
      </w:r>
      <w:r>
        <w:rPr>
          <w:rFonts w:hint="eastAsia"/>
          <w:highlight w:val="none"/>
        </w:rPr>
        <w:t>将</w:t>
      </w:r>
      <w:r>
        <w:rPr>
          <w:highlight w:val="none"/>
        </w:rPr>
        <w:t>对周边的环境产生一定的</w:t>
      </w:r>
      <w:r>
        <w:rPr>
          <w:rFonts w:hint="eastAsia"/>
          <w:highlight w:val="none"/>
        </w:rPr>
        <w:t>影响</w:t>
      </w:r>
      <w:r>
        <w:rPr>
          <w:highlight w:val="none"/>
        </w:rPr>
        <w:t>。而通过采取措施治理以后，能有效地消减污染物的排放量，项目产生的污染物可以实现达标排放，区域的环境质量也可以达到环境目标要求，对区域的生活环境污染得到有效控制。项目厂区内产生的噪声通过采取一系列消声、隔音、减振措施后，可使厂界噪声达标。项目建设会对周围环境产生一定的影响，从而产生一定的环境负效益，但通过相应对策措施的治理后，可使影响降到最低，具有良好的环境效益。建设项目设置了一定环境保护措施的投入，其产生的经济效益除以上所提的直接经济效益外，更多的是体现在间接经济效益和潜在的间接经济效益。</w:t>
      </w:r>
    </w:p>
    <w:p>
      <w:pPr>
        <w:pStyle w:val="4"/>
        <w:rPr>
          <w:highlight w:val="none"/>
        </w:rPr>
      </w:pPr>
      <w:bookmarkStart w:id="529" w:name="9.4经济损益小结"/>
      <w:bookmarkEnd w:id="529"/>
      <w:bookmarkStart w:id="530" w:name="_bookmark55"/>
      <w:bookmarkEnd w:id="530"/>
      <w:bookmarkStart w:id="531" w:name="_Toc214"/>
      <w:r>
        <w:rPr>
          <w:highlight w:val="none"/>
        </w:rPr>
        <w:t>9.4 经济损益小结</w:t>
      </w:r>
      <w:bookmarkEnd w:id="531"/>
    </w:p>
    <w:p>
      <w:pPr>
        <w:pStyle w:val="7"/>
        <w:ind w:firstLine="480"/>
        <w:rPr>
          <w:highlight w:val="none"/>
        </w:rPr>
      </w:pPr>
      <w:r>
        <w:rPr>
          <w:highlight w:val="none"/>
        </w:rPr>
        <w:t>根据分析，</w:t>
      </w:r>
      <w:r>
        <w:rPr>
          <w:rFonts w:hint="eastAsia"/>
          <w:highlight w:val="none"/>
          <w:lang w:eastAsia="zh-CN"/>
        </w:rPr>
        <w:t>砚山县阿猛镇倮基黑卡子凹塘石料厂年产30万吨建筑石料用灰岩建设项目</w:t>
      </w:r>
      <w:r>
        <w:rPr>
          <w:highlight w:val="none"/>
        </w:rPr>
        <w:t>采取了相应的环保措施，项目的环保投资</w:t>
      </w:r>
      <w:r>
        <w:rPr>
          <w:rFonts w:hint="eastAsia"/>
          <w:highlight w:val="none"/>
          <w:lang w:val="en-US" w:eastAsia="zh-CN"/>
        </w:rPr>
        <w:t>109.5</w:t>
      </w:r>
      <w:r>
        <w:rPr>
          <w:highlight w:val="none"/>
        </w:rPr>
        <w:t>万元。通过采取各种污染治理措施后，拟建项目产生的污染物均可以达标排放。根据本环评预测，项目各项污染物的排放均可达到相应排放标准。由于区域污染治理基础设施完善、项目运营期污染物产生量较少，区域环境质量能够达标，其建设不会改变各环境要素的等级，不会导致当地的环境状况发生明显改变。</w:t>
      </w:r>
    </w:p>
    <w:p>
      <w:pPr>
        <w:pStyle w:val="7"/>
        <w:ind w:firstLine="480"/>
        <w:rPr>
          <w:highlight w:val="none"/>
        </w:rPr>
      </w:pPr>
      <w:r>
        <w:rPr>
          <w:highlight w:val="none"/>
        </w:rPr>
        <w:t>总的来说，通过采取本报告书提出的环境保护措施以后，减轻环境污染影响，从而带来一定的环境效益，而环保投资本身也能产生一定的经济效益，符合经济与环境协调发展的原则。</w:t>
      </w:r>
    </w:p>
    <w:p>
      <w:pPr>
        <w:pStyle w:val="7"/>
        <w:ind w:firstLine="480"/>
        <w:rPr>
          <w:highlight w:val="none"/>
        </w:rPr>
      </w:pPr>
    </w:p>
    <w:p>
      <w:pPr>
        <w:ind w:firstLine="0" w:firstLineChars="0"/>
        <w:rPr>
          <w:highlight w:val="none"/>
        </w:rPr>
        <w:sectPr>
          <w:pgSz w:w="11911" w:h="16838"/>
          <w:pgMar w:top="1417" w:right="1417" w:bottom="1417" w:left="1417" w:header="879" w:footer="952" w:gutter="0"/>
          <w:pgBorders>
            <w:top w:val="none" w:sz="0" w:space="0"/>
            <w:left w:val="none" w:sz="0" w:space="0"/>
            <w:bottom w:val="none" w:sz="0" w:space="0"/>
            <w:right w:val="none" w:sz="0" w:space="0"/>
          </w:pgBorders>
          <w:pgNumType w:fmt="decimal"/>
          <w:cols w:space="720" w:num="1"/>
          <w:docGrid w:linePitch="312" w:charSpace="0"/>
        </w:sectPr>
      </w:pPr>
    </w:p>
    <w:p>
      <w:pPr>
        <w:pStyle w:val="3"/>
        <w:rPr>
          <w:color w:val="000000"/>
          <w:szCs w:val="32"/>
          <w:highlight w:val="none"/>
        </w:rPr>
      </w:pPr>
      <w:bookmarkStart w:id="532" w:name="_Toc31141"/>
      <w:bookmarkStart w:id="533" w:name="_Toc21371"/>
      <w:bookmarkStart w:id="534" w:name="_Toc12602"/>
      <w:bookmarkStart w:id="535" w:name="_Toc6196"/>
      <w:r>
        <w:rPr>
          <w:rFonts w:hint="eastAsia"/>
          <w:color w:val="000000"/>
          <w:szCs w:val="32"/>
          <w:highlight w:val="none"/>
          <w:lang w:val="en-US" w:eastAsia="zh-CN"/>
        </w:rPr>
        <w:t>10</w:t>
      </w:r>
      <w:r>
        <w:rPr>
          <w:color w:val="000000"/>
          <w:szCs w:val="32"/>
          <w:highlight w:val="none"/>
        </w:rPr>
        <w:t xml:space="preserve"> 环境管理与环境监测</w:t>
      </w:r>
      <w:bookmarkEnd w:id="532"/>
      <w:bookmarkEnd w:id="533"/>
      <w:bookmarkEnd w:id="534"/>
      <w:bookmarkEnd w:id="535"/>
    </w:p>
    <w:p>
      <w:pPr>
        <w:pStyle w:val="4"/>
        <w:rPr>
          <w:color w:val="000000"/>
          <w:sz w:val="32"/>
          <w:highlight w:val="none"/>
        </w:rPr>
      </w:pPr>
      <w:bookmarkStart w:id="536" w:name="_Toc30097"/>
      <w:bookmarkStart w:id="537" w:name="_Toc19126"/>
      <w:bookmarkStart w:id="538" w:name="_Toc23016"/>
      <w:bookmarkStart w:id="539" w:name="_Toc30082"/>
      <w:bookmarkStart w:id="540" w:name="_Toc8093"/>
      <w:bookmarkStart w:id="541" w:name="_Toc1330"/>
      <w:r>
        <w:rPr>
          <w:rFonts w:hint="eastAsia"/>
          <w:color w:val="000000"/>
          <w:sz w:val="32"/>
          <w:highlight w:val="none"/>
          <w:lang w:val="en-US" w:eastAsia="zh-CN"/>
        </w:rPr>
        <w:t>10</w:t>
      </w:r>
      <w:r>
        <w:rPr>
          <w:color w:val="000000"/>
          <w:sz w:val="32"/>
          <w:highlight w:val="none"/>
        </w:rPr>
        <w:t>.1环境</w:t>
      </w:r>
      <w:bookmarkEnd w:id="536"/>
      <w:bookmarkEnd w:id="537"/>
      <w:bookmarkEnd w:id="538"/>
      <w:bookmarkEnd w:id="539"/>
      <w:bookmarkEnd w:id="540"/>
      <w:r>
        <w:rPr>
          <w:rFonts w:hint="eastAsia"/>
          <w:color w:val="000000"/>
          <w:sz w:val="32"/>
          <w:highlight w:val="none"/>
        </w:rPr>
        <w:t>保护管理</w:t>
      </w:r>
      <w:bookmarkEnd w:id="541"/>
    </w:p>
    <w:p>
      <w:pPr>
        <w:pStyle w:val="5"/>
        <w:rPr>
          <w:rFonts w:hint="default"/>
          <w:highlight w:val="none"/>
        </w:rPr>
      </w:pPr>
      <w:bookmarkStart w:id="542" w:name="_Toc4871"/>
      <w:bookmarkStart w:id="543" w:name="_Toc22205"/>
      <w:bookmarkStart w:id="544" w:name="_Toc14755"/>
      <w:bookmarkStart w:id="545" w:name="_Toc28835"/>
      <w:bookmarkStart w:id="546" w:name="_Toc23652"/>
      <w:bookmarkStart w:id="547" w:name="_Toc32015"/>
      <w:r>
        <w:rPr>
          <w:rFonts w:hint="eastAsia"/>
          <w:highlight w:val="none"/>
          <w:lang w:val="en-US" w:eastAsia="zh-CN"/>
        </w:rPr>
        <w:t>10</w:t>
      </w:r>
      <w:r>
        <w:rPr>
          <w:highlight w:val="none"/>
        </w:rPr>
        <w:t>.1.1环境保护管理的目的</w:t>
      </w:r>
      <w:bookmarkEnd w:id="542"/>
    </w:p>
    <w:p>
      <w:pPr>
        <w:widowControl/>
        <w:ind w:firstLine="480"/>
        <w:rPr>
          <w:rFonts w:ascii="宋体" w:hAnsi="宋体" w:cs="宋体"/>
          <w:kern w:val="0"/>
          <w:highlight w:val="none"/>
          <w:lang w:bidi="ar"/>
        </w:rPr>
      </w:pPr>
      <w:r>
        <w:rPr>
          <w:rFonts w:ascii="宋体" w:hAnsi="宋体" w:cs="宋体"/>
          <w:kern w:val="0"/>
          <w:highlight w:val="none"/>
          <w:lang w:bidi="ar"/>
        </w:rPr>
        <w:t>环境保护管理是环境保护的重要内容，是国家、行业与地方政府有关环境保护法律法规与法规性文件、技术政策与相关技术标准、规范的体现。建设项目营运期，开采作业将对周围环境造成一定的影响，开展项目环境管理的目的是要全面落实环境保护是我国基本国策的精神,采取相应措施，消除不利因素，减轻环境污染，以实现预定的各项环保目标，促进消除污染、改善环境，保证人民身体健康，减轻或消除社会经济损失，从而得到最佳的经济、社会和环境效益。</w:t>
      </w:r>
    </w:p>
    <w:p>
      <w:pPr>
        <w:pStyle w:val="5"/>
        <w:rPr>
          <w:rFonts w:hint="default" w:cs="宋体"/>
          <w:highlight w:val="none"/>
        </w:rPr>
      </w:pPr>
      <w:bookmarkStart w:id="548" w:name="_Toc24777"/>
      <w:r>
        <w:rPr>
          <w:rFonts w:hint="eastAsia" w:cs="宋体"/>
          <w:highlight w:val="none"/>
          <w:lang w:val="en-US" w:eastAsia="zh-CN"/>
        </w:rPr>
        <w:t>10</w:t>
      </w:r>
      <w:r>
        <w:rPr>
          <w:rFonts w:cs="宋体"/>
          <w:highlight w:val="none"/>
        </w:rPr>
        <w:t>.1.2环境保护管理机构</w:t>
      </w:r>
      <w:bookmarkEnd w:id="548"/>
    </w:p>
    <w:p>
      <w:pPr>
        <w:widowControl/>
        <w:ind w:firstLine="480"/>
        <w:rPr>
          <w:kern w:val="0"/>
          <w:highlight w:val="none"/>
          <w:lang w:bidi="ar"/>
        </w:rPr>
      </w:pPr>
      <w:r>
        <w:rPr>
          <w:rFonts w:hint="eastAsia"/>
          <w:kern w:val="0"/>
          <w:highlight w:val="none"/>
          <w:lang w:eastAsia="zh-CN" w:bidi="ar"/>
        </w:rPr>
        <w:t>砚山县阿猛镇倮基黑卡子凹塘石料厂年产30万吨建筑石料用灰岩建设项目</w:t>
      </w:r>
      <w:r>
        <w:rPr>
          <w:kern w:val="0"/>
          <w:highlight w:val="none"/>
          <w:lang w:bidi="ar"/>
        </w:rPr>
        <w:t>实行矿长负责制，组织机构设置矿办公室、采矿工区、供销科、生产技术科。主要的环保目标任务应由矿长亲自负责，分管主要负责人担任副职，根据政府下达的环境目标和污染排放控制总量，总体制定企业环境保护近期发展规划和年度计划，确保各项环保措施、环保制度及环保目标的落实。</w:t>
      </w:r>
    </w:p>
    <w:p>
      <w:pPr>
        <w:pStyle w:val="5"/>
        <w:rPr>
          <w:rFonts w:hint="default" w:cs="宋体"/>
          <w:highlight w:val="none"/>
        </w:rPr>
      </w:pPr>
      <w:bookmarkStart w:id="549" w:name="_Toc12593"/>
      <w:r>
        <w:rPr>
          <w:rFonts w:hint="eastAsia" w:cs="宋体"/>
          <w:highlight w:val="none"/>
          <w:lang w:val="en-US" w:eastAsia="zh-CN"/>
        </w:rPr>
        <w:t>10</w:t>
      </w:r>
      <w:r>
        <w:rPr>
          <w:rFonts w:cs="宋体"/>
          <w:highlight w:val="none"/>
        </w:rPr>
        <w:t>.1.3环境保护管理计划</w:t>
      </w:r>
      <w:bookmarkEnd w:id="549"/>
    </w:p>
    <w:p>
      <w:pPr>
        <w:widowControl/>
        <w:ind w:firstLine="480"/>
        <w:rPr>
          <w:kern w:val="0"/>
          <w:highlight w:val="none"/>
          <w:lang w:bidi="ar"/>
        </w:rPr>
      </w:pPr>
      <w:r>
        <w:rPr>
          <w:kern w:val="0"/>
          <w:highlight w:val="none"/>
          <w:lang w:bidi="ar"/>
        </w:rPr>
        <w:t>本项目须设置环境保护管理机构</w:t>
      </w:r>
      <w:r>
        <w:rPr>
          <w:rFonts w:hint="eastAsia"/>
          <w:kern w:val="0"/>
          <w:highlight w:val="none"/>
          <w:lang w:bidi="ar"/>
        </w:rPr>
        <w:t>，</w:t>
      </w:r>
      <w:r>
        <w:rPr>
          <w:kern w:val="0"/>
          <w:highlight w:val="none"/>
          <w:lang w:bidi="ar"/>
        </w:rPr>
        <w:t>专职安全管理人员1名负责该项目的环境管理、污染源治理和监测管理工作。主要工作内容如下</w:t>
      </w:r>
      <w:r>
        <w:rPr>
          <w:rFonts w:hint="eastAsia"/>
          <w:kern w:val="0"/>
          <w:highlight w:val="none"/>
          <w:lang w:bidi="ar"/>
        </w:rPr>
        <w:t>：</w:t>
      </w:r>
    </w:p>
    <w:p>
      <w:pPr>
        <w:widowControl/>
        <w:ind w:firstLine="480"/>
        <w:rPr>
          <w:kern w:val="0"/>
          <w:highlight w:val="none"/>
          <w:lang w:bidi="ar"/>
        </w:rPr>
      </w:pPr>
      <w:r>
        <w:rPr>
          <w:rFonts w:hint="eastAsia"/>
          <w:kern w:val="0"/>
          <w:highlight w:val="none"/>
          <w:lang w:bidi="ar"/>
        </w:rPr>
        <w:t>（1）</w:t>
      </w:r>
      <w:r>
        <w:rPr>
          <w:kern w:val="0"/>
          <w:highlight w:val="none"/>
          <w:lang w:bidi="ar"/>
        </w:rPr>
        <w:t>配合</w:t>
      </w:r>
      <w:r>
        <w:rPr>
          <w:rFonts w:hint="eastAsia"/>
          <w:kern w:val="0"/>
          <w:highlight w:val="none"/>
          <w:lang w:eastAsia="zh-CN" w:bidi="ar"/>
        </w:rPr>
        <w:t>生态环境局</w:t>
      </w:r>
      <w:r>
        <w:rPr>
          <w:kern w:val="0"/>
          <w:highlight w:val="none"/>
          <w:lang w:bidi="ar"/>
        </w:rPr>
        <w:t>定期对污染源和厂区的环境监测工作，及时发现问题并采取相应的对策</w:t>
      </w:r>
      <w:r>
        <w:rPr>
          <w:rFonts w:hint="eastAsia"/>
          <w:kern w:val="0"/>
          <w:highlight w:val="none"/>
          <w:lang w:bidi="ar"/>
        </w:rPr>
        <w:t>；</w:t>
      </w:r>
    </w:p>
    <w:p>
      <w:pPr>
        <w:widowControl/>
        <w:ind w:firstLine="480"/>
        <w:rPr>
          <w:kern w:val="0"/>
          <w:highlight w:val="none"/>
          <w:lang w:bidi="ar"/>
        </w:rPr>
      </w:pPr>
      <w:r>
        <w:rPr>
          <w:rFonts w:hint="eastAsia"/>
          <w:kern w:val="0"/>
          <w:highlight w:val="none"/>
          <w:lang w:bidi="ar"/>
        </w:rPr>
        <w:t>（2）</w:t>
      </w:r>
      <w:r>
        <w:rPr>
          <w:kern w:val="0"/>
          <w:highlight w:val="none"/>
          <w:lang w:bidi="ar"/>
        </w:rPr>
        <w:t>加强矿山在</w:t>
      </w:r>
      <w:r>
        <w:rPr>
          <w:rFonts w:hint="eastAsia"/>
          <w:kern w:val="0"/>
          <w:highlight w:val="none"/>
          <w:lang w:bidi="ar"/>
        </w:rPr>
        <w:t>生产</w:t>
      </w:r>
      <w:r>
        <w:rPr>
          <w:kern w:val="0"/>
          <w:highlight w:val="none"/>
          <w:lang w:bidi="ar"/>
        </w:rPr>
        <w:t>过程中的环境管理</w:t>
      </w:r>
      <w:r>
        <w:rPr>
          <w:rFonts w:hint="eastAsia"/>
          <w:kern w:val="0"/>
          <w:highlight w:val="none"/>
          <w:lang w:bidi="ar"/>
        </w:rPr>
        <w:t>；</w:t>
      </w:r>
    </w:p>
    <w:p>
      <w:pPr>
        <w:widowControl/>
        <w:ind w:firstLine="480"/>
        <w:rPr>
          <w:kern w:val="0"/>
          <w:highlight w:val="none"/>
          <w:lang w:bidi="ar"/>
        </w:rPr>
      </w:pPr>
      <w:r>
        <w:rPr>
          <w:rFonts w:hint="eastAsia"/>
          <w:kern w:val="0"/>
          <w:highlight w:val="none"/>
          <w:lang w:bidi="ar"/>
        </w:rPr>
        <w:t>（3）加强大气、噪声等治理设施监督管理，确保污染处理设备正常运行，达标排放；</w:t>
      </w:r>
    </w:p>
    <w:p>
      <w:pPr>
        <w:widowControl/>
        <w:ind w:firstLine="480"/>
        <w:rPr>
          <w:kern w:val="0"/>
          <w:highlight w:val="none"/>
          <w:lang w:bidi="ar"/>
        </w:rPr>
      </w:pPr>
      <w:r>
        <w:rPr>
          <w:rFonts w:hint="eastAsia"/>
          <w:kern w:val="0"/>
          <w:highlight w:val="none"/>
          <w:lang w:bidi="ar"/>
        </w:rPr>
        <w:t>（4）建立污染源档案，并优化污染防治措施。按照上级环保部门的规范建立本企业有关“三废”排放量、排放浓度、噪声情况、固体废物综合利用、污染控制效果等情况的档案，并按有关规定编制各种报告及报表，负责向上级领导及环保主管部门呈报。</w:t>
      </w:r>
    </w:p>
    <w:p>
      <w:pPr>
        <w:widowControl/>
        <w:ind w:firstLine="480"/>
        <w:rPr>
          <w:kern w:val="0"/>
          <w:highlight w:val="none"/>
          <w:lang w:bidi="ar"/>
        </w:rPr>
      </w:pPr>
      <w:r>
        <w:rPr>
          <w:rFonts w:hint="eastAsia"/>
          <w:kern w:val="0"/>
          <w:highlight w:val="none"/>
          <w:lang w:bidi="ar"/>
        </w:rPr>
        <w:t>（5）搞好环境保护宣传和职工环境意识教育及技术培训等工作。</w:t>
      </w:r>
    </w:p>
    <w:p>
      <w:pPr>
        <w:widowControl/>
        <w:ind w:firstLine="480"/>
        <w:rPr>
          <w:kern w:val="0"/>
          <w:highlight w:val="none"/>
          <w:lang w:bidi="ar"/>
        </w:rPr>
      </w:pPr>
      <w:r>
        <w:rPr>
          <w:rFonts w:hint="eastAsia"/>
          <w:kern w:val="0"/>
          <w:highlight w:val="none"/>
          <w:lang w:bidi="ar"/>
        </w:rPr>
        <w:t>（6）检查环境管理工作中的问题和不足，对发现的问题和不足，提出改进意见。协同当地环保部门处理与工程有关的环境问题维护好公众的利益。</w:t>
      </w:r>
      <w:r>
        <w:rPr>
          <w:kern w:val="0"/>
          <w:highlight w:val="none"/>
          <w:lang w:bidi="ar"/>
        </w:rPr>
        <w:t>。</w:t>
      </w:r>
    </w:p>
    <w:p>
      <w:pPr>
        <w:pStyle w:val="5"/>
        <w:rPr>
          <w:rFonts w:hint="default" w:cs="宋体"/>
          <w:highlight w:val="none"/>
        </w:rPr>
      </w:pPr>
      <w:bookmarkStart w:id="550" w:name="_Toc29857"/>
      <w:r>
        <w:rPr>
          <w:rFonts w:hint="eastAsia" w:cs="宋体"/>
          <w:highlight w:val="none"/>
          <w:lang w:val="en-US" w:eastAsia="zh-CN"/>
        </w:rPr>
        <w:t>10</w:t>
      </w:r>
      <w:r>
        <w:rPr>
          <w:rFonts w:hint="default" w:cs="宋体"/>
          <w:highlight w:val="none"/>
        </w:rPr>
        <w:t>.1.4</w:t>
      </w:r>
      <w:r>
        <w:rPr>
          <w:rFonts w:cs="宋体"/>
          <w:highlight w:val="none"/>
        </w:rPr>
        <w:t>施工期</w:t>
      </w:r>
      <w:r>
        <w:rPr>
          <w:rFonts w:hint="default" w:cs="宋体"/>
          <w:highlight w:val="none"/>
        </w:rPr>
        <w:t>环境监理</w:t>
      </w:r>
      <w:r>
        <w:rPr>
          <w:rFonts w:cs="宋体"/>
          <w:highlight w:val="none"/>
        </w:rPr>
        <w:t>计划</w:t>
      </w:r>
      <w:bookmarkEnd w:id="550"/>
    </w:p>
    <w:p>
      <w:pPr>
        <w:adjustRightInd w:val="0"/>
        <w:snapToGrid w:val="0"/>
        <w:ind w:firstLine="480"/>
        <w:rPr>
          <w:highlight w:val="none"/>
        </w:rPr>
      </w:pPr>
      <w:r>
        <w:rPr>
          <w:rFonts w:hint="eastAsia"/>
          <w:highlight w:val="none"/>
        </w:rPr>
        <w:t>环境监理应成为工程监理的重要组成部分，工程监理单位应有专门的从事环境监理的分支机构及环境监理技术人员。工程监理单位应根据本项目的环境影响报告书及其批复文件、工程设计文件、工程施工合同等编制环境监理方案，并严格按照指定的环境监理方案实施监理工作。环境监理的对象是所有由于施工活动可能产生的环境污染行为，环境监理应以施工期的环境保护、施工后期污染防治措施的落实情况为重点。</w:t>
      </w:r>
    </w:p>
    <w:p>
      <w:pPr>
        <w:adjustRightInd w:val="0"/>
        <w:snapToGrid w:val="0"/>
        <w:ind w:firstLine="480"/>
        <w:rPr>
          <w:highlight w:val="none"/>
        </w:rPr>
      </w:pPr>
      <w:r>
        <w:rPr>
          <w:rFonts w:hint="eastAsia"/>
          <w:highlight w:val="none"/>
        </w:rPr>
        <w:t>建设期环境监理计划见表</w:t>
      </w:r>
      <w:r>
        <w:rPr>
          <w:rFonts w:hint="eastAsia"/>
          <w:highlight w:val="none"/>
          <w:lang w:val="en-US" w:eastAsia="zh-CN"/>
        </w:rPr>
        <w:t>10.1</w:t>
      </w:r>
      <w:r>
        <w:rPr>
          <w:rFonts w:hint="eastAsia"/>
          <w:highlight w:val="none"/>
        </w:rPr>
        <w:t>-</w:t>
      </w:r>
      <w:r>
        <w:rPr>
          <w:rFonts w:hint="eastAsia"/>
          <w:highlight w:val="none"/>
          <w:lang w:val="en-US" w:eastAsia="zh-CN"/>
        </w:rPr>
        <w:t>1</w:t>
      </w:r>
      <w:r>
        <w:rPr>
          <w:rFonts w:hint="eastAsia"/>
          <w:highlight w:val="none"/>
        </w:rPr>
        <w:t>，表中各项环保措施要求可作为编制环境监控计划的依据，实行环境监理，确保在施工过程中得到落实。</w:t>
      </w:r>
    </w:p>
    <w:p>
      <w:pPr>
        <w:ind w:firstLine="0" w:firstLineChars="0"/>
        <w:jc w:val="center"/>
        <w:rPr>
          <w:b/>
          <w:sz w:val="21"/>
          <w:szCs w:val="21"/>
          <w:highlight w:val="none"/>
        </w:rPr>
      </w:pPr>
      <w:r>
        <w:rPr>
          <w:rFonts w:hint="eastAsia"/>
          <w:b/>
          <w:sz w:val="21"/>
          <w:szCs w:val="21"/>
          <w:highlight w:val="none"/>
        </w:rPr>
        <w:t>表</w:t>
      </w:r>
      <w:r>
        <w:rPr>
          <w:rFonts w:hint="eastAsia"/>
          <w:b/>
          <w:sz w:val="21"/>
          <w:szCs w:val="21"/>
          <w:highlight w:val="none"/>
          <w:lang w:val="en-US" w:eastAsia="zh-CN"/>
        </w:rPr>
        <w:t>10.1-1</w:t>
      </w:r>
      <w:r>
        <w:rPr>
          <w:b/>
          <w:sz w:val="21"/>
          <w:szCs w:val="21"/>
          <w:highlight w:val="none"/>
        </w:rPr>
        <w:t xml:space="preserve">  </w:t>
      </w:r>
      <w:r>
        <w:rPr>
          <w:rFonts w:hint="eastAsia"/>
          <w:b/>
          <w:sz w:val="21"/>
          <w:szCs w:val="21"/>
          <w:highlight w:val="none"/>
        </w:rPr>
        <w:t>建设期环境监理计划及监督计划表</w:t>
      </w:r>
    </w:p>
    <w:tbl>
      <w:tblPr>
        <w:tblStyle w:val="2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5973"/>
        <w:gridCol w:w="839"/>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blHeader/>
          <w:jc w:val="center"/>
        </w:trPr>
        <w:tc>
          <w:tcPr>
            <w:tcW w:w="1129" w:type="dxa"/>
            <w:shd w:val="clear" w:color="auto" w:fill="auto"/>
            <w:vAlign w:val="center"/>
          </w:tcPr>
          <w:p>
            <w:pPr>
              <w:adjustRightInd w:val="0"/>
              <w:snapToGrid w:val="0"/>
              <w:ind w:firstLine="0" w:firstLineChars="0"/>
              <w:jc w:val="center"/>
              <w:rPr>
                <w:b/>
                <w:bCs/>
                <w:sz w:val="21"/>
                <w:szCs w:val="21"/>
                <w:highlight w:val="none"/>
              </w:rPr>
            </w:pPr>
            <w:r>
              <w:rPr>
                <w:rFonts w:hint="eastAsia"/>
                <w:b/>
                <w:bCs/>
                <w:sz w:val="21"/>
                <w:szCs w:val="21"/>
                <w:highlight w:val="none"/>
              </w:rPr>
              <w:t>环境问题</w:t>
            </w:r>
          </w:p>
        </w:tc>
        <w:tc>
          <w:tcPr>
            <w:tcW w:w="5973" w:type="dxa"/>
            <w:shd w:val="clear" w:color="auto" w:fill="auto"/>
            <w:vAlign w:val="center"/>
          </w:tcPr>
          <w:p>
            <w:pPr>
              <w:adjustRightInd w:val="0"/>
              <w:snapToGrid w:val="0"/>
              <w:ind w:firstLine="0" w:firstLineChars="0"/>
              <w:jc w:val="center"/>
              <w:rPr>
                <w:b/>
                <w:bCs/>
                <w:sz w:val="21"/>
                <w:szCs w:val="21"/>
                <w:highlight w:val="none"/>
              </w:rPr>
            </w:pPr>
            <w:r>
              <w:rPr>
                <w:rFonts w:hint="eastAsia"/>
                <w:b/>
                <w:bCs/>
                <w:sz w:val="21"/>
                <w:szCs w:val="21"/>
                <w:highlight w:val="none"/>
              </w:rPr>
              <w:t>监理内容</w:t>
            </w:r>
          </w:p>
        </w:tc>
        <w:tc>
          <w:tcPr>
            <w:tcW w:w="839" w:type="dxa"/>
            <w:shd w:val="clear" w:color="auto" w:fill="auto"/>
            <w:vAlign w:val="center"/>
          </w:tcPr>
          <w:p>
            <w:pPr>
              <w:adjustRightInd w:val="0"/>
              <w:snapToGrid w:val="0"/>
              <w:ind w:firstLine="0" w:firstLineChars="0"/>
              <w:jc w:val="center"/>
              <w:rPr>
                <w:b/>
                <w:bCs/>
                <w:sz w:val="21"/>
                <w:szCs w:val="21"/>
                <w:highlight w:val="none"/>
              </w:rPr>
            </w:pPr>
            <w:r>
              <w:rPr>
                <w:rFonts w:hint="eastAsia"/>
                <w:b/>
                <w:bCs/>
                <w:sz w:val="21"/>
                <w:szCs w:val="21"/>
                <w:highlight w:val="none"/>
              </w:rPr>
              <w:t>执行</w:t>
            </w:r>
          </w:p>
          <w:p>
            <w:pPr>
              <w:adjustRightInd w:val="0"/>
              <w:snapToGrid w:val="0"/>
              <w:ind w:firstLine="0" w:firstLineChars="0"/>
              <w:jc w:val="center"/>
              <w:rPr>
                <w:b/>
                <w:bCs/>
                <w:sz w:val="21"/>
                <w:szCs w:val="21"/>
                <w:highlight w:val="none"/>
              </w:rPr>
            </w:pPr>
            <w:r>
              <w:rPr>
                <w:rFonts w:hint="eastAsia"/>
                <w:b/>
                <w:bCs/>
                <w:sz w:val="21"/>
                <w:szCs w:val="21"/>
                <w:highlight w:val="none"/>
              </w:rPr>
              <w:t>单位</w:t>
            </w:r>
          </w:p>
        </w:tc>
        <w:tc>
          <w:tcPr>
            <w:tcW w:w="1119" w:type="dxa"/>
            <w:shd w:val="clear" w:color="auto" w:fill="auto"/>
            <w:vAlign w:val="center"/>
          </w:tcPr>
          <w:p>
            <w:pPr>
              <w:adjustRightInd w:val="0"/>
              <w:snapToGrid w:val="0"/>
              <w:ind w:firstLine="0" w:firstLineChars="0"/>
              <w:jc w:val="center"/>
              <w:rPr>
                <w:b/>
                <w:bCs/>
                <w:sz w:val="21"/>
                <w:szCs w:val="21"/>
                <w:highlight w:val="none"/>
              </w:rPr>
            </w:pPr>
            <w:r>
              <w:rPr>
                <w:rFonts w:hint="eastAsia"/>
                <w:b/>
                <w:bCs/>
                <w:sz w:val="21"/>
                <w:szCs w:val="21"/>
                <w:highlight w:val="none"/>
              </w:rPr>
              <w:t>监督管理部门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1129" w:type="dxa"/>
            <w:vAlign w:val="center"/>
          </w:tcPr>
          <w:p>
            <w:pPr>
              <w:adjustRightInd w:val="0"/>
              <w:snapToGrid w:val="0"/>
              <w:ind w:firstLine="0" w:firstLineChars="0"/>
              <w:jc w:val="center"/>
              <w:rPr>
                <w:sz w:val="21"/>
                <w:szCs w:val="21"/>
                <w:highlight w:val="none"/>
              </w:rPr>
            </w:pPr>
            <w:r>
              <w:rPr>
                <w:rFonts w:hint="eastAsia"/>
                <w:sz w:val="21"/>
                <w:szCs w:val="21"/>
                <w:highlight w:val="none"/>
              </w:rPr>
              <w:t>施工噪声</w:t>
            </w:r>
          </w:p>
        </w:tc>
        <w:tc>
          <w:tcPr>
            <w:tcW w:w="5973" w:type="dxa"/>
            <w:vAlign w:val="center"/>
          </w:tcPr>
          <w:p>
            <w:pPr>
              <w:adjustRightInd w:val="0"/>
              <w:snapToGrid w:val="0"/>
              <w:ind w:firstLine="0" w:firstLineChars="0"/>
              <w:rPr>
                <w:sz w:val="21"/>
                <w:szCs w:val="21"/>
                <w:highlight w:val="none"/>
              </w:rPr>
            </w:pPr>
            <w:r>
              <w:rPr>
                <w:rFonts w:hint="eastAsia"/>
                <w:sz w:val="21"/>
                <w:szCs w:val="21"/>
                <w:highlight w:val="none"/>
              </w:rPr>
              <w:t>1、尽量选用低噪声设备，加强施工作业人员的噪声防护；</w:t>
            </w:r>
          </w:p>
          <w:p>
            <w:pPr>
              <w:adjustRightInd w:val="0"/>
              <w:snapToGrid w:val="0"/>
              <w:ind w:firstLine="0" w:firstLineChars="0"/>
              <w:rPr>
                <w:sz w:val="21"/>
                <w:szCs w:val="21"/>
                <w:highlight w:val="none"/>
              </w:rPr>
            </w:pPr>
            <w:r>
              <w:rPr>
                <w:rFonts w:hint="eastAsia"/>
                <w:sz w:val="21"/>
                <w:szCs w:val="21"/>
                <w:highlight w:val="none"/>
              </w:rPr>
              <w:t>2、控制施工作业时间，严禁夜间（22:00~06:00）使用高噪声设备作业，避免扰民现象发生。</w:t>
            </w:r>
          </w:p>
        </w:tc>
        <w:tc>
          <w:tcPr>
            <w:tcW w:w="839" w:type="dxa"/>
            <w:vMerge w:val="restart"/>
            <w:vAlign w:val="center"/>
          </w:tcPr>
          <w:p>
            <w:pPr>
              <w:adjustRightInd w:val="0"/>
              <w:snapToGrid w:val="0"/>
              <w:ind w:firstLine="0" w:firstLineChars="0"/>
              <w:jc w:val="center"/>
              <w:rPr>
                <w:rFonts w:hint="eastAsia" w:eastAsia="宋体"/>
                <w:sz w:val="21"/>
                <w:szCs w:val="21"/>
                <w:highlight w:val="none"/>
                <w:lang w:eastAsia="zh-CN"/>
              </w:rPr>
            </w:pPr>
            <w:r>
              <w:rPr>
                <w:rFonts w:hint="eastAsia"/>
                <w:sz w:val="21"/>
                <w:szCs w:val="21"/>
                <w:highlight w:val="none"/>
                <w:lang w:eastAsia="zh-CN"/>
              </w:rPr>
              <w:t>砚山县江那镇真元饲料添加剂沸石粉厂</w:t>
            </w:r>
          </w:p>
        </w:tc>
        <w:tc>
          <w:tcPr>
            <w:tcW w:w="1119" w:type="dxa"/>
            <w:vMerge w:val="restart"/>
            <w:vAlign w:val="center"/>
          </w:tcPr>
          <w:p>
            <w:pPr>
              <w:adjustRightInd w:val="0"/>
              <w:snapToGrid w:val="0"/>
              <w:ind w:firstLine="0" w:firstLineChars="0"/>
              <w:jc w:val="center"/>
              <w:rPr>
                <w:sz w:val="21"/>
                <w:szCs w:val="21"/>
                <w:highlight w:val="none"/>
              </w:rPr>
            </w:pPr>
            <w:r>
              <w:rPr>
                <w:rFonts w:hint="eastAsia"/>
                <w:sz w:val="21"/>
                <w:szCs w:val="21"/>
                <w:highlight w:val="none"/>
                <w:lang w:eastAsia="zh-CN"/>
              </w:rPr>
              <w:t>文山州生态环境局砚山分局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1129" w:type="dxa"/>
            <w:vAlign w:val="center"/>
          </w:tcPr>
          <w:p>
            <w:pPr>
              <w:adjustRightInd w:val="0"/>
              <w:snapToGrid w:val="0"/>
              <w:ind w:firstLine="0" w:firstLineChars="0"/>
              <w:jc w:val="center"/>
              <w:rPr>
                <w:sz w:val="21"/>
                <w:szCs w:val="21"/>
                <w:highlight w:val="none"/>
              </w:rPr>
            </w:pPr>
            <w:r>
              <w:rPr>
                <w:rFonts w:hint="eastAsia"/>
                <w:sz w:val="21"/>
                <w:szCs w:val="21"/>
                <w:highlight w:val="none"/>
              </w:rPr>
              <w:t>施工扬尘</w:t>
            </w:r>
          </w:p>
        </w:tc>
        <w:tc>
          <w:tcPr>
            <w:tcW w:w="5973" w:type="dxa"/>
            <w:vAlign w:val="center"/>
          </w:tcPr>
          <w:p>
            <w:pPr>
              <w:adjustRightInd w:val="0"/>
              <w:snapToGrid w:val="0"/>
              <w:ind w:firstLine="0" w:firstLineChars="0"/>
              <w:rPr>
                <w:sz w:val="21"/>
                <w:szCs w:val="21"/>
                <w:highlight w:val="none"/>
              </w:rPr>
            </w:pPr>
            <w:r>
              <w:rPr>
                <w:rFonts w:hint="eastAsia"/>
                <w:sz w:val="21"/>
                <w:szCs w:val="21"/>
                <w:highlight w:val="none"/>
              </w:rPr>
              <w:t>1、施工现场、道路适时洒水降尘；</w:t>
            </w:r>
          </w:p>
          <w:p>
            <w:pPr>
              <w:adjustRightInd w:val="0"/>
              <w:snapToGrid w:val="0"/>
              <w:ind w:firstLine="0" w:firstLineChars="0"/>
              <w:rPr>
                <w:sz w:val="21"/>
                <w:szCs w:val="21"/>
                <w:highlight w:val="none"/>
              </w:rPr>
            </w:pPr>
            <w:r>
              <w:rPr>
                <w:rFonts w:hint="eastAsia"/>
                <w:sz w:val="21"/>
                <w:szCs w:val="21"/>
                <w:highlight w:val="none"/>
              </w:rPr>
              <w:t>2、运输材料车辆要用篷布遮蔽或袋装运输；</w:t>
            </w:r>
          </w:p>
          <w:p>
            <w:pPr>
              <w:adjustRightInd w:val="0"/>
              <w:snapToGrid w:val="0"/>
              <w:ind w:firstLine="0" w:firstLineChars="0"/>
              <w:rPr>
                <w:sz w:val="21"/>
                <w:szCs w:val="21"/>
                <w:highlight w:val="none"/>
              </w:rPr>
            </w:pPr>
            <w:r>
              <w:rPr>
                <w:rFonts w:hint="eastAsia"/>
                <w:sz w:val="21"/>
                <w:szCs w:val="21"/>
                <w:highlight w:val="none"/>
              </w:rPr>
              <w:t>3、施工过程要及时清理堆放在场地上的弃土和弃渣。</w:t>
            </w:r>
          </w:p>
        </w:tc>
        <w:tc>
          <w:tcPr>
            <w:tcW w:w="839" w:type="dxa"/>
            <w:vMerge w:val="continue"/>
            <w:vAlign w:val="center"/>
          </w:tcPr>
          <w:p>
            <w:pPr>
              <w:adjustRightInd w:val="0"/>
              <w:snapToGrid w:val="0"/>
              <w:ind w:firstLine="0" w:firstLineChars="0"/>
              <w:jc w:val="center"/>
              <w:rPr>
                <w:sz w:val="21"/>
                <w:szCs w:val="21"/>
                <w:highlight w:val="none"/>
              </w:rPr>
            </w:pPr>
          </w:p>
        </w:tc>
        <w:tc>
          <w:tcPr>
            <w:tcW w:w="1119" w:type="dxa"/>
            <w:vMerge w:val="continue"/>
            <w:vAlign w:val="center"/>
          </w:tcPr>
          <w:p>
            <w:pPr>
              <w:adjustRightInd w:val="0"/>
              <w:snapToGrid w:val="0"/>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1129" w:type="dxa"/>
            <w:vAlign w:val="center"/>
          </w:tcPr>
          <w:p>
            <w:pPr>
              <w:adjustRightInd w:val="0"/>
              <w:snapToGrid w:val="0"/>
              <w:ind w:firstLine="0" w:firstLineChars="0"/>
              <w:jc w:val="center"/>
              <w:rPr>
                <w:sz w:val="21"/>
                <w:szCs w:val="21"/>
                <w:highlight w:val="none"/>
              </w:rPr>
            </w:pPr>
            <w:r>
              <w:rPr>
                <w:rFonts w:hint="eastAsia"/>
                <w:sz w:val="21"/>
                <w:szCs w:val="21"/>
                <w:highlight w:val="none"/>
              </w:rPr>
              <w:t>施工废水</w:t>
            </w:r>
          </w:p>
        </w:tc>
        <w:tc>
          <w:tcPr>
            <w:tcW w:w="5973" w:type="dxa"/>
            <w:vAlign w:val="center"/>
          </w:tcPr>
          <w:p>
            <w:pPr>
              <w:adjustRightInd w:val="0"/>
              <w:snapToGrid w:val="0"/>
              <w:ind w:firstLine="0" w:firstLineChars="0"/>
              <w:rPr>
                <w:sz w:val="21"/>
                <w:szCs w:val="21"/>
                <w:highlight w:val="none"/>
              </w:rPr>
            </w:pPr>
            <w:r>
              <w:rPr>
                <w:rFonts w:hint="eastAsia"/>
                <w:sz w:val="21"/>
                <w:szCs w:val="21"/>
                <w:highlight w:val="none"/>
              </w:rPr>
              <w:t>利用现有设施处理好生活污水</w:t>
            </w:r>
          </w:p>
        </w:tc>
        <w:tc>
          <w:tcPr>
            <w:tcW w:w="839" w:type="dxa"/>
            <w:vMerge w:val="continue"/>
            <w:vAlign w:val="center"/>
          </w:tcPr>
          <w:p>
            <w:pPr>
              <w:adjustRightInd w:val="0"/>
              <w:snapToGrid w:val="0"/>
              <w:ind w:firstLine="0" w:firstLineChars="0"/>
              <w:jc w:val="center"/>
              <w:rPr>
                <w:sz w:val="21"/>
                <w:szCs w:val="21"/>
                <w:highlight w:val="none"/>
              </w:rPr>
            </w:pPr>
          </w:p>
        </w:tc>
        <w:tc>
          <w:tcPr>
            <w:tcW w:w="1119" w:type="dxa"/>
            <w:vMerge w:val="continue"/>
            <w:vAlign w:val="center"/>
          </w:tcPr>
          <w:p>
            <w:pPr>
              <w:adjustRightInd w:val="0"/>
              <w:snapToGrid w:val="0"/>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1129" w:type="dxa"/>
            <w:vAlign w:val="center"/>
          </w:tcPr>
          <w:p>
            <w:pPr>
              <w:adjustRightInd w:val="0"/>
              <w:snapToGrid w:val="0"/>
              <w:ind w:firstLine="0" w:firstLineChars="0"/>
              <w:jc w:val="center"/>
              <w:rPr>
                <w:sz w:val="21"/>
                <w:szCs w:val="21"/>
                <w:highlight w:val="none"/>
              </w:rPr>
            </w:pPr>
            <w:r>
              <w:rPr>
                <w:rFonts w:hint="eastAsia"/>
                <w:sz w:val="21"/>
                <w:szCs w:val="21"/>
                <w:highlight w:val="none"/>
              </w:rPr>
              <w:t>固废</w:t>
            </w:r>
          </w:p>
        </w:tc>
        <w:tc>
          <w:tcPr>
            <w:tcW w:w="5973" w:type="dxa"/>
            <w:vAlign w:val="center"/>
          </w:tcPr>
          <w:p>
            <w:pPr>
              <w:adjustRightInd w:val="0"/>
              <w:snapToGrid w:val="0"/>
              <w:ind w:firstLine="0" w:firstLineChars="0"/>
              <w:rPr>
                <w:sz w:val="21"/>
                <w:szCs w:val="21"/>
                <w:highlight w:val="none"/>
              </w:rPr>
            </w:pPr>
            <w:r>
              <w:rPr>
                <w:rFonts w:hint="eastAsia"/>
                <w:sz w:val="21"/>
                <w:szCs w:val="21"/>
                <w:highlight w:val="none"/>
              </w:rPr>
              <w:t>1、</w:t>
            </w:r>
            <w:r>
              <w:rPr>
                <w:rFonts w:hint="eastAsia"/>
                <w:sz w:val="21"/>
                <w:szCs w:val="21"/>
                <w:highlight w:val="none"/>
                <w:lang w:eastAsia="zh-CN"/>
              </w:rPr>
              <w:t>废土石</w:t>
            </w:r>
            <w:r>
              <w:rPr>
                <w:rFonts w:hint="eastAsia"/>
                <w:sz w:val="21"/>
                <w:szCs w:val="21"/>
                <w:highlight w:val="none"/>
              </w:rPr>
              <w:t>弃土及时清运至</w:t>
            </w:r>
            <w:r>
              <w:rPr>
                <w:rFonts w:hint="eastAsia"/>
                <w:sz w:val="21"/>
                <w:szCs w:val="21"/>
                <w:highlight w:val="none"/>
                <w:lang w:eastAsia="zh-CN"/>
              </w:rPr>
              <w:t>排土场，用作后期矿山复垦</w:t>
            </w:r>
            <w:r>
              <w:rPr>
                <w:rFonts w:hint="eastAsia"/>
                <w:sz w:val="21"/>
                <w:szCs w:val="21"/>
                <w:highlight w:val="none"/>
              </w:rPr>
              <w:t>；</w:t>
            </w:r>
          </w:p>
          <w:p>
            <w:pPr>
              <w:adjustRightInd w:val="0"/>
              <w:snapToGrid w:val="0"/>
              <w:ind w:firstLine="0" w:firstLineChars="0"/>
              <w:rPr>
                <w:sz w:val="21"/>
                <w:szCs w:val="21"/>
                <w:highlight w:val="none"/>
              </w:rPr>
            </w:pPr>
            <w:r>
              <w:rPr>
                <w:rFonts w:hint="eastAsia"/>
                <w:sz w:val="21"/>
                <w:szCs w:val="21"/>
                <w:highlight w:val="none"/>
              </w:rPr>
              <w:t>2、生活垃圾统一收集至办公区现有生活垃圾收集点。</w:t>
            </w:r>
          </w:p>
        </w:tc>
        <w:tc>
          <w:tcPr>
            <w:tcW w:w="839" w:type="dxa"/>
            <w:vMerge w:val="continue"/>
            <w:vAlign w:val="center"/>
          </w:tcPr>
          <w:p>
            <w:pPr>
              <w:adjustRightInd w:val="0"/>
              <w:snapToGrid w:val="0"/>
              <w:ind w:firstLine="0" w:firstLineChars="0"/>
              <w:jc w:val="center"/>
              <w:rPr>
                <w:sz w:val="21"/>
                <w:szCs w:val="21"/>
                <w:highlight w:val="none"/>
              </w:rPr>
            </w:pPr>
          </w:p>
        </w:tc>
        <w:tc>
          <w:tcPr>
            <w:tcW w:w="1119" w:type="dxa"/>
            <w:vMerge w:val="continue"/>
            <w:vAlign w:val="center"/>
          </w:tcPr>
          <w:p>
            <w:pPr>
              <w:adjustRightInd w:val="0"/>
              <w:snapToGrid w:val="0"/>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1129" w:type="dxa"/>
            <w:vAlign w:val="center"/>
          </w:tcPr>
          <w:p>
            <w:pPr>
              <w:adjustRightInd w:val="0"/>
              <w:snapToGrid w:val="0"/>
              <w:ind w:firstLine="0" w:firstLineChars="0"/>
              <w:jc w:val="center"/>
              <w:rPr>
                <w:sz w:val="21"/>
                <w:szCs w:val="21"/>
                <w:highlight w:val="none"/>
              </w:rPr>
            </w:pPr>
            <w:r>
              <w:rPr>
                <w:rFonts w:hint="eastAsia"/>
                <w:sz w:val="21"/>
                <w:szCs w:val="21"/>
                <w:highlight w:val="none"/>
              </w:rPr>
              <w:t>生态破坏</w:t>
            </w:r>
          </w:p>
        </w:tc>
        <w:tc>
          <w:tcPr>
            <w:tcW w:w="5973" w:type="dxa"/>
            <w:vAlign w:val="center"/>
          </w:tcPr>
          <w:p>
            <w:pPr>
              <w:adjustRightInd w:val="0"/>
              <w:snapToGrid w:val="0"/>
              <w:ind w:firstLine="0" w:firstLineChars="0"/>
              <w:rPr>
                <w:sz w:val="21"/>
                <w:szCs w:val="21"/>
                <w:highlight w:val="none"/>
              </w:rPr>
            </w:pPr>
            <w:r>
              <w:rPr>
                <w:rFonts w:hint="eastAsia"/>
                <w:sz w:val="21"/>
                <w:szCs w:val="21"/>
                <w:highlight w:val="none"/>
              </w:rPr>
              <w:t>严格控制对矿区范围之外的土地、植被的压占和破坏；</w:t>
            </w:r>
          </w:p>
        </w:tc>
        <w:tc>
          <w:tcPr>
            <w:tcW w:w="839" w:type="dxa"/>
            <w:vMerge w:val="continue"/>
            <w:vAlign w:val="center"/>
          </w:tcPr>
          <w:p>
            <w:pPr>
              <w:adjustRightInd w:val="0"/>
              <w:snapToGrid w:val="0"/>
              <w:ind w:firstLine="0" w:firstLineChars="0"/>
              <w:jc w:val="center"/>
              <w:rPr>
                <w:sz w:val="21"/>
                <w:szCs w:val="21"/>
                <w:highlight w:val="none"/>
              </w:rPr>
            </w:pPr>
          </w:p>
        </w:tc>
        <w:tc>
          <w:tcPr>
            <w:tcW w:w="1119" w:type="dxa"/>
            <w:vMerge w:val="continue"/>
            <w:vAlign w:val="center"/>
          </w:tcPr>
          <w:p>
            <w:pPr>
              <w:adjustRightInd w:val="0"/>
              <w:snapToGrid w:val="0"/>
              <w:ind w:firstLine="0" w:firstLineChars="0"/>
              <w:jc w:val="center"/>
              <w:rPr>
                <w:sz w:val="21"/>
                <w:szCs w:val="21"/>
                <w:highlight w:val="none"/>
              </w:rPr>
            </w:pPr>
          </w:p>
        </w:tc>
      </w:tr>
    </w:tbl>
    <w:p>
      <w:pPr>
        <w:adjustRightInd w:val="0"/>
        <w:snapToGrid w:val="0"/>
        <w:ind w:firstLine="480"/>
        <w:rPr>
          <w:highlight w:val="none"/>
          <w:lang w:val="zh-CN"/>
        </w:rPr>
      </w:pPr>
      <w:bookmarkStart w:id="551" w:name="_Toc505861746"/>
      <w:bookmarkStart w:id="552" w:name="_Toc501110142"/>
    </w:p>
    <w:bookmarkEnd w:id="543"/>
    <w:bookmarkEnd w:id="544"/>
    <w:bookmarkEnd w:id="545"/>
    <w:bookmarkEnd w:id="546"/>
    <w:bookmarkEnd w:id="547"/>
    <w:bookmarkEnd w:id="551"/>
    <w:bookmarkEnd w:id="552"/>
    <w:p>
      <w:pPr>
        <w:pStyle w:val="4"/>
        <w:rPr>
          <w:color w:val="000000"/>
          <w:sz w:val="32"/>
          <w:highlight w:val="none"/>
        </w:rPr>
      </w:pPr>
      <w:bookmarkStart w:id="553" w:name="_Toc4653"/>
      <w:bookmarkStart w:id="554" w:name="_Toc27996"/>
      <w:bookmarkStart w:id="555" w:name="_Toc10052"/>
      <w:bookmarkStart w:id="556" w:name="_Toc3040"/>
      <w:bookmarkStart w:id="557" w:name="_Toc28163"/>
      <w:bookmarkStart w:id="558" w:name="_Toc24403"/>
      <w:r>
        <w:rPr>
          <w:rFonts w:hint="eastAsia"/>
          <w:color w:val="000000"/>
          <w:sz w:val="32"/>
          <w:highlight w:val="none"/>
          <w:lang w:val="en-US" w:eastAsia="zh-CN"/>
        </w:rPr>
        <w:t>10</w:t>
      </w:r>
      <w:r>
        <w:rPr>
          <w:rFonts w:hint="eastAsia"/>
          <w:color w:val="000000"/>
          <w:sz w:val="32"/>
          <w:highlight w:val="none"/>
        </w:rPr>
        <w:t>.2</w:t>
      </w:r>
      <w:r>
        <w:rPr>
          <w:color w:val="000000"/>
          <w:sz w:val="32"/>
          <w:highlight w:val="none"/>
        </w:rPr>
        <w:t>环境监测</w:t>
      </w:r>
      <w:bookmarkEnd w:id="553"/>
      <w:bookmarkEnd w:id="554"/>
      <w:bookmarkEnd w:id="555"/>
      <w:bookmarkEnd w:id="556"/>
      <w:bookmarkEnd w:id="557"/>
      <w:bookmarkEnd w:id="558"/>
    </w:p>
    <w:p>
      <w:pPr>
        <w:pStyle w:val="5"/>
        <w:rPr>
          <w:rFonts w:hint="default"/>
          <w:highlight w:val="none"/>
        </w:rPr>
      </w:pPr>
      <w:bookmarkStart w:id="559" w:name="_Toc1972"/>
      <w:r>
        <w:rPr>
          <w:rFonts w:hint="eastAsia"/>
          <w:highlight w:val="none"/>
          <w:lang w:val="en-US" w:eastAsia="zh-CN"/>
        </w:rPr>
        <w:t>10</w:t>
      </w:r>
      <w:r>
        <w:rPr>
          <w:highlight w:val="none"/>
        </w:rPr>
        <w:t>.2.1</w:t>
      </w:r>
      <w:r>
        <w:rPr>
          <w:rFonts w:hint="default"/>
          <w:highlight w:val="none"/>
        </w:rPr>
        <w:t xml:space="preserve"> 环境监测的机构设置</w:t>
      </w:r>
      <w:bookmarkEnd w:id="559"/>
    </w:p>
    <w:p>
      <w:pPr>
        <w:pStyle w:val="2"/>
        <w:spacing w:line="380" w:lineRule="auto"/>
        <w:ind w:firstLine="480"/>
        <w:rPr>
          <w:sz w:val="22"/>
          <w:szCs w:val="22"/>
          <w:highlight w:val="none"/>
        </w:rPr>
      </w:pPr>
      <w:r>
        <w:rPr>
          <w:highlight w:val="none"/>
        </w:rPr>
        <w:t>建设单位不具备单独进行监测的能力</w:t>
      </w:r>
      <w:r>
        <w:rPr>
          <w:spacing w:val="-46"/>
          <w:highlight w:val="none"/>
        </w:rPr>
        <w:t>，</w:t>
      </w:r>
      <w:r>
        <w:rPr>
          <w:highlight w:val="none"/>
        </w:rPr>
        <w:t>因此</w:t>
      </w:r>
      <w:r>
        <w:rPr>
          <w:spacing w:val="-48"/>
          <w:highlight w:val="none"/>
        </w:rPr>
        <w:t>，</w:t>
      </w:r>
      <w:r>
        <w:rPr>
          <w:highlight w:val="none"/>
        </w:rPr>
        <w:t>委托具有环境监测资质的单位进行监测工作。</w:t>
      </w:r>
    </w:p>
    <w:p>
      <w:pPr>
        <w:pStyle w:val="5"/>
        <w:rPr>
          <w:rFonts w:hint="default" w:cs="宋体"/>
          <w:highlight w:val="none"/>
        </w:rPr>
      </w:pPr>
      <w:bookmarkStart w:id="560" w:name="10.2.2监控计划"/>
      <w:bookmarkEnd w:id="560"/>
      <w:bookmarkStart w:id="561" w:name="_Toc28614"/>
      <w:r>
        <w:rPr>
          <w:rFonts w:hint="eastAsia" w:cs="宋体"/>
          <w:highlight w:val="none"/>
          <w:lang w:val="en-US" w:eastAsia="zh-CN"/>
        </w:rPr>
        <w:t>10</w:t>
      </w:r>
      <w:r>
        <w:rPr>
          <w:rFonts w:cs="宋体"/>
          <w:highlight w:val="none"/>
        </w:rPr>
        <w:t>.2.2</w:t>
      </w:r>
      <w:r>
        <w:rPr>
          <w:rFonts w:hint="default" w:cs="宋体"/>
          <w:highlight w:val="none"/>
        </w:rPr>
        <w:t xml:space="preserve"> </w:t>
      </w:r>
      <w:r>
        <w:rPr>
          <w:rFonts w:cs="宋体"/>
          <w:highlight w:val="none"/>
        </w:rPr>
        <w:t>自行监测计划</w:t>
      </w:r>
      <w:bookmarkEnd w:id="561"/>
    </w:p>
    <w:p>
      <w:pPr>
        <w:pStyle w:val="2"/>
        <w:spacing w:line="380" w:lineRule="auto"/>
        <w:ind w:firstLine="480"/>
        <w:rPr>
          <w:highlight w:val="none"/>
        </w:rPr>
      </w:pPr>
      <w:r>
        <w:rPr>
          <w:highlight w:val="none"/>
        </w:rPr>
        <w:t>根据国家监测技术规范</w:t>
      </w:r>
      <w:r>
        <w:rPr>
          <w:rFonts w:hint="eastAsia"/>
          <w:highlight w:val="none"/>
        </w:rPr>
        <w:t>《排污单位自行监测技术指南总则》（HJ 819-2017）</w:t>
      </w:r>
      <w:r>
        <w:rPr>
          <w:rFonts w:hint="eastAsia"/>
          <w:color w:val="auto"/>
          <w:highlight w:val="none"/>
          <w:lang w:eastAsia="zh-CN"/>
        </w:rPr>
        <w:t>和《环境影响评价技术导则—大气环境》（HJ2.2-2018）</w:t>
      </w:r>
      <w:r>
        <w:rPr>
          <w:highlight w:val="none"/>
        </w:rPr>
        <w:t>，确定本</w:t>
      </w:r>
      <w:r>
        <w:rPr>
          <w:rFonts w:hint="eastAsia"/>
          <w:highlight w:val="none"/>
        </w:rPr>
        <w:t>项目运营期</w:t>
      </w:r>
      <w:r>
        <w:rPr>
          <w:highlight w:val="none"/>
        </w:rPr>
        <w:t>环境监测</w:t>
      </w:r>
      <w:r>
        <w:rPr>
          <w:rFonts w:hint="eastAsia"/>
          <w:highlight w:val="none"/>
        </w:rPr>
        <w:t>计划如下表</w:t>
      </w:r>
      <w:r>
        <w:rPr>
          <w:rFonts w:hint="eastAsia"/>
          <w:highlight w:val="none"/>
          <w:lang w:val="en-US" w:eastAsia="zh-CN"/>
        </w:rPr>
        <w:t>10.2-1</w:t>
      </w:r>
      <w:r>
        <w:rPr>
          <w:rFonts w:hint="eastAsia"/>
          <w:highlight w:val="none"/>
        </w:rPr>
        <w:t>所示，</w:t>
      </w:r>
      <w:r>
        <w:rPr>
          <w:highlight w:val="none"/>
        </w:rPr>
        <w:t>由建设单位委托具有环境监测资质的单位进行定期监测。</w:t>
      </w:r>
    </w:p>
    <w:p>
      <w:pPr>
        <w:pStyle w:val="105"/>
        <w:spacing w:line="360" w:lineRule="auto"/>
        <w:ind w:firstLine="422"/>
        <w:rPr>
          <w:sz w:val="21"/>
          <w:szCs w:val="21"/>
          <w:highlight w:val="none"/>
        </w:rPr>
      </w:pPr>
      <w:r>
        <w:rPr>
          <w:sz w:val="21"/>
          <w:szCs w:val="21"/>
          <w:highlight w:val="none"/>
        </w:rPr>
        <w:t>表</w:t>
      </w:r>
      <w:r>
        <w:rPr>
          <w:rFonts w:hint="eastAsia"/>
          <w:sz w:val="21"/>
          <w:szCs w:val="21"/>
          <w:highlight w:val="none"/>
          <w:lang w:val="en-US" w:eastAsia="zh-CN"/>
        </w:rPr>
        <w:t>10.2-1</w:t>
      </w:r>
      <w:r>
        <w:rPr>
          <w:sz w:val="21"/>
          <w:szCs w:val="21"/>
          <w:highlight w:val="none"/>
        </w:rPr>
        <w:t xml:space="preserve">  污染源</w:t>
      </w:r>
      <w:r>
        <w:rPr>
          <w:rFonts w:hint="eastAsia"/>
          <w:sz w:val="21"/>
          <w:szCs w:val="21"/>
          <w:highlight w:val="none"/>
        </w:rPr>
        <w:t>自行</w:t>
      </w:r>
      <w:r>
        <w:rPr>
          <w:sz w:val="21"/>
          <w:szCs w:val="21"/>
          <w:highlight w:val="none"/>
        </w:rPr>
        <w:t>监测计划表</w:t>
      </w:r>
    </w:p>
    <w:tbl>
      <w:tblPr>
        <w:tblStyle w:val="29"/>
        <w:tblW w:w="9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4"/>
        <w:gridCol w:w="2202"/>
        <w:gridCol w:w="1425"/>
        <w:gridCol w:w="1725"/>
        <w:gridCol w:w="2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004" w:type="dxa"/>
            <w:shd w:val="clear" w:color="auto" w:fill="auto"/>
            <w:vAlign w:val="center"/>
          </w:tcPr>
          <w:p>
            <w:pPr>
              <w:pStyle w:val="19"/>
              <w:adjustRightInd w:val="0"/>
              <w:snapToGrid w:val="0"/>
              <w:spacing w:line="360" w:lineRule="auto"/>
              <w:ind w:firstLine="0" w:firstLineChars="0"/>
              <w:jc w:val="center"/>
              <w:rPr>
                <w:b/>
                <w:bCs/>
                <w:sz w:val="21"/>
                <w:szCs w:val="21"/>
                <w:highlight w:val="none"/>
              </w:rPr>
            </w:pPr>
            <w:bookmarkStart w:id="562" w:name="_Toc22752"/>
            <w:bookmarkStart w:id="563" w:name="_Toc24644"/>
            <w:bookmarkStart w:id="564" w:name="_Toc6795"/>
            <w:bookmarkStart w:id="565" w:name="_Toc14722"/>
            <w:bookmarkStart w:id="566" w:name="_Toc11105"/>
            <w:r>
              <w:rPr>
                <w:b/>
                <w:bCs/>
                <w:sz w:val="21"/>
                <w:szCs w:val="21"/>
                <w:highlight w:val="none"/>
              </w:rPr>
              <w:t>内容</w:t>
            </w:r>
          </w:p>
        </w:tc>
        <w:tc>
          <w:tcPr>
            <w:tcW w:w="2202" w:type="dxa"/>
            <w:shd w:val="clear" w:color="auto" w:fill="auto"/>
            <w:vAlign w:val="center"/>
          </w:tcPr>
          <w:p>
            <w:pPr>
              <w:pStyle w:val="19"/>
              <w:adjustRightInd w:val="0"/>
              <w:snapToGrid w:val="0"/>
              <w:spacing w:line="360" w:lineRule="auto"/>
              <w:ind w:firstLine="0" w:firstLineChars="0"/>
              <w:jc w:val="center"/>
              <w:rPr>
                <w:rFonts w:hint="eastAsia" w:eastAsia="宋体"/>
                <w:b/>
                <w:bCs/>
                <w:sz w:val="21"/>
                <w:szCs w:val="21"/>
                <w:highlight w:val="none"/>
                <w:lang w:eastAsia="zh-CN"/>
              </w:rPr>
            </w:pPr>
            <w:r>
              <w:rPr>
                <w:b/>
                <w:bCs/>
                <w:sz w:val="21"/>
                <w:szCs w:val="21"/>
                <w:highlight w:val="none"/>
              </w:rPr>
              <w:t>监测</w:t>
            </w:r>
            <w:r>
              <w:rPr>
                <w:rFonts w:hint="eastAsia"/>
                <w:b/>
                <w:bCs/>
                <w:sz w:val="21"/>
                <w:szCs w:val="21"/>
                <w:highlight w:val="none"/>
                <w:lang w:eastAsia="zh-CN"/>
              </w:rPr>
              <w:t>点位</w:t>
            </w:r>
          </w:p>
        </w:tc>
        <w:tc>
          <w:tcPr>
            <w:tcW w:w="1425" w:type="dxa"/>
            <w:shd w:val="clear" w:color="auto" w:fill="auto"/>
            <w:vAlign w:val="center"/>
          </w:tcPr>
          <w:p>
            <w:pPr>
              <w:pStyle w:val="19"/>
              <w:adjustRightInd w:val="0"/>
              <w:snapToGrid w:val="0"/>
              <w:spacing w:line="360" w:lineRule="auto"/>
              <w:ind w:firstLine="0" w:firstLineChars="0"/>
              <w:jc w:val="center"/>
              <w:rPr>
                <w:rFonts w:hint="eastAsia" w:eastAsia="宋体"/>
                <w:b/>
                <w:bCs/>
                <w:sz w:val="21"/>
                <w:szCs w:val="21"/>
                <w:highlight w:val="none"/>
                <w:lang w:eastAsia="zh-CN"/>
              </w:rPr>
            </w:pPr>
            <w:r>
              <w:rPr>
                <w:b/>
                <w:bCs/>
                <w:sz w:val="21"/>
                <w:szCs w:val="21"/>
                <w:highlight w:val="none"/>
              </w:rPr>
              <w:t>监测</w:t>
            </w:r>
            <w:r>
              <w:rPr>
                <w:rFonts w:hint="eastAsia"/>
                <w:b/>
                <w:bCs/>
                <w:sz w:val="21"/>
                <w:szCs w:val="21"/>
                <w:highlight w:val="none"/>
                <w:lang w:eastAsia="zh-CN"/>
              </w:rPr>
              <w:t>指标</w:t>
            </w:r>
          </w:p>
        </w:tc>
        <w:tc>
          <w:tcPr>
            <w:tcW w:w="1725" w:type="dxa"/>
            <w:shd w:val="clear" w:color="auto" w:fill="auto"/>
            <w:vAlign w:val="center"/>
          </w:tcPr>
          <w:p>
            <w:pPr>
              <w:pStyle w:val="19"/>
              <w:adjustRightInd w:val="0"/>
              <w:snapToGrid w:val="0"/>
              <w:spacing w:line="360" w:lineRule="auto"/>
              <w:ind w:firstLine="0" w:firstLineChars="0"/>
              <w:jc w:val="center"/>
              <w:rPr>
                <w:b/>
                <w:bCs/>
                <w:sz w:val="21"/>
                <w:szCs w:val="21"/>
                <w:highlight w:val="none"/>
              </w:rPr>
            </w:pPr>
            <w:r>
              <w:rPr>
                <w:rFonts w:hint="eastAsia"/>
                <w:b/>
                <w:bCs/>
                <w:sz w:val="21"/>
                <w:szCs w:val="21"/>
                <w:highlight w:val="none"/>
                <w:lang w:eastAsia="zh-CN"/>
              </w:rPr>
              <w:t>最低</w:t>
            </w:r>
            <w:r>
              <w:rPr>
                <w:b/>
                <w:bCs/>
                <w:sz w:val="21"/>
                <w:szCs w:val="21"/>
                <w:highlight w:val="none"/>
              </w:rPr>
              <w:t>监测频次</w:t>
            </w:r>
          </w:p>
        </w:tc>
        <w:tc>
          <w:tcPr>
            <w:tcW w:w="2964" w:type="dxa"/>
            <w:shd w:val="clear" w:color="auto" w:fill="auto"/>
            <w:vAlign w:val="center"/>
          </w:tcPr>
          <w:p>
            <w:pPr>
              <w:pStyle w:val="19"/>
              <w:adjustRightInd w:val="0"/>
              <w:snapToGrid w:val="0"/>
              <w:spacing w:line="360" w:lineRule="auto"/>
              <w:ind w:firstLine="0" w:firstLineChars="0"/>
              <w:jc w:val="center"/>
              <w:rPr>
                <w:rFonts w:hint="eastAsia" w:eastAsia="宋体"/>
                <w:b/>
                <w:bCs/>
                <w:sz w:val="21"/>
                <w:szCs w:val="21"/>
                <w:highlight w:val="none"/>
                <w:lang w:eastAsia="zh-CN"/>
              </w:rPr>
            </w:pPr>
            <w:r>
              <w:rPr>
                <w:rFonts w:hint="eastAsia"/>
                <w:b/>
                <w:bCs/>
                <w:sz w:val="21"/>
                <w:szCs w:val="21"/>
                <w:highlight w:val="none"/>
                <w:lang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2" w:hRule="atLeast"/>
          <w:jc w:val="center"/>
        </w:trPr>
        <w:tc>
          <w:tcPr>
            <w:tcW w:w="1004" w:type="dxa"/>
            <w:vAlign w:val="center"/>
          </w:tcPr>
          <w:p>
            <w:pPr>
              <w:pStyle w:val="19"/>
              <w:adjustRightInd w:val="0"/>
              <w:snapToGrid w:val="0"/>
              <w:spacing w:line="360" w:lineRule="auto"/>
              <w:ind w:firstLine="0" w:firstLineChars="0"/>
              <w:jc w:val="center"/>
              <w:rPr>
                <w:rFonts w:hint="eastAsia" w:eastAsia="宋体"/>
                <w:sz w:val="21"/>
                <w:szCs w:val="21"/>
                <w:highlight w:val="none"/>
                <w:lang w:eastAsia="zh-CN"/>
              </w:rPr>
            </w:pPr>
            <w:r>
              <w:rPr>
                <w:rFonts w:hint="eastAsia"/>
                <w:sz w:val="21"/>
                <w:szCs w:val="21"/>
                <w:highlight w:val="none"/>
                <w:lang w:eastAsia="zh-CN"/>
              </w:rPr>
              <w:t>噪声</w:t>
            </w:r>
          </w:p>
        </w:tc>
        <w:tc>
          <w:tcPr>
            <w:tcW w:w="2202" w:type="dxa"/>
            <w:vAlign w:val="center"/>
          </w:tcPr>
          <w:p>
            <w:pPr>
              <w:pStyle w:val="8"/>
              <w:keepNext w:val="0"/>
              <w:keepLines w:val="0"/>
              <w:pageBreakBefore w:val="0"/>
              <w:kinsoku/>
              <w:wordWrap/>
              <w:overflowPunct/>
              <w:topLinePunct w:val="0"/>
              <w:bidi w:val="0"/>
              <w:adjustRightInd w:val="0"/>
              <w:snapToGrid w:val="0"/>
              <w:ind w:firstLine="420" w:firstLineChars="200"/>
              <w:jc w:val="left"/>
              <w:rPr>
                <w:sz w:val="21"/>
                <w:szCs w:val="21"/>
                <w:highlight w:val="none"/>
              </w:rPr>
            </w:pPr>
            <w:r>
              <w:rPr>
                <w:sz w:val="21"/>
                <w:szCs w:val="21"/>
                <w:highlight w:val="none"/>
              </w:rPr>
              <w:t>矿区范围的东、南、西、北</w:t>
            </w:r>
            <w:r>
              <w:rPr>
                <w:rFonts w:hint="eastAsia"/>
                <w:sz w:val="21"/>
                <w:szCs w:val="21"/>
                <w:highlight w:val="none"/>
              </w:rPr>
              <w:t>厂</w:t>
            </w:r>
            <w:r>
              <w:rPr>
                <w:sz w:val="21"/>
                <w:szCs w:val="21"/>
                <w:highlight w:val="none"/>
              </w:rPr>
              <w:t>界各设1个监测点</w:t>
            </w:r>
          </w:p>
        </w:tc>
        <w:tc>
          <w:tcPr>
            <w:tcW w:w="1425" w:type="dxa"/>
            <w:vAlign w:val="center"/>
          </w:tcPr>
          <w:p>
            <w:pPr>
              <w:pStyle w:val="8"/>
              <w:adjustRightInd w:val="0"/>
              <w:snapToGrid w:val="0"/>
              <w:ind w:firstLine="0" w:firstLineChars="0"/>
              <w:jc w:val="center"/>
              <w:rPr>
                <w:sz w:val="21"/>
                <w:szCs w:val="21"/>
                <w:highlight w:val="none"/>
              </w:rPr>
            </w:pPr>
            <w:r>
              <w:rPr>
                <w:sz w:val="21"/>
                <w:szCs w:val="21"/>
                <w:highlight w:val="none"/>
              </w:rPr>
              <w:t>Le</w:t>
            </w:r>
            <w:r>
              <w:rPr>
                <w:rFonts w:hint="eastAsia"/>
                <w:sz w:val="21"/>
                <w:szCs w:val="21"/>
                <w:highlight w:val="none"/>
              </w:rPr>
              <w:t>q</w:t>
            </w:r>
          </w:p>
        </w:tc>
        <w:tc>
          <w:tcPr>
            <w:tcW w:w="1725" w:type="dxa"/>
            <w:vAlign w:val="center"/>
          </w:tcPr>
          <w:p>
            <w:pPr>
              <w:pStyle w:val="8"/>
              <w:adjustRightInd w:val="0"/>
              <w:snapToGrid w:val="0"/>
              <w:ind w:firstLine="0" w:firstLineChars="0"/>
              <w:jc w:val="center"/>
              <w:rPr>
                <w:rFonts w:hint="eastAsia" w:eastAsia="宋体"/>
                <w:sz w:val="21"/>
                <w:szCs w:val="21"/>
                <w:highlight w:val="none"/>
                <w:lang w:eastAsia="zh-CN"/>
              </w:rPr>
            </w:pPr>
            <w:r>
              <w:rPr>
                <w:rFonts w:hint="eastAsia"/>
                <w:sz w:val="21"/>
                <w:szCs w:val="21"/>
                <w:highlight w:val="none"/>
              </w:rPr>
              <w:t>每季度监测一次</w:t>
            </w:r>
            <w:r>
              <w:rPr>
                <w:rFonts w:hint="eastAsia"/>
                <w:color w:val="auto"/>
                <w:sz w:val="21"/>
                <w:szCs w:val="21"/>
                <w:highlight w:val="none"/>
                <w:lang w:eastAsia="zh-CN"/>
              </w:rPr>
              <w:t>（昼夜）</w:t>
            </w:r>
          </w:p>
        </w:tc>
        <w:tc>
          <w:tcPr>
            <w:tcW w:w="2964" w:type="dxa"/>
            <w:vAlign w:val="center"/>
          </w:tcPr>
          <w:p>
            <w:pPr>
              <w:pStyle w:val="19"/>
              <w:adjustRightInd w:val="0"/>
              <w:snapToGrid w:val="0"/>
              <w:spacing w:line="360" w:lineRule="auto"/>
              <w:ind w:firstLine="0" w:firstLineChars="0"/>
              <w:jc w:val="both"/>
              <w:rPr>
                <w:sz w:val="21"/>
                <w:szCs w:val="21"/>
                <w:highlight w:val="none"/>
              </w:rPr>
            </w:pPr>
            <w:r>
              <w:rPr>
                <w:sz w:val="21"/>
                <w:szCs w:val="21"/>
                <w:highlight w:val="none"/>
              </w:rPr>
              <w:t>GB12348-2008《工业企业厂界环境噪声排放标准》2类标准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7" w:hRule="atLeast"/>
          <w:jc w:val="center"/>
        </w:trPr>
        <w:tc>
          <w:tcPr>
            <w:tcW w:w="1004" w:type="dxa"/>
            <w:vMerge w:val="restart"/>
            <w:vAlign w:val="center"/>
          </w:tcPr>
          <w:p>
            <w:pPr>
              <w:pStyle w:val="19"/>
              <w:adjustRightInd w:val="0"/>
              <w:snapToGrid w:val="0"/>
              <w:spacing w:line="360" w:lineRule="auto"/>
              <w:ind w:firstLine="0" w:firstLineChars="0"/>
              <w:jc w:val="center"/>
              <w:rPr>
                <w:rFonts w:hint="eastAsia" w:eastAsia="宋体"/>
                <w:sz w:val="21"/>
                <w:szCs w:val="21"/>
                <w:highlight w:val="none"/>
                <w:lang w:eastAsia="zh-CN"/>
              </w:rPr>
            </w:pPr>
            <w:r>
              <w:rPr>
                <w:rFonts w:hint="eastAsia"/>
                <w:sz w:val="21"/>
                <w:szCs w:val="21"/>
                <w:highlight w:val="none"/>
                <w:lang w:eastAsia="zh-CN"/>
              </w:rPr>
              <w:t>废气</w:t>
            </w:r>
          </w:p>
        </w:tc>
        <w:tc>
          <w:tcPr>
            <w:tcW w:w="2202" w:type="dxa"/>
            <w:vAlign w:val="center"/>
          </w:tcPr>
          <w:p>
            <w:pPr>
              <w:pStyle w:val="19"/>
              <w:keepNext w:val="0"/>
              <w:keepLines w:val="0"/>
              <w:pageBreakBefore w:val="0"/>
              <w:kinsoku/>
              <w:wordWrap/>
              <w:overflowPunct/>
              <w:topLinePunct w:val="0"/>
              <w:bidi w:val="0"/>
              <w:adjustRightInd w:val="0"/>
              <w:snapToGrid w:val="0"/>
              <w:spacing w:line="360" w:lineRule="auto"/>
              <w:ind w:firstLine="420" w:firstLineChars="200"/>
              <w:jc w:val="left"/>
              <w:rPr>
                <w:sz w:val="21"/>
                <w:szCs w:val="21"/>
                <w:highlight w:val="none"/>
              </w:rPr>
            </w:pPr>
            <w:r>
              <w:rPr>
                <w:sz w:val="21"/>
                <w:szCs w:val="21"/>
                <w:highlight w:val="none"/>
              </w:rPr>
              <w:t>矿区</w:t>
            </w:r>
            <w:r>
              <w:rPr>
                <w:rFonts w:hint="eastAsia"/>
                <w:sz w:val="21"/>
                <w:szCs w:val="21"/>
                <w:highlight w:val="none"/>
              </w:rPr>
              <w:t>上风向20m处</w:t>
            </w:r>
            <w:r>
              <w:rPr>
                <w:sz w:val="21"/>
                <w:szCs w:val="21"/>
                <w:highlight w:val="none"/>
              </w:rPr>
              <w:t>设1个对照点、下风向设置</w:t>
            </w:r>
            <w:r>
              <w:rPr>
                <w:rFonts w:hint="eastAsia"/>
                <w:sz w:val="21"/>
                <w:szCs w:val="21"/>
                <w:highlight w:val="none"/>
                <w:lang w:val="en-US" w:eastAsia="zh-CN"/>
              </w:rPr>
              <w:t>3</w:t>
            </w:r>
            <w:r>
              <w:rPr>
                <w:sz w:val="21"/>
                <w:szCs w:val="21"/>
                <w:highlight w:val="none"/>
              </w:rPr>
              <w:t>个</w:t>
            </w:r>
            <w:r>
              <w:rPr>
                <w:rFonts w:hint="eastAsia"/>
                <w:sz w:val="21"/>
                <w:szCs w:val="21"/>
                <w:highlight w:val="none"/>
              </w:rPr>
              <w:t>监控点</w:t>
            </w:r>
          </w:p>
        </w:tc>
        <w:tc>
          <w:tcPr>
            <w:tcW w:w="1425" w:type="dxa"/>
            <w:vAlign w:val="center"/>
          </w:tcPr>
          <w:p>
            <w:pPr>
              <w:pStyle w:val="19"/>
              <w:adjustRightInd w:val="0"/>
              <w:snapToGrid w:val="0"/>
              <w:spacing w:line="360" w:lineRule="auto"/>
              <w:ind w:firstLine="0" w:firstLineChars="0"/>
              <w:jc w:val="center"/>
              <w:rPr>
                <w:rFonts w:hint="eastAsia" w:eastAsia="宋体"/>
                <w:sz w:val="21"/>
                <w:szCs w:val="21"/>
                <w:highlight w:val="none"/>
                <w:lang w:eastAsia="zh-CN"/>
              </w:rPr>
            </w:pPr>
            <w:r>
              <w:rPr>
                <w:rFonts w:hint="eastAsia"/>
                <w:sz w:val="21"/>
                <w:szCs w:val="21"/>
                <w:highlight w:val="yellow"/>
                <w:lang w:eastAsia="zh-CN"/>
              </w:rPr>
              <w:t>颗粒物</w:t>
            </w:r>
          </w:p>
        </w:tc>
        <w:tc>
          <w:tcPr>
            <w:tcW w:w="1725" w:type="dxa"/>
            <w:vAlign w:val="center"/>
          </w:tcPr>
          <w:p>
            <w:pPr>
              <w:pStyle w:val="19"/>
              <w:adjustRightInd w:val="0"/>
              <w:snapToGrid w:val="0"/>
              <w:spacing w:line="360" w:lineRule="auto"/>
              <w:ind w:firstLine="0" w:firstLineChars="0"/>
              <w:jc w:val="center"/>
              <w:rPr>
                <w:sz w:val="21"/>
                <w:szCs w:val="21"/>
                <w:highlight w:val="none"/>
              </w:rPr>
            </w:pPr>
            <w:r>
              <w:rPr>
                <w:rFonts w:hint="eastAsia"/>
                <w:sz w:val="21"/>
                <w:szCs w:val="21"/>
                <w:highlight w:val="none"/>
              </w:rPr>
              <w:t>每季度监测一次</w:t>
            </w:r>
          </w:p>
        </w:tc>
        <w:tc>
          <w:tcPr>
            <w:tcW w:w="2964" w:type="dxa"/>
            <w:vAlign w:val="center"/>
          </w:tcPr>
          <w:p>
            <w:pPr>
              <w:pStyle w:val="19"/>
              <w:adjustRightInd w:val="0"/>
              <w:snapToGrid w:val="0"/>
              <w:spacing w:line="360" w:lineRule="auto"/>
              <w:ind w:firstLine="0" w:firstLineChars="0"/>
              <w:rPr>
                <w:sz w:val="21"/>
                <w:szCs w:val="21"/>
                <w:highlight w:val="none"/>
              </w:rPr>
            </w:pPr>
            <w:r>
              <w:rPr>
                <w:rFonts w:hint="eastAsia"/>
                <w:sz w:val="21"/>
                <w:szCs w:val="21"/>
                <w:highlight w:val="none"/>
              </w:rPr>
              <w:t>《大气污染物综合排 放标准（GB16297-1996）》中的无组织排放监控浓度限值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1004" w:type="dxa"/>
            <w:vMerge w:val="continue"/>
            <w:vAlign w:val="center"/>
          </w:tcPr>
          <w:p>
            <w:pPr>
              <w:pStyle w:val="19"/>
              <w:adjustRightInd w:val="0"/>
              <w:snapToGrid w:val="0"/>
              <w:spacing w:line="360" w:lineRule="auto"/>
              <w:ind w:firstLine="0" w:firstLineChars="0"/>
              <w:jc w:val="center"/>
              <w:rPr>
                <w:sz w:val="21"/>
                <w:szCs w:val="21"/>
                <w:highlight w:val="none"/>
              </w:rPr>
            </w:pPr>
          </w:p>
        </w:tc>
        <w:tc>
          <w:tcPr>
            <w:tcW w:w="2202" w:type="dxa"/>
            <w:vAlign w:val="center"/>
          </w:tcPr>
          <w:p>
            <w:pPr>
              <w:pStyle w:val="19"/>
              <w:keepNext w:val="0"/>
              <w:keepLines w:val="0"/>
              <w:pageBreakBefore w:val="0"/>
              <w:kinsoku/>
              <w:wordWrap/>
              <w:overflowPunct/>
              <w:topLinePunct w:val="0"/>
              <w:bidi w:val="0"/>
              <w:adjustRightInd w:val="0"/>
              <w:snapToGrid w:val="0"/>
              <w:spacing w:line="360" w:lineRule="auto"/>
              <w:ind w:firstLine="420" w:firstLineChars="200"/>
              <w:jc w:val="left"/>
              <w:rPr>
                <w:rFonts w:hint="eastAsia" w:eastAsia="宋体"/>
                <w:sz w:val="21"/>
                <w:szCs w:val="21"/>
                <w:highlight w:val="none"/>
                <w:lang w:eastAsia="zh-CN"/>
              </w:rPr>
            </w:pPr>
            <w:r>
              <w:rPr>
                <w:rFonts w:hint="eastAsia"/>
                <w:sz w:val="21"/>
                <w:szCs w:val="21"/>
                <w:highlight w:val="none"/>
              </w:rPr>
              <w:t>破碎</w:t>
            </w:r>
            <w:r>
              <w:rPr>
                <w:rFonts w:hint="eastAsia"/>
                <w:sz w:val="21"/>
                <w:szCs w:val="21"/>
                <w:highlight w:val="none"/>
                <w:lang w:eastAsia="zh-CN"/>
              </w:rPr>
              <w:t>筛分</w:t>
            </w:r>
            <w:r>
              <w:rPr>
                <w:rFonts w:hint="eastAsia"/>
                <w:sz w:val="21"/>
                <w:szCs w:val="21"/>
                <w:highlight w:val="none"/>
              </w:rPr>
              <w:t>车间排气筒</w:t>
            </w:r>
            <w:r>
              <w:rPr>
                <w:rFonts w:hint="eastAsia"/>
                <w:sz w:val="21"/>
                <w:szCs w:val="21"/>
                <w:highlight w:val="none"/>
                <w:lang w:eastAsia="zh-CN"/>
              </w:rPr>
              <w:t>进出口</w:t>
            </w:r>
          </w:p>
        </w:tc>
        <w:tc>
          <w:tcPr>
            <w:tcW w:w="1425" w:type="dxa"/>
            <w:vAlign w:val="center"/>
          </w:tcPr>
          <w:p>
            <w:pPr>
              <w:pStyle w:val="19"/>
              <w:adjustRightInd w:val="0"/>
              <w:snapToGrid w:val="0"/>
              <w:spacing w:line="360" w:lineRule="auto"/>
              <w:ind w:firstLine="0" w:firstLineChars="0"/>
              <w:jc w:val="center"/>
              <w:rPr>
                <w:rFonts w:hint="eastAsia" w:eastAsia="宋体"/>
                <w:sz w:val="21"/>
                <w:szCs w:val="21"/>
                <w:highlight w:val="none"/>
                <w:lang w:eastAsia="zh-CN"/>
              </w:rPr>
            </w:pPr>
            <w:r>
              <w:rPr>
                <w:rFonts w:hint="eastAsia"/>
                <w:sz w:val="21"/>
                <w:szCs w:val="21"/>
                <w:highlight w:val="yellow"/>
                <w:lang w:eastAsia="zh-CN"/>
              </w:rPr>
              <w:t>颗粒物</w:t>
            </w:r>
          </w:p>
        </w:tc>
        <w:tc>
          <w:tcPr>
            <w:tcW w:w="1725" w:type="dxa"/>
            <w:vAlign w:val="center"/>
          </w:tcPr>
          <w:p>
            <w:pPr>
              <w:pStyle w:val="19"/>
              <w:adjustRightInd w:val="0"/>
              <w:snapToGrid w:val="0"/>
              <w:spacing w:line="360" w:lineRule="auto"/>
              <w:ind w:firstLine="0" w:firstLineChars="0"/>
              <w:jc w:val="center"/>
              <w:rPr>
                <w:sz w:val="21"/>
                <w:szCs w:val="21"/>
                <w:highlight w:val="none"/>
              </w:rPr>
            </w:pPr>
            <w:r>
              <w:rPr>
                <w:rFonts w:hint="eastAsia"/>
                <w:sz w:val="21"/>
                <w:szCs w:val="21"/>
                <w:highlight w:val="none"/>
              </w:rPr>
              <w:t>半年一次</w:t>
            </w:r>
          </w:p>
        </w:tc>
        <w:tc>
          <w:tcPr>
            <w:tcW w:w="2964" w:type="dxa"/>
            <w:vAlign w:val="center"/>
          </w:tcPr>
          <w:p>
            <w:pPr>
              <w:pStyle w:val="19"/>
              <w:adjustRightInd w:val="0"/>
              <w:snapToGrid w:val="0"/>
              <w:spacing w:line="360" w:lineRule="auto"/>
              <w:ind w:firstLine="0" w:firstLineChars="0"/>
              <w:rPr>
                <w:rFonts w:hint="eastAsia" w:eastAsia="宋体"/>
                <w:sz w:val="21"/>
                <w:szCs w:val="21"/>
                <w:highlight w:val="none"/>
                <w:lang w:eastAsia="zh-CN"/>
              </w:rPr>
            </w:pPr>
            <w:r>
              <w:rPr>
                <w:rFonts w:hint="eastAsia"/>
                <w:sz w:val="21"/>
                <w:szCs w:val="21"/>
                <w:highlight w:val="none"/>
              </w:rPr>
              <w:t>《大气污染物综合排 放标准（GB16297-1996）》</w:t>
            </w:r>
            <w:r>
              <w:rPr>
                <w:rFonts w:hint="eastAsia"/>
                <w:sz w:val="21"/>
                <w:szCs w:val="21"/>
                <w:highlight w:val="none"/>
                <w:lang w:eastAsia="zh-CN"/>
              </w:rPr>
              <w:t>二级标准排放限值要求</w:t>
            </w:r>
          </w:p>
        </w:tc>
      </w:tr>
    </w:tbl>
    <w:p>
      <w:pPr>
        <w:ind w:firstLine="480"/>
        <w:rPr>
          <w:highlight w:val="none"/>
        </w:rPr>
      </w:pPr>
    </w:p>
    <w:p>
      <w:pPr>
        <w:pStyle w:val="5"/>
        <w:rPr>
          <w:rFonts w:hint="default" w:cs="宋体"/>
          <w:highlight w:val="none"/>
        </w:rPr>
      </w:pPr>
      <w:bookmarkStart w:id="567" w:name="_Toc1050"/>
      <w:r>
        <w:rPr>
          <w:rFonts w:hint="eastAsia" w:cs="宋体"/>
          <w:highlight w:val="none"/>
          <w:lang w:val="en-US" w:eastAsia="zh-CN"/>
        </w:rPr>
        <w:t>10</w:t>
      </w:r>
      <w:r>
        <w:rPr>
          <w:rFonts w:cs="宋体"/>
          <w:highlight w:val="none"/>
        </w:rPr>
        <w:t xml:space="preserve">.2.3 </w:t>
      </w:r>
      <w:r>
        <w:rPr>
          <w:rFonts w:hint="default" w:cs="宋体"/>
          <w:highlight w:val="none"/>
        </w:rPr>
        <w:t>监测数据的整理、审核和存档</w:t>
      </w:r>
      <w:bookmarkEnd w:id="562"/>
      <w:bookmarkEnd w:id="563"/>
      <w:bookmarkEnd w:id="564"/>
      <w:bookmarkEnd w:id="565"/>
      <w:bookmarkEnd w:id="566"/>
      <w:bookmarkEnd w:id="567"/>
    </w:p>
    <w:p>
      <w:pPr>
        <w:autoSpaceDE w:val="0"/>
        <w:autoSpaceDN w:val="0"/>
        <w:adjustRightInd w:val="0"/>
        <w:ind w:firstLine="480"/>
        <w:rPr>
          <w:color w:val="000000"/>
          <w:kern w:val="0"/>
          <w:highlight w:val="none"/>
        </w:rPr>
      </w:pPr>
      <w:r>
        <w:rPr>
          <w:color w:val="000000"/>
          <w:kern w:val="0"/>
          <w:highlight w:val="none"/>
          <w:lang w:val="zh-CN"/>
        </w:rPr>
        <w:t>每次监测结束后，对监测资料进行分析。按年度考核，必须把所有的环境监测资料进行归纳、整理和评价，审核后资料按档案管理规范编号存档，并同时上报当地环保部门以便落实环保措施，作为今后区域环境管理及政府决策使用。如果监测结果表明，环境参数的监测值超过了既定目标，本项目的环境管理部门应及时研究分析和找出存在问题，并采取措施加以解决。</w:t>
      </w:r>
    </w:p>
    <w:p>
      <w:pPr>
        <w:pStyle w:val="4"/>
        <w:rPr>
          <w:color w:val="000000"/>
          <w:sz w:val="32"/>
          <w:highlight w:val="none"/>
        </w:rPr>
      </w:pPr>
      <w:bookmarkStart w:id="568" w:name="_Toc11106"/>
      <w:bookmarkStart w:id="569" w:name="_Toc29009"/>
      <w:bookmarkStart w:id="570" w:name="_Toc9216"/>
      <w:bookmarkStart w:id="571" w:name="_Toc2541"/>
      <w:bookmarkStart w:id="572" w:name="_Toc26485"/>
      <w:bookmarkStart w:id="573" w:name="_Toc31405"/>
      <w:r>
        <w:rPr>
          <w:rFonts w:hint="eastAsia"/>
          <w:color w:val="000000"/>
          <w:sz w:val="32"/>
          <w:highlight w:val="none"/>
          <w:lang w:val="en-US" w:eastAsia="zh-CN"/>
        </w:rPr>
        <w:t>10</w:t>
      </w:r>
      <w:r>
        <w:rPr>
          <w:color w:val="000000"/>
          <w:sz w:val="32"/>
          <w:highlight w:val="none"/>
        </w:rPr>
        <w:t>.3环保竣工验收</w:t>
      </w:r>
      <w:bookmarkEnd w:id="568"/>
      <w:bookmarkEnd w:id="569"/>
      <w:bookmarkEnd w:id="570"/>
      <w:bookmarkEnd w:id="571"/>
      <w:bookmarkEnd w:id="572"/>
      <w:bookmarkEnd w:id="573"/>
    </w:p>
    <w:p>
      <w:pPr>
        <w:ind w:right="120" w:rightChars="50" w:firstLine="480"/>
        <w:rPr>
          <w:bCs/>
          <w:snapToGrid w:val="0"/>
          <w:kern w:val="0"/>
          <w:highlight w:val="none"/>
        </w:rPr>
      </w:pPr>
      <w:r>
        <w:rPr>
          <w:rFonts w:hint="eastAsia"/>
          <w:bCs/>
          <w:snapToGrid w:val="0"/>
          <w:kern w:val="0"/>
          <w:highlight w:val="none"/>
        </w:rPr>
        <w:t>本项目</w:t>
      </w:r>
      <w:r>
        <w:rPr>
          <w:bCs/>
          <w:snapToGrid w:val="0"/>
          <w:kern w:val="0"/>
          <w:highlight w:val="none"/>
        </w:rPr>
        <w:t>所有环保设施均应与主体工程同时设计、同时施工、同时投产，</w:t>
      </w:r>
      <w:r>
        <w:rPr>
          <w:rFonts w:hint="eastAsia"/>
          <w:bCs/>
          <w:snapToGrid w:val="0"/>
          <w:kern w:val="0"/>
          <w:highlight w:val="none"/>
        </w:rPr>
        <w:t>工程竣工后应进行竣工环保验收。</w:t>
      </w:r>
    </w:p>
    <w:p>
      <w:pPr>
        <w:ind w:right="120" w:rightChars="50" w:firstLine="480"/>
        <w:rPr>
          <w:bCs/>
          <w:snapToGrid w:val="0"/>
          <w:kern w:val="0"/>
          <w:highlight w:val="none"/>
        </w:rPr>
      </w:pPr>
      <w:r>
        <w:rPr>
          <w:bCs/>
          <w:snapToGrid w:val="0"/>
          <w:kern w:val="0"/>
          <w:highlight w:val="none"/>
        </w:rPr>
        <w:t>按照国务院2017年10月1日发布执行的《建</w:t>
      </w:r>
      <w:r>
        <w:rPr>
          <w:rFonts w:hint="eastAsia"/>
          <w:bCs/>
          <w:snapToGrid w:val="0"/>
          <w:kern w:val="0"/>
          <w:highlight w:val="none"/>
        </w:rPr>
        <w:t>设项目环境保护管理条例》第十七条规定“</w:t>
      </w:r>
      <w:r>
        <w:rPr>
          <w:bCs/>
          <w:snapToGrid w:val="0"/>
          <w:kern w:val="0"/>
          <w:highlight w:val="none"/>
        </w:rPr>
        <w:t>编制环境影响报告书、环境影响报告表的建设项目竣工后，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除按照国家规定需要保密的情形外，建设单位应当依法向社会公开验收报告</w:t>
      </w:r>
      <w:r>
        <w:rPr>
          <w:rFonts w:hint="eastAsia"/>
          <w:bCs/>
          <w:snapToGrid w:val="0"/>
          <w:kern w:val="0"/>
          <w:highlight w:val="none"/>
        </w:rPr>
        <w:t>”。</w:t>
      </w:r>
    </w:p>
    <w:p>
      <w:pPr>
        <w:ind w:right="120" w:rightChars="50" w:firstLine="480"/>
        <w:rPr>
          <w:bCs/>
          <w:snapToGrid w:val="0"/>
          <w:kern w:val="0"/>
          <w:highlight w:val="none"/>
        </w:rPr>
      </w:pPr>
      <w:r>
        <w:rPr>
          <w:rFonts w:hint="eastAsia"/>
          <w:bCs/>
          <w:snapToGrid w:val="0"/>
          <w:kern w:val="0"/>
          <w:highlight w:val="none"/>
        </w:rPr>
        <w:t>按照环保部2017年11月20日发的“《建设项目竣工环境保护验收管理办法》</w:t>
      </w:r>
      <w:r>
        <w:rPr>
          <w:bCs/>
          <w:snapToGrid w:val="0"/>
          <w:kern w:val="0"/>
          <w:highlight w:val="none"/>
        </w:rPr>
        <w:t>国环规环评</w:t>
      </w:r>
      <w:r>
        <w:rPr>
          <w:rFonts w:hint="eastAsia"/>
          <w:bCs/>
          <w:snapToGrid w:val="0"/>
          <w:kern w:val="0"/>
          <w:highlight w:val="none"/>
          <w:lang w:val="en-US" w:eastAsia="zh-CN"/>
        </w:rPr>
        <w:t>[</w:t>
      </w:r>
      <w:r>
        <w:rPr>
          <w:bCs/>
          <w:snapToGrid w:val="0"/>
          <w:kern w:val="0"/>
          <w:highlight w:val="none"/>
        </w:rPr>
        <w:t>2017</w:t>
      </w:r>
      <w:r>
        <w:rPr>
          <w:rFonts w:hint="eastAsia"/>
          <w:bCs/>
          <w:snapToGrid w:val="0"/>
          <w:kern w:val="0"/>
          <w:highlight w:val="none"/>
          <w:lang w:val="en-US" w:eastAsia="zh-CN"/>
        </w:rPr>
        <w:t>]</w:t>
      </w:r>
      <w:r>
        <w:rPr>
          <w:bCs/>
          <w:snapToGrid w:val="0"/>
          <w:kern w:val="0"/>
          <w:highlight w:val="none"/>
        </w:rPr>
        <w:t>4号</w:t>
      </w:r>
      <w:r>
        <w:rPr>
          <w:rFonts w:hint="eastAsia"/>
          <w:bCs/>
          <w:snapToGrid w:val="0"/>
          <w:kern w:val="0"/>
          <w:highlight w:val="none"/>
        </w:rPr>
        <w:t>”文件要求：</w:t>
      </w:r>
    </w:p>
    <w:p>
      <w:pPr>
        <w:ind w:right="120" w:rightChars="50" w:firstLine="480"/>
        <w:rPr>
          <w:bCs/>
          <w:snapToGrid w:val="0"/>
          <w:kern w:val="0"/>
          <w:highlight w:val="none"/>
        </w:rPr>
      </w:pPr>
      <w:r>
        <w:rPr>
          <w:rFonts w:hint="eastAsia"/>
          <w:bCs/>
          <w:snapToGrid w:val="0"/>
          <w:kern w:val="0"/>
          <w:highlight w:val="none"/>
        </w:rPr>
        <w:t>本项目建设完成后，建设单位应当应当按照本办法规定的程序和标准，组织对配套建设的环境保护设施进行验收，编制验收报告（验收报告分为验收监测（调查）报告、验收意见和其他需要说明的事项等三项内容），公开相关信息，接受社会监督，确保建设项目需要配套建设的环境保护设施与主体工程同时投产或者使用，并对验收内容、结论和所公开信息的真实性、准确性和完整性负责，不得在验收过程中弄虚作假。</w:t>
      </w:r>
    </w:p>
    <w:p>
      <w:pPr>
        <w:ind w:right="120" w:rightChars="50" w:firstLine="480"/>
        <w:rPr>
          <w:bCs/>
          <w:snapToGrid w:val="0"/>
          <w:kern w:val="0"/>
          <w:highlight w:val="none"/>
        </w:rPr>
      </w:pPr>
      <w:r>
        <w:rPr>
          <w:rFonts w:hint="eastAsia"/>
          <w:bCs/>
          <w:snapToGrid w:val="0"/>
          <w:kern w:val="0"/>
          <w:highlight w:val="none"/>
        </w:rPr>
        <w:t>验收监测报告编制完成后，建设单位应组织成立验收工作组，工作组由建设单位、设计单位、施工单位、监理单位、环境影响报告书（表）编制单位、验收监测报告编制单位等代表和专业技术专家组组成，在取得验收合格意见后方可正式投入使用和生产。</w:t>
      </w:r>
    </w:p>
    <w:p>
      <w:pPr>
        <w:ind w:right="120" w:rightChars="50" w:firstLine="480"/>
        <w:rPr>
          <w:bCs/>
          <w:snapToGrid w:val="0"/>
          <w:kern w:val="0"/>
          <w:highlight w:val="none"/>
        </w:rPr>
      </w:pPr>
      <w:r>
        <w:rPr>
          <w:rFonts w:hint="eastAsia"/>
          <w:bCs/>
          <w:snapToGrid w:val="0"/>
          <w:kern w:val="0"/>
          <w:highlight w:val="none"/>
        </w:rPr>
        <w:t>竣工验收相关信息须依法通过网站或其他便于公众知晓的方式向社会公开，建设单位公开信息的同时，应当向所在地县级以上环境保护主管部门报送相关信息，并接受监督检查。验收报告公示期满后5个工作日内，建设单位应当登录“全国建设项目竣工环境保护验收信息平台”填报建设项目基本信息、环境保护设施验收情况等相关信息，环境保护主管部门对上述信息予以公开。</w:t>
      </w:r>
    </w:p>
    <w:p>
      <w:pPr>
        <w:autoSpaceDE w:val="0"/>
        <w:autoSpaceDN w:val="0"/>
        <w:adjustRightInd w:val="0"/>
        <w:ind w:firstLine="480"/>
        <w:rPr>
          <w:rFonts w:hint="default"/>
          <w:color w:val="000000"/>
          <w:kern w:val="0"/>
          <w:highlight w:val="none"/>
          <w:lang w:val="en-US" w:eastAsia="zh-CN"/>
        </w:rPr>
      </w:pPr>
      <w:r>
        <w:rPr>
          <w:color w:val="000000"/>
          <w:kern w:val="0"/>
          <w:highlight w:val="none"/>
          <w:lang w:val="zh-CN"/>
        </w:rPr>
        <w:t>项目环保竣工验收一览表见</w:t>
      </w:r>
      <w:r>
        <w:rPr>
          <w:rFonts w:hint="eastAsia"/>
          <w:color w:val="000000"/>
          <w:kern w:val="0"/>
          <w:highlight w:val="none"/>
          <w:lang w:val="en-US" w:eastAsia="zh-CN"/>
        </w:rPr>
        <w:t>10.3-1。</w:t>
      </w:r>
    </w:p>
    <w:p>
      <w:pPr>
        <w:autoSpaceDE w:val="0"/>
        <w:autoSpaceDN w:val="0"/>
        <w:adjustRightInd w:val="0"/>
        <w:ind w:firstLine="480"/>
        <w:jc w:val="center"/>
        <w:rPr>
          <w:rFonts w:hint="default" w:eastAsia="宋体"/>
          <w:color w:val="000000"/>
          <w:kern w:val="0"/>
          <w:highlight w:val="none"/>
          <w:lang w:val="en-US" w:eastAsia="zh-CN"/>
        </w:rPr>
      </w:pPr>
      <w:r>
        <w:rPr>
          <w:rFonts w:hint="eastAsia"/>
          <w:b/>
          <w:bCs/>
          <w:color w:val="000000"/>
          <w:kern w:val="0"/>
          <w:sz w:val="21"/>
          <w:szCs w:val="21"/>
          <w:highlight w:val="none"/>
          <w:lang w:eastAsia="zh-CN"/>
        </w:rPr>
        <w:t>表</w:t>
      </w:r>
      <w:r>
        <w:rPr>
          <w:rFonts w:hint="eastAsia"/>
          <w:b/>
          <w:bCs/>
          <w:color w:val="000000"/>
          <w:kern w:val="0"/>
          <w:sz w:val="21"/>
          <w:szCs w:val="21"/>
          <w:highlight w:val="none"/>
          <w:lang w:val="en-US" w:eastAsia="zh-CN"/>
        </w:rPr>
        <w:t>10.3-1 项目环境保护竣工验收一览表</w:t>
      </w:r>
    </w:p>
    <w:tbl>
      <w:tblPr>
        <w:tblStyle w:val="30"/>
        <w:tblW w:w="92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767"/>
        <w:gridCol w:w="1842"/>
        <w:gridCol w:w="3958"/>
        <w:gridCol w:w="2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vAlign w:val="center"/>
          </w:tcPr>
          <w:p>
            <w:pPr>
              <w:autoSpaceDE w:val="0"/>
              <w:autoSpaceDN w:val="0"/>
              <w:adjustRightInd w:val="0"/>
              <w:ind w:left="0" w:leftChars="0" w:firstLine="0" w:firstLineChars="0"/>
              <w:jc w:val="center"/>
              <w:rPr>
                <w:rFonts w:hint="eastAsia" w:eastAsia="宋体"/>
                <w:color w:val="000000"/>
                <w:kern w:val="0"/>
                <w:sz w:val="21"/>
                <w:szCs w:val="21"/>
                <w:highlight w:val="none"/>
                <w:vertAlign w:val="baseline"/>
                <w:lang w:eastAsia="zh-CN"/>
              </w:rPr>
            </w:pPr>
            <w:r>
              <w:rPr>
                <w:rFonts w:hint="eastAsia"/>
                <w:color w:val="000000"/>
                <w:kern w:val="0"/>
                <w:sz w:val="21"/>
                <w:szCs w:val="21"/>
                <w:highlight w:val="none"/>
                <w:vertAlign w:val="baseline"/>
                <w:lang w:eastAsia="zh-CN"/>
              </w:rPr>
              <w:t>序号</w:t>
            </w:r>
          </w:p>
        </w:tc>
        <w:tc>
          <w:tcPr>
            <w:tcW w:w="2609" w:type="dxa"/>
            <w:gridSpan w:val="2"/>
            <w:vAlign w:val="center"/>
          </w:tcPr>
          <w:p>
            <w:pPr>
              <w:autoSpaceDE w:val="0"/>
              <w:autoSpaceDN w:val="0"/>
              <w:adjustRightInd w:val="0"/>
              <w:ind w:left="0" w:leftChars="0" w:firstLine="0" w:firstLineChars="0"/>
              <w:jc w:val="center"/>
              <w:rPr>
                <w:color w:val="000000"/>
                <w:kern w:val="0"/>
                <w:sz w:val="21"/>
                <w:szCs w:val="21"/>
                <w:highlight w:val="none"/>
                <w:vertAlign w:val="baseline"/>
              </w:rPr>
            </w:pPr>
            <w:r>
              <w:rPr>
                <w:rFonts w:hint="eastAsia"/>
                <w:color w:val="000000"/>
                <w:kern w:val="0"/>
                <w:sz w:val="21"/>
                <w:szCs w:val="21"/>
                <w:highlight w:val="none"/>
                <w:vertAlign w:val="baseline"/>
                <w:lang w:eastAsia="zh-CN"/>
              </w:rPr>
              <w:t>项目</w:t>
            </w:r>
          </w:p>
        </w:tc>
        <w:tc>
          <w:tcPr>
            <w:tcW w:w="3958" w:type="dxa"/>
            <w:vAlign w:val="center"/>
          </w:tcPr>
          <w:p>
            <w:pPr>
              <w:autoSpaceDE w:val="0"/>
              <w:autoSpaceDN w:val="0"/>
              <w:adjustRightInd w:val="0"/>
              <w:ind w:left="0" w:leftChars="0" w:firstLine="0" w:firstLineChars="0"/>
              <w:jc w:val="center"/>
              <w:rPr>
                <w:rFonts w:hint="eastAsia" w:eastAsia="宋体"/>
                <w:color w:val="000000"/>
                <w:kern w:val="0"/>
                <w:sz w:val="21"/>
                <w:szCs w:val="21"/>
                <w:highlight w:val="none"/>
                <w:vertAlign w:val="baseline"/>
                <w:lang w:eastAsia="zh-CN"/>
              </w:rPr>
            </w:pPr>
            <w:r>
              <w:rPr>
                <w:rFonts w:hint="eastAsia"/>
                <w:color w:val="000000"/>
                <w:kern w:val="0"/>
                <w:sz w:val="21"/>
                <w:szCs w:val="21"/>
                <w:highlight w:val="none"/>
                <w:vertAlign w:val="baseline"/>
                <w:lang w:eastAsia="zh-CN"/>
              </w:rPr>
              <w:t>验收内容</w:t>
            </w:r>
          </w:p>
        </w:tc>
        <w:tc>
          <w:tcPr>
            <w:tcW w:w="2065" w:type="dxa"/>
            <w:vAlign w:val="center"/>
          </w:tcPr>
          <w:p>
            <w:pPr>
              <w:autoSpaceDE w:val="0"/>
              <w:autoSpaceDN w:val="0"/>
              <w:adjustRightInd w:val="0"/>
              <w:ind w:left="0" w:leftChars="0" w:firstLine="0" w:firstLineChars="0"/>
              <w:jc w:val="center"/>
              <w:rPr>
                <w:rFonts w:hint="eastAsia" w:eastAsia="宋体"/>
                <w:color w:val="000000"/>
                <w:kern w:val="0"/>
                <w:sz w:val="21"/>
                <w:szCs w:val="21"/>
                <w:highlight w:val="none"/>
                <w:vertAlign w:val="baseline"/>
                <w:lang w:eastAsia="zh-CN"/>
              </w:rPr>
            </w:pPr>
            <w:r>
              <w:rPr>
                <w:rFonts w:hint="eastAsia"/>
                <w:color w:val="000000"/>
                <w:kern w:val="0"/>
                <w:sz w:val="21"/>
                <w:szCs w:val="21"/>
                <w:highlight w:val="none"/>
                <w:vertAlign w:val="baseline"/>
                <w:lang w:eastAsia="zh-CN"/>
              </w:rPr>
              <w:t>处理效果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vAlign w:val="center"/>
          </w:tcPr>
          <w:p>
            <w:pPr>
              <w:autoSpaceDE w:val="0"/>
              <w:autoSpaceDN w:val="0"/>
              <w:adjustRightInd w:val="0"/>
              <w:ind w:left="0" w:leftChars="0" w:firstLine="0" w:firstLineChars="0"/>
              <w:jc w:val="center"/>
              <w:rPr>
                <w:rFonts w:hint="eastAsia" w:eastAsia="宋体"/>
                <w:color w:val="000000"/>
                <w:kern w:val="0"/>
                <w:sz w:val="21"/>
                <w:szCs w:val="21"/>
                <w:highlight w:val="none"/>
                <w:vertAlign w:val="baseline"/>
                <w:lang w:val="en-US" w:eastAsia="zh-CN"/>
              </w:rPr>
            </w:pPr>
            <w:r>
              <w:rPr>
                <w:rFonts w:hint="eastAsia"/>
                <w:color w:val="000000"/>
                <w:kern w:val="0"/>
                <w:sz w:val="21"/>
                <w:szCs w:val="21"/>
                <w:highlight w:val="none"/>
                <w:vertAlign w:val="baseline"/>
                <w:lang w:val="en-US" w:eastAsia="zh-CN"/>
              </w:rPr>
              <w:t>1</w:t>
            </w:r>
          </w:p>
        </w:tc>
        <w:tc>
          <w:tcPr>
            <w:tcW w:w="767" w:type="dxa"/>
            <w:vMerge w:val="restart"/>
            <w:vAlign w:val="center"/>
          </w:tcPr>
          <w:p>
            <w:pPr>
              <w:autoSpaceDE w:val="0"/>
              <w:autoSpaceDN w:val="0"/>
              <w:adjustRightInd w:val="0"/>
              <w:ind w:left="0" w:leftChars="0" w:firstLine="0" w:firstLineChars="0"/>
              <w:jc w:val="center"/>
              <w:rPr>
                <w:rFonts w:hint="eastAsia" w:eastAsia="宋体"/>
                <w:color w:val="000000"/>
                <w:kern w:val="0"/>
                <w:sz w:val="21"/>
                <w:szCs w:val="21"/>
                <w:highlight w:val="none"/>
                <w:vertAlign w:val="baseline"/>
                <w:lang w:eastAsia="zh-CN"/>
              </w:rPr>
            </w:pPr>
            <w:r>
              <w:rPr>
                <w:rFonts w:hint="eastAsia"/>
                <w:color w:val="000000"/>
                <w:kern w:val="0"/>
                <w:sz w:val="21"/>
                <w:szCs w:val="21"/>
                <w:highlight w:val="none"/>
                <w:vertAlign w:val="baseline"/>
                <w:lang w:eastAsia="zh-CN"/>
              </w:rPr>
              <w:t>废气</w:t>
            </w:r>
          </w:p>
        </w:tc>
        <w:tc>
          <w:tcPr>
            <w:tcW w:w="1842" w:type="dxa"/>
            <w:vAlign w:val="center"/>
          </w:tcPr>
          <w:p>
            <w:pPr>
              <w:autoSpaceDE w:val="0"/>
              <w:autoSpaceDN w:val="0"/>
              <w:adjustRightInd w:val="0"/>
              <w:ind w:left="0" w:leftChars="0" w:firstLine="0" w:firstLineChars="0"/>
              <w:jc w:val="center"/>
              <w:rPr>
                <w:rFonts w:hint="eastAsia" w:eastAsia="宋体"/>
                <w:color w:val="000000"/>
                <w:kern w:val="0"/>
                <w:sz w:val="21"/>
                <w:szCs w:val="21"/>
                <w:highlight w:val="none"/>
                <w:vertAlign w:val="baseline"/>
                <w:lang w:eastAsia="zh-CN"/>
              </w:rPr>
            </w:pPr>
            <w:r>
              <w:rPr>
                <w:rFonts w:hint="eastAsia"/>
                <w:color w:val="000000"/>
                <w:kern w:val="0"/>
                <w:sz w:val="21"/>
                <w:szCs w:val="21"/>
                <w:highlight w:val="none"/>
                <w:vertAlign w:val="baseline"/>
                <w:lang w:eastAsia="zh-CN"/>
              </w:rPr>
              <w:t>开采区粉尘</w:t>
            </w:r>
          </w:p>
        </w:tc>
        <w:tc>
          <w:tcPr>
            <w:tcW w:w="3958" w:type="dxa"/>
            <w:vAlign w:val="center"/>
          </w:tcPr>
          <w:p>
            <w:pPr>
              <w:autoSpaceDE w:val="0"/>
              <w:autoSpaceDN w:val="0"/>
              <w:adjustRightInd w:val="0"/>
              <w:ind w:left="0" w:leftChars="0" w:firstLine="0" w:firstLineChars="0"/>
              <w:jc w:val="center"/>
              <w:rPr>
                <w:rFonts w:hint="eastAsia" w:eastAsia="宋体"/>
                <w:color w:val="000000"/>
                <w:kern w:val="0"/>
                <w:sz w:val="21"/>
                <w:szCs w:val="21"/>
                <w:highlight w:val="none"/>
                <w:vertAlign w:val="baseline"/>
                <w:lang w:val="en-US" w:eastAsia="zh-CN"/>
              </w:rPr>
            </w:pPr>
            <w:r>
              <w:rPr>
                <w:rFonts w:hint="eastAsia"/>
                <w:color w:val="000000"/>
                <w:kern w:val="0"/>
                <w:sz w:val="21"/>
                <w:szCs w:val="21"/>
                <w:highlight w:val="none"/>
                <w:vertAlign w:val="baseline"/>
              </w:rPr>
              <w:t>采石作业采用湿法作业备，设置洒水车在开采作业面进行人工洒水降尘。爆破时洒水，并采取草席覆盖</w:t>
            </w:r>
            <w:r>
              <w:rPr>
                <w:rFonts w:hint="eastAsia"/>
                <w:color w:val="000000"/>
                <w:kern w:val="0"/>
                <w:sz w:val="21"/>
                <w:szCs w:val="21"/>
                <w:highlight w:val="none"/>
                <w:vertAlign w:val="baseline"/>
                <w:lang w:eastAsia="zh-CN"/>
              </w:rPr>
              <w:t>。</w:t>
            </w:r>
          </w:p>
        </w:tc>
        <w:tc>
          <w:tcPr>
            <w:tcW w:w="2065" w:type="dxa"/>
            <w:vMerge w:val="restart"/>
            <w:vAlign w:val="center"/>
          </w:tcPr>
          <w:p>
            <w:pPr>
              <w:autoSpaceDE w:val="0"/>
              <w:autoSpaceDN w:val="0"/>
              <w:adjustRightInd w:val="0"/>
              <w:ind w:left="0" w:leftChars="0" w:firstLine="0" w:firstLineChars="0"/>
              <w:jc w:val="center"/>
              <w:rPr>
                <w:rFonts w:hint="default" w:eastAsia="宋体"/>
                <w:color w:val="000000"/>
                <w:kern w:val="0"/>
                <w:sz w:val="21"/>
                <w:szCs w:val="21"/>
                <w:highlight w:val="none"/>
                <w:vertAlign w:val="baseline"/>
                <w:lang w:val="en-US" w:eastAsia="zh-CN"/>
              </w:rPr>
            </w:pPr>
            <w:r>
              <w:rPr>
                <w:rFonts w:hint="eastAsia"/>
                <w:color w:val="000000"/>
                <w:kern w:val="0"/>
                <w:sz w:val="21"/>
                <w:szCs w:val="21"/>
                <w:highlight w:val="none"/>
                <w:vertAlign w:val="baseline"/>
                <w:lang w:eastAsia="zh-CN"/>
              </w:rPr>
              <w:t>无组织</w:t>
            </w:r>
            <w:r>
              <w:rPr>
                <w:rFonts w:hint="eastAsia"/>
                <w:color w:val="000000"/>
                <w:kern w:val="0"/>
                <w:sz w:val="21"/>
                <w:szCs w:val="21"/>
                <w:highlight w:val="none"/>
                <w:vertAlign w:val="baseline"/>
              </w:rPr>
              <w:t>粉尘排放达《大气污染综合排放标准》</w:t>
            </w:r>
            <w:r>
              <w:rPr>
                <w:rFonts w:hint="eastAsia"/>
                <w:color w:val="000000"/>
                <w:kern w:val="0"/>
                <w:sz w:val="21"/>
                <w:szCs w:val="21"/>
                <w:highlight w:val="none"/>
                <w:vertAlign w:val="baseline"/>
                <w:lang w:eastAsia="zh-CN"/>
              </w:rPr>
              <w:t>（</w:t>
            </w:r>
            <w:r>
              <w:rPr>
                <w:rFonts w:hint="eastAsia"/>
                <w:color w:val="000000"/>
                <w:kern w:val="0"/>
                <w:sz w:val="21"/>
                <w:szCs w:val="21"/>
                <w:highlight w:val="none"/>
                <w:vertAlign w:val="baseline"/>
                <w:lang w:val="en-US" w:eastAsia="zh-CN"/>
              </w:rPr>
              <w:t>GB16297-1996</w:t>
            </w:r>
            <w:r>
              <w:rPr>
                <w:rFonts w:hint="eastAsia"/>
                <w:color w:val="000000"/>
                <w:kern w:val="0"/>
                <w:sz w:val="21"/>
                <w:szCs w:val="21"/>
                <w:highlight w:val="none"/>
                <w:vertAlign w:val="baseline"/>
                <w:lang w:eastAsia="zh-CN"/>
              </w:rPr>
              <w:t>）中的无组织排放监控浓度限值，有组织</w:t>
            </w:r>
            <w:r>
              <w:rPr>
                <w:rFonts w:hint="eastAsia"/>
                <w:color w:val="000000"/>
                <w:kern w:val="0"/>
                <w:sz w:val="21"/>
                <w:szCs w:val="21"/>
                <w:highlight w:val="none"/>
                <w:vertAlign w:val="baseline"/>
              </w:rPr>
              <w:t>粉尘排放达《大气污染综合排放标准》</w:t>
            </w:r>
            <w:r>
              <w:rPr>
                <w:rFonts w:hint="eastAsia"/>
                <w:color w:val="000000"/>
                <w:kern w:val="0"/>
                <w:sz w:val="21"/>
                <w:szCs w:val="21"/>
                <w:highlight w:val="none"/>
                <w:vertAlign w:val="baseline"/>
                <w:lang w:eastAsia="zh-CN"/>
              </w:rPr>
              <w:t>（</w:t>
            </w:r>
            <w:r>
              <w:rPr>
                <w:rFonts w:hint="eastAsia"/>
                <w:color w:val="000000"/>
                <w:kern w:val="0"/>
                <w:sz w:val="21"/>
                <w:szCs w:val="21"/>
                <w:highlight w:val="none"/>
                <w:vertAlign w:val="baseline"/>
                <w:lang w:val="en-US" w:eastAsia="zh-CN"/>
              </w:rPr>
              <w:t>GB16297-1996</w:t>
            </w:r>
            <w:r>
              <w:rPr>
                <w:rFonts w:hint="eastAsia"/>
                <w:color w:val="000000"/>
                <w:kern w:val="0"/>
                <w:sz w:val="21"/>
                <w:szCs w:val="21"/>
                <w:highlight w:val="none"/>
                <w:vertAlign w:val="baseline"/>
                <w:lang w:eastAsia="zh-CN"/>
              </w:rPr>
              <w:t>）中的二级标准排放限值要求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vAlign w:val="center"/>
          </w:tcPr>
          <w:p>
            <w:pPr>
              <w:autoSpaceDE w:val="0"/>
              <w:autoSpaceDN w:val="0"/>
              <w:adjustRightInd w:val="0"/>
              <w:ind w:left="0" w:leftChars="0" w:firstLine="0" w:firstLineChars="0"/>
              <w:jc w:val="center"/>
              <w:rPr>
                <w:rFonts w:hint="eastAsia" w:eastAsia="宋体"/>
                <w:color w:val="000000"/>
                <w:kern w:val="0"/>
                <w:sz w:val="21"/>
                <w:szCs w:val="21"/>
                <w:highlight w:val="none"/>
                <w:vertAlign w:val="baseline"/>
                <w:lang w:val="en-US" w:eastAsia="zh-CN"/>
              </w:rPr>
            </w:pPr>
            <w:r>
              <w:rPr>
                <w:rFonts w:hint="eastAsia"/>
                <w:color w:val="000000"/>
                <w:kern w:val="0"/>
                <w:sz w:val="21"/>
                <w:szCs w:val="21"/>
                <w:highlight w:val="none"/>
                <w:vertAlign w:val="baseline"/>
                <w:lang w:val="en-US" w:eastAsia="zh-CN"/>
              </w:rPr>
              <w:t>2</w:t>
            </w:r>
          </w:p>
        </w:tc>
        <w:tc>
          <w:tcPr>
            <w:tcW w:w="767" w:type="dxa"/>
            <w:vMerge w:val="continue"/>
            <w:vAlign w:val="center"/>
          </w:tcPr>
          <w:p>
            <w:pPr>
              <w:autoSpaceDE w:val="0"/>
              <w:autoSpaceDN w:val="0"/>
              <w:adjustRightInd w:val="0"/>
              <w:ind w:left="0" w:leftChars="0" w:firstLine="0" w:firstLineChars="0"/>
              <w:jc w:val="center"/>
              <w:rPr>
                <w:color w:val="000000"/>
                <w:kern w:val="0"/>
                <w:sz w:val="21"/>
                <w:szCs w:val="21"/>
                <w:highlight w:val="none"/>
                <w:vertAlign w:val="baseline"/>
              </w:rPr>
            </w:pPr>
          </w:p>
        </w:tc>
        <w:tc>
          <w:tcPr>
            <w:tcW w:w="1842" w:type="dxa"/>
            <w:vAlign w:val="center"/>
          </w:tcPr>
          <w:p>
            <w:pPr>
              <w:autoSpaceDE w:val="0"/>
              <w:autoSpaceDN w:val="0"/>
              <w:adjustRightInd w:val="0"/>
              <w:ind w:left="0" w:leftChars="0" w:firstLine="0" w:firstLineChars="0"/>
              <w:jc w:val="center"/>
              <w:rPr>
                <w:rFonts w:hint="eastAsia" w:eastAsia="宋体"/>
                <w:color w:val="000000"/>
                <w:kern w:val="0"/>
                <w:sz w:val="21"/>
                <w:szCs w:val="21"/>
                <w:highlight w:val="none"/>
                <w:vertAlign w:val="baseline"/>
                <w:lang w:eastAsia="zh-CN"/>
              </w:rPr>
            </w:pPr>
            <w:r>
              <w:rPr>
                <w:rFonts w:hint="eastAsia"/>
                <w:color w:val="000000"/>
                <w:kern w:val="0"/>
                <w:sz w:val="21"/>
                <w:szCs w:val="21"/>
                <w:highlight w:val="none"/>
                <w:vertAlign w:val="baseline"/>
                <w:lang w:eastAsia="zh-CN"/>
              </w:rPr>
              <w:t>运输扬尘</w:t>
            </w:r>
          </w:p>
        </w:tc>
        <w:tc>
          <w:tcPr>
            <w:tcW w:w="3958" w:type="dxa"/>
            <w:vAlign w:val="center"/>
          </w:tcPr>
          <w:p>
            <w:pPr>
              <w:autoSpaceDE w:val="0"/>
              <w:autoSpaceDN w:val="0"/>
              <w:adjustRightInd w:val="0"/>
              <w:ind w:left="0" w:leftChars="0" w:firstLine="0" w:firstLineChars="0"/>
              <w:jc w:val="center"/>
              <w:rPr>
                <w:rFonts w:hint="eastAsia" w:eastAsia="宋体"/>
                <w:color w:val="000000"/>
                <w:kern w:val="0"/>
                <w:sz w:val="21"/>
                <w:szCs w:val="21"/>
                <w:highlight w:val="none"/>
                <w:vertAlign w:val="baseline"/>
                <w:lang w:eastAsia="zh-CN"/>
              </w:rPr>
            </w:pPr>
            <w:r>
              <w:rPr>
                <w:rFonts w:hint="eastAsia"/>
                <w:color w:val="000000"/>
                <w:kern w:val="0"/>
                <w:sz w:val="21"/>
                <w:szCs w:val="21"/>
                <w:highlight w:val="none"/>
                <w:vertAlign w:val="baseline"/>
              </w:rPr>
              <w:t>运输车辆上方加盖篷布，运输道路进行硬化，设置</w:t>
            </w:r>
            <w:r>
              <w:rPr>
                <w:rFonts w:hint="eastAsia"/>
                <w:color w:val="000000"/>
                <w:kern w:val="0"/>
                <w:sz w:val="21"/>
                <w:szCs w:val="21"/>
                <w:highlight w:val="none"/>
                <w:vertAlign w:val="baseline"/>
                <w:lang w:val="en-US" w:eastAsia="zh-CN"/>
              </w:rPr>
              <w:t>1</w:t>
            </w:r>
            <w:r>
              <w:rPr>
                <w:rFonts w:hint="eastAsia"/>
                <w:color w:val="000000"/>
                <w:kern w:val="0"/>
                <w:sz w:val="21"/>
                <w:szCs w:val="21"/>
                <w:highlight w:val="none"/>
                <w:vertAlign w:val="baseline"/>
              </w:rPr>
              <w:t>辆洒水车非雨天对路面进行洒水降尘</w:t>
            </w:r>
            <w:r>
              <w:rPr>
                <w:rFonts w:hint="eastAsia"/>
                <w:color w:val="000000"/>
                <w:kern w:val="0"/>
                <w:sz w:val="21"/>
                <w:szCs w:val="21"/>
                <w:highlight w:val="none"/>
                <w:vertAlign w:val="baseline"/>
                <w:lang w:eastAsia="zh-CN"/>
              </w:rPr>
              <w:t>，运输车辆出场之前，清扫车轮，并对车轮进行喷水湿润。</w:t>
            </w:r>
          </w:p>
        </w:tc>
        <w:tc>
          <w:tcPr>
            <w:tcW w:w="2065" w:type="dxa"/>
            <w:vMerge w:val="continue"/>
            <w:vAlign w:val="center"/>
          </w:tcPr>
          <w:p>
            <w:pPr>
              <w:autoSpaceDE w:val="0"/>
              <w:autoSpaceDN w:val="0"/>
              <w:adjustRightInd w:val="0"/>
              <w:ind w:left="0" w:leftChars="0" w:firstLine="0" w:firstLineChars="0"/>
              <w:jc w:val="center"/>
              <w:rPr>
                <w:color w:val="000000"/>
                <w:kern w:val="0"/>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vAlign w:val="center"/>
          </w:tcPr>
          <w:p>
            <w:pPr>
              <w:autoSpaceDE w:val="0"/>
              <w:autoSpaceDN w:val="0"/>
              <w:adjustRightInd w:val="0"/>
              <w:ind w:left="0" w:leftChars="0" w:firstLine="0" w:firstLineChars="0"/>
              <w:jc w:val="center"/>
              <w:rPr>
                <w:rFonts w:hint="eastAsia" w:eastAsia="宋体"/>
                <w:color w:val="000000"/>
                <w:kern w:val="0"/>
                <w:sz w:val="21"/>
                <w:szCs w:val="21"/>
                <w:highlight w:val="none"/>
                <w:vertAlign w:val="baseline"/>
                <w:lang w:val="en-US" w:eastAsia="zh-CN"/>
              </w:rPr>
            </w:pPr>
            <w:r>
              <w:rPr>
                <w:rFonts w:hint="eastAsia"/>
                <w:color w:val="000000"/>
                <w:kern w:val="0"/>
                <w:sz w:val="21"/>
                <w:szCs w:val="21"/>
                <w:highlight w:val="none"/>
                <w:vertAlign w:val="baseline"/>
                <w:lang w:val="en-US" w:eastAsia="zh-CN"/>
              </w:rPr>
              <w:t>3</w:t>
            </w:r>
          </w:p>
        </w:tc>
        <w:tc>
          <w:tcPr>
            <w:tcW w:w="767" w:type="dxa"/>
            <w:vMerge w:val="continue"/>
            <w:vAlign w:val="center"/>
          </w:tcPr>
          <w:p>
            <w:pPr>
              <w:autoSpaceDE w:val="0"/>
              <w:autoSpaceDN w:val="0"/>
              <w:adjustRightInd w:val="0"/>
              <w:ind w:left="0" w:leftChars="0" w:firstLine="0" w:firstLineChars="0"/>
              <w:jc w:val="center"/>
              <w:rPr>
                <w:color w:val="000000"/>
                <w:kern w:val="0"/>
                <w:sz w:val="21"/>
                <w:szCs w:val="21"/>
                <w:highlight w:val="none"/>
                <w:vertAlign w:val="baseline"/>
              </w:rPr>
            </w:pPr>
          </w:p>
        </w:tc>
        <w:tc>
          <w:tcPr>
            <w:tcW w:w="1842" w:type="dxa"/>
            <w:vAlign w:val="center"/>
          </w:tcPr>
          <w:p>
            <w:pPr>
              <w:autoSpaceDE w:val="0"/>
              <w:autoSpaceDN w:val="0"/>
              <w:adjustRightInd w:val="0"/>
              <w:ind w:left="0" w:leftChars="0" w:firstLine="0" w:firstLineChars="0"/>
              <w:jc w:val="center"/>
              <w:rPr>
                <w:rFonts w:hint="eastAsia" w:eastAsia="宋体"/>
                <w:color w:val="000000"/>
                <w:kern w:val="0"/>
                <w:sz w:val="21"/>
                <w:szCs w:val="21"/>
                <w:highlight w:val="none"/>
                <w:vertAlign w:val="baseline"/>
                <w:lang w:eastAsia="zh-CN"/>
              </w:rPr>
            </w:pPr>
            <w:r>
              <w:rPr>
                <w:rFonts w:hint="eastAsia"/>
                <w:color w:val="000000"/>
                <w:kern w:val="0"/>
                <w:sz w:val="21"/>
                <w:szCs w:val="21"/>
                <w:highlight w:val="none"/>
                <w:vertAlign w:val="baseline"/>
                <w:lang w:eastAsia="zh-CN"/>
              </w:rPr>
              <w:t>堆场扬尘</w:t>
            </w:r>
          </w:p>
        </w:tc>
        <w:tc>
          <w:tcPr>
            <w:tcW w:w="3958" w:type="dxa"/>
            <w:vAlign w:val="center"/>
          </w:tcPr>
          <w:p>
            <w:pPr>
              <w:autoSpaceDE w:val="0"/>
              <w:autoSpaceDN w:val="0"/>
              <w:adjustRightInd w:val="0"/>
              <w:ind w:left="0" w:leftChars="0" w:firstLine="0" w:firstLineChars="0"/>
              <w:jc w:val="center"/>
              <w:rPr>
                <w:rFonts w:hint="eastAsia" w:eastAsia="宋体"/>
                <w:color w:val="000000"/>
                <w:kern w:val="0"/>
                <w:sz w:val="21"/>
                <w:szCs w:val="21"/>
                <w:highlight w:val="none"/>
                <w:vertAlign w:val="baseline"/>
                <w:lang w:eastAsia="zh-CN"/>
              </w:rPr>
            </w:pPr>
            <w:r>
              <w:rPr>
                <w:rFonts w:hint="eastAsia"/>
                <w:sz w:val="21"/>
                <w:szCs w:val="21"/>
                <w:highlight w:val="yellow"/>
                <w:lang w:eastAsia="zh-CN"/>
              </w:rPr>
              <w:t>原料堆场设置</w:t>
            </w:r>
            <w:r>
              <w:rPr>
                <w:rFonts w:hint="eastAsia"/>
                <w:sz w:val="21"/>
                <w:szCs w:val="21"/>
                <w:highlight w:val="yellow"/>
                <w:lang w:val="en-US" w:eastAsia="zh-CN"/>
              </w:rPr>
              <w:t>2套洒水喷淋设施，</w:t>
            </w:r>
            <w:r>
              <w:rPr>
                <w:rFonts w:hint="eastAsia"/>
                <w:sz w:val="21"/>
                <w:szCs w:val="21"/>
                <w:highlight w:val="yellow"/>
                <w:lang w:eastAsia="zh-CN"/>
              </w:rPr>
              <w:t>细砂堆场设置顶棚，进行围挡，设置</w:t>
            </w:r>
            <w:r>
              <w:rPr>
                <w:rFonts w:hint="eastAsia"/>
                <w:sz w:val="21"/>
                <w:szCs w:val="21"/>
                <w:highlight w:val="yellow"/>
                <w:lang w:val="en-US" w:eastAsia="zh-CN"/>
              </w:rPr>
              <w:t>4套</w:t>
            </w:r>
            <w:r>
              <w:rPr>
                <w:rFonts w:hint="eastAsia"/>
                <w:sz w:val="21"/>
                <w:szCs w:val="21"/>
                <w:highlight w:val="yellow"/>
                <w:lang w:eastAsia="zh-CN"/>
              </w:rPr>
              <w:t>喷雾降尘设施，装卸过程开启自动喷雾装置</w:t>
            </w:r>
          </w:p>
        </w:tc>
        <w:tc>
          <w:tcPr>
            <w:tcW w:w="2065" w:type="dxa"/>
            <w:vMerge w:val="continue"/>
            <w:vAlign w:val="center"/>
          </w:tcPr>
          <w:p>
            <w:pPr>
              <w:autoSpaceDE w:val="0"/>
              <w:autoSpaceDN w:val="0"/>
              <w:adjustRightInd w:val="0"/>
              <w:ind w:left="0" w:leftChars="0" w:firstLine="0" w:firstLineChars="0"/>
              <w:jc w:val="center"/>
              <w:rPr>
                <w:color w:val="000000"/>
                <w:kern w:val="0"/>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vAlign w:val="center"/>
          </w:tcPr>
          <w:p>
            <w:pPr>
              <w:autoSpaceDE w:val="0"/>
              <w:autoSpaceDN w:val="0"/>
              <w:adjustRightInd w:val="0"/>
              <w:ind w:left="0" w:leftChars="0" w:firstLine="0" w:firstLineChars="0"/>
              <w:jc w:val="center"/>
              <w:rPr>
                <w:rFonts w:hint="eastAsia" w:eastAsia="宋体"/>
                <w:color w:val="000000"/>
                <w:kern w:val="0"/>
                <w:sz w:val="21"/>
                <w:szCs w:val="21"/>
                <w:highlight w:val="none"/>
                <w:vertAlign w:val="baseline"/>
                <w:lang w:val="en-US" w:eastAsia="zh-CN"/>
              </w:rPr>
            </w:pPr>
            <w:r>
              <w:rPr>
                <w:rFonts w:hint="eastAsia"/>
                <w:color w:val="000000"/>
                <w:kern w:val="0"/>
                <w:sz w:val="21"/>
                <w:szCs w:val="21"/>
                <w:highlight w:val="none"/>
                <w:vertAlign w:val="baseline"/>
                <w:lang w:val="en-US" w:eastAsia="zh-CN"/>
              </w:rPr>
              <w:t>4</w:t>
            </w:r>
          </w:p>
        </w:tc>
        <w:tc>
          <w:tcPr>
            <w:tcW w:w="767" w:type="dxa"/>
            <w:vMerge w:val="continue"/>
            <w:vAlign w:val="center"/>
          </w:tcPr>
          <w:p>
            <w:pPr>
              <w:autoSpaceDE w:val="0"/>
              <w:autoSpaceDN w:val="0"/>
              <w:adjustRightInd w:val="0"/>
              <w:ind w:left="0" w:leftChars="0" w:firstLine="0" w:firstLineChars="0"/>
              <w:jc w:val="center"/>
              <w:rPr>
                <w:color w:val="000000"/>
                <w:kern w:val="0"/>
                <w:sz w:val="21"/>
                <w:szCs w:val="21"/>
                <w:highlight w:val="none"/>
                <w:vertAlign w:val="baseline"/>
              </w:rPr>
            </w:pPr>
          </w:p>
        </w:tc>
        <w:tc>
          <w:tcPr>
            <w:tcW w:w="1842" w:type="dxa"/>
            <w:vAlign w:val="center"/>
          </w:tcPr>
          <w:p>
            <w:pPr>
              <w:autoSpaceDE w:val="0"/>
              <w:autoSpaceDN w:val="0"/>
              <w:adjustRightInd w:val="0"/>
              <w:ind w:left="0" w:leftChars="0" w:firstLine="0" w:firstLineChars="0"/>
              <w:jc w:val="center"/>
              <w:rPr>
                <w:rFonts w:hint="eastAsia" w:eastAsia="宋体"/>
                <w:color w:val="000000"/>
                <w:kern w:val="0"/>
                <w:sz w:val="21"/>
                <w:szCs w:val="21"/>
                <w:highlight w:val="none"/>
                <w:vertAlign w:val="baseline"/>
                <w:lang w:eastAsia="zh-CN"/>
              </w:rPr>
            </w:pPr>
            <w:r>
              <w:rPr>
                <w:rFonts w:hint="eastAsia"/>
                <w:color w:val="000000"/>
                <w:kern w:val="0"/>
                <w:sz w:val="21"/>
                <w:szCs w:val="21"/>
                <w:highlight w:val="none"/>
                <w:vertAlign w:val="baseline"/>
                <w:lang w:eastAsia="zh-CN"/>
              </w:rPr>
              <w:t>破碎筛分粉尘</w:t>
            </w:r>
          </w:p>
        </w:tc>
        <w:tc>
          <w:tcPr>
            <w:tcW w:w="3958" w:type="dxa"/>
            <w:vAlign w:val="center"/>
          </w:tcPr>
          <w:p>
            <w:pPr>
              <w:autoSpaceDE w:val="0"/>
              <w:autoSpaceDN w:val="0"/>
              <w:adjustRightInd w:val="0"/>
              <w:ind w:left="0" w:leftChars="0" w:firstLine="0" w:firstLineChars="0"/>
              <w:jc w:val="center"/>
              <w:rPr>
                <w:rFonts w:hint="eastAsia" w:eastAsia="宋体"/>
                <w:color w:val="000000"/>
                <w:kern w:val="0"/>
                <w:sz w:val="21"/>
                <w:szCs w:val="21"/>
                <w:highlight w:val="none"/>
                <w:vertAlign w:val="baseline"/>
                <w:lang w:eastAsia="zh-CN"/>
              </w:rPr>
            </w:pPr>
            <w:r>
              <w:rPr>
                <w:rFonts w:hint="eastAsia"/>
                <w:color w:val="000000"/>
                <w:kern w:val="0"/>
                <w:sz w:val="21"/>
                <w:szCs w:val="21"/>
                <w:highlight w:val="none"/>
                <w:vertAlign w:val="baseline"/>
              </w:rPr>
              <w:t>生产厂房全封闭，厂内设置雾化喷头洒水抑尘</w:t>
            </w:r>
            <w:r>
              <w:rPr>
                <w:rFonts w:hint="eastAsia"/>
                <w:color w:val="000000"/>
                <w:kern w:val="0"/>
                <w:sz w:val="21"/>
                <w:szCs w:val="21"/>
                <w:highlight w:val="none"/>
                <w:vertAlign w:val="baseline"/>
                <w:lang w:eastAsia="zh-CN"/>
              </w:rPr>
              <w:t>，</w:t>
            </w:r>
            <w:r>
              <w:rPr>
                <w:rFonts w:hint="eastAsia"/>
                <w:color w:val="000000"/>
                <w:kern w:val="0"/>
                <w:sz w:val="21"/>
                <w:szCs w:val="21"/>
                <w:highlight w:val="none"/>
                <w:vertAlign w:val="baseline"/>
              </w:rPr>
              <w:t>封闭式传送皮带。布袋除尘器处理后经15m高排气筒排放</w:t>
            </w:r>
            <w:r>
              <w:rPr>
                <w:rFonts w:hint="eastAsia"/>
                <w:color w:val="000000"/>
                <w:kern w:val="0"/>
                <w:sz w:val="21"/>
                <w:szCs w:val="21"/>
                <w:highlight w:val="none"/>
                <w:vertAlign w:val="baseline"/>
                <w:lang w:eastAsia="zh-CN"/>
              </w:rPr>
              <w:t>。</w:t>
            </w:r>
          </w:p>
        </w:tc>
        <w:tc>
          <w:tcPr>
            <w:tcW w:w="2065" w:type="dxa"/>
            <w:vMerge w:val="continue"/>
            <w:vAlign w:val="center"/>
          </w:tcPr>
          <w:p>
            <w:pPr>
              <w:autoSpaceDE w:val="0"/>
              <w:autoSpaceDN w:val="0"/>
              <w:adjustRightInd w:val="0"/>
              <w:ind w:left="0" w:leftChars="0" w:firstLine="0" w:firstLineChars="0"/>
              <w:jc w:val="center"/>
              <w:rPr>
                <w:color w:val="000000"/>
                <w:kern w:val="0"/>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vAlign w:val="center"/>
          </w:tcPr>
          <w:p>
            <w:pPr>
              <w:autoSpaceDE w:val="0"/>
              <w:autoSpaceDN w:val="0"/>
              <w:adjustRightInd w:val="0"/>
              <w:ind w:left="0" w:leftChars="0" w:firstLine="0" w:firstLineChars="0"/>
              <w:jc w:val="center"/>
              <w:rPr>
                <w:rFonts w:hint="eastAsia" w:eastAsia="宋体"/>
                <w:color w:val="000000"/>
                <w:kern w:val="0"/>
                <w:sz w:val="21"/>
                <w:szCs w:val="21"/>
                <w:highlight w:val="none"/>
                <w:vertAlign w:val="baseline"/>
                <w:lang w:val="en-US" w:eastAsia="zh-CN"/>
              </w:rPr>
            </w:pPr>
            <w:r>
              <w:rPr>
                <w:rFonts w:hint="eastAsia"/>
                <w:color w:val="000000"/>
                <w:kern w:val="0"/>
                <w:sz w:val="21"/>
                <w:szCs w:val="21"/>
                <w:highlight w:val="none"/>
                <w:vertAlign w:val="baseline"/>
                <w:lang w:val="en-US" w:eastAsia="zh-CN"/>
              </w:rPr>
              <w:t>5</w:t>
            </w:r>
          </w:p>
        </w:tc>
        <w:tc>
          <w:tcPr>
            <w:tcW w:w="767" w:type="dxa"/>
            <w:vMerge w:val="restart"/>
            <w:vAlign w:val="center"/>
          </w:tcPr>
          <w:p>
            <w:pPr>
              <w:autoSpaceDE w:val="0"/>
              <w:autoSpaceDN w:val="0"/>
              <w:adjustRightInd w:val="0"/>
              <w:ind w:left="0" w:leftChars="0" w:firstLine="0" w:firstLineChars="0"/>
              <w:jc w:val="center"/>
              <w:rPr>
                <w:rFonts w:hint="eastAsia" w:eastAsia="宋体"/>
                <w:color w:val="000000"/>
                <w:kern w:val="0"/>
                <w:sz w:val="21"/>
                <w:szCs w:val="21"/>
                <w:highlight w:val="none"/>
                <w:vertAlign w:val="baseline"/>
                <w:lang w:eastAsia="zh-CN"/>
              </w:rPr>
            </w:pPr>
            <w:r>
              <w:rPr>
                <w:rFonts w:hint="eastAsia"/>
                <w:color w:val="000000"/>
                <w:kern w:val="0"/>
                <w:sz w:val="21"/>
                <w:szCs w:val="21"/>
                <w:highlight w:val="none"/>
                <w:vertAlign w:val="baseline"/>
                <w:lang w:eastAsia="zh-CN"/>
              </w:rPr>
              <w:t>废水</w:t>
            </w:r>
          </w:p>
        </w:tc>
        <w:tc>
          <w:tcPr>
            <w:tcW w:w="1842" w:type="dxa"/>
            <w:vAlign w:val="center"/>
          </w:tcPr>
          <w:p>
            <w:pPr>
              <w:autoSpaceDE w:val="0"/>
              <w:autoSpaceDN w:val="0"/>
              <w:adjustRightInd w:val="0"/>
              <w:ind w:left="0" w:leftChars="0" w:firstLine="0" w:firstLineChars="0"/>
              <w:jc w:val="center"/>
              <w:rPr>
                <w:rFonts w:hint="eastAsia" w:eastAsia="宋体"/>
                <w:color w:val="000000"/>
                <w:kern w:val="0"/>
                <w:sz w:val="21"/>
                <w:szCs w:val="21"/>
                <w:highlight w:val="none"/>
                <w:vertAlign w:val="baseline"/>
                <w:lang w:eastAsia="zh-CN"/>
              </w:rPr>
            </w:pPr>
            <w:r>
              <w:rPr>
                <w:rFonts w:hint="eastAsia"/>
                <w:color w:val="000000"/>
                <w:kern w:val="0"/>
                <w:sz w:val="21"/>
                <w:szCs w:val="21"/>
                <w:highlight w:val="none"/>
                <w:vertAlign w:val="baseline"/>
                <w:lang w:eastAsia="zh-CN"/>
              </w:rPr>
              <w:t>初期雨水</w:t>
            </w:r>
          </w:p>
        </w:tc>
        <w:tc>
          <w:tcPr>
            <w:tcW w:w="3958" w:type="dxa"/>
            <w:vAlign w:val="center"/>
          </w:tcPr>
          <w:p>
            <w:pPr>
              <w:autoSpaceDE w:val="0"/>
              <w:autoSpaceDN w:val="0"/>
              <w:adjustRightInd w:val="0"/>
              <w:ind w:left="0" w:leftChars="0" w:firstLine="0" w:firstLineChars="0"/>
              <w:jc w:val="center"/>
              <w:rPr>
                <w:rFonts w:hint="eastAsia" w:eastAsia="宋体"/>
                <w:color w:val="000000"/>
                <w:kern w:val="0"/>
                <w:sz w:val="21"/>
                <w:szCs w:val="21"/>
                <w:highlight w:val="none"/>
                <w:vertAlign w:val="baseline"/>
                <w:lang w:eastAsia="zh-CN"/>
              </w:rPr>
            </w:pPr>
            <w:r>
              <w:rPr>
                <w:rFonts w:hint="eastAsia"/>
                <w:color w:val="000000"/>
                <w:kern w:val="0"/>
                <w:sz w:val="21"/>
                <w:szCs w:val="21"/>
                <w:highlight w:val="none"/>
                <w:vertAlign w:val="baseline"/>
              </w:rPr>
              <w:t>（1）露天采场及破碎场设两座初期雨水沉淀池容积分别为</w:t>
            </w:r>
            <w:r>
              <w:rPr>
                <w:rFonts w:hint="eastAsia"/>
                <w:color w:val="000000"/>
                <w:kern w:val="0"/>
                <w:sz w:val="21"/>
                <w:szCs w:val="21"/>
                <w:highlight w:val="none"/>
                <w:vertAlign w:val="baseline"/>
                <w:lang w:val="en-US" w:eastAsia="zh-CN"/>
              </w:rPr>
              <w:t>30</w:t>
            </w:r>
            <w:r>
              <w:rPr>
                <w:rFonts w:hint="eastAsia"/>
                <w:color w:val="000000"/>
                <w:kern w:val="0"/>
                <w:sz w:val="21"/>
                <w:szCs w:val="21"/>
                <w:highlight w:val="none"/>
                <w:vertAlign w:val="baseline"/>
              </w:rPr>
              <w:t>m</w:t>
            </w:r>
            <w:r>
              <w:rPr>
                <w:rFonts w:hint="eastAsia"/>
                <w:color w:val="000000"/>
                <w:kern w:val="0"/>
                <w:sz w:val="21"/>
                <w:szCs w:val="21"/>
                <w:highlight w:val="none"/>
                <w:vertAlign w:val="superscript"/>
              </w:rPr>
              <w:t>3</w:t>
            </w:r>
            <w:r>
              <w:rPr>
                <w:rFonts w:hint="eastAsia"/>
                <w:color w:val="000000"/>
                <w:kern w:val="0"/>
                <w:sz w:val="21"/>
                <w:szCs w:val="21"/>
                <w:highlight w:val="none"/>
                <w:vertAlign w:val="baseline"/>
              </w:rPr>
              <w:t>和</w:t>
            </w:r>
            <w:r>
              <w:rPr>
                <w:rFonts w:hint="eastAsia"/>
                <w:color w:val="000000"/>
                <w:kern w:val="0"/>
                <w:sz w:val="21"/>
                <w:szCs w:val="21"/>
                <w:highlight w:val="none"/>
                <w:vertAlign w:val="baseline"/>
                <w:lang w:val="en-US" w:eastAsia="zh-CN"/>
              </w:rPr>
              <w:t>160</w:t>
            </w:r>
            <w:r>
              <w:rPr>
                <w:rFonts w:hint="eastAsia"/>
                <w:color w:val="000000"/>
                <w:kern w:val="0"/>
                <w:sz w:val="21"/>
                <w:szCs w:val="21"/>
                <w:highlight w:val="none"/>
                <w:vertAlign w:val="baseline"/>
              </w:rPr>
              <w:t>m</w:t>
            </w:r>
            <w:r>
              <w:rPr>
                <w:rFonts w:hint="eastAsia"/>
                <w:color w:val="000000"/>
                <w:kern w:val="0"/>
                <w:sz w:val="21"/>
                <w:szCs w:val="21"/>
                <w:highlight w:val="none"/>
                <w:vertAlign w:val="superscript"/>
              </w:rPr>
              <w:t>3</w:t>
            </w:r>
            <w:r>
              <w:rPr>
                <w:rFonts w:hint="eastAsia"/>
                <w:color w:val="000000"/>
                <w:kern w:val="0"/>
                <w:sz w:val="21"/>
                <w:szCs w:val="21"/>
                <w:highlight w:val="none"/>
                <w:vertAlign w:val="baseline"/>
              </w:rPr>
              <w:t>，铺设截排水沟，总长度为</w:t>
            </w:r>
            <w:r>
              <w:rPr>
                <w:rFonts w:hint="eastAsia"/>
                <w:color w:val="000000"/>
                <w:kern w:val="0"/>
                <w:sz w:val="21"/>
                <w:szCs w:val="21"/>
                <w:highlight w:val="none"/>
                <w:vertAlign w:val="baseline"/>
                <w:lang w:val="en-US" w:eastAsia="zh-CN"/>
              </w:rPr>
              <w:t>1090</w:t>
            </w:r>
            <w:r>
              <w:rPr>
                <w:rFonts w:hint="eastAsia"/>
                <w:color w:val="000000"/>
                <w:kern w:val="0"/>
                <w:sz w:val="21"/>
                <w:szCs w:val="21"/>
                <w:highlight w:val="none"/>
                <w:vertAlign w:val="baseline"/>
              </w:rPr>
              <w:t>m；初期雨水收集沉淀处理后，用于场地及开采工作面洒水降尘，不外排</w:t>
            </w:r>
            <w:r>
              <w:rPr>
                <w:rFonts w:hint="eastAsia"/>
                <w:color w:val="000000"/>
                <w:kern w:val="0"/>
                <w:sz w:val="21"/>
                <w:szCs w:val="21"/>
                <w:highlight w:val="none"/>
                <w:vertAlign w:val="baseline"/>
                <w:lang w:eastAsia="zh-CN"/>
              </w:rPr>
              <w:t>。</w:t>
            </w:r>
          </w:p>
        </w:tc>
        <w:tc>
          <w:tcPr>
            <w:tcW w:w="2065" w:type="dxa"/>
            <w:vAlign w:val="center"/>
          </w:tcPr>
          <w:p>
            <w:pPr>
              <w:autoSpaceDE w:val="0"/>
              <w:autoSpaceDN w:val="0"/>
              <w:adjustRightInd w:val="0"/>
              <w:ind w:left="0" w:leftChars="0" w:firstLine="0" w:firstLineChars="0"/>
              <w:jc w:val="center"/>
              <w:rPr>
                <w:rFonts w:hint="eastAsia" w:eastAsia="宋体"/>
                <w:color w:val="000000"/>
                <w:kern w:val="0"/>
                <w:sz w:val="21"/>
                <w:szCs w:val="21"/>
                <w:highlight w:val="none"/>
                <w:vertAlign w:val="baseline"/>
                <w:lang w:eastAsia="zh-CN"/>
              </w:rPr>
            </w:pPr>
            <w:r>
              <w:rPr>
                <w:rFonts w:hint="eastAsia"/>
                <w:color w:val="000000"/>
                <w:kern w:val="0"/>
                <w:sz w:val="21"/>
                <w:szCs w:val="21"/>
                <w:highlight w:val="none"/>
                <w:vertAlign w:val="baseline"/>
                <w:lang w:eastAsia="zh-CN"/>
              </w:rPr>
              <w:t>回用不外排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vAlign w:val="center"/>
          </w:tcPr>
          <w:p>
            <w:pPr>
              <w:autoSpaceDE w:val="0"/>
              <w:autoSpaceDN w:val="0"/>
              <w:adjustRightInd w:val="0"/>
              <w:ind w:left="0" w:leftChars="0" w:firstLine="0" w:firstLineChars="0"/>
              <w:jc w:val="center"/>
              <w:rPr>
                <w:rFonts w:hint="eastAsia" w:eastAsia="宋体"/>
                <w:color w:val="000000"/>
                <w:kern w:val="0"/>
                <w:sz w:val="21"/>
                <w:szCs w:val="21"/>
                <w:highlight w:val="none"/>
                <w:vertAlign w:val="baseline"/>
                <w:lang w:val="en-US" w:eastAsia="zh-CN"/>
              </w:rPr>
            </w:pPr>
            <w:r>
              <w:rPr>
                <w:rFonts w:hint="eastAsia"/>
                <w:color w:val="000000"/>
                <w:kern w:val="0"/>
                <w:sz w:val="21"/>
                <w:szCs w:val="21"/>
                <w:highlight w:val="none"/>
                <w:vertAlign w:val="baseline"/>
                <w:lang w:val="en-US" w:eastAsia="zh-CN"/>
              </w:rPr>
              <w:t>6</w:t>
            </w:r>
          </w:p>
        </w:tc>
        <w:tc>
          <w:tcPr>
            <w:tcW w:w="767" w:type="dxa"/>
            <w:vMerge w:val="continue"/>
            <w:vAlign w:val="center"/>
          </w:tcPr>
          <w:p>
            <w:pPr>
              <w:autoSpaceDE w:val="0"/>
              <w:autoSpaceDN w:val="0"/>
              <w:adjustRightInd w:val="0"/>
              <w:ind w:left="0" w:leftChars="0" w:firstLine="0" w:firstLineChars="0"/>
              <w:jc w:val="center"/>
              <w:rPr>
                <w:color w:val="000000"/>
                <w:kern w:val="0"/>
                <w:sz w:val="21"/>
                <w:szCs w:val="21"/>
                <w:highlight w:val="none"/>
                <w:vertAlign w:val="baseline"/>
              </w:rPr>
            </w:pPr>
          </w:p>
        </w:tc>
        <w:tc>
          <w:tcPr>
            <w:tcW w:w="1842" w:type="dxa"/>
            <w:vAlign w:val="center"/>
          </w:tcPr>
          <w:p>
            <w:pPr>
              <w:autoSpaceDE w:val="0"/>
              <w:autoSpaceDN w:val="0"/>
              <w:adjustRightInd w:val="0"/>
              <w:ind w:left="0" w:leftChars="0" w:firstLine="0" w:firstLineChars="0"/>
              <w:jc w:val="center"/>
              <w:rPr>
                <w:rFonts w:hint="eastAsia" w:eastAsia="宋体"/>
                <w:color w:val="000000"/>
                <w:kern w:val="0"/>
                <w:sz w:val="21"/>
                <w:szCs w:val="21"/>
                <w:highlight w:val="none"/>
                <w:vertAlign w:val="baseline"/>
                <w:lang w:eastAsia="zh-CN"/>
              </w:rPr>
            </w:pPr>
            <w:r>
              <w:rPr>
                <w:rFonts w:hint="eastAsia"/>
                <w:color w:val="000000"/>
                <w:kern w:val="0"/>
                <w:sz w:val="21"/>
                <w:szCs w:val="21"/>
                <w:highlight w:val="none"/>
                <w:vertAlign w:val="baseline"/>
                <w:lang w:eastAsia="zh-CN"/>
              </w:rPr>
              <w:t>生活污水</w:t>
            </w:r>
          </w:p>
        </w:tc>
        <w:tc>
          <w:tcPr>
            <w:tcW w:w="3958" w:type="dxa"/>
            <w:vAlign w:val="center"/>
          </w:tcPr>
          <w:p>
            <w:pPr>
              <w:autoSpaceDE w:val="0"/>
              <w:autoSpaceDN w:val="0"/>
              <w:adjustRightInd w:val="0"/>
              <w:ind w:left="0" w:leftChars="0" w:firstLine="0" w:firstLineChars="0"/>
              <w:jc w:val="center"/>
              <w:rPr>
                <w:rFonts w:hint="eastAsia" w:eastAsia="宋体"/>
                <w:color w:val="000000"/>
                <w:kern w:val="0"/>
                <w:sz w:val="21"/>
                <w:szCs w:val="21"/>
                <w:highlight w:val="none"/>
                <w:vertAlign w:val="baseline"/>
                <w:lang w:eastAsia="zh-CN"/>
              </w:rPr>
            </w:pPr>
            <w:r>
              <w:rPr>
                <w:rFonts w:hint="eastAsia"/>
                <w:color w:val="000000"/>
                <w:kern w:val="0"/>
                <w:sz w:val="21"/>
                <w:szCs w:val="21"/>
                <w:highlight w:val="none"/>
                <w:vertAlign w:val="baseline"/>
              </w:rPr>
              <w:t>生活污水沉淀池（5m</w:t>
            </w:r>
            <w:r>
              <w:rPr>
                <w:rFonts w:hint="eastAsia"/>
                <w:color w:val="000000"/>
                <w:kern w:val="0"/>
                <w:sz w:val="21"/>
                <w:szCs w:val="21"/>
                <w:highlight w:val="none"/>
                <w:vertAlign w:val="superscript"/>
              </w:rPr>
              <w:t>3</w:t>
            </w:r>
            <w:r>
              <w:rPr>
                <w:rFonts w:hint="eastAsia"/>
                <w:color w:val="000000"/>
                <w:kern w:val="0"/>
                <w:sz w:val="21"/>
                <w:szCs w:val="21"/>
                <w:highlight w:val="none"/>
                <w:vertAlign w:val="baseline"/>
              </w:rPr>
              <w:t>），沉淀池沉淀处理后回用于场区洒水降尘</w:t>
            </w:r>
            <w:r>
              <w:rPr>
                <w:rFonts w:hint="eastAsia"/>
                <w:color w:val="000000"/>
                <w:kern w:val="0"/>
                <w:sz w:val="21"/>
                <w:szCs w:val="21"/>
                <w:highlight w:val="none"/>
                <w:vertAlign w:val="baseline"/>
                <w:lang w:eastAsia="zh-CN"/>
              </w:rPr>
              <w:t>。</w:t>
            </w:r>
          </w:p>
        </w:tc>
        <w:tc>
          <w:tcPr>
            <w:tcW w:w="2065" w:type="dxa"/>
            <w:vAlign w:val="center"/>
          </w:tcPr>
          <w:p>
            <w:pPr>
              <w:autoSpaceDE w:val="0"/>
              <w:autoSpaceDN w:val="0"/>
              <w:adjustRightInd w:val="0"/>
              <w:ind w:left="0" w:leftChars="0" w:firstLine="0" w:firstLineChars="0"/>
              <w:jc w:val="center"/>
              <w:rPr>
                <w:rFonts w:hint="eastAsia" w:eastAsia="宋体"/>
                <w:color w:val="000000"/>
                <w:kern w:val="0"/>
                <w:sz w:val="21"/>
                <w:szCs w:val="21"/>
                <w:highlight w:val="none"/>
                <w:vertAlign w:val="baseline"/>
                <w:lang w:eastAsia="zh-CN"/>
              </w:rPr>
            </w:pPr>
            <w:r>
              <w:rPr>
                <w:rFonts w:hint="eastAsia"/>
                <w:color w:val="000000"/>
                <w:kern w:val="0"/>
                <w:sz w:val="21"/>
                <w:szCs w:val="21"/>
                <w:highlight w:val="none"/>
                <w:vertAlign w:val="baseline"/>
                <w:lang w:eastAsia="zh-CN"/>
              </w:rPr>
              <w:t>回用不外排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vAlign w:val="center"/>
          </w:tcPr>
          <w:p>
            <w:pPr>
              <w:autoSpaceDE w:val="0"/>
              <w:autoSpaceDN w:val="0"/>
              <w:adjustRightInd w:val="0"/>
              <w:ind w:left="0" w:leftChars="0" w:firstLine="0" w:firstLineChars="0"/>
              <w:jc w:val="center"/>
              <w:rPr>
                <w:rFonts w:hint="eastAsia" w:eastAsia="宋体"/>
                <w:color w:val="000000"/>
                <w:kern w:val="0"/>
                <w:sz w:val="21"/>
                <w:szCs w:val="21"/>
                <w:highlight w:val="none"/>
                <w:vertAlign w:val="baseline"/>
                <w:lang w:val="en-US" w:eastAsia="zh-CN"/>
              </w:rPr>
            </w:pPr>
            <w:r>
              <w:rPr>
                <w:rFonts w:hint="eastAsia"/>
                <w:color w:val="000000"/>
                <w:kern w:val="0"/>
                <w:sz w:val="21"/>
                <w:szCs w:val="21"/>
                <w:highlight w:val="none"/>
                <w:vertAlign w:val="baseline"/>
                <w:lang w:val="en-US" w:eastAsia="zh-CN"/>
              </w:rPr>
              <w:t>7</w:t>
            </w:r>
          </w:p>
        </w:tc>
        <w:tc>
          <w:tcPr>
            <w:tcW w:w="767" w:type="dxa"/>
            <w:vAlign w:val="center"/>
          </w:tcPr>
          <w:p>
            <w:pPr>
              <w:autoSpaceDE w:val="0"/>
              <w:autoSpaceDN w:val="0"/>
              <w:adjustRightInd w:val="0"/>
              <w:ind w:left="0" w:leftChars="0" w:firstLine="0" w:firstLineChars="0"/>
              <w:jc w:val="center"/>
              <w:rPr>
                <w:rFonts w:hint="eastAsia" w:eastAsia="宋体"/>
                <w:color w:val="000000"/>
                <w:kern w:val="0"/>
                <w:sz w:val="21"/>
                <w:szCs w:val="21"/>
                <w:highlight w:val="none"/>
                <w:vertAlign w:val="baseline"/>
                <w:lang w:eastAsia="zh-CN"/>
              </w:rPr>
            </w:pPr>
            <w:r>
              <w:rPr>
                <w:rFonts w:hint="eastAsia"/>
                <w:color w:val="000000"/>
                <w:kern w:val="0"/>
                <w:sz w:val="21"/>
                <w:szCs w:val="21"/>
                <w:highlight w:val="none"/>
                <w:vertAlign w:val="baseline"/>
                <w:lang w:eastAsia="zh-CN"/>
              </w:rPr>
              <w:t>噪声</w:t>
            </w:r>
          </w:p>
        </w:tc>
        <w:tc>
          <w:tcPr>
            <w:tcW w:w="1842" w:type="dxa"/>
            <w:vAlign w:val="center"/>
          </w:tcPr>
          <w:p>
            <w:pPr>
              <w:autoSpaceDE w:val="0"/>
              <w:autoSpaceDN w:val="0"/>
              <w:adjustRightInd w:val="0"/>
              <w:ind w:left="0" w:leftChars="0" w:firstLine="0" w:firstLineChars="0"/>
              <w:jc w:val="center"/>
              <w:rPr>
                <w:rFonts w:hint="eastAsia" w:eastAsia="宋体"/>
                <w:color w:val="000000"/>
                <w:kern w:val="0"/>
                <w:sz w:val="21"/>
                <w:szCs w:val="21"/>
                <w:highlight w:val="none"/>
                <w:vertAlign w:val="baseline"/>
                <w:lang w:eastAsia="zh-CN"/>
              </w:rPr>
            </w:pPr>
            <w:r>
              <w:rPr>
                <w:rFonts w:hint="eastAsia"/>
                <w:color w:val="000000"/>
                <w:kern w:val="0"/>
                <w:sz w:val="21"/>
                <w:szCs w:val="21"/>
                <w:highlight w:val="none"/>
                <w:vertAlign w:val="baseline"/>
                <w:lang w:eastAsia="zh-CN"/>
              </w:rPr>
              <w:t>机械设备噪声</w:t>
            </w:r>
          </w:p>
        </w:tc>
        <w:tc>
          <w:tcPr>
            <w:tcW w:w="3958" w:type="dxa"/>
            <w:vAlign w:val="center"/>
          </w:tcPr>
          <w:p>
            <w:pPr>
              <w:autoSpaceDE w:val="0"/>
              <w:autoSpaceDN w:val="0"/>
              <w:adjustRightInd w:val="0"/>
              <w:ind w:left="0" w:leftChars="0" w:firstLine="0" w:firstLineChars="0"/>
              <w:jc w:val="center"/>
              <w:rPr>
                <w:rFonts w:hint="eastAsia" w:eastAsia="宋体"/>
                <w:color w:val="000000"/>
                <w:kern w:val="0"/>
                <w:sz w:val="21"/>
                <w:szCs w:val="21"/>
                <w:highlight w:val="none"/>
                <w:vertAlign w:val="baseline"/>
                <w:lang w:eastAsia="zh-CN"/>
              </w:rPr>
            </w:pPr>
            <w:r>
              <w:rPr>
                <w:rFonts w:hint="eastAsia"/>
                <w:color w:val="000000"/>
                <w:kern w:val="0"/>
                <w:sz w:val="21"/>
                <w:szCs w:val="21"/>
                <w:highlight w:val="none"/>
                <w:vertAlign w:val="baseline"/>
              </w:rPr>
              <w:t>选用低噪声设备及设备保养，破碎加工区设备进行基础减振和厂房隔声</w:t>
            </w:r>
            <w:r>
              <w:rPr>
                <w:rFonts w:hint="eastAsia"/>
                <w:color w:val="000000"/>
                <w:kern w:val="0"/>
                <w:sz w:val="21"/>
                <w:szCs w:val="21"/>
                <w:highlight w:val="none"/>
                <w:vertAlign w:val="baseline"/>
                <w:lang w:eastAsia="zh-CN"/>
              </w:rPr>
              <w:t>。</w:t>
            </w:r>
          </w:p>
        </w:tc>
        <w:tc>
          <w:tcPr>
            <w:tcW w:w="2065" w:type="dxa"/>
            <w:vAlign w:val="center"/>
          </w:tcPr>
          <w:p>
            <w:pPr>
              <w:autoSpaceDE w:val="0"/>
              <w:autoSpaceDN w:val="0"/>
              <w:adjustRightInd w:val="0"/>
              <w:ind w:left="0" w:leftChars="0" w:firstLine="0" w:firstLineChars="0"/>
              <w:jc w:val="center"/>
              <w:rPr>
                <w:rFonts w:hint="eastAsia" w:eastAsia="宋体"/>
                <w:color w:val="000000"/>
                <w:kern w:val="0"/>
                <w:sz w:val="21"/>
                <w:szCs w:val="21"/>
                <w:highlight w:val="none"/>
                <w:vertAlign w:val="baseline"/>
                <w:lang w:eastAsia="zh-CN"/>
              </w:rPr>
            </w:pPr>
            <w:r>
              <w:rPr>
                <w:rFonts w:hint="eastAsia"/>
                <w:color w:val="000000"/>
                <w:kern w:val="0"/>
                <w:sz w:val="21"/>
                <w:szCs w:val="21"/>
                <w:highlight w:val="none"/>
                <w:vertAlign w:val="baseline"/>
                <w:lang w:eastAsia="zh-CN"/>
              </w:rPr>
              <w:t>厂界噪声达标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vAlign w:val="center"/>
          </w:tcPr>
          <w:p>
            <w:pPr>
              <w:autoSpaceDE w:val="0"/>
              <w:autoSpaceDN w:val="0"/>
              <w:adjustRightInd w:val="0"/>
              <w:ind w:left="0" w:leftChars="0" w:firstLine="0" w:firstLineChars="0"/>
              <w:jc w:val="center"/>
              <w:rPr>
                <w:rFonts w:hint="eastAsia" w:eastAsia="宋体"/>
                <w:color w:val="000000"/>
                <w:kern w:val="0"/>
                <w:sz w:val="21"/>
                <w:szCs w:val="21"/>
                <w:highlight w:val="none"/>
                <w:vertAlign w:val="baseline"/>
                <w:lang w:val="en-US" w:eastAsia="zh-CN"/>
              </w:rPr>
            </w:pPr>
            <w:r>
              <w:rPr>
                <w:rFonts w:hint="eastAsia"/>
                <w:color w:val="000000"/>
                <w:kern w:val="0"/>
                <w:sz w:val="21"/>
                <w:szCs w:val="21"/>
                <w:highlight w:val="none"/>
                <w:vertAlign w:val="baseline"/>
                <w:lang w:val="en-US" w:eastAsia="zh-CN"/>
              </w:rPr>
              <w:t>8</w:t>
            </w:r>
          </w:p>
        </w:tc>
        <w:tc>
          <w:tcPr>
            <w:tcW w:w="767" w:type="dxa"/>
            <w:vMerge w:val="restart"/>
            <w:vAlign w:val="center"/>
          </w:tcPr>
          <w:p>
            <w:pPr>
              <w:autoSpaceDE w:val="0"/>
              <w:autoSpaceDN w:val="0"/>
              <w:adjustRightInd w:val="0"/>
              <w:ind w:left="0" w:leftChars="0" w:firstLine="0" w:firstLineChars="0"/>
              <w:jc w:val="center"/>
              <w:rPr>
                <w:rFonts w:hint="eastAsia" w:eastAsia="宋体"/>
                <w:color w:val="000000"/>
                <w:kern w:val="0"/>
                <w:sz w:val="21"/>
                <w:szCs w:val="21"/>
                <w:highlight w:val="none"/>
                <w:vertAlign w:val="baseline"/>
                <w:lang w:eastAsia="zh-CN"/>
              </w:rPr>
            </w:pPr>
            <w:r>
              <w:rPr>
                <w:rFonts w:hint="eastAsia"/>
                <w:color w:val="000000"/>
                <w:kern w:val="0"/>
                <w:sz w:val="21"/>
                <w:szCs w:val="21"/>
                <w:highlight w:val="none"/>
                <w:vertAlign w:val="baseline"/>
                <w:lang w:eastAsia="zh-CN"/>
              </w:rPr>
              <w:t>固体废物</w:t>
            </w:r>
          </w:p>
        </w:tc>
        <w:tc>
          <w:tcPr>
            <w:tcW w:w="1842" w:type="dxa"/>
            <w:vAlign w:val="center"/>
          </w:tcPr>
          <w:p>
            <w:pPr>
              <w:autoSpaceDE w:val="0"/>
              <w:autoSpaceDN w:val="0"/>
              <w:adjustRightInd w:val="0"/>
              <w:ind w:left="0" w:leftChars="0" w:firstLine="0" w:firstLineChars="0"/>
              <w:jc w:val="center"/>
              <w:rPr>
                <w:rFonts w:hint="eastAsia" w:eastAsia="宋体"/>
                <w:color w:val="000000"/>
                <w:kern w:val="0"/>
                <w:sz w:val="21"/>
                <w:szCs w:val="21"/>
                <w:highlight w:val="none"/>
                <w:vertAlign w:val="baseline"/>
                <w:lang w:eastAsia="zh-CN"/>
              </w:rPr>
            </w:pPr>
            <w:r>
              <w:rPr>
                <w:rFonts w:hint="eastAsia"/>
                <w:color w:val="000000"/>
                <w:kern w:val="0"/>
                <w:sz w:val="21"/>
                <w:szCs w:val="21"/>
                <w:highlight w:val="none"/>
                <w:vertAlign w:val="baseline"/>
                <w:lang w:eastAsia="zh-CN"/>
              </w:rPr>
              <w:t>废土石</w:t>
            </w:r>
          </w:p>
        </w:tc>
        <w:tc>
          <w:tcPr>
            <w:tcW w:w="3958" w:type="dxa"/>
            <w:vAlign w:val="center"/>
          </w:tcPr>
          <w:p>
            <w:pPr>
              <w:autoSpaceDE w:val="0"/>
              <w:autoSpaceDN w:val="0"/>
              <w:adjustRightInd w:val="0"/>
              <w:ind w:left="0" w:leftChars="0" w:firstLine="0" w:firstLineChars="0"/>
              <w:jc w:val="center"/>
              <w:rPr>
                <w:rFonts w:hint="eastAsia" w:eastAsia="宋体"/>
                <w:color w:val="000000"/>
                <w:kern w:val="0"/>
                <w:sz w:val="21"/>
                <w:szCs w:val="21"/>
                <w:highlight w:val="none"/>
                <w:vertAlign w:val="baseline"/>
                <w:lang w:eastAsia="zh-CN"/>
              </w:rPr>
            </w:pPr>
            <w:r>
              <w:rPr>
                <w:rFonts w:hint="eastAsia"/>
                <w:color w:val="000000"/>
                <w:kern w:val="0"/>
                <w:sz w:val="21"/>
                <w:szCs w:val="21"/>
                <w:highlight w:val="none"/>
                <w:vertAlign w:val="baseline"/>
              </w:rPr>
              <w:t>项目施工期间产生的废土石全部用于场地平整和路基回填，运营期</w:t>
            </w:r>
            <w:r>
              <w:rPr>
                <w:rFonts w:hint="eastAsia"/>
                <w:color w:val="000000"/>
                <w:kern w:val="0"/>
                <w:sz w:val="21"/>
                <w:szCs w:val="21"/>
                <w:highlight w:val="none"/>
                <w:vertAlign w:val="baseline"/>
                <w:lang w:eastAsia="zh-CN"/>
              </w:rPr>
              <w:t>废土石运至排土场（</w:t>
            </w:r>
            <w:r>
              <w:rPr>
                <w:rFonts w:hint="eastAsia"/>
                <w:color w:val="000000"/>
                <w:kern w:val="0"/>
                <w:sz w:val="21"/>
                <w:szCs w:val="21"/>
                <w:highlight w:val="none"/>
                <w:vertAlign w:val="baseline"/>
                <w:lang w:val="en-US" w:eastAsia="zh-CN"/>
              </w:rPr>
              <w:t>1600m</w:t>
            </w:r>
            <w:r>
              <w:rPr>
                <w:rFonts w:hint="eastAsia"/>
                <w:color w:val="000000"/>
                <w:kern w:val="0"/>
                <w:sz w:val="21"/>
                <w:szCs w:val="21"/>
                <w:highlight w:val="none"/>
                <w:vertAlign w:val="superscript"/>
                <w:lang w:val="en-US" w:eastAsia="zh-CN"/>
              </w:rPr>
              <w:t>2</w:t>
            </w:r>
            <w:r>
              <w:rPr>
                <w:rFonts w:hint="eastAsia"/>
                <w:color w:val="000000"/>
                <w:kern w:val="0"/>
                <w:sz w:val="21"/>
                <w:szCs w:val="21"/>
                <w:highlight w:val="none"/>
                <w:vertAlign w:val="baseline"/>
                <w:lang w:eastAsia="zh-CN"/>
              </w:rPr>
              <w:t>）暂存，</w:t>
            </w:r>
            <w:r>
              <w:rPr>
                <w:rFonts w:hint="eastAsia"/>
                <w:color w:val="000000"/>
                <w:kern w:val="0"/>
                <w:sz w:val="21"/>
                <w:szCs w:val="21"/>
                <w:highlight w:val="none"/>
                <w:vertAlign w:val="baseline"/>
              </w:rPr>
              <w:t>用于采空区回填</w:t>
            </w:r>
            <w:r>
              <w:rPr>
                <w:rFonts w:hint="eastAsia"/>
                <w:color w:val="000000"/>
                <w:kern w:val="0"/>
                <w:sz w:val="21"/>
                <w:szCs w:val="21"/>
                <w:highlight w:val="none"/>
                <w:vertAlign w:val="baseline"/>
                <w:lang w:eastAsia="zh-CN"/>
              </w:rPr>
              <w:t>及闭矿期复垦回填。</w:t>
            </w:r>
          </w:p>
        </w:tc>
        <w:tc>
          <w:tcPr>
            <w:tcW w:w="2065" w:type="dxa"/>
            <w:vAlign w:val="center"/>
          </w:tcPr>
          <w:p>
            <w:pPr>
              <w:autoSpaceDE w:val="0"/>
              <w:autoSpaceDN w:val="0"/>
              <w:adjustRightInd w:val="0"/>
              <w:ind w:left="0" w:leftChars="0" w:firstLine="0" w:firstLineChars="0"/>
              <w:jc w:val="center"/>
              <w:rPr>
                <w:color w:val="000000"/>
                <w:kern w:val="0"/>
                <w:sz w:val="21"/>
                <w:szCs w:val="21"/>
                <w:highlight w:val="none"/>
                <w:vertAlign w:val="baseline"/>
              </w:rPr>
            </w:pPr>
            <w:r>
              <w:rPr>
                <w:rFonts w:ascii="Times New Roman" w:hAnsi="Times New Roman" w:eastAsia="宋体"/>
                <w:sz w:val="21"/>
                <w:highlight w:val="none"/>
              </w:rPr>
              <w:t>妥善处理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vAlign w:val="center"/>
          </w:tcPr>
          <w:p>
            <w:pPr>
              <w:autoSpaceDE w:val="0"/>
              <w:autoSpaceDN w:val="0"/>
              <w:adjustRightInd w:val="0"/>
              <w:ind w:left="0" w:leftChars="0" w:firstLine="0" w:firstLineChars="0"/>
              <w:jc w:val="center"/>
              <w:rPr>
                <w:rFonts w:hint="eastAsia" w:eastAsia="宋体"/>
                <w:color w:val="000000"/>
                <w:kern w:val="0"/>
                <w:sz w:val="21"/>
                <w:szCs w:val="21"/>
                <w:highlight w:val="none"/>
                <w:vertAlign w:val="baseline"/>
                <w:lang w:val="en-US" w:eastAsia="zh-CN"/>
              </w:rPr>
            </w:pPr>
            <w:r>
              <w:rPr>
                <w:rFonts w:hint="eastAsia"/>
                <w:color w:val="000000"/>
                <w:kern w:val="0"/>
                <w:sz w:val="21"/>
                <w:szCs w:val="21"/>
                <w:highlight w:val="none"/>
                <w:vertAlign w:val="baseline"/>
                <w:lang w:val="en-US" w:eastAsia="zh-CN"/>
              </w:rPr>
              <w:t>9</w:t>
            </w:r>
          </w:p>
        </w:tc>
        <w:tc>
          <w:tcPr>
            <w:tcW w:w="767" w:type="dxa"/>
            <w:vMerge w:val="continue"/>
            <w:vAlign w:val="center"/>
          </w:tcPr>
          <w:p>
            <w:pPr>
              <w:autoSpaceDE w:val="0"/>
              <w:autoSpaceDN w:val="0"/>
              <w:adjustRightInd w:val="0"/>
              <w:ind w:left="0" w:leftChars="0" w:firstLine="0" w:firstLineChars="0"/>
              <w:jc w:val="center"/>
              <w:rPr>
                <w:color w:val="000000"/>
                <w:kern w:val="0"/>
                <w:sz w:val="21"/>
                <w:szCs w:val="21"/>
                <w:highlight w:val="none"/>
                <w:vertAlign w:val="baseline"/>
              </w:rPr>
            </w:pPr>
          </w:p>
        </w:tc>
        <w:tc>
          <w:tcPr>
            <w:tcW w:w="1842" w:type="dxa"/>
            <w:vAlign w:val="center"/>
          </w:tcPr>
          <w:p>
            <w:pPr>
              <w:autoSpaceDE w:val="0"/>
              <w:autoSpaceDN w:val="0"/>
              <w:adjustRightInd w:val="0"/>
              <w:ind w:left="0" w:leftChars="0" w:firstLine="0" w:firstLineChars="0"/>
              <w:jc w:val="center"/>
              <w:rPr>
                <w:rFonts w:hint="eastAsia" w:eastAsia="宋体"/>
                <w:color w:val="000000"/>
                <w:kern w:val="0"/>
                <w:sz w:val="21"/>
                <w:szCs w:val="21"/>
                <w:highlight w:val="none"/>
                <w:vertAlign w:val="baseline"/>
                <w:lang w:eastAsia="zh-CN"/>
              </w:rPr>
            </w:pPr>
            <w:r>
              <w:rPr>
                <w:rFonts w:hint="eastAsia"/>
                <w:color w:val="000000"/>
                <w:kern w:val="0"/>
                <w:sz w:val="21"/>
                <w:szCs w:val="21"/>
                <w:highlight w:val="none"/>
                <w:vertAlign w:val="baseline"/>
                <w:lang w:eastAsia="zh-CN"/>
              </w:rPr>
              <w:t>初期雨水收集池沉砂</w:t>
            </w:r>
          </w:p>
        </w:tc>
        <w:tc>
          <w:tcPr>
            <w:tcW w:w="3958" w:type="dxa"/>
            <w:vAlign w:val="center"/>
          </w:tcPr>
          <w:p>
            <w:pPr>
              <w:autoSpaceDE w:val="0"/>
              <w:autoSpaceDN w:val="0"/>
              <w:adjustRightInd w:val="0"/>
              <w:ind w:left="0" w:leftChars="0" w:firstLine="0" w:firstLineChars="0"/>
              <w:jc w:val="center"/>
              <w:rPr>
                <w:rFonts w:hint="eastAsia" w:eastAsia="宋体"/>
                <w:color w:val="000000"/>
                <w:kern w:val="0"/>
                <w:sz w:val="21"/>
                <w:szCs w:val="21"/>
                <w:highlight w:val="none"/>
                <w:vertAlign w:val="baseline"/>
                <w:lang w:eastAsia="zh-CN"/>
              </w:rPr>
            </w:pPr>
            <w:r>
              <w:rPr>
                <w:rFonts w:hint="eastAsia"/>
                <w:color w:val="000000"/>
                <w:kern w:val="0"/>
                <w:sz w:val="21"/>
                <w:szCs w:val="21"/>
                <w:highlight w:val="none"/>
                <w:vertAlign w:val="baseline"/>
              </w:rPr>
              <w:t>定期清掏后堆放在</w:t>
            </w:r>
            <w:r>
              <w:rPr>
                <w:rFonts w:hint="eastAsia"/>
                <w:color w:val="000000"/>
                <w:kern w:val="0"/>
                <w:sz w:val="21"/>
                <w:szCs w:val="21"/>
                <w:highlight w:val="none"/>
                <w:vertAlign w:val="baseline"/>
                <w:lang w:eastAsia="zh-CN"/>
              </w:rPr>
              <w:t>排土场</w:t>
            </w:r>
          </w:p>
        </w:tc>
        <w:tc>
          <w:tcPr>
            <w:tcW w:w="2065" w:type="dxa"/>
            <w:vAlign w:val="center"/>
          </w:tcPr>
          <w:p>
            <w:pPr>
              <w:autoSpaceDE w:val="0"/>
              <w:autoSpaceDN w:val="0"/>
              <w:adjustRightInd w:val="0"/>
              <w:ind w:left="0" w:leftChars="0" w:firstLine="0" w:firstLineChars="0"/>
              <w:jc w:val="center"/>
              <w:rPr>
                <w:color w:val="000000"/>
                <w:kern w:val="0"/>
                <w:sz w:val="21"/>
                <w:szCs w:val="21"/>
                <w:highlight w:val="none"/>
                <w:vertAlign w:val="baseline"/>
              </w:rPr>
            </w:pPr>
            <w:r>
              <w:rPr>
                <w:rFonts w:hint="eastAsia"/>
                <w:color w:val="000000"/>
                <w:kern w:val="0"/>
                <w:sz w:val="21"/>
                <w:szCs w:val="21"/>
                <w:highlight w:val="none"/>
                <w:vertAlign w:val="baseline"/>
              </w:rPr>
              <w:t>妥善处理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vAlign w:val="center"/>
          </w:tcPr>
          <w:p>
            <w:pPr>
              <w:autoSpaceDE w:val="0"/>
              <w:autoSpaceDN w:val="0"/>
              <w:adjustRightInd w:val="0"/>
              <w:ind w:left="0" w:leftChars="0" w:firstLine="0" w:firstLineChars="0"/>
              <w:jc w:val="center"/>
              <w:rPr>
                <w:rFonts w:hint="default" w:eastAsia="宋体"/>
                <w:color w:val="000000"/>
                <w:kern w:val="0"/>
                <w:sz w:val="21"/>
                <w:szCs w:val="21"/>
                <w:highlight w:val="none"/>
                <w:vertAlign w:val="baseline"/>
                <w:lang w:val="en-US" w:eastAsia="zh-CN"/>
              </w:rPr>
            </w:pPr>
            <w:r>
              <w:rPr>
                <w:rFonts w:hint="eastAsia"/>
                <w:color w:val="000000"/>
                <w:kern w:val="0"/>
                <w:sz w:val="21"/>
                <w:szCs w:val="21"/>
                <w:highlight w:val="none"/>
                <w:vertAlign w:val="baseline"/>
                <w:lang w:val="en-US" w:eastAsia="zh-CN"/>
              </w:rPr>
              <w:t>10</w:t>
            </w:r>
          </w:p>
        </w:tc>
        <w:tc>
          <w:tcPr>
            <w:tcW w:w="767" w:type="dxa"/>
            <w:vMerge w:val="continue"/>
            <w:vAlign w:val="center"/>
          </w:tcPr>
          <w:p>
            <w:pPr>
              <w:autoSpaceDE w:val="0"/>
              <w:autoSpaceDN w:val="0"/>
              <w:adjustRightInd w:val="0"/>
              <w:ind w:left="0" w:leftChars="0" w:firstLine="0" w:firstLineChars="0"/>
              <w:jc w:val="center"/>
              <w:rPr>
                <w:color w:val="000000"/>
                <w:kern w:val="0"/>
                <w:sz w:val="21"/>
                <w:szCs w:val="21"/>
                <w:highlight w:val="none"/>
                <w:vertAlign w:val="baseline"/>
              </w:rPr>
            </w:pPr>
          </w:p>
        </w:tc>
        <w:tc>
          <w:tcPr>
            <w:tcW w:w="1842" w:type="dxa"/>
            <w:vAlign w:val="center"/>
          </w:tcPr>
          <w:p>
            <w:pPr>
              <w:autoSpaceDE w:val="0"/>
              <w:autoSpaceDN w:val="0"/>
              <w:adjustRightInd w:val="0"/>
              <w:ind w:left="0" w:leftChars="0" w:firstLine="0" w:firstLineChars="0"/>
              <w:jc w:val="center"/>
              <w:rPr>
                <w:rFonts w:hint="eastAsia" w:eastAsia="宋体"/>
                <w:color w:val="000000"/>
                <w:kern w:val="0"/>
                <w:sz w:val="21"/>
                <w:szCs w:val="21"/>
                <w:highlight w:val="none"/>
                <w:vertAlign w:val="baseline"/>
                <w:lang w:eastAsia="zh-CN"/>
              </w:rPr>
            </w:pPr>
            <w:r>
              <w:rPr>
                <w:rFonts w:hint="eastAsia"/>
                <w:color w:val="000000"/>
                <w:kern w:val="0"/>
                <w:sz w:val="21"/>
                <w:szCs w:val="21"/>
                <w:highlight w:val="none"/>
                <w:vertAlign w:val="baseline"/>
                <w:lang w:eastAsia="zh-CN"/>
              </w:rPr>
              <w:t>生活垃圾</w:t>
            </w:r>
          </w:p>
        </w:tc>
        <w:tc>
          <w:tcPr>
            <w:tcW w:w="3958" w:type="dxa"/>
            <w:vAlign w:val="center"/>
          </w:tcPr>
          <w:p>
            <w:pPr>
              <w:autoSpaceDE w:val="0"/>
              <w:autoSpaceDN w:val="0"/>
              <w:adjustRightInd w:val="0"/>
              <w:ind w:left="0" w:leftChars="0" w:firstLine="0" w:firstLineChars="0"/>
              <w:jc w:val="center"/>
              <w:rPr>
                <w:rFonts w:hint="eastAsia" w:eastAsia="宋体"/>
                <w:color w:val="000000"/>
                <w:kern w:val="0"/>
                <w:sz w:val="21"/>
                <w:szCs w:val="21"/>
                <w:highlight w:val="none"/>
                <w:vertAlign w:val="baseline"/>
                <w:lang w:eastAsia="zh-CN"/>
              </w:rPr>
            </w:pPr>
            <w:r>
              <w:rPr>
                <w:rFonts w:hint="eastAsia"/>
                <w:color w:val="000000"/>
                <w:kern w:val="0"/>
                <w:sz w:val="21"/>
                <w:szCs w:val="21"/>
                <w:highlight w:val="none"/>
                <w:vertAlign w:val="baseline"/>
              </w:rPr>
              <w:t>办公生活区设置垃圾收集桶，收集后送定期运至</w:t>
            </w:r>
            <w:r>
              <w:rPr>
                <w:rFonts w:hint="eastAsia"/>
                <w:color w:val="000000"/>
                <w:kern w:val="0"/>
                <w:sz w:val="21"/>
                <w:szCs w:val="21"/>
                <w:highlight w:val="none"/>
                <w:vertAlign w:val="baseline"/>
                <w:lang w:eastAsia="zh-CN"/>
              </w:rPr>
              <w:t>卡子村</w:t>
            </w:r>
            <w:r>
              <w:rPr>
                <w:rFonts w:hint="eastAsia"/>
                <w:color w:val="000000"/>
                <w:kern w:val="0"/>
                <w:sz w:val="21"/>
                <w:szCs w:val="21"/>
                <w:highlight w:val="none"/>
                <w:vertAlign w:val="baseline"/>
              </w:rPr>
              <w:t>垃圾集中堆放点，由当地环卫部门统一清运处置</w:t>
            </w:r>
            <w:r>
              <w:rPr>
                <w:rFonts w:hint="eastAsia"/>
                <w:color w:val="000000"/>
                <w:kern w:val="0"/>
                <w:sz w:val="21"/>
                <w:szCs w:val="21"/>
                <w:highlight w:val="none"/>
                <w:vertAlign w:val="baseline"/>
                <w:lang w:eastAsia="zh-CN"/>
              </w:rPr>
              <w:t>。</w:t>
            </w:r>
          </w:p>
        </w:tc>
        <w:tc>
          <w:tcPr>
            <w:tcW w:w="2065" w:type="dxa"/>
            <w:vAlign w:val="center"/>
          </w:tcPr>
          <w:p>
            <w:pPr>
              <w:autoSpaceDE w:val="0"/>
              <w:autoSpaceDN w:val="0"/>
              <w:adjustRightInd w:val="0"/>
              <w:ind w:left="0" w:leftChars="0" w:firstLine="0" w:firstLineChars="0"/>
              <w:jc w:val="center"/>
              <w:rPr>
                <w:color w:val="000000"/>
                <w:kern w:val="0"/>
                <w:sz w:val="21"/>
                <w:szCs w:val="21"/>
                <w:highlight w:val="none"/>
                <w:vertAlign w:val="baseline"/>
              </w:rPr>
            </w:pPr>
            <w:r>
              <w:rPr>
                <w:rFonts w:hint="eastAsia"/>
                <w:color w:val="000000"/>
                <w:kern w:val="0"/>
                <w:sz w:val="21"/>
                <w:szCs w:val="21"/>
                <w:highlight w:val="none"/>
                <w:vertAlign w:val="baseline"/>
              </w:rPr>
              <w:t>妥善处理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vAlign w:val="center"/>
          </w:tcPr>
          <w:p>
            <w:pPr>
              <w:autoSpaceDE w:val="0"/>
              <w:autoSpaceDN w:val="0"/>
              <w:adjustRightInd w:val="0"/>
              <w:ind w:left="0" w:leftChars="0" w:firstLine="0" w:firstLineChars="0"/>
              <w:jc w:val="center"/>
              <w:rPr>
                <w:rFonts w:hint="default" w:eastAsia="宋体"/>
                <w:color w:val="000000"/>
                <w:kern w:val="0"/>
                <w:sz w:val="21"/>
                <w:szCs w:val="21"/>
                <w:highlight w:val="none"/>
                <w:vertAlign w:val="baseline"/>
                <w:lang w:val="en-US" w:eastAsia="zh-CN"/>
              </w:rPr>
            </w:pPr>
            <w:r>
              <w:rPr>
                <w:rFonts w:hint="eastAsia"/>
                <w:color w:val="000000"/>
                <w:kern w:val="0"/>
                <w:sz w:val="21"/>
                <w:szCs w:val="21"/>
                <w:highlight w:val="none"/>
                <w:vertAlign w:val="baseline"/>
                <w:lang w:val="en-US" w:eastAsia="zh-CN"/>
              </w:rPr>
              <w:t>11</w:t>
            </w:r>
          </w:p>
        </w:tc>
        <w:tc>
          <w:tcPr>
            <w:tcW w:w="767" w:type="dxa"/>
            <w:vMerge w:val="continue"/>
            <w:vAlign w:val="center"/>
          </w:tcPr>
          <w:p>
            <w:pPr>
              <w:autoSpaceDE w:val="0"/>
              <w:autoSpaceDN w:val="0"/>
              <w:adjustRightInd w:val="0"/>
              <w:ind w:left="0" w:leftChars="0" w:firstLine="0" w:firstLineChars="0"/>
              <w:jc w:val="center"/>
              <w:rPr>
                <w:color w:val="000000"/>
                <w:kern w:val="0"/>
                <w:sz w:val="21"/>
                <w:szCs w:val="21"/>
                <w:highlight w:val="none"/>
                <w:vertAlign w:val="baseline"/>
              </w:rPr>
            </w:pPr>
          </w:p>
        </w:tc>
        <w:tc>
          <w:tcPr>
            <w:tcW w:w="1842" w:type="dxa"/>
            <w:vAlign w:val="center"/>
          </w:tcPr>
          <w:p>
            <w:pPr>
              <w:autoSpaceDE w:val="0"/>
              <w:autoSpaceDN w:val="0"/>
              <w:adjustRightInd w:val="0"/>
              <w:ind w:left="0" w:leftChars="0" w:firstLine="0" w:firstLineChars="0"/>
              <w:jc w:val="center"/>
              <w:rPr>
                <w:rFonts w:hint="eastAsia" w:eastAsia="宋体"/>
                <w:color w:val="000000"/>
                <w:kern w:val="0"/>
                <w:sz w:val="21"/>
                <w:szCs w:val="21"/>
                <w:highlight w:val="none"/>
                <w:vertAlign w:val="baseline"/>
                <w:lang w:eastAsia="zh-CN"/>
              </w:rPr>
            </w:pPr>
            <w:r>
              <w:rPr>
                <w:rFonts w:hint="eastAsia"/>
                <w:color w:val="000000"/>
                <w:kern w:val="0"/>
                <w:sz w:val="21"/>
                <w:szCs w:val="21"/>
                <w:highlight w:val="none"/>
                <w:vertAlign w:val="baseline"/>
                <w:lang w:eastAsia="zh-CN"/>
              </w:rPr>
              <w:t>废机油</w:t>
            </w:r>
          </w:p>
        </w:tc>
        <w:tc>
          <w:tcPr>
            <w:tcW w:w="3958" w:type="dxa"/>
            <w:vAlign w:val="center"/>
          </w:tcPr>
          <w:p>
            <w:pPr>
              <w:autoSpaceDE w:val="0"/>
              <w:autoSpaceDN w:val="0"/>
              <w:adjustRightInd w:val="0"/>
              <w:ind w:left="0" w:leftChars="0" w:firstLine="0" w:firstLineChars="0"/>
              <w:jc w:val="center"/>
              <w:rPr>
                <w:rFonts w:hint="eastAsia" w:eastAsia="宋体"/>
                <w:color w:val="000000"/>
                <w:kern w:val="0"/>
                <w:sz w:val="21"/>
                <w:szCs w:val="21"/>
                <w:highlight w:val="none"/>
                <w:vertAlign w:val="baseline"/>
                <w:lang w:eastAsia="zh-CN"/>
              </w:rPr>
            </w:pPr>
            <w:r>
              <w:rPr>
                <w:rFonts w:hint="eastAsia"/>
                <w:color w:val="000000"/>
                <w:kern w:val="0"/>
                <w:sz w:val="21"/>
                <w:szCs w:val="21"/>
                <w:highlight w:val="none"/>
                <w:vertAlign w:val="baseline"/>
              </w:rPr>
              <w:t>在办公生活区隔出一间占地为10m</w:t>
            </w:r>
            <w:r>
              <w:rPr>
                <w:rFonts w:hint="eastAsia"/>
                <w:color w:val="000000"/>
                <w:kern w:val="0"/>
                <w:sz w:val="21"/>
                <w:szCs w:val="21"/>
                <w:highlight w:val="none"/>
                <w:vertAlign w:val="superscript"/>
              </w:rPr>
              <w:t>2</w:t>
            </w:r>
            <w:r>
              <w:rPr>
                <w:rFonts w:hint="eastAsia"/>
                <w:color w:val="000000"/>
                <w:kern w:val="0"/>
                <w:sz w:val="21"/>
                <w:szCs w:val="21"/>
                <w:highlight w:val="none"/>
                <w:vertAlign w:val="baseline"/>
              </w:rPr>
              <w:t>的房间作为危废暂存间，废机油用耐腐蚀塑料桶收集后暂存于危废暂存间，委托有资质单位处置</w:t>
            </w:r>
            <w:r>
              <w:rPr>
                <w:rFonts w:hint="eastAsia"/>
                <w:color w:val="000000"/>
                <w:kern w:val="0"/>
                <w:sz w:val="21"/>
                <w:szCs w:val="21"/>
                <w:highlight w:val="none"/>
                <w:vertAlign w:val="baseline"/>
                <w:lang w:eastAsia="zh-CN"/>
              </w:rPr>
              <w:t>。</w:t>
            </w:r>
          </w:p>
        </w:tc>
        <w:tc>
          <w:tcPr>
            <w:tcW w:w="2065" w:type="dxa"/>
            <w:vAlign w:val="center"/>
          </w:tcPr>
          <w:p>
            <w:pPr>
              <w:autoSpaceDE w:val="0"/>
              <w:autoSpaceDN w:val="0"/>
              <w:adjustRightInd w:val="0"/>
              <w:ind w:left="0" w:leftChars="0" w:firstLine="0" w:firstLineChars="0"/>
              <w:jc w:val="center"/>
              <w:rPr>
                <w:rFonts w:hint="eastAsia" w:eastAsia="宋体"/>
                <w:color w:val="000000"/>
                <w:kern w:val="0"/>
                <w:sz w:val="21"/>
                <w:szCs w:val="21"/>
                <w:highlight w:val="none"/>
                <w:vertAlign w:val="baseline"/>
                <w:lang w:eastAsia="zh-CN"/>
              </w:rPr>
            </w:pPr>
            <w:r>
              <w:rPr>
                <w:rFonts w:hint="eastAsia"/>
                <w:color w:val="000000"/>
                <w:kern w:val="0"/>
                <w:sz w:val="21"/>
                <w:szCs w:val="21"/>
                <w:highlight w:val="none"/>
                <w:vertAlign w:val="baseline"/>
                <w:lang w:eastAsia="zh-CN"/>
              </w:rPr>
              <w:t>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vAlign w:val="center"/>
          </w:tcPr>
          <w:p>
            <w:pPr>
              <w:autoSpaceDE w:val="0"/>
              <w:autoSpaceDN w:val="0"/>
              <w:adjustRightInd w:val="0"/>
              <w:ind w:left="0" w:leftChars="0" w:firstLine="0" w:firstLineChars="0"/>
              <w:jc w:val="center"/>
              <w:rPr>
                <w:rFonts w:hint="default" w:eastAsia="宋体"/>
                <w:color w:val="000000"/>
                <w:kern w:val="0"/>
                <w:sz w:val="21"/>
                <w:szCs w:val="21"/>
                <w:highlight w:val="none"/>
                <w:vertAlign w:val="baseline"/>
                <w:lang w:val="en-US" w:eastAsia="zh-CN"/>
              </w:rPr>
            </w:pPr>
            <w:r>
              <w:rPr>
                <w:rFonts w:hint="eastAsia"/>
                <w:color w:val="000000"/>
                <w:kern w:val="0"/>
                <w:sz w:val="21"/>
                <w:szCs w:val="21"/>
                <w:highlight w:val="none"/>
                <w:vertAlign w:val="baseline"/>
                <w:lang w:val="en-US" w:eastAsia="zh-CN"/>
              </w:rPr>
              <w:t>12</w:t>
            </w:r>
          </w:p>
        </w:tc>
        <w:tc>
          <w:tcPr>
            <w:tcW w:w="767" w:type="dxa"/>
            <w:vAlign w:val="center"/>
          </w:tcPr>
          <w:p>
            <w:pPr>
              <w:autoSpaceDE w:val="0"/>
              <w:autoSpaceDN w:val="0"/>
              <w:adjustRightInd w:val="0"/>
              <w:ind w:left="0" w:leftChars="0" w:firstLine="0" w:firstLineChars="0"/>
              <w:jc w:val="center"/>
              <w:rPr>
                <w:rFonts w:hint="eastAsia" w:eastAsia="宋体"/>
                <w:color w:val="000000"/>
                <w:kern w:val="0"/>
                <w:sz w:val="21"/>
                <w:szCs w:val="21"/>
                <w:highlight w:val="none"/>
                <w:vertAlign w:val="baseline"/>
                <w:lang w:eastAsia="zh-CN"/>
              </w:rPr>
            </w:pPr>
            <w:r>
              <w:rPr>
                <w:rFonts w:hint="eastAsia"/>
                <w:color w:val="000000"/>
                <w:kern w:val="0"/>
                <w:sz w:val="21"/>
                <w:szCs w:val="21"/>
                <w:highlight w:val="none"/>
                <w:vertAlign w:val="baseline"/>
                <w:lang w:eastAsia="zh-CN"/>
              </w:rPr>
              <w:t>生态环境</w:t>
            </w:r>
          </w:p>
        </w:tc>
        <w:tc>
          <w:tcPr>
            <w:tcW w:w="1842" w:type="dxa"/>
            <w:vAlign w:val="center"/>
          </w:tcPr>
          <w:p>
            <w:pPr>
              <w:autoSpaceDE w:val="0"/>
              <w:autoSpaceDN w:val="0"/>
              <w:adjustRightInd w:val="0"/>
              <w:ind w:left="0" w:leftChars="0" w:firstLine="0" w:firstLineChars="0"/>
              <w:jc w:val="center"/>
              <w:rPr>
                <w:rFonts w:hint="eastAsia" w:eastAsia="宋体"/>
                <w:color w:val="000000"/>
                <w:kern w:val="0"/>
                <w:sz w:val="21"/>
                <w:szCs w:val="21"/>
                <w:highlight w:val="none"/>
                <w:vertAlign w:val="baseline"/>
                <w:lang w:eastAsia="zh-CN"/>
              </w:rPr>
            </w:pPr>
            <w:r>
              <w:rPr>
                <w:rFonts w:hint="eastAsia"/>
                <w:color w:val="000000"/>
                <w:kern w:val="0"/>
                <w:sz w:val="21"/>
                <w:szCs w:val="21"/>
                <w:highlight w:val="none"/>
                <w:vertAlign w:val="baseline"/>
                <w:lang w:eastAsia="zh-CN"/>
              </w:rPr>
              <w:t>绿化、生态恢复</w:t>
            </w:r>
          </w:p>
        </w:tc>
        <w:tc>
          <w:tcPr>
            <w:tcW w:w="3958" w:type="dxa"/>
            <w:vAlign w:val="center"/>
          </w:tcPr>
          <w:p>
            <w:pPr>
              <w:autoSpaceDE w:val="0"/>
              <w:autoSpaceDN w:val="0"/>
              <w:adjustRightInd w:val="0"/>
              <w:ind w:left="0" w:leftChars="0" w:firstLine="0" w:firstLineChars="0"/>
              <w:jc w:val="center"/>
              <w:rPr>
                <w:rFonts w:hint="eastAsia" w:eastAsia="宋体"/>
                <w:color w:val="000000"/>
                <w:kern w:val="0"/>
                <w:sz w:val="21"/>
                <w:szCs w:val="21"/>
                <w:highlight w:val="none"/>
                <w:vertAlign w:val="baseline"/>
                <w:lang w:eastAsia="zh-CN"/>
              </w:rPr>
            </w:pPr>
            <w:r>
              <w:rPr>
                <w:rFonts w:hint="eastAsia"/>
                <w:color w:val="000000"/>
                <w:kern w:val="0"/>
                <w:sz w:val="21"/>
                <w:szCs w:val="21"/>
                <w:highlight w:val="none"/>
                <w:vertAlign w:val="baseline"/>
              </w:rPr>
              <w:t>矿区周围绿化，生态恢复</w:t>
            </w:r>
            <w:r>
              <w:rPr>
                <w:rFonts w:hint="eastAsia"/>
                <w:color w:val="000000"/>
                <w:kern w:val="0"/>
                <w:sz w:val="21"/>
                <w:szCs w:val="21"/>
                <w:highlight w:val="none"/>
                <w:vertAlign w:val="baseline"/>
                <w:lang w:eastAsia="zh-CN"/>
              </w:rPr>
              <w:t>。</w:t>
            </w:r>
          </w:p>
        </w:tc>
        <w:tc>
          <w:tcPr>
            <w:tcW w:w="2065" w:type="dxa"/>
            <w:vAlign w:val="center"/>
          </w:tcPr>
          <w:p>
            <w:pPr>
              <w:autoSpaceDE w:val="0"/>
              <w:autoSpaceDN w:val="0"/>
              <w:adjustRightInd w:val="0"/>
              <w:ind w:left="0" w:leftChars="0" w:firstLine="0" w:firstLineChars="0"/>
              <w:jc w:val="center"/>
              <w:rPr>
                <w:color w:val="000000"/>
                <w:kern w:val="0"/>
                <w:sz w:val="21"/>
                <w:szCs w:val="21"/>
                <w:highlight w:val="none"/>
                <w:vertAlign w:val="baseline"/>
              </w:rPr>
            </w:pPr>
            <w:r>
              <w:rPr>
                <w:rFonts w:hint="eastAsia"/>
                <w:color w:val="000000"/>
                <w:kern w:val="0"/>
                <w:sz w:val="21"/>
                <w:szCs w:val="21"/>
                <w:highlight w:val="none"/>
                <w:vertAlign w:val="baseline"/>
              </w:rPr>
              <w:t>满足《矿山生态环境保护与污染防治技术政策》相关要求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vAlign w:val="center"/>
          </w:tcPr>
          <w:p>
            <w:pPr>
              <w:autoSpaceDE w:val="0"/>
              <w:autoSpaceDN w:val="0"/>
              <w:adjustRightInd w:val="0"/>
              <w:ind w:left="0" w:leftChars="0" w:firstLine="0" w:firstLineChars="0"/>
              <w:jc w:val="center"/>
              <w:rPr>
                <w:rFonts w:hint="default" w:eastAsia="宋体"/>
                <w:color w:val="000000"/>
                <w:kern w:val="0"/>
                <w:sz w:val="21"/>
                <w:szCs w:val="21"/>
                <w:highlight w:val="none"/>
                <w:vertAlign w:val="baseline"/>
                <w:lang w:val="en-US" w:eastAsia="zh-CN"/>
              </w:rPr>
            </w:pPr>
            <w:r>
              <w:rPr>
                <w:rFonts w:hint="eastAsia"/>
                <w:color w:val="000000"/>
                <w:kern w:val="0"/>
                <w:sz w:val="21"/>
                <w:szCs w:val="21"/>
                <w:highlight w:val="none"/>
                <w:vertAlign w:val="baseline"/>
                <w:lang w:val="en-US" w:eastAsia="zh-CN"/>
              </w:rPr>
              <w:t>13</w:t>
            </w:r>
          </w:p>
        </w:tc>
        <w:tc>
          <w:tcPr>
            <w:tcW w:w="767" w:type="dxa"/>
            <w:vMerge w:val="restart"/>
            <w:vAlign w:val="center"/>
          </w:tcPr>
          <w:p>
            <w:pPr>
              <w:autoSpaceDE w:val="0"/>
              <w:autoSpaceDN w:val="0"/>
              <w:adjustRightInd w:val="0"/>
              <w:ind w:left="0" w:leftChars="0" w:firstLine="0" w:firstLineChars="0"/>
              <w:jc w:val="center"/>
              <w:rPr>
                <w:rFonts w:hint="eastAsia" w:eastAsia="宋体"/>
                <w:color w:val="000000"/>
                <w:kern w:val="0"/>
                <w:sz w:val="21"/>
                <w:szCs w:val="21"/>
                <w:highlight w:val="none"/>
                <w:vertAlign w:val="baseline"/>
                <w:lang w:eastAsia="zh-CN"/>
              </w:rPr>
            </w:pPr>
            <w:r>
              <w:rPr>
                <w:rFonts w:hint="eastAsia"/>
                <w:color w:val="000000"/>
                <w:kern w:val="0"/>
                <w:sz w:val="21"/>
                <w:szCs w:val="21"/>
                <w:highlight w:val="none"/>
                <w:vertAlign w:val="baseline"/>
                <w:lang w:eastAsia="zh-CN"/>
              </w:rPr>
              <w:t>环境风险</w:t>
            </w:r>
          </w:p>
        </w:tc>
        <w:tc>
          <w:tcPr>
            <w:tcW w:w="1842" w:type="dxa"/>
            <w:vAlign w:val="center"/>
          </w:tcPr>
          <w:p>
            <w:pPr>
              <w:autoSpaceDE w:val="0"/>
              <w:autoSpaceDN w:val="0"/>
              <w:adjustRightInd w:val="0"/>
              <w:ind w:left="0" w:leftChars="0" w:firstLine="0" w:firstLineChars="0"/>
              <w:jc w:val="center"/>
              <w:rPr>
                <w:rFonts w:hint="eastAsia" w:eastAsia="宋体"/>
                <w:color w:val="000000"/>
                <w:kern w:val="0"/>
                <w:sz w:val="21"/>
                <w:szCs w:val="21"/>
                <w:highlight w:val="none"/>
                <w:vertAlign w:val="baseline"/>
                <w:lang w:eastAsia="zh-CN"/>
              </w:rPr>
            </w:pPr>
            <w:r>
              <w:rPr>
                <w:rFonts w:hint="eastAsia"/>
                <w:color w:val="000000"/>
                <w:kern w:val="0"/>
                <w:sz w:val="21"/>
                <w:szCs w:val="21"/>
                <w:highlight w:val="none"/>
                <w:vertAlign w:val="baseline"/>
                <w:lang w:eastAsia="zh-CN"/>
              </w:rPr>
              <w:t>柴油储罐</w:t>
            </w:r>
          </w:p>
        </w:tc>
        <w:tc>
          <w:tcPr>
            <w:tcW w:w="3958" w:type="dxa"/>
            <w:vAlign w:val="center"/>
          </w:tcPr>
          <w:p>
            <w:pPr>
              <w:autoSpaceDE w:val="0"/>
              <w:autoSpaceDN w:val="0"/>
              <w:adjustRightInd w:val="0"/>
              <w:ind w:left="0" w:leftChars="0" w:firstLine="0" w:firstLineChars="0"/>
              <w:jc w:val="center"/>
              <w:rPr>
                <w:color w:val="000000"/>
                <w:kern w:val="0"/>
                <w:sz w:val="21"/>
                <w:szCs w:val="21"/>
                <w:highlight w:val="none"/>
                <w:vertAlign w:val="baseline"/>
              </w:rPr>
            </w:pPr>
            <w:r>
              <w:rPr>
                <w:rFonts w:hint="eastAsia"/>
                <w:color w:val="000000"/>
                <w:kern w:val="0"/>
                <w:sz w:val="21"/>
                <w:szCs w:val="21"/>
                <w:highlight w:val="none"/>
                <w:vertAlign w:val="baseline"/>
              </w:rPr>
              <w:t>柴油罐周围设置围堰，围堰范围小于罩棚面积围堰内的地面均进行防渗处理，防渗效果达到等效黏土防渗层不小于1.5m，渗透系数不大于1.0×10</w:t>
            </w:r>
            <w:r>
              <w:rPr>
                <w:rFonts w:hint="eastAsia"/>
                <w:color w:val="000000"/>
                <w:kern w:val="0"/>
                <w:sz w:val="21"/>
                <w:szCs w:val="21"/>
                <w:highlight w:val="none"/>
                <w:vertAlign w:val="superscript"/>
              </w:rPr>
              <w:t>-10</w:t>
            </w:r>
            <w:r>
              <w:rPr>
                <w:rFonts w:hint="eastAsia"/>
                <w:color w:val="000000"/>
                <w:kern w:val="0"/>
                <w:sz w:val="21"/>
                <w:szCs w:val="21"/>
                <w:highlight w:val="none"/>
                <w:vertAlign w:val="baseline"/>
              </w:rPr>
              <w:t>cm/s</w:t>
            </w:r>
          </w:p>
        </w:tc>
        <w:tc>
          <w:tcPr>
            <w:tcW w:w="2065" w:type="dxa"/>
            <w:vMerge w:val="restart"/>
            <w:vAlign w:val="center"/>
          </w:tcPr>
          <w:p>
            <w:pPr>
              <w:autoSpaceDE w:val="0"/>
              <w:autoSpaceDN w:val="0"/>
              <w:adjustRightInd w:val="0"/>
              <w:ind w:left="0" w:leftChars="0" w:firstLine="0" w:firstLineChars="0"/>
              <w:jc w:val="center"/>
              <w:rPr>
                <w:color w:val="000000"/>
                <w:kern w:val="0"/>
                <w:sz w:val="21"/>
                <w:szCs w:val="21"/>
                <w:highlight w:val="none"/>
                <w:vertAlign w:val="baseline"/>
              </w:rPr>
            </w:pPr>
            <w:r>
              <w:rPr>
                <w:rFonts w:hint="eastAsia"/>
                <w:color w:val="000000"/>
                <w:kern w:val="0"/>
                <w:sz w:val="21"/>
                <w:szCs w:val="21"/>
                <w:highlight w:val="none"/>
                <w:vertAlign w:val="baseline"/>
              </w:rPr>
              <w:t>环境风险可接受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vAlign w:val="center"/>
          </w:tcPr>
          <w:p>
            <w:pPr>
              <w:autoSpaceDE w:val="0"/>
              <w:autoSpaceDN w:val="0"/>
              <w:adjustRightInd w:val="0"/>
              <w:ind w:left="0" w:leftChars="0" w:firstLine="0" w:firstLineChars="0"/>
              <w:jc w:val="center"/>
              <w:rPr>
                <w:rFonts w:hint="default" w:eastAsia="宋体"/>
                <w:color w:val="000000"/>
                <w:kern w:val="0"/>
                <w:sz w:val="21"/>
                <w:szCs w:val="21"/>
                <w:highlight w:val="none"/>
                <w:vertAlign w:val="baseline"/>
                <w:lang w:val="en-US" w:eastAsia="zh-CN"/>
              </w:rPr>
            </w:pPr>
            <w:r>
              <w:rPr>
                <w:rFonts w:hint="eastAsia"/>
                <w:color w:val="000000"/>
                <w:kern w:val="0"/>
                <w:sz w:val="21"/>
                <w:szCs w:val="21"/>
                <w:highlight w:val="none"/>
                <w:vertAlign w:val="baseline"/>
                <w:lang w:val="en-US" w:eastAsia="zh-CN"/>
              </w:rPr>
              <w:t>14</w:t>
            </w:r>
          </w:p>
        </w:tc>
        <w:tc>
          <w:tcPr>
            <w:tcW w:w="767" w:type="dxa"/>
            <w:vMerge w:val="continue"/>
            <w:vAlign w:val="center"/>
          </w:tcPr>
          <w:p>
            <w:pPr>
              <w:autoSpaceDE w:val="0"/>
              <w:autoSpaceDN w:val="0"/>
              <w:adjustRightInd w:val="0"/>
              <w:ind w:left="0" w:leftChars="0" w:firstLine="0" w:firstLineChars="0"/>
              <w:jc w:val="center"/>
              <w:rPr>
                <w:color w:val="000000"/>
                <w:kern w:val="0"/>
                <w:sz w:val="21"/>
                <w:szCs w:val="21"/>
                <w:highlight w:val="none"/>
                <w:vertAlign w:val="baseline"/>
              </w:rPr>
            </w:pPr>
          </w:p>
        </w:tc>
        <w:tc>
          <w:tcPr>
            <w:tcW w:w="1842" w:type="dxa"/>
            <w:vAlign w:val="center"/>
          </w:tcPr>
          <w:p>
            <w:pPr>
              <w:autoSpaceDE w:val="0"/>
              <w:autoSpaceDN w:val="0"/>
              <w:adjustRightInd w:val="0"/>
              <w:ind w:left="0" w:leftChars="0" w:firstLine="0" w:firstLineChars="0"/>
              <w:jc w:val="center"/>
              <w:rPr>
                <w:rFonts w:hint="eastAsia" w:eastAsia="宋体"/>
                <w:color w:val="000000"/>
                <w:kern w:val="0"/>
                <w:sz w:val="21"/>
                <w:szCs w:val="21"/>
                <w:highlight w:val="none"/>
                <w:vertAlign w:val="baseline"/>
                <w:lang w:eastAsia="zh-CN"/>
              </w:rPr>
            </w:pPr>
            <w:r>
              <w:rPr>
                <w:rFonts w:hint="eastAsia"/>
                <w:color w:val="000000"/>
                <w:kern w:val="0"/>
                <w:sz w:val="21"/>
                <w:szCs w:val="21"/>
                <w:highlight w:val="none"/>
                <w:vertAlign w:val="baseline"/>
                <w:lang w:eastAsia="zh-CN"/>
              </w:rPr>
              <w:t>环境风险应急措施</w:t>
            </w:r>
          </w:p>
        </w:tc>
        <w:tc>
          <w:tcPr>
            <w:tcW w:w="3958" w:type="dxa"/>
            <w:vAlign w:val="center"/>
          </w:tcPr>
          <w:p>
            <w:pPr>
              <w:autoSpaceDE w:val="0"/>
              <w:autoSpaceDN w:val="0"/>
              <w:adjustRightInd w:val="0"/>
              <w:ind w:left="0" w:leftChars="0" w:firstLine="0" w:firstLineChars="0"/>
              <w:jc w:val="center"/>
              <w:rPr>
                <w:rFonts w:hint="eastAsia" w:eastAsia="宋体"/>
                <w:color w:val="000000"/>
                <w:kern w:val="0"/>
                <w:sz w:val="21"/>
                <w:szCs w:val="21"/>
                <w:highlight w:val="none"/>
                <w:vertAlign w:val="baseline"/>
                <w:lang w:eastAsia="zh-CN"/>
              </w:rPr>
            </w:pPr>
            <w:r>
              <w:rPr>
                <w:rFonts w:hint="eastAsia"/>
                <w:color w:val="000000"/>
                <w:kern w:val="0"/>
                <w:sz w:val="21"/>
                <w:szCs w:val="21"/>
                <w:highlight w:val="none"/>
                <w:vertAlign w:val="baseline"/>
              </w:rPr>
              <w:t>报警、监测设施、抢险救援设施、应急培训及通讯等</w:t>
            </w:r>
            <w:r>
              <w:rPr>
                <w:rFonts w:hint="eastAsia"/>
                <w:color w:val="000000"/>
                <w:kern w:val="0"/>
                <w:sz w:val="21"/>
                <w:szCs w:val="21"/>
                <w:highlight w:val="none"/>
                <w:vertAlign w:val="baseline"/>
                <w:lang w:eastAsia="zh-CN"/>
              </w:rPr>
              <w:t>。</w:t>
            </w:r>
          </w:p>
        </w:tc>
        <w:tc>
          <w:tcPr>
            <w:tcW w:w="2065" w:type="dxa"/>
            <w:vMerge w:val="continue"/>
            <w:vAlign w:val="center"/>
          </w:tcPr>
          <w:p>
            <w:pPr>
              <w:autoSpaceDE w:val="0"/>
              <w:autoSpaceDN w:val="0"/>
              <w:adjustRightInd w:val="0"/>
              <w:ind w:left="0" w:leftChars="0" w:firstLine="0" w:firstLineChars="0"/>
              <w:jc w:val="center"/>
              <w:rPr>
                <w:color w:val="000000"/>
                <w:kern w:val="0"/>
                <w:sz w:val="21"/>
                <w:szCs w:val="21"/>
                <w:highlight w:val="none"/>
                <w:vertAlign w:val="baseline"/>
              </w:rPr>
            </w:pPr>
          </w:p>
        </w:tc>
      </w:tr>
    </w:tbl>
    <w:p>
      <w:pPr>
        <w:autoSpaceDE w:val="0"/>
        <w:autoSpaceDN w:val="0"/>
        <w:adjustRightInd w:val="0"/>
        <w:ind w:firstLine="480"/>
        <w:rPr>
          <w:color w:val="000000"/>
          <w:kern w:val="0"/>
          <w:highlight w:val="none"/>
        </w:rPr>
      </w:pPr>
    </w:p>
    <w:p>
      <w:pPr>
        <w:autoSpaceDE w:val="0"/>
        <w:autoSpaceDN w:val="0"/>
        <w:adjustRightInd w:val="0"/>
        <w:ind w:firstLine="480"/>
        <w:rPr>
          <w:color w:val="000000"/>
          <w:kern w:val="0"/>
          <w:highlight w:val="none"/>
        </w:rPr>
        <w:sectPr>
          <w:pgSz w:w="11911" w:h="16838"/>
          <w:pgMar w:top="1417" w:right="1417" w:bottom="1417" w:left="1417" w:header="879" w:footer="952" w:gutter="0"/>
          <w:pgBorders>
            <w:top w:val="none" w:sz="0" w:space="0"/>
            <w:left w:val="none" w:sz="0" w:space="0"/>
            <w:bottom w:val="none" w:sz="0" w:space="0"/>
            <w:right w:val="none" w:sz="0" w:space="0"/>
          </w:pgBorders>
          <w:pgNumType w:fmt="decimal"/>
          <w:cols w:space="720" w:num="1"/>
          <w:docGrid w:linePitch="312" w:charSpace="0"/>
        </w:sectPr>
      </w:pPr>
    </w:p>
    <w:p>
      <w:pPr>
        <w:pStyle w:val="4"/>
        <w:rPr>
          <w:rFonts w:hint="eastAsia"/>
          <w:highlight w:val="none"/>
          <w:lang w:eastAsia="zh-CN"/>
        </w:rPr>
      </w:pPr>
      <w:bookmarkStart w:id="574" w:name="_Toc32456"/>
      <w:bookmarkStart w:id="575" w:name="_Toc28445"/>
      <w:bookmarkStart w:id="576" w:name="_Toc29607"/>
      <w:r>
        <w:rPr>
          <w:rFonts w:hint="eastAsia"/>
          <w:highlight w:val="none"/>
          <w:lang w:eastAsia="zh-CN"/>
        </w:rPr>
        <w:t>10.</w:t>
      </w:r>
      <w:r>
        <w:rPr>
          <w:rFonts w:hint="eastAsia"/>
          <w:highlight w:val="none"/>
          <w:lang w:val="en-US" w:eastAsia="zh-CN"/>
        </w:rPr>
        <w:t>4</w:t>
      </w:r>
      <w:r>
        <w:rPr>
          <w:rFonts w:hint="eastAsia"/>
          <w:highlight w:val="none"/>
          <w:lang w:eastAsia="zh-CN"/>
        </w:rPr>
        <w:t>污染物排放清单</w:t>
      </w:r>
    </w:p>
    <w:p>
      <w:pPr>
        <w:autoSpaceDE w:val="0"/>
        <w:autoSpaceDN w:val="0"/>
        <w:adjustRightInd w:val="0"/>
        <w:ind w:firstLine="480"/>
        <w:rPr>
          <w:rFonts w:hint="eastAsia"/>
          <w:highlight w:val="none"/>
          <w:lang w:eastAsia="zh-CN"/>
        </w:rPr>
      </w:pPr>
      <w:r>
        <w:rPr>
          <w:rFonts w:hint="eastAsia"/>
          <w:highlight w:val="none"/>
          <w:lang w:eastAsia="zh-CN"/>
        </w:rPr>
        <w:t>项目污染物排放清单见下表。</w:t>
      </w:r>
    </w:p>
    <w:p>
      <w:pPr>
        <w:autoSpaceDE w:val="0"/>
        <w:autoSpaceDN w:val="0"/>
        <w:adjustRightInd w:val="0"/>
        <w:ind w:firstLine="480"/>
        <w:jc w:val="center"/>
        <w:rPr>
          <w:rFonts w:hint="default"/>
          <w:highlight w:val="none"/>
          <w:lang w:val="en-US" w:eastAsia="zh-CN"/>
        </w:rPr>
      </w:pPr>
      <w:r>
        <w:rPr>
          <w:rFonts w:hint="eastAsia"/>
          <w:highlight w:val="none"/>
          <w:lang w:eastAsia="zh-CN"/>
        </w:rPr>
        <w:t>表</w:t>
      </w:r>
      <w:r>
        <w:rPr>
          <w:rFonts w:hint="eastAsia"/>
          <w:highlight w:val="none"/>
          <w:lang w:val="en-US" w:eastAsia="zh-CN"/>
        </w:rPr>
        <w:t>10.4-1 项目污染物排放清单</w:t>
      </w:r>
    </w:p>
    <w:tbl>
      <w:tblPr>
        <w:tblStyle w:val="29"/>
        <w:tblW w:w="912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5"/>
        <w:gridCol w:w="367"/>
        <w:gridCol w:w="376"/>
        <w:gridCol w:w="745"/>
        <w:gridCol w:w="1052"/>
        <w:gridCol w:w="1465"/>
        <w:gridCol w:w="1340"/>
        <w:gridCol w:w="33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923" w:type="dxa"/>
            <w:gridSpan w:val="4"/>
            <w:vAlign w:val="center"/>
          </w:tcPr>
          <w:p>
            <w:pPr>
              <w:ind w:left="0" w:leftChars="0" w:firstLine="0" w:firstLineChars="0"/>
              <w:jc w:val="center"/>
              <w:rPr>
                <w:sz w:val="21"/>
                <w:szCs w:val="21"/>
                <w:highlight w:val="none"/>
              </w:rPr>
            </w:pPr>
            <w:r>
              <w:rPr>
                <w:sz w:val="21"/>
                <w:szCs w:val="21"/>
                <w:highlight w:val="none"/>
              </w:rPr>
              <w:t>时段</w:t>
            </w:r>
          </w:p>
        </w:tc>
        <w:tc>
          <w:tcPr>
            <w:tcW w:w="1052" w:type="dxa"/>
            <w:vAlign w:val="center"/>
          </w:tcPr>
          <w:p>
            <w:pPr>
              <w:ind w:left="0" w:leftChars="0" w:firstLine="0" w:firstLineChars="0"/>
              <w:jc w:val="center"/>
              <w:rPr>
                <w:sz w:val="21"/>
                <w:szCs w:val="21"/>
                <w:highlight w:val="none"/>
              </w:rPr>
            </w:pPr>
            <w:r>
              <w:rPr>
                <w:sz w:val="21"/>
                <w:szCs w:val="21"/>
                <w:highlight w:val="none"/>
              </w:rPr>
              <w:t>污染物</w:t>
            </w:r>
          </w:p>
        </w:tc>
        <w:tc>
          <w:tcPr>
            <w:tcW w:w="1465" w:type="dxa"/>
            <w:vAlign w:val="center"/>
          </w:tcPr>
          <w:p>
            <w:pPr>
              <w:ind w:left="0" w:leftChars="0" w:firstLine="0" w:firstLineChars="0"/>
              <w:jc w:val="center"/>
              <w:rPr>
                <w:sz w:val="21"/>
                <w:szCs w:val="21"/>
                <w:highlight w:val="none"/>
              </w:rPr>
            </w:pPr>
            <w:r>
              <w:rPr>
                <w:sz w:val="21"/>
                <w:szCs w:val="21"/>
                <w:highlight w:val="none"/>
              </w:rPr>
              <w:t>排放浓度mg/m</w:t>
            </w:r>
            <w:r>
              <w:rPr>
                <w:sz w:val="21"/>
                <w:szCs w:val="21"/>
                <w:highlight w:val="none"/>
                <w:vertAlign w:val="superscript"/>
              </w:rPr>
              <w:t>3</w:t>
            </w:r>
          </w:p>
        </w:tc>
        <w:tc>
          <w:tcPr>
            <w:tcW w:w="1340" w:type="dxa"/>
            <w:vAlign w:val="center"/>
          </w:tcPr>
          <w:p>
            <w:pPr>
              <w:ind w:left="0" w:leftChars="0" w:firstLine="0" w:firstLineChars="0"/>
              <w:jc w:val="center"/>
              <w:rPr>
                <w:sz w:val="21"/>
                <w:szCs w:val="21"/>
                <w:highlight w:val="none"/>
              </w:rPr>
            </w:pPr>
            <w:r>
              <w:rPr>
                <w:sz w:val="21"/>
                <w:szCs w:val="21"/>
                <w:highlight w:val="none"/>
              </w:rPr>
              <w:t>排放总量t/a</w:t>
            </w:r>
          </w:p>
        </w:tc>
        <w:tc>
          <w:tcPr>
            <w:tcW w:w="3349" w:type="dxa"/>
            <w:vAlign w:val="center"/>
          </w:tcPr>
          <w:p>
            <w:pPr>
              <w:ind w:left="0" w:leftChars="0" w:firstLine="0" w:firstLineChars="0"/>
              <w:jc w:val="center"/>
              <w:rPr>
                <w:sz w:val="21"/>
                <w:szCs w:val="21"/>
                <w:highlight w:val="none"/>
              </w:rPr>
            </w:pPr>
            <w:r>
              <w:rPr>
                <w:sz w:val="21"/>
                <w:szCs w:val="21"/>
                <w:highlight w:val="none"/>
              </w:rPr>
              <w:t>执行标准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35" w:type="dxa"/>
            <w:vMerge w:val="restart"/>
            <w:vAlign w:val="center"/>
          </w:tcPr>
          <w:p>
            <w:pPr>
              <w:ind w:left="0" w:leftChars="0" w:firstLine="0" w:firstLineChars="0"/>
              <w:jc w:val="center"/>
              <w:rPr>
                <w:sz w:val="21"/>
                <w:szCs w:val="21"/>
                <w:highlight w:val="none"/>
              </w:rPr>
            </w:pPr>
            <w:r>
              <w:rPr>
                <w:sz w:val="21"/>
                <w:szCs w:val="21"/>
                <w:highlight w:val="none"/>
              </w:rPr>
              <w:t>废气</w:t>
            </w:r>
          </w:p>
        </w:tc>
        <w:tc>
          <w:tcPr>
            <w:tcW w:w="1488" w:type="dxa"/>
            <w:gridSpan w:val="3"/>
            <w:vAlign w:val="center"/>
          </w:tcPr>
          <w:p>
            <w:pPr>
              <w:ind w:left="0" w:leftChars="0" w:firstLine="0" w:firstLineChars="0"/>
              <w:jc w:val="center"/>
              <w:rPr>
                <w:sz w:val="21"/>
                <w:szCs w:val="21"/>
                <w:highlight w:val="none"/>
              </w:rPr>
            </w:pPr>
            <w:r>
              <w:rPr>
                <w:sz w:val="21"/>
                <w:szCs w:val="21"/>
                <w:highlight w:val="none"/>
              </w:rPr>
              <w:t>凿岩钻孔粉尘</w:t>
            </w:r>
          </w:p>
        </w:tc>
        <w:tc>
          <w:tcPr>
            <w:tcW w:w="1052" w:type="dxa"/>
            <w:vAlign w:val="center"/>
          </w:tcPr>
          <w:p>
            <w:pPr>
              <w:ind w:left="0" w:leftChars="0" w:firstLine="0" w:firstLineChars="0"/>
              <w:jc w:val="center"/>
              <w:rPr>
                <w:sz w:val="21"/>
                <w:szCs w:val="21"/>
                <w:highlight w:val="none"/>
              </w:rPr>
            </w:pPr>
            <w:r>
              <w:rPr>
                <w:sz w:val="21"/>
                <w:szCs w:val="21"/>
                <w:highlight w:val="none"/>
              </w:rPr>
              <w:t>粉尘</w:t>
            </w:r>
          </w:p>
        </w:tc>
        <w:tc>
          <w:tcPr>
            <w:tcW w:w="1465" w:type="dxa"/>
            <w:vAlign w:val="center"/>
          </w:tcPr>
          <w:p>
            <w:pPr>
              <w:ind w:left="0" w:leftChars="0" w:firstLine="0" w:firstLineChars="0"/>
              <w:jc w:val="center"/>
              <w:rPr>
                <w:sz w:val="21"/>
                <w:szCs w:val="21"/>
                <w:highlight w:val="none"/>
              </w:rPr>
            </w:pPr>
            <w:r>
              <w:rPr>
                <w:sz w:val="21"/>
                <w:szCs w:val="21"/>
                <w:highlight w:val="none"/>
              </w:rPr>
              <w:t>/</w:t>
            </w:r>
          </w:p>
        </w:tc>
        <w:tc>
          <w:tcPr>
            <w:tcW w:w="1340" w:type="dxa"/>
            <w:vAlign w:val="center"/>
          </w:tcPr>
          <w:p>
            <w:pPr>
              <w:ind w:left="0" w:leftChars="0"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0.24</w:t>
            </w:r>
          </w:p>
        </w:tc>
        <w:tc>
          <w:tcPr>
            <w:tcW w:w="3349" w:type="dxa"/>
            <w:vMerge w:val="restart"/>
            <w:vAlign w:val="center"/>
          </w:tcPr>
          <w:p>
            <w:pPr>
              <w:ind w:left="0" w:leftChars="0" w:firstLine="0" w:firstLineChars="0"/>
              <w:jc w:val="center"/>
              <w:rPr>
                <w:sz w:val="21"/>
                <w:szCs w:val="21"/>
                <w:highlight w:val="none"/>
              </w:rPr>
            </w:pPr>
            <w:r>
              <w:rPr>
                <w:sz w:val="21"/>
                <w:szCs w:val="21"/>
                <w:highlight w:val="none"/>
              </w:rPr>
              <w:t>满足《大气污染物综合排放标准》（GB16297-1996）二级标准排放限值要求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35" w:type="dxa"/>
            <w:vMerge w:val="continue"/>
            <w:tcBorders>
              <w:top w:val="nil"/>
            </w:tcBorders>
            <w:vAlign w:val="center"/>
          </w:tcPr>
          <w:p>
            <w:pPr>
              <w:jc w:val="center"/>
              <w:rPr>
                <w:sz w:val="21"/>
                <w:szCs w:val="21"/>
                <w:highlight w:val="none"/>
              </w:rPr>
            </w:pPr>
          </w:p>
        </w:tc>
        <w:tc>
          <w:tcPr>
            <w:tcW w:w="1488" w:type="dxa"/>
            <w:gridSpan w:val="3"/>
            <w:vAlign w:val="center"/>
          </w:tcPr>
          <w:p>
            <w:pPr>
              <w:ind w:left="0" w:leftChars="0" w:firstLine="0" w:firstLineChars="0"/>
              <w:jc w:val="center"/>
              <w:rPr>
                <w:sz w:val="21"/>
                <w:szCs w:val="21"/>
                <w:highlight w:val="none"/>
              </w:rPr>
            </w:pPr>
            <w:r>
              <w:rPr>
                <w:sz w:val="21"/>
                <w:szCs w:val="21"/>
                <w:highlight w:val="none"/>
              </w:rPr>
              <w:t>爆破废气</w:t>
            </w:r>
          </w:p>
        </w:tc>
        <w:tc>
          <w:tcPr>
            <w:tcW w:w="1052" w:type="dxa"/>
            <w:vAlign w:val="center"/>
          </w:tcPr>
          <w:p>
            <w:pPr>
              <w:ind w:left="0" w:leftChars="0" w:firstLine="0" w:firstLineChars="0"/>
              <w:jc w:val="center"/>
              <w:rPr>
                <w:sz w:val="21"/>
                <w:szCs w:val="21"/>
                <w:highlight w:val="none"/>
              </w:rPr>
            </w:pPr>
            <w:r>
              <w:rPr>
                <w:sz w:val="21"/>
                <w:szCs w:val="21"/>
                <w:highlight w:val="none"/>
              </w:rPr>
              <w:t>粉尘</w:t>
            </w:r>
          </w:p>
        </w:tc>
        <w:tc>
          <w:tcPr>
            <w:tcW w:w="1465" w:type="dxa"/>
            <w:vAlign w:val="center"/>
          </w:tcPr>
          <w:p>
            <w:pPr>
              <w:ind w:left="0" w:leftChars="0" w:firstLine="0" w:firstLineChars="0"/>
              <w:jc w:val="center"/>
              <w:rPr>
                <w:sz w:val="21"/>
                <w:szCs w:val="21"/>
                <w:highlight w:val="none"/>
              </w:rPr>
            </w:pPr>
            <w:r>
              <w:rPr>
                <w:sz w:val="21"/>
                <w:szCs w:val="21"/>
                <w:highlight w:val="none"/>
              </w:rPr>
              <w:t>/</w:t>
            </w:r>
          </w:p>
        </w:tc>
        <w:tc>
          <w:tcPr>
            <w:tcW w:w="1340" w:type="dxa"/>
            <w:vAlign w:val="center"/>
          </w:tcPr>
          <w:p>
            <w:pPr>
              <w:ind w:left="0" w:leftChars="0"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0.07</w:t>
            </w:r>
          </w:p>
        </w:tc>
        <w:tc>
          <w:tcPr>
            <w:tcW w:w="3349" w:type="dxa"/>
            <w:vMerge w:val="continue"/>
            <w:tcBorders>
              <w:top w:val="nil"/>
            </w:tcBorders>
            <w:vAlign w:val="center"/>
          </w:tcPr>
          <w:p>
            <w:pPr>
              <w:jc w:val="center"/>
              <w:rPr>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35" w:type="dxa"/>
            <w:vMerge w:val="continue"/>
            <w:tcBorders>
              <w:top w:val="nil"/>
            </w:tcBorders>
            <w:vAlign w:val="center"/>
          </w:tcPr>
          <w:p>
            <w:pPr>
              <w:jc w:val="center"/>
              <w:rPr>
                <w:sz w:val="21"/>
                <w:szCs w:val="21"/>
                <w:highlight w:val="none"/>
              </w:rPr>
            </w:pPr>
          </w:p>
        </w:tc>
        <w:tc>
          <w:tcPr>
            <w:tcW w:w="1488" w:type="dxa"/>
            <w:gridSpan w:val="3"/>
            <w:vAlign w:val="center"/>
          </w:tcPr>
          <w:p>
            <w:pPr>
              <w:ind w:left="0" w:leftChars="0" w:firstLine="0" w:firstLineChars="0"/>
              <w:jc w:val="center"/>
              <w:rPr>
                <w:sz w:val="21"/>
                <w:szCs w:val="21"/>
                <w:highlight w:val="none"/>
              </w:rPr>
            </w:pPr>
            <w:r>
              <w:rPr>
                <w:sz w:val="21"/>
                <w:szCs w:val="21"/>
                <w:highlight w:val="none"/>
              </w:rPr>
              <w:t>二次解石粉尘</w:t>
            </w:r>
          </w:p>
        </w:tc>
        <w:tc>
          <w:tcPr>
            <w:tcW w:w="1052" w:type="dxa"/>
            <w:vAlign w:val="center"/>
          </w:tcPr>
          <w:p>
            <w:pPr>
              <w:ind w:left="0" w:leftChars="0" w:firstLine="0" w:firstLineChars="0"/>
              <w:jc w:val="center"/>
              <w:rPr>
                <w:sz w:val="21"/>
                <w:szCs w:val="21"/>
                <w:highlight w:val="none"/>
              </w:rPr>
            </w:pPr>
            <w:r>
              <w:rPr>
                <w:sz w:val="21"/>
                <w:szCs w:val="21"/>
                <w:highlight w:val="none"/>
              </w:rPr>
              <w:t>粉尘</w:t>
            </w:r>
          </w:p>
        </w:tc>
        <w:tc>
          <w:tcPr>
            <w:tcW w:w="1465" w:type="dxa"/>
            <w:vAlign w:val="center"/>
          </w:tcPr>
          <w:p>
            <w:pPr>
              <w:ind w:left="0" w:leftChars="0" w:firstLine="0" w:firstLineChars="0"/>
              <w:jc w:val="center"/>
              <w:rPr>
                <w:sz w:val="21"/>
                <w:szCs w:val="21"/>
                <w:highlight w:val="none"/>
              </w:rPr>
            </w:pPr>
            <w:r>
              <w:rPr>
                <w:sz w:val="21"/>
                <w:szCs w:val="21"/>
                <w:highlight w:val="none"/>
              </w:rPr>
              <w:t>/</w:t>
            </w:r>
          </w:p>
        </w:tc>
        <w:tc>
          <w:tcPr>
            <w:tcW w:w="1340" w:type="dxa"/>
            <w:vAlign w:val="center"/>
          </w:tcPr>
          <w:p>
            <w:pPr>
              <w:ind w:left="0" w:leftChars="0"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0.048</w:t>
            </w:r>
          </w:p>
        </w:tc>
        <w:tc>
          <w:tcPr>
            <w:tcW w:w="3349" w:type="dxa"/>
            <w:vMerge w:val="continue"/>
            <w:tcBorders>
              <w:top w:val="nil"/>
            </w:tcBorders>
            <w:vAlign w:val="center"/>
          </w:tcPr>
          <w:p>
            <w:pPr>
              <w:jc w:val="center"/>
              <w:rPr>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35" w:type="dxa"/>
            <w:vMerge w:val="continue"/>
            <w:tcBorders>
              <w:top w:val="nil"/>
            </w:tcBorders>
            <w:vAlign w:val="center"/>
          </w:tcPr>
          <w:p>
            <w:pPr>
              <w:jc w:val="center"/>
              <w:rPr>
                <w:sz w:val="21"/>
                <w:szCs w:val="21"/>
                <w:highlight w:val="none"/>
              </w:rPr>
            </w:pPr>
          </w:p>
        </w:tc>
        <w:tc>
          <w:tcPr>
            <w:tcW w:w="1488" w:type="dxa"/>
            <w:gridSpan w:val="3"/>
            <w:vAlign w:val="center"/>
          </w:tcPr>
          <w:p>
            <w:pPr>
              <w:ind w:left="0" w:leftChars="0" w:firstLine="0" w:firstLineChars="0"/>
              <w:jc w:val="center"/>
              <w:rPr>
                <w:sz w:val="21"/>
                <w:szCs w:val="21"/>
                <w:highlight w:val="none"/>
              </w:rPr>
            </w:pPr>
            <w:r>
              <w:rPr>
                <w:sz w:val="21"/>
                <w:szCs w:val="21"/>
                <w:highlight w:val="none"/>
              </w:rPr>
              <w:t>矿石铲装粉尘</w:t>
            </w:r>
          </w:p>
        </w:tc>
        <w:tc>
          <w:tcPr>
            <w:tcW w:w="1052" w:type="dxa"/>
            <w:vAlign w:val="center"/>
          </w:tcPr>
          <w:p>
            <w:pPr>
              <w:ind w:left="0" w:leftChars="0" w:firstLine="0" w:firstLineChars="0"/>
              <w:jc w:val="center"/>
              <w:rPr>
                <w:sz w:val="21"/>
                <w:szCs w:val="21"/>
                <w:highlight w:val="none"/>
              </w:rPr>
            </w:pPr>
            <w:r>
              <w:rPr>
                <w:sz w:val="21"/>
                <w:szCs w:val="21"/>
                <w:highlight w:val="none"/>
              </w:rPr>
              <w:t>粉尘</w:t>
            </w:r>
          </w:p>
        </w:tc>
        <w:tc>
          <w:tcPr>
            <w:tcW w:w="1465" w:type="dxa"/>
            <w:vAlign w:val="center"/>
          </w:tcPr>
          <w:p>
            <w:pPr>
              <w:ind w:left="0" w:leftChars="0" w:firstLine="0" w:firstLineChars="0"/>
              <w:jc w:val="center"/>
              <w:rPr>
                <w:sz w:val="21"/>
                <w:szCs w:val="21"/>
                <w:highlight w:val="none"/>
              </w:rPr>
            </w:pPr>
            <w:r>
              <w:rPr>
                <w:sz w:val="21"/>
                <w:szCs w:val="21"/>
                <w:highlight w:val="none"/>
              </w:rPr>
              <w:t>/</w:t>
            </w:r>
          </w:p>
        </w:tc>
        <w:tc>
          <w:tcPr>
            <w:tcW w:w="1340" w:type="dxa"/>
            <w:vAlign w:val="center"/>
          </w:tcPr>
          <w:p>
            <w:pPr>
              <w:ind w:left="0" w:leftChars="0"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0.15</w:t>
            </w:r>
          </w:p>
        </w:tc>
        <w:tc>
          <w:tcPr>
            <w:tcW w:w="3349" w:type="dxa"/>
            <w:vMerge w:val="continue"/>
            <w:tcBorders>
              <w:top w:val="nil"/>
            </w:tcBorders>
            <w:vAlign w:val="center"/>
          </w:tcPr>
          <w:p>
            <w:pPr>
              <w:jc w:val="center"/>
              <w:rPr>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35" w:type="dxa"/>
            <w:vMerge w:val="continue"/>
            <w:tcBorders>
              <w:top w:val="nil"/>
            </w:tcBorders>
            <w:vAlign w:val="center"/>
          </w:tcPr>
          <w:p>
            <w:pPr>
              <w:jc w:val="center"/>
              <w:rPr>
                <w:sz w:val="21"/>
                <w:szCs w:val="21"/>
                <w:highlight w:val="none"/>
              </w:rPr>
            </w:pPr>
          </w:p>
        </w:tc>
        <w:tc>
          <w:tcPr>
            <w:tcW w:w="743" w:type="dxa"/>
            <w:gridSpan w:val="2"/>
            <w:vMerge w:val="restart"/>
            <w:vAlign w:val="center"/>
          </w:tcPr>
          <w:p>
            <w:pPr>
              <w:ind w:left="0" w:leftChars="0" w:firstLine="0" w:firstLineChars="0"/>
              <w:jc w:val="center"/>
              <w:rPr>
                <w:rFonts w:hint="eastAsia" w:eastAsia="宋体"/>
                <w:sz w:val="21"/>
                <w:szCs w:val="21"/>
                <w:highlight w:val="none"/>
                <w:lang w:eastAsia="zh-CN"/>
              </w:rPr>
            </w:pPr>
            <w:r>
              <w:rPr>
                <w:rFonts w:hint="eastAsia" w:ascii="Times New Roman" w:hAnsi="Times New Roman"/>
                <w:color w:val="auto"/>
                <w:sz w:val="21"/>
                <w:szCs w:val="21"/>
                <w:highlight w:val="none"/>
                <w:lang w:eastAsia="zh-CN"/>
              </w:rPr>
              <w:t>粗碎及筛分</w:t>
            </w:r>
          </w:p>
        </w:tc>
        <w:tc>
          <w:tcPr>
            <w:tcW w:w="745" w:type="dxa"/>
            <w:vAlign w:val="center"/>
          </w:tcPr>
          <w:p>
            <w:pPr>
              <w:ind w:left="0" w:leftChars="0" w:firstLine="0" w:firstLineChars="0"/>
              <w:jc w:val="center"/>
              <w:rPr>
                <w:sz w:val="21"/>
                <w:szCs w:val="21"/>
                <w:highlight w:val="none"/>
              </w:rPr>
            </w:pPr>
            <w:r>
              <w:rPr>
                <w:sz w:val="21"/>
                <w:szCs w:val="21"/>
                <w:highlight w:val="none"/>
              </w:rPr>
              <w:t>有组织</w:t>
            </w:r>
          </w:p>
        </w:tc>
        <w:tc>
          <w:tcPr>
            <w:tcW w:w="1052" w:type="dxa"/>
            <w:vAlign w:val="center"/>
          </w:tcPr>
          <w:p>
            <w:pPr>
              <w:ind w:left="0" w:leftChars="0" w:firstLine="0" w:firstLineChars="0"/>
              <w:jc w:val="center"/>
              <w:rPr>
                <w:sz w:val="21"/>
                <w:szCs w:val="21"/>
                <w:highlight w:val="none"/>
              </w:rPr>
            </w:pPr>
            <w:r>
              <w:rPr>
                <w:sz w:val="21"/>
                <w:szCs w:val="21"/>
                <w:highlight w:val="none"/>
              </w:rPr>
              <w:t>粉尘</w:t>
            </w:r>
          </w:p>
        </w:tc>
        <w:tc>
          <w:tcPr>
            <w:tcW w:w="1465" w:type="dxa"/>
            <w:vAlign w:val="center"/>
          </w:tcPr>
          <w:p>
            <w:pPr>
              <w:ind w:left="0" w:leftChars="0"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0.125</w:t>
            </w:r>
          </w:p>
        </w:tc>
        <w:tc>
          <w:tcPr>
            <w:tcW w:w="1340" w:type="dxa"/>
            <w:vAlign w:val="center"/>
          </w:tcPr>
          <w:p>
            <w:pPr>
              <w:ind w:left="0" w:leftChars="0"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0.0027</w:t>
            </w:r>
          </w:p>
        </w:tc>
        <w:tc>
          <w:tcPr>
            <w:tcW w:w="3349" w:type="dxa"/>
            <w:vMerge w:val="continue"/>
            <w:tcBorders>
              <w:top w:val="nil"/>
            </w:tcBorders>
            <w:vAlign w:val="center"/>
          </w:tcPr>
          <w:p>
            <w:pPr>
              <w:jc w:val="center"/>
              <w:rPr>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435" w:type="dxa"/>
            <w:vMerge w:val="continue"/>
            <w:tcBorders>
              <w:top w:val="nil"/>
            </w:tcBorders>
            <w:vAlign w:val="center"/>
          </w:tcPr>
          <w:p>
            <w:pPr>
              <w:jc w:val="center"/>
              <w:rPr>
                <w:sz w:val="21"/>
                <w:szCs w:val="21"/>
                <w:highlight w:val="none"/>
              </w:rPr>
            </w:pPr>
          </w:p>
        </w:tc>
        <w:tc>
          <w:tcPr>
            <w:tcW w:w="743" w:type="dxa"/>
            <w:gridSpan w:val="2"/>
            <w:vMerge w:val="continue"/>
            <w:tcBorders>
              <w:top w:val="nil"/>
            </w:tcBorders>
            <w:vAlign w:val="center"/>
          </w:tcPr>
          <w:p>
            <w:pPr>
              <w:jc w:val="center"/>
              <w:rPr>
                <w:sz w:val="21"/>
                <w:szCs w:val="21"/>
                <w:highlight w:val="none"/>
              </w:rPr>
            </w:pPr>
          </w:p>
        </w:tc>
        <w:tc>
          <w:tcPr>
            <w:tcW w:w="745" w:type="dxa"/>
            <w:vAlign w:val="center"/>
          </w:tcPr>
          <w:p>
            <w:pPr>
              <w:ind w:left="0" w:leftChars="0" w:firstLine="0" w:firstLineChars="0"/>
              <w:jc w:val="center"/>
              <w:rPr>
                <w:sz w:val="21"/>
                <w:szCs w:val="21"/>
                <w:highlight w:val="none"/>
              </w:rPr>
            </w:pPr>
            <w:r>
              <w:rPr>
                <w:sz w:val="21"/>
                <w:szCs w:val="21"/>
                <w:highlight w:val="none"/>
              </w:rPr>
              <w:t>无组织</w:t>
            </w:r>
          </w:p>
        </w:tc>
        <w:tc>
          <w:tcPr>
            <w:tcW w:w="1052" w:type="dxa"/>
            <w:vAlign w:val="center"/>
          </w:tcPr>
          <w:p>
            <w:pPr>
              <w:ind w:left="0" w:leftChars="0" w:firstLine="0" w:firstLineChars="0"/>
              <w:jc w:val="center"/>
              <w:rPr>
                <w:sz w:val="21"/>
                <w:szCs w:val="21"/>
                <w:highlight w:val="none"/>
              </w:rPr>
            </w:pPr>
            <w:r>
              <w:rPr>
                <w:sz w:val="21"/>
                <w:szCs w:val="21"/>
                <w:highlight w:val="none"/>
              </w:rPr>
              <w:t>粉尘</w:t>
            </w:r>
          </w:p>
        </w:tc>
        <w:tc>
          <w:tcPr>
            <w:tcW w:w="1465" w:type="dxa"/>
            <w:vAlign w:val="center"/>
          </w:tcPr>
          <w:p>
            <w:pPr>
              <w:ind w:left="0" w:leftChars="0" w:firstLine="0" w:firstLineChars="0"/>
              <w:jc w:val="center"/>
              <w:rPr>
                <w:sz w:val="21"/>
                <w:szCs w:val="21"/>
                <w:highlight w:val="none"/>
              </w:rPr>
            </w:pPr>
            <w:r>
              <w:rPr>
                <w:sz w:val="21"/>
                <w:szCs w:val="21"/>
                <w:highlight w:val="none"/>
              </w:rPr>
              <w:t>/</w:t>
            </w:r>
          </w:p>
        </w:tc>
        <w:tc>
          <w:tcPr>
            <w:tcW w:w="1340" w:type="dxa"/>
            <w:vAlign w:val="center"/>
          </w:tcPr>
          <w:p>
            <w:pPr>
              <w:ind w:left="0" w:leftChars="0"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0.03</w:t>
            </w:r>
          </w:p>
        </w:tc>
        <w:tc>
          <w:tcPr>
            <w:tcW w:w="3349" w:type="dxa"/>
            <w:vMerge w:val="continue"/>
            <w:tcBorders>
              <w:top w:val="nil"/>
            </w:tcBorders>
            <w:vAlign w:val="center"/>
          </w:tcPr>
          <w:p>
            <w:pPr>
              <w:jc w:val="center"/>
              <w:rPr>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35" w:type="dxa"/>
            <w:vMerge w:val="continue"/>
            <w:tcBorders>
              <w:top w:val="nil"/>
            </w:tcBorders>
            <w:vAlign w:val="center"/>
          </w:tcPr>
          <w:p>
            <w:pPr>
              <w:jc w:val="center"/>
              <w:rPr>
                <w:sz w:val="21"/>
                <w:szCs w:val="21"/>
                <w:highlight w:val="none"/>
              </w:rPr>
            </w:pPr>
          </w:p>
        </w:tc>
        <w:tc>
          <w:tcPr>
            <w:tcW w:w="743" w:type="dxa"/>
            <w:gridSpan w:val="2"/>
            <w:vMerge w:val="restart"/>
            <w:vAlign w:val="center"/>
          </w:tcPr>
          <w:p>
            <w:pPr>
              <w:ind w:left="0" w:leftChars="0" w:firstLine="0" w:firstLineChars="0"/>
              <w:jc w:val="center"/>
              <w:rPr>
                <w:rFonts w:hint="eastAsia" w:eastAsia="宋体"/>
                <w:sz w:val="21"/>
                <w:szCs w:val="21"/>
                <w:highlight w:val="none"/>
                <w:lang w:eastAsia="zh-CN"/>
              </w:rPr>
            </w:pPr>
            <w:r>
              <w:rPr>
                <w:rFonts w:hint="eastAsia" w:ascii="Times New Roman" w:hAnsi="Times New Roman"/>
                <w:color w:val="auto"/>
                <w:sz w:val="21"/>
                <w:szCs w:val="21"/>
                <w:highlight w:val="none"/>
                <w:lang w:eastAsia="zh-CN"/>
              </w:rPr>
              <w:t>细碎及筛分</w:t>
            </w:r>
          </w:p>
        </w:tc>
        <w:tc>
          <w:tcPr>
            <w:tcW w:w="745" w:type="dxa"/>
            <w:vAlign w:val="center"/>
          </w:tcPr>
          <w:p>
            <w:pPr>
              <w:ind w:left="0" w:leftChars="0" w:firstLine="0" w:firstLineChars="0"/>
              <w:jc w:val="center"/>
              <w:rPr>
                <w:sz w:val="21"/>
                <w:szCs w:val="21"/>
                <w:highlight w:val="none"/>
              </w:rPr>
            </w:pPr>
            <w:r>
              <w:rPr>
                <w:sz w:val="21"/>
                <w:szCs w:val="21"/>
                <w:highlight w:val="none"/>
              </w:rPr>
              <w:t>有组织</w:t>
            </w:r>
          </w:p>
        </w:tc>
        <w:tc>
          <w:tcPr>
            <w:tcW w:w="1052" w:type="dxa"/>
            <w:vAlign w:val="center"/>
          </w:tcPr>
          <w:p>
            <w:pPr>
              <w:ind w:left="0" w:leftChars="0" w:firstLine="0" w:firstLineChars="0"/>
              <w:jc w:val="center"/>
              <w:rPr>
                <w:sz w:val="21"/>
                <w:szCs w:val="21"/>
                <w:highlight w:val="none"/>
              </w:rPr>
            </w:pPr>
            <w:r>
              <w:rPr>
                <w:sz w:val="21"/>
                <w:szCs w:val="21"/>
                <w:highlight w:val="none"/>
              </w:rPr>
              <w:t>粉尘</w:t>
            </w:r>
          </w:p>
        </w:tc>
        <w:tc>
          <w:tcPr>
            <w:tcW w:w="1465" w:type="dxa"/>
            <w:vAlign w:val="center"/>
          </w:tcPr>
          <w:p>
            <w:pPr>
              <w:ind w:left="0" w:leftChars="0"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0.625</w:t>
            </w:r>
          </w:p>
        </w:tc>
        <w:tc>
          <w:tcPr>
            <w:tcW w:w="1340" w:type="dxa"/>
            <w:vAlign w:val="center"/>
          </w:tcPr>
          <w:p>
            <w:pPr>
              <w:ind w:left="0" w:leftChars="0"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0.013</w:t>
            </w:r>
          </w:p>
        </w:tc>
        <w:tc>
          <w:tcPr>
            <w:tcW w:w="3349" w:type="dxa"/>
            <w:vMerge w:val="continue"/>
            <w:tcBorders>
              <w:top w:val="nil"/>
            </w:tcBorders>
            <w:vAlign w:val="center"/>
          </w:tcPr>
          <w:p>
            <w:pPr>
              <w:jc w:val="center"/>
              <w:rPr>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435" w:type="dxa"/>
            <w:vMerge w:val="continue"/>
            <w:tcBorders>
              <w:top w:val="nil"/>
            </w:tcBorders>
            <w:vAlign w:val="center"/>
          </w:tcPr>
          <w:p>
            <w:pPr>
              <w:jc w:val="center"/>
              <w:rPr>
                <w:sz w:val="21"/>
                <w:szCs w:val="21"/>
                <w:highlight w:val="none"/>
              </w:rPr>
            </w:pPr>
          </w:p>
        </w:tc>
        <w:tc>
          <w:tcPr>
            <w:tcW w:w="743" w:type="dxa"/>
            <w:gridSpan w:val="2"/>
            <w:vMerge w:val="continue"/>
            <w:tcBorders>
              <w:top w:val="nil"/>
            </w:tcBorders>
            <w:vAlign w:val="center"/>
          </w:tcPr>
          <w:p>
            <w:pPr>
              <w:jc w:val="center"/>
              <w:rPr>
                <w:sz w:val="21"/>
                <w:szCs w:val="21"/>
                <w:highlight w:val="none"/>
              </w:rPr>
            </w:pPr>
          </w:p>
        </w:tc>
        <w:tc>
          <w:tcPr>
            <w:tcW w:w="745" w:type="dxa"/>
            <w:vAlign w:val="center"/>
          </w:tcPr>
          <w:p>
            <w:pPr>
              <w:ind w:left="0" w:leftChars="0" w:firstLine="0" w:firstLineChars="0"/>
              <w:jc w:val="center"/>
              <w:rPr>
                <w:sz w:val="21"/>
                <w:szCs w:val="21"/>
                <w:highlight w:val="none"/>
              </w:rPr>
            </w:pPr>
            <w:r>
              <w:rPr>
                <w:sz w:val="21"/>
                <w:szCs w:val="21"/>
                <w:highlight w:val="none"/>
              </w:rPr>
              <w:t>无组织</w:t>
            </w:r>
          </w:p>
        </w:tc>
        <w:tc>
          <w:tcPr>
            <w:tcW w:w="1052" w:type="dxa"/>
            <w:vAlign w:val="center"/>
          </w:tcPr>
          <w:p>
            <w:pPr>
              <w:ind w:left="0" w:leftChars="0" w:firstLine="0" w:firstLineChars="0"/>
              <w:jc w:val="center"/>
              <w:rPr>
                <w:sz w:val="21"/>
                <w:szCs w:val="21"/>
                <w:highlight w:val="none"/>
              </w:rPr>
            </w:pPr>
            <w:r>
              <w:rPr>
                <w:sz w:val="21"/>
                <w:szCs w:val="21"/>
                <w:highlight w:val="none"/>
              </w:rPr>
              <w:t>粉尘</w:t>
            </w:r>
          </w:p>
        </w:tc>
        <w:tc>
          <w:tcPr>
            <w:tcW w:w="1465" w:type="dxa"/>
            <w:vAlign w:val="center"/>
          </w:tcPr>
          <w:p>
            <w:pPr>
              <w:ind w:left="0" w:leftChars="0" w:firstLine="0" w:firstLineChars="0"/>
              <w:jc w:val="center"/>
              <w:rPr>
                <w:sz w:val="21"/>
                <w:szCs w:val="21"/>
                <w:highlight w:val="none"/>
              </w:rPr>
            </w:pPr>
            <w:r>
              <w:rPr>
                <w:sz w:val="21"/>
                <w:szCs w:val="21"/>
                <w:highlight w:val="none"/>
              </w:rPr>
              <w:t>/</w:t>
            </w:r>
          </w:p>
        </w:tc>
        <w:tc>
          <w:tcPr>
            <w:tcW w:w="1340" w:type="dxa"/>
            <w:vAlign w:val="center"/>
          </w:tcPr>
          <w:p>
            <w:pPr>
              <w:ind w:left="0" w:leftChars="0"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0.15</w:t>
            </w:r>
          </w:p>
        </w:tc>
        <w:tc>
          <w:tcPr>
            <w:tcW w:w="3349" w:type="dxa"/>
            <w:vMerge w:val="continue"/>
            <w:tcBorders>
              <w:top w:val="nil"/>
            </w:tcBorders>
            <w:vAlign w:val="center"/>
          </w:tcPr>
          <w:p>
            <w:pPr>
              <w:jc w:val="center"/>
              <w:rPr>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35" w:type="dxa"/>
            <w:vMerge w:val="continue"/>
            <w:tcBorders>
              <w:top w:val="nil"/>
            </w:tcBorders>
            <w:vAlign w:val="center"/>
          </w:tcPr>
          <w:p>
            <w:pPr>
              <w:jc w:val="center"/>
              <w:rPr>
                <w:sz w:val="21"/>
                <w:szCs w:val="21"/>
                <w:highlight w:val="none"/>
              </w:rPr>
            </w:pPr>
          </w:p>
        </w:tc>
        <w:tc>
          <w:tcPr>
            <w:tcW w:w="1488" w:type="dxa"/>
            <w:gridSpan w:val="3"/>
            <w:vAlign w:val="center"/>
          </w:tcPr>
          <w:p>
            <w:pPr>
              <w:ind w:left="0" w:leftChars="0" w:firstLine="0" w:firstLineChars="0"/>
              <w:jc w:val="center"/>
              <w:rPr>
                <w:sz w:val="21"/>
                <w:szCs w:val="21"/>
                <w:highlight w:val="none"/>
              </w:rPr>
            </w:pPr>
            <w:r>
              <w:rPr>
                <w:sz w:val="21"/>
                <w:szCs w:val="21"/>
                <w:highlight w:val="none"/>
              </w:rPr>
              <w:t>皮带输送</w:t>
            </w:r>
          </w:p>
        </w:tc>
        <w:tc>
          <w:tcPr>
            <w:tcW w:w="1052" w:type="dxa"/>
            <w:vAlign w:val="center"/>
          </w:tcPr>
          <w:p>
            <w:pPr>
              <w:ind w:left="0" w:leftChars="0" w:firstLine="0" w:firstLineChars="0"/>
              <w:jc w:val="center"/>
              <w:rPr>
                <w:sz w:val="21"/>
                <w:szCs w:val="21"/>
                <w:highlight w:val="none"/>
              </w:rPr>
            </w:pPr>
            <w:r>
              <w:rPr>
                <w:sz w:val="21"/>
                <w:szCs w:val="21"/>
                <w:highlight w:val="none"/>
              </w:rPr>
              <w:t>粉尘</w:t>
            </w:r>
          </w:p>
        </w:tc>
        <w:tc>
          <w:tcPr>
            <w:tcW w:w="1465" w:type="dxa"/>
            <w:vAlign w:val="center"/>
          </w:tcPr>
          <w:p>
            <w:pPr>
              <w:ind w:left="0" w:leftChars="0" w:firstLine="0" w:firstLineChars="0"/>
              <w:jc w:val="center"/>
              <w:rPr>
                <w:sz w:val="21"/>
                <w:szCs w:val="21"/>
                <w:highlight w:val="none"/>
              </w:rPr>
            </w:pPr>
            <w:r>
              <w:rPr>
                <w:sz w:val="21"/>
                <w:szCs w:val="21"/>
                <w:highlight w:val="none"/>
              </w:rPr>
              <w:t>/</w:t>
            </w:r>
          </w:p>
        </w:tc>
        <w:tc>
          <w:tcPr>
            <w:tcW w:w="1340" w:type="dxa"/>
            <w:vAlign w:val="center"/>
          </w:tcPr>
          <w:p>
            <w:pPr>
              <w:ind w:left="0" w:leftChars="0"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0.45</w:t>
            </w:r>
          </w:p>
        </w:tc>
        <w:tc>
          <w:tcPr>
            <w:tcW w:w="3349" w:type="dxa"/>
            <w:vMerge w:val="continue"/>
            <w:tcBorders>
              <w:top w:val="nil"/>
            </w:tcBorders>
            <w:vAlign w:val="center"/>
          </w:tcPr>
          <w:p>
            <w:pPr>
              <w:jc w:val="center"/>
              <w:rPr>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35" w:type="dxa"/>
            <w:vMerge w:val="continue"/>
            <w:tcBorders>
              <w:top w:val="nil"/>
            </w:tcBorders>
            <w:vAlign w:val="center"/>
          </w:tcPr>
          <w:p>
            <w:pPr>
              <w:jc w:val="center"/>
              <w:rPr>
                <w:sz w:val="21"/>
                <w:szCs w:val="21"/>
                <w:highlight w:val="none"/>
              </w:rPr>
            </w:pPr>
          </w:p>
        </w:tc>
        <w:tc>
          <w:tcPr>
            <w:tcW w:w="1488" w:type="dxa"/>
            <w:gridSpan w:val="3"/>
            <w:vAlign w:val="center"/>
          </w:tcPr>
          <w:p>
            <w:pPr>
              <w:ind w:left="0" w:leftChars="0" w:firstLine="0" w:firstLineChars="0"/>
              <w:jc w:val="center"/>
              <w:rPr>
                <w:sz w:val="21"/>
                <w:szCs w:val="21"/>
                <w:highlight w:val="none"/>
              </w:rPr>
            </w:pPr>
            <w:r>
              <w:rPr>
                <w:sz w:val="21"/>
                <w:szCs w:val="21"/>
                <w:highlight w:val="none"/>
              </w:rPr>
              <w:t>原料</w:t>
            </w:r>
            <w:r>
              <w:rPr>
                <w:rFonts w:hint="eastAsia"/>
                <w:sz w:val="21"/>
                <w:szCs w:val="21"/>
                <w:highlight w:val="none"/>
                <w:lang w:eastAsia="zh-CN"/>
              </w:rPr>
              <w:t>、成品</w:t>
            </w:r>
            <w:r>
              <w:rPr>
                <w:sz w:val="21"/>
                <w:szCs w:val="21"/>
                <w:highlight w:val="none"/>
              </w:rPr>
              <w:t>堆场</w:t>
            </w:r>
          </w:p>
        </w:tc>
        <w:tc>
          <w:tcPr>
            <w:tcW w:w="1052" w:type="dxa"/>
            <w:vAlign w:val="center"/>
          </w:tcPr>
          <w:p>
            <w:pPr>
              <w:ind w:left="0" w:leftChars="0" w:firstLine="0" w:firstLineChars="0"/>
              <w:jc w:val="center"/>
              <w:rPr>
                <w:sz w:val="21"/>
                <w:szCs w:val="21"/>
                <w:highlight w:val="none"/>
              </w:rPr>
            </w:pPr>
            <w:r>
              <w:rPr>
                <w:sz w:val="21"/>
                <w:szCs w:val="21"/>
                <w:highlight w:val="none"/>
              </w:rPr>
              <w:t>粉尘</w:t>
            </w:r>
          </w:p>
        </w:tc>
        <w:tc>
          <w:tcPr>
            <w:tcW w:w="1465" w:type="dxa"/>
            <w:vAlign w:val="center"/>
          </w:tcPr>
          <w:p>
            <w:pPr>
              <w:ind w:left="0" w:leftChars="0" w:firstLine="0" w:firstLineChars="0"/>
              <w:jc w:val="center"/>
              <w:rPr>
                <w:sz w:val="21"/>
                <w:szCs w:val="21"/>
                <w:highlight w:val="none"/>
              </w:rPr>
            </w:pPr>
            <w:r>
              <w:rPr>
                <w:sz w:val="21"/>
                <w:szCs w:val="21"/>
                <w:highlight w:val="none"/>
              </w:rPr>
              <w:t>/</w:t>
            </w:r>
          </w:p>
        </w:tc>
        <w:tc>
          <w:tcPr>
            <w:tcW w:w="1340" w:type="dxa"/>
            <w:vAlign w:val="center"/>
          </w:tcPr>
          <w:p>
            <w:pPr>
              <w:ind w:left="0" w:leftChars="0"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0.013</w:t>
            </w:r>
          </w:p>
        </w:tc>
        <w:tc>
          <w:tcPr>
            <w:tcW w:w="3349" w:type="dxa"/>
            <w:vMerge w:val="continue"/>
            <w:tcBorders>
              <w:top w:val="nil"/>
            </w:tcBorders>
            <w:vAlign w:val="center"/>
          </w:tcPr>
          <w:p>
            <w:pPr>
              <w:jc w:val="center"/>
              <w:rPr>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35" w:type="dxa"/>
            <w:vMerge w:val="continue"/>
            <w:tcBorders>
              <w:top w:val="nil"/>
            </w:tcBorders>
            <w:vAlign w:val="center"/>
          </w:tcPr>
          <w:p>
            <w:pPr>
              <w:jc w:val="center"/>
              <w:rPr>
                <w:sz w:val="21"/>
                <w:szCs w:val="21"/>
                <w:highlight w:val="none"/>
              </w:rPr>
            </w:pPr>
          </w:p>
        </w:tc>
        <w:tc>
          <w:tcPr>
            <w:tcW w:w="1488" w:type="dxa"/>
            <w:gridSpan w:val="3"/>
            <w:vAlign w:val="center"/>
          </w:tcPr>
          <w:p>
            <w:pPr>
              <w:ind w:left="0" w:leftChars="0" w:firstLine="0" w:firstLineChars="0"/>
              <w:jc w:val="center"/>
              <w:rPr>
                <w:sz w:val="21"/>
                <w:szCs w:val="21"/>
                <w:highlight w:val="none"/>
              </w:rPr>
            </w:pPr>
            <w:r>
              <w:rPr>
                <w:sz w:val="21"/>
                <w:szCs w:val="21"/>
                <w:highlight w:val="none"/>
              </w:rPr>
              <w:t>给料</w:t>
            </w:r>
          </w:p>
        </w:tc>
        <w:tc>
          <w:tcPr>
            <w:tcW w:w="1052" w:type="dxa"/>
            <w:vAlign w:val="center"/>
          </w:tcPr>
          <w:p>
            <w:pPr>
              <w:ind w:left="0" w:leftChars="0" w:firstLine="0" w:firstLineChars="0"/>
              <w:jc w:val="center"/>
              <w:rPr>
                <w:sz w:val="21"/>
                <w:szCs w:val="21"/>
                <w:highlight w:val="none"/>
              </w:rPr>
            </w:pPr>
            <w:r>
              <w:rPr>
                <w:sz w:val="21"/>
                <w:szCs w:val="21"/>
                <w:highlight w:val="none"/>
              </w:rPr>
              <w:t>粉尘</w:t>
            </w:r>
          </w:p>
        </w:tc>
        <w:tc>
          <w:tcPr>
            <w:tcW w:w="1465" w:type="dxa"/>
            <w:vAlign w:val="center"/>
          </w:tcPr>
          <w:p>
            <w:pPr>
              <w:ind w:left="0" w:leftChars="0" w:firstLine="0" w:firstLineChars="0"/>
              <w:jc w:val="center"/>
              <w:rPr>
                <w:sz w:val="21"/>
                <w:szCs w:val="21"/>
                <w:highlight w:val="none"/>
              </w:rPr>
            </w:pPr>
            <w:r>
              <w:rPr>
                <w:sz w:val="21"/>
                <w:szCs w:val="21"/>
                <w:highlight w:val="none"/>
              </w:rPr>
              <w:t>/</w:t>
            </w:r>
          </w:p>
        </w:tc>
        <w:tc>
          <w:tcPr>
            <w:tcW w:w="1340" w:type="dxa"/>
            <w:vAlign w:val="center"/>
          </w:tcPr>
          <w:p>
            <w:pPr>
              <w:ind w:left="0" w:leftChars="0"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0.045</w:t>
            </w:r>
          </w:p>
        </w:tc>
        <w:tc>
          <w:tcPr>
            <w:tcW w:w="3349" w:type="dxa"/>
            <w:vMerge w:val="continue"/>
            <w:tcBorders>
              <w:top w:val="nil"/>
            </w:tcBorders>
            <w:vAlign w:val="center"/>
          </w:tcPr>
          <w:p>
            <w:pPr>
              <w:jc w:val="center"/>
              <w:rPr>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435" w:type="dxa"/>
            <w:vMerge w:val="continue"/>
            <w:tcBorders>
              <w:top w:val="nil"/>
            </w:tcBorders>
            <w:vAlign w:val="center"/>
          </w:tcPr>
          <w:p>
            <w:pPr>
              <w:jc w:val="center"/>
              <w:rPr>
                <w:sz w:val="21"/>
                <w:szCs w:val="21"/>
                <w:highlight w:val="none"/>
              </w:rPr>
            </w:pPr>
          </w:p>
        </w:tc>
        <w:tc>
          <w:tcPr>
            <w:tcW w:w="1488" w:type="dxa"/>
            <w:gridSpan w:val="3"/>
            <w:vAlign w:val="center"/>
          </w:tcPr>
          <w:p>
            <w:pPr>
              <w:ind w:left="0" w:leftChars="0" w:firstLine="0" w:firstLineChars="0"/>
              <w:jc w:val="center"/>
              <w:rPr>
                <w:sz w:val="21"/>
                <w:szCs w:val="21"/>
                <w:highlight w:val="none"/>
              </w:rPr>
            </w:pPr>
            <w:r>
              <w:rPr>
                <w:sz w:val="21"/>
                <w:szCs w:val="21"/>
                <w:highlight w:val="none"/>
              </w:rPr>
              <w:t>运输</w:t>
            </w:r>
          </w:p>
        </w:tc>
        <w:tc>
          <w:tcPr>
            <w:tcW w:w="1052" w:type="dxa"/>
            <w:vAlign w:val="center"/>
          </w:tcPr>
          <w:p>
            <w:pPr>
              <w:ind w:left="0" w:leftChars="0" w:firstLine="0" w:firstLineChars="0"/>
              <w:jc w:val="center"/>
              <w:rPr>
                <w:sz w:val="21"/>
                <w:szCs w:val="21"/>
                <w:highlight w:val="none"/>
              </w:rPr>
            </w:pPr>
            <w:r>
              <w:rPr>
                <w:sz w:val="21"/>
                <w:szCs w:val="21"/>
                <w:highlight w:val="none"/>
              </w:rPr>
              <w:t>扬尘</w:t>
            </w:r>
          </w:p>
        </w:tc>
        <w:tc>
          <w:tcPr>
            <w:tcW w:w="1465" w:type="dxa"/>
            <w:vAlign w:val="center"/>
          </w:tcPr>
          <w:p>
            <w:pPr>
              <w:ind w:left="0" w:leftChars="0" w:firstLine="0" w:firstLineChars="0"/>
              <w:jc w:val="center"/>
              <w:rPr>
                <w:sz w:val="21"/>
                <w:szCs w:val="21"/>
                <w:highlight w:val="none"/>
              </w:rPr>
            </w:pPr>
            <w:r>
              <w:rPr>
                <w:sz w:val="21"/>
                <w:szCs w:val="21"/>
                <w:highlight w:val="none"/>
              </w:rPr>
              <w:t>/</w:t>
            </w:r>
          </w:p>
        </w:tc>
        <w:tc>
          <w:tcPr>
            <w:tcW w:w="1340" w:type="dxa"/>
            <w:vAlign w:val="center"/>
          </w:tcPr>
          <w:p>
            <w:pPr>
              <w:ind w:left="0" w:leftChars="0"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0.34</w:t>
            </w:r>
          </w:p>
        </w:tc>
        <w:tc>
          <w:tcPr>
            <w:tcW w:w="3349" w:type="dxa"/>
            <w:vMerge w:val="continue"/>
            <w:tcBorders>
              <w:top w:val="nil"/>
            </w:tcBorders>
            <w:vAlign w:val="center"/>
          </w:tcPr>
          <w:p>
            <w:pPr>
              <w:jc w:val="center"/>
              <w:rPr>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35" w:type="dxa"/>
            <w:vMerge w:val="continue"/>
            <w:tcBorders>
              <w:top w:val="nil"/>
            </w:tcBorders>
            <w:vAlign w:val="center"/>
          </w:tcPr>
          <w:p>
            <w:pPr>
              <w:jc w:val="center"/>
              <w:rPr>
                <w:sz w:val="21"/>
                <w:szCs w:val="21"/>
                <w:highlight w:val="none"/>
              </w:rPr>
            </w:pPr>
          </w:p>
        </w:tc>
        <w:tc>
          <w:tcPr>
            <w:tcW w:w="1488" w:type="dxa"/>
            <w:gridSpan w:val="3"/>
            <w:vAlign w:val="center"/>
          </w:tcPr>
          <w:p>
            <w:pPr>
              <w:ind w:left="0" w:leftChars="0" w:firstLine="0" w:firstLineChars="0"/>
              <w:jc w:val="center"/>
              <w:rPr>
                <w:sz w:val="21"/>
                <w:szCs w:val="21"/>
                <w:highlight w:val="none"/>
              </w:rPr>
            </w:pPr>
            <w:r>
              <w:rPr>
                <w:sz w:val="21"/>
                <w:szCs w:val="21"/>
                <w:highlight w:val="none"/>
              </w:rPr>
              <w:t>表土堆场</w:t>
            </w:r>
          </w:p>
        </w:tc>
        <w:tc>
          <w:tcPr>
            <w:tcW w:w="1052" w:type="dxa"/>
            <w:vAlign w:val="center"/>
          </w:tcPr>
          <w:p>
            <w:pPr>
              <w:ind w:left="0" w:leftChars="0" w:firstLine="0" w:firstLineChars="0"/>
              <w:jc w:val="center"/>
              <w:rPr>
                <w:sz w:val="21"/>
                <w:szCs w:val="21"/>
                <w:highlight w:val="none"/>
              </w:rPr>
            </w:pPr>
            <w:r>
              <w:rPr>
                <w:sz w:val="21"/>
                <w:szCs w:val="21"/>
                <w:highlight w:val="none"/>
              </w:rPr>
              <w:t>扬尘</w:t>
            </w:r>
          </w:p>
        </w:tc>
        <w:tc>
          <w:tcPr>
            <w:tcW w:w="1465" w:type="dxa"/>
            <w:vAlign w:val="center"/>
          </w:tcPr>
          <w:p>
            <w:pPr>
              <w:ind w:left="0" w:leftChars="0" w:firstLine="0" w:firstLineChars="0"/>
              <w:jc w:val="center"/>
              <w:rPr>
                <w:sz w:val="21"/>
                <w:szCs w:val="21"/>
                <w:highlight w:val="none"/>
              </w:rPr>
            </w:pPr>
            <w:r>
              <w:rPr>
                <w:sz w:val="21"/>
                <w:szCs w:val="21"/>
                <w:highlight w:val="none"/>
              </w:rPr>
              <w:t>/</w:t>
            </w:r>
          </w:p>
        </w:tc>
        <w:tc>
          <w:tcPr>
            <w:tcW w:w="1340" w:type="dxa"/>
            <w:vAlign w:val="center"/>
          </w:tcPr>
          <w:p>
            <w:pPr>
              <w:ind w:left="0" w:leftChars="0"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0.0675</w:t>
            </w:r>
          </w:p>
        </w:tc>
        <w:tc>
          <w:tcPr>
            <w:tcW w:w="3349" w:type="dxa"/>
            <w:vMerge w:val="continue"/>
            <w:tcBorders>
              <w:top w:val="nil"/>
            </w:tcBorders>
            <w:vAlign w:val="center"/>
          </w:tcPr>
          <w:p>
            <w:pPr>
              <w:jc w:val="center"/>
              <w:rPr>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35" w:type="dxa"/>
            <w:vMerge w:val="restart"/>
            <w:vAlign w:val="center"/>
          </w:tcPr>
          <w:p>
            <w:pPr>
              <w:ind w:left="0" w:leftChars="0" w:firstLine="0" w:firstLineChars="0"/>
              <w:jc w:val="center"/>
              <w:rPr>
                <w:sz w:val="21"/>
                <w:szCs w:val="21"/>
                <w:highlight w:val="none"/>
              </w:rPr>
            </w:pPr>
            <w:r>
              <w:rPr>
                <w:sz w:val="21"/>
                <w:szCs w:val="21"/>
                <w:highlight w:val="none"/>
              </w:rPr>
              <w:t>废水</w:t>
            </w:r>
          </w:p>
        </w:tc>
        <w:tc>
          <w:tcPr>
            <w:tcW w:w="1488" w:type="dxa"/>
            <w:gridSpan w:val="3"/>
            <w:vAlign w:val="center"/>
          </w:tcPr>
          <w:p>
            <w:pPr>
              <w:ind w:left="0" w:leftChars="0" w:firstLine="0" w:firstLineChars="0"/>
              <w:jc w:val="center"/>
              <w:rPr>
                <w:sz w:val="21"/>
                <w:szCs w:val="21"/>
                <w:highlight w:val="none"/>
              </w:rPr>
            </w:pPr>
            <w:r>
              <w:rPr>
                <w:sz w:val="21"/>
                <w:szCs w:val="21"/>
                <w:highlight w:val="none"/>
              </w:rPr>
              <w:t>初期雨水</w:t>
            </w:r>
          </w:p>
        </w:tc>
        <w:tc>
          <w:tcPr>
            <w:tcW w:w="1052" w:type="dxa"/>
            <w:vAlign w:val="center"/>
          </w:tcPr>
          <w:p>
            <w:pPr>
              <w:ind w:left="0" w:leftChars="0" w:firstLine="0" w:firstLineChars="0"/>
              <w:jc w:val="center"/>
              <w:rPr>
                <w:sz w:val="21"/>
                <w:szCs w:val="21"/>
                <w:highlight w:val="none"/>
              </w:rPr>
            </w:pPr>
            <w:r>
              <w:rPr>
                <w:sz w:val="21"/>
                <w:szCs w:val="21"/>
                <w:highlight w:val="none"/>
              </w:rPr>
              <w:t>SS</w:t>
            </w:r>
          </w:p>
        </w:tc>
        <w:tc>
          <w:tcPr>
            <w:tcW w:w="1465" w:type="dxa"/>
            <w:vAlign w:val="center"/>
          </w:tcPr>
          <w:p>
            <w:pPr>
              <w:ind w:left="0" w:leftChars="0" w:firstLine="0" w:firstLineChars="0"/>
              <w:jc w:val="center"/>
              <w:rPr>
                <w:sz w:val="21"/>
                <w:szCs w:val="21"/>
                <w:highlight w:val="none"/>
              </w:rPr>
            </w:pPr>
            <w:r>
              <w:rPr>
                <w:sz w:val="21"/>
                <w:szCs w:val="21"/>
                <w:highlight w:val="none"/>
              </w:rPr>
              <w:t>0</w:t>
            </w:r>
          </w:p>
        </w:tc>
        <w:tc>
          <w:tcPr>
            <w:tcW w:w="1340" w:type="dxa"/>
            <w:vAlign w:val="center"/>
          </w:tcPr>
          <w:p>
            <w:pPr>
              <w:ind w:left="0" w:leftChars="0"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0</w:t>
            </w:r>
          </w:p>
        </w:tc>
        <w:tc>
          <w:tcPr>
            <w:tcW w:w="3349" w:type="dxa"/>
            <w:vMerge w:val="restart"/>
            <w:vAlign w:val="center"/>
          </w:tcPr>
          <w:p>
            <w:pPr>
              <w:ind w:left="0" w:leftChars="0" w:firstLine="0" w:firstLineChars="0"/>
              <w:jc w:val="center"/>
              <w:rPr>
                <w:sz w:val="21"/>
                <w:szCs w:val="21"/>
                <w:highlight w:val="none"/>
              </w:rPr>
            </w:pPr>
            <w:r>
              <w:rPr>
                <w:sz w:val="21"/>
                <w:szCs w:val="21"/>
                <w:highlight w:val="none"/>
              </w:rPr>
              <w:t>全部回用不外排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435" w:type="dxa"/>
            <w:vMerge w:val="continue"/>
            <w:tcBorders>
              <w:top w:val="nil"/>
            </w:tcBorders>
            <w:vAlign w:val="center"/>
          </w:tcPr>
          <w:p>
            <w:pPr>
              <w:jc w:val="center"/>
              <w:rPr>
                <w:sz w:val="21"/>
                <w:szCs w:val="21"/>
                <w:highlight w:val="none"/>
              </w:rPr>
            </w:pPr>
          </w:p>
        </w:tc>
        <w:tc>
          <w:tcPr>
            <w:tcW w:w="1488" w:type="dxa"/>
            <w:gridSpan w:val="3"/>
            <w:vAlign w:val="center"/>
          </w:tcPr>
          <w:p>
            <w:pPr>
              <w:ind w:left="0" w:leftChars="0" w:firstLine="0" w:firstLineChars="0"/>
              <w:jc w:val="center"/>
              <w:rPr>
                <w:sz w:val="21"/>
                <w:szCs w:val="21"/>
                <w:highlight w:val="none"/>
              </w:rPr>
            </w:pPr>
            <w:r>
              <w:rPr>
                <w:sz w:val="21"/>
                <w:szCs w:val="21"/>
                <w:highlight w:val="none"/>
              </w:rPr>
              <w:t>生活污水</w:t>
            </w:r>
          </w:p>
        </w:tc>
        <w:tc>
          <w:tcPr>
            <w:tcW w:w="1052" w:type="dxa"/>
            <w:vAlign w:val="center"/>
          </w:tcPr>
          <w:p>
            <w:pPr>
              <w:ind w:left="0" w:leftChars="0" w:firstLine="0" w:firstLineChars="0"/>
              <w:jc w:val="center"/>
              <w:rPr>
                <w:sz w:val="21"/>
                <w:szCs w:val="21"/>
                <w:highlight w:val="none"/>
              </w:rPr>
            </w:pPr>
            <w:r>
              <w:rPr>
                <w:sz w:val="21"/>
                <w:szCs w:val="21"/>
                <w:highlight w:val="none"/>
              </w:rPr>
              <w:t>CODcr、BOD5、SS、氨氮</w:t>
            </w:r>
          </w:p>
        </w:tc>
        <w:tc>
          <w:tcPr>
            <w:tcW w:w="1465" w:type="dxa"/>
            <w:vAlign w:val="center"/>
          </w:tcPr>
          <w:p>
            <w:pPr>
              <w:ind w:left="0" w:leftChars="0" w:firstLine="0" w:firstLineChars="0"/>
              <w:jc w:val="center"/>
              <w:rPr>
                <w:sz w:val="21"/>
                <w:szCs w:val="21"/>
                <w:highlight w:val="none"/>
              </w:rPr>
            </w:pPr>
            <w:r>
              <w:rPr>
                <w:sz w:val="21"/>
                <w:szCs w:val="21"/>
                <w:highlight w:val="none"/>
              </w:rPr>
              <w:t>0</w:t>
            </w:r>
          </w:p>
        </w:tc>
        <w:tc>
          <w:tcPr>
            <w:tcW w:w="1340" w:type="dxa"/>
            <w:vAlign w:val="center"/>
          </w:tcPr>
          <w:p>
            <w:pPr>
              <w:ind w:left="0" w:leftChars="0" w:firstLine="0" w:firstLineChars="0"/>
              <w:jc w:val="center"/>
              <w:rPr>
                <w:sz w:val="21"/>
                <w:szCs w:val="21"/>
                <w:highlight w:val="none"/>
              </w:rPr>
            </w:pPr>
            <w:r>
              <w:rPr>
                <w:sz w:val="21"/>
                <w:szCs w:val="21"/>
                <w:highlight w:val="none"/>
              </w:rPr>
              <w:t>0</w:t>
            </w:r>
          </w:p>
        </w:tc>
        <w:tc>
          <w:tcPr>
            <w:tcW w:w="3349" w:type="dxa"/>
            <w:vMerge w:val="continue"/>
            <w:tcBorders>
              <w:top w:val="nil"/>
            </w:tcBorders>
            <w:vAlign w:val="center"/>
          </w:tcPr>
          <w:p>
            <w:pPr>
              <w:jc w:val="center"/>
              <w:rPr>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923" w:type="dxa"/>
            <w:gridSpan w:val="4"/>
            <w:vAlign w:val="center"/>
          </w:tcPr>
          <w:p>
            <w:pPr>
              <w:ind w:left="0" w:leftChars="0" w:firstLine="0" w:firstLineChars="0"/>
              <w:jc w:val="center"/>
              <w:rPr>
                <w:sz w:val="21"/>
                <w:szCs w:val="21"/>
                <w:highlight w:val="none"/>
              </w:rPr>
            </w:pPr>
            <w:r>
              <w:rPr>
                <w:sz w:val="21"/>
                <w:szCs w:val="21"/>
                <w:highlight w:val="none"/>
              </w:rPr>
              <w:t>噪声</w:t>
            </w:r>
          </w:p>
        </w:tc>
        <w:tc>
          <w:tcPr>
            <w:tcW w:w="1052" w:type="dxa"/>
            <w:vAlign w:val="center"/>
          </w:tcPr>
          <w:p>
            <w:pPr>
              <w:ind w:left="0" w:leftChars="0" w:firstLine="0" w:firstLineChars="0"/>
              <w:jc w:val="center"/>
              <w:rPr>
                <w:sz w:val="21"/>
                <w:szCs w:val="21"/>
                <w:highlight w:val="none"/>
              </w:rPr>
            </w:pPr>
            <w:r>
              <w:rPr>
                <w:sz w:val="21"/>
                <w:szCs w:val="21"/>
                <w:highlight w:val="none"/>
              </w:rPr>
              <w:t>/</w:t>
            </w:r>
          </w:p>
        </w:tc>
        <w:tc>
          <w:tcPr>
            <w:tcW w:w="1465" w:type="dxa"/>
            <w:vAlign w:val="center"/>
          </w:tcPr>
          <w:p>
            <w:pPr>
              <w:jc w:val="center"/>
              <w:rPr>
                <w:sz w:val="21"/>
                <w:szCs w:val="21"/>
                <w:highlight w:val="none"/>
              </w:rPr>
            </w:pPr>
            <w:r>
              <w:rPr>
                <w:sz w:val="21"/>
                <w:szCs w:val="21"/>
                <w:highlight w:val="none"/>
              </w:rPr>
              <w:t>/</w:t>
            </w:r>
          </w:p>
        </w:tc>
        <w:tc>
          <w:tcPr>
            <w:tcW w:w="1340" w:type="dxa"/>
            <w:vAlign w:val="center"/>
          </w:tcPr>
          <w:p>
            <w:pPr>
              <w:jc w:val="center"/>
              <w:rPr>
                <w:sz w:val="21"/>
                <w:szCs w:val="21"/>
                <w:highlight w:val="none"/>
              </w:rPr>
            </w:pPr>
            <w:r>
              <w:rPr>
                <w:sz w:val="21"/>
                <w:szCs w:val="21"/>
                <w:highlight w:val="none"/>
              </w:rPr>
              <w:t>/</w:t>
            </w:r>
          </w:p>
        </w:tc>
        <w:tc>
          <w:tcPr>
            <w:tcW w:w="3349" w:type="dxa"/>
            <w:vAlign w:val="center"/>
          </w:tcPr>
          <w:p>
            <w:pPr>
              <w:ind w:left="0" w:leftChars="0" w:firstLine="0" w:firstLineChars="0"/>
              <w:jc w:val="center"/>
              <w:rPr>
                <w:sz w:val="21"/>
                <w:szCs w:val="21"/>
                <w:highlight w:val="none"/>
              </w:rPr>
            </w:pPr>
            <w:r>
              <w:rPr>
                <w:sz w:val="21"/>
                <w:szCs w:val="21"/>
                <w:highlight w:val="none"/>
              </w:rPr>
              <w:t>《工业企业厂界环境噪声排放标准》中的 2 类标准。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02" w:type="dxa"/>
            <w:gridSpan w:val="2"/>
            <w:vMerge w:val="restart"/>
            <w:vAlign w:val="center"/>
          </w:tcPr>
          <w:p>
            <w:pPr>
              <w:ind w:left="0" w:leftChars="0" w:firstLine="0" w:firstLineChars="0"/>
              <w:jc w:val="center"/>
              <w:rPr>
                <w:sz w:val="21"/>
                <w:szCs w:val="21"/>
                <w:highlight w:val="none"/>
              </w:rPr>
            </w:pPr>
            <w:r>
              <w:rPr>
                <w:sz w:val="21"/>
                <w:szCs w:val="21"/>
                <w:highlight w:val="none"/>
              </w:rPr>
              <w:t>固体废物</w:t>
            </w:r>
          </w:p>
        </w:tc>
        <w:tc>
          <w:tcPr>
            <w:tcW w:w="1121" w:type="dxa"/>
            <w:gridSpan w:val="2"/>
            <w:vMerge w:val="restart"/>
            <w:vAlign w:val="center"/>
          </w:tcPr>
          <w:p>
            <w:pPr>
              <w:ind w:left="0" w:leftChars="0" w:firstLine="0" w:firstLineChars="0"/>
              <w:jc w:val="center"/>
              <w:rPr>
                <w:sz w:val="21"/>
                <w:szCs w:val="21"/>
                <w:highlight w:val="none"/>
              </w:rPr>
            </w:pPr>
            <w:r>
              <w:rPr>
                <w:sz w:val="21"/>
                <w:szCs w:val="21"/>
                <w:highlight w:val="none"/>
              </w:rPr>
              <w:t>一般固废</w:t>
            </w:r>
          </w:p>
        </w:tc>
        <w:tc>
          <w:tcPr>
            <w:tcW w:w="1052" w:type="dxa"/>
            <w:vAlign w:val="center"/>
          </w:tcPr>
          <w:p>
            <w:pPr>
              <w:ind w:left="0" w:leftChars="0" w:firstLine="0" w:firstLineChars="0"/>
              <w:jc w:val="center"/>
              <w:rPr>
                <w:rFonts w:hint="eastAsia" w:eastAsia="宋体"/>
                <w:sz w:val="21"/>
                <w:szCs w:val="21"/>
                <w:highlight w:val="none"/>
                <w:lang w:eastAsia="zh-CN"/>
              </w:rPr>
            </w:pPr>
            <w:r>
              <w:rPr>
                <w:rFonts w:hint="eastAsia"/>
                <w:sz w:val="21"/>
                <w:szCs w:val="21"/>
                <w:highlight w:val="none"/>
                <w:lang w:eastAsia="zh-CN"/>
              </w:rPr>
              <w:t>废土石</w:t>
            </w:r>
          </w:p>
        </w:tc>
        <w:tc>
          <w:tcPr>
            <w:tcW w:w="1465" w:type="dxa"/>
            <w:vAlign w:val="center"/>
          </w:tcPr>
          <w:p>
            <w:pPr>
              <w:ind w:left="0" w:leftChars="0" w:firstLine="0" w:firstLineChars="0"/>
              <w:jc w:val="center"/>
              <w:rPr>
                <w:sz w:val="21"/>
                <w:szCs w:val="21"/>
                <w:highlight w:val="none"/>
              </w:rPr>
            </w:pPr>
            <w:r>
              <w:rPr>
                <w:sz w:val="21"/>
                <w:szCs w:val="21"/>
                <w:highlight w:val="none"/>
              </w:rPr>
              <w:t>/</w:t>
            </w:r>
          </w:p>
        </w:tc>
        <w:tc>
          <w:tcPr>
            <w:tcW w:w="1340" w:type="dxa"/>
            <w:vAlign w:val="center"/>
          </w:tcPr>
          <w:p>
            <w:pPr>
              <w:ind w:left="0" w:leftChars="0" w:firstLine="0" w:firstLineChars="0"/>
              <w:jc w:val="center"/>
              <w:rPr>
                <w:sz w:val="21"/>
                <w:szCs w:val="21"/>
                <w:highlight w:val="none"/>
              </w:rPr>
            </w:pPr>
            <w:r>
              <w:rPr>
                <w:rFonts w:hint="eastAsia"/>
                <w:sz w:val="21"/>
                <w:szCs w:val="21"/>
                <w:highlight w:val="none"/>
                <w:lang w:val="en-US" w:eastAsia="zh-CN"/>
              </w:rPr>
              <w:t>4.08</w:t>
            </w:r>
            <w:r>
              <w:rPr>
                <w:sz w:val="21"/>
                <w:szCs w:val="21"/>
                <w:highlight w:val="none"/>
              </w:rPr>
              <w:t>万m³</w:t>
            </w:r>
          </w:p>
        </w:tc>
        <w:tc>
          <w:tcPr>
            <w:tcW w:w="3349" w:type="dxa"/>
            <w:vMerge w:val="restart"/>
            <w:vAlign w:val="center"/>
          </w:tcPr>
          <w:p>
            <w:pPr>
              <w:jc w:val="center"/>
              <w:rPr>
                <w:sz w:val="21"/>
                <w:szCs w:val="21"/>
                <w:highlight w:val="none"/>
              </w:rPr>
            </w:pPr>
          </w:p>
          <w:p>
            <w:pPr>
              <w:ind w:left="0" w:leftChars="0" w:firstLine="0" w:firstLineChars="0"/>
              <w:jc w:val="center"/>
              <w:rPr>
                <w:sz w:val="21"/>
                <w:szCs w:val="21"/>
                <w:highlight w:val="none"/>
              </w:rPr>
            </w:pPr>
            <w:r>
              <w:rPr>
                <w:sz w:val="21"/>
                <w:szCs w:val="21"/>
                <w:highlight w:val="none"/>
              </w:rPr>
              <w:t>《一般工业固体废物贮存、处置场 污 染 控 制 标 准 》（GB18599-2001）及 2013 年修改单要求处置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02" w:type="dxa"/>
            <w:gridSpan w:val="2"/>
            <w:vMerge w:val="continue"/>
            <w:tcBorders>
              <w:top w:val="nil"/>
            </w:tcBorders>
            <w:vAlign w:val="center"/>
          </w:tcPr>
          <w:p>
            <w:pPr>
              <w:jc w:val="center"/>
              <w:rPr>
                <w:sz w:val="21"/>
                <w:szCs w:val="21"/>
                <w:highlight w:val="none"/>
              </w:rPr>
            </w:pPr>
          </w:p>
        </w:tc>
        <w:tc>
          <w:tcPr>
            <w:tcW w:w="1121" w:type="dxa"/>
            <w:gridSpan w:val="2"/>
            <w:vMerge w:val="continue"/>
            <w:tcBorders>
              <w:top w:val="nil"/>
            </w:tcBorders>
            <w:vAlign w:val="center"/>
          </w:tcPr>
          <w:p>
            <w:pPr>
              <w:jc w:val="center"/>
              <w:rPr>
                <w:sz w:val="21"/>
                <w:szCs w:val="21"/>
                <w:highlight w:val="none"/>
              </w:rPr>
            </w:pPr>
          </w:p>
        </w:tc>
        <w:tc>
          <w:tcPr>
            <w:tcW w:w="1052" w:type="dxa"/>
            <w:vAlign w:val="center"/>
          </w:tcPr>
          <w:p>
            <w:pPr>
              <w:ind w:left="0" w:leftChars="0" w:firstLine="0" w:firstLineChars="0"/>
              <w:jc w:val="center"/>
              <w:rPr>
                <w:sz w:val="21"/>
                <w:szCs w:val="21"/>
                <w:highlight w:val="none"/>
              </w:rPr>
            </w:pPr>
            <w:r>
              <w:rPr>
                <w:sz w:val="21"/>
                <w:szCs w:val="21"/>
                <w:highlight w:val="none"/>
              </w:rPr>
              <w:t>沉淀池污泥</w:t>
            </w:r>
          </w:p>
        </w:tc>
        <w:tc>
          <w:tcPr>
            <w:tcW w:w="1465" w:type="dxa"/>
            <w:vAlign w:val="center"/>
          </w:tcPr>
          <w:p>
            <w:pPr>
              <w:ind w:left="0" w:leftChars="0" w:firstLine="0" w:firstLineChars="0"/>
              <w:jc w:val="center"/>
              <w:rPr>
                <w:sz w:val="21"/>
                <w:szCs w:val="21"/>
                <w:highlight w:val="none"/>
              </w:rPr>
            </w:pPr>
            <w:r>
              <w:rPr>
                <w:sz w:val="21"/>
                <w:szCs w:val="21"/>
                <w:highlight w:val="none"/>
              </w:rPr>
              <w:t>/</w:t>
            </w:r>
          </w:p>
        </w:tc>
        <w:tc>
          <w:tcPr>
            <w:tcW w:w="1340" w:type="dxa"/>
            <w:vAlign w:val="center"/>
          </w:tcPr>
          <w:p>
            <w:pPr>
              <w:ind w:left="0" w:leftChars="0" w:firstLine="0" w:firstLineChars="0"/>
              <w:jc w:val="center"/>
              <w:rPr>
                <w:sz w:val="21"/>
                <w:szCs w:val="21"/>
                <w:highlight w:val="none"/>
              </w:rPr>
            </w:pPr>
            <w:r>
              <w:rPr>
                <w:rFonts w:hint="eastAsia"/>
                <w:sz w:val="21"/>
                <w:szCs w:val="21"/>
                <w:highlight w:val="none"/>
                <w:lang w:val="en-US" w:eastAsia="zh-CN"/>
              </w:rPr>
              <w:t>3.8</w:t>
            </w:r>
            <w:r>
              <w:rPr>
                <w:sz w:val="21"/>
                <w:szCs w:val="21"/>
                <w:highlight w:val="none"/>
              </w:rPr>
              <w:t>t/a</w:t>
            </w:r>
          </w:p>
        </w:tc>
        <w:tc>
          <w:tcPr>
            <w:tcW w:w="3349" w:type="dxa"/>
            <w:vMerge w:val="continue"/>
            <w:tcBorders>
              <w:top w:val="nil"/>
            </w:tcBorders>
            <w:vAlign w:val="center"/>
          </w:tcPr>
          <w:p>
            <w:pPr>
              <w:jc w:val="center"/>
              <w:rPr>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802" w:type="dxa"/>
            <w:gridSpan w:val="2"/>
            <w:vMerge w:val="continue"/>
            <w:tcBorders>
              <w:top w:val="nil"/>
            </w:tcBorders>
            <w:vAlign w:val="center"/>
          </w:tcPr>
          <w:p>
            <w:pPr>
              <w:jc w:val="center"/>
              <w:rPr>
                <w:sz w:val="21"/>
                <w:szCs w:val="21"/>
                <w:highlight w:val="none"/>
              </w:rPr>
            </w:pPr>
          </w:p>
        </w:tc>
        <w:tc>
          <w:tcPr>
            <w:tcW w:w="1121" w:type="dxa"/>
            <w:gridSpan w:val="2"/>
            <w:vMerge w:val="continue"/>
            <w:tcBorders>
              <w:top w:val="nil"/>
            </w:tcBorders>
            <w:vAlign w:val="center"/>
          </w:tcPr>
          <w:p>
            <w:pPr>
              <w:jc w:val="center"/>
              <w:rPr>
                <w:sz w:val="21"/>
                <w:szCs w:val="21"/>
                <w:highlight w:val="none"/>
              </w:rPr>
            </w:pPr>
          </w:p>
        </w:tc>
        <w:tc>
          <w:tcPr>
            <w:tcW w:w="1052" w:type="dxa"/>
            <w:vAlign w:val="center"/>
          </w:tcPr>
          <w:p>
            <w:pPr>
              <w:ind w:left="0" w:leftChars="0" w:firstLine="0" w:firstLineChars="0"/>
              <w:jc w:val="center"/>
              <w:rPr>
                <w:sz w:val="21"/>
                <w:szCs w:val="21"/>
                <w:highlight w:val="none"/>
              </w:rPr>
            </w:pPr>
            <w:r>
              <w:rPr>
                <w:sz w:val="21"/>
                <w:szCs w:val="21"/>
                <w:highlight w:val="none"/>
              </w:rPr>
              <w:t>生活垃圾</w:t>
            </w:r>
          </w:p>
        </w:tc>
        <w:tc>
          <w:tcPr>
            <w:tcW w:w="1465" w:type="dxa"/>
            <w:vAlign w:val="center"/>
          </w:tcPr>
          <w:p>
            <w:pPr>
              <w:ind w:left="0" w:leftChars="0" w:firstLine="0" w:firstLineChars="0"/>
              <w:jc w:val="center"/>
              <w:rPr>
                <w:sz w:val="21"/>
                <w:szCs w:val="21"/>
                <w:highlight w:val="none"/>
              </w:rPr>
            </w:pPr>
            <w:r>
              <w:rPr>
                <w:sz w:val="21"/>
                <w:szCs w:val="21"/>
                <w:highlight w:val="none"/>
              </w:rPr>
              <w:t>/</w:t>
            </w:r>
          </w:p>
        </w:tc>
        <w:tc>
          <w:tcPr>
            <w:tcW w:w="1340" w:type="dxa"/>
            <w:vAlign w:val="center"/>
          </w:tcPr>
          <w:p>
            <w:pPr>
              <w:ind w:left="0" w:leftChars="0" w:firstLine="0" w:firstLineChars="0"/>
              <w:jc w:val="center"/>
              <w:rPr>
                <w:sz w:val="21"/>
                <w:szCs w:val="21"/>
                <w:highlight w:val="none"/>
              </w:rPr>
            </w:pPr>
            <w:r>
              <w:rPr>
                <w:sz w:val="21"/>
                <w:szCs w:val="21"/>
                <w:highlight w:val="none"/>
              </w:rPr>
              <w:t>3t/a</w:t>
            </w:r>
          </w:p>
        </w:tc>
        <w:tc>
          <w:tcPr>
            <w:tcW w:w="3349" w:type="dxa"/>
            <w:vMerge w:val="continue"/>
            <w:tcBorders>
              <w:top w:val="nil"/>
            </w:tcBorders>
            <w:vAlign w:val="center"/>
          </w:tcPr>
          <w:p>
            <w:pPr>
              <w:jc w:val="center"/>
              <w:rPr>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02" w:type="dxa"/>
            <w:gridSpan w:val="2"/>
            <w:vMerge w:val="continue"/>
            <w:tcBorders>
              <w:top w:val="nil"/>
            </w:tcBorders>
            <w:vAlign w:val="center"/>
          </w:tcPr>
          <w:p>
            <w:pPr>
              <w:jc w:val="center"/>
              <w:rPr>
                <w:sz w:val="21"/>
                <w:szCs w:val="21"/>
                <w:highlight w:val="none"/>
              </w:rPr>
            </w:pPr>
          </w:p>
        </w:tc>
        <w:tc>
          <w:tcPr>
            <w:tcW w:w="1121" w:type="dxa"/>
            <w:gridSpan w:val="2"/>
            <w:vAlign w:val="center"/>
          </w:tcPr>
          <w:p>
            <w:pPr>
              <w:ind w:left="0" w:leftChars="0" w:firstLine="0" w:firstLineChars="0"/>
              <w:jc w:val="center"/>
              <w:rPr>
                <w:sz w:val="21"/>
                <w:szCs w:val="21"/>
                <w:highlight w:val="none"/>
              </w:rPr>
            </w:pPr>
            <w:r>
              <w:rPr>
                <w:sz w:val="21"/>
                <w:szCs w:val="21"/>
                <w:highlight w:val="none"/>
              </w:rPr>
              <w:t>机修车间</w:t>
            </w:r>
          </w:p>
        </w:tc>
        <w:tc>
          <w:tcPr>
            <w:tcW w:w="1052" w:type="dxa"/>
            <w:vAlign w:val="center"/>
          </w:tcPr>
          <w:p>
            <w:pPr>
              <w:ind w:left="0" w:leftChars="0" w:firstLine="0" w:firstLineChars="0"/>
              <w:jc w:val="center"/>
              <w:rPr>
                <w:sz w:val="21"/>
                <w:szCs w:val="21"/>
                <w:highlight w:val="none"/>
              </w:rPr>
            </w:pPr>
            <w:r>
              <w:rPr>
                <w:sz w:val="21"/>
                <w:szCs w:val="21"/>
                <w:highlight w:val="none"/>
              </w:rPr>
              <w:t>废机油</w:t>
            </w:r>
          </w:p>
        </w:tc>
        <w:tc>
          <w:tcPr>
            <w:tcW w:w="1465" w:type="dxa"/>
            <w:vAlign w:val="center"/>
          </w:tcPr>
          <w:p>
            <w:pPr>
              <w:jc w:val="center"/>
              <w:rPr>
                <w:sz w:val="21"/>
                <w:szCs w:val="21"/>
                <w:highlight w:val="none"/>
              </w:rPr>
            </w:pPr>
          </w:p>
          <w:p>
            <w:pPr>
              <w:ind w:left="0" w:leftChars="0" w:firstLine="0" w:firstLineChars="0"/>
              <w:jc w:val="center"/>
              <w:rPr>
                <w:sz w:val="21"/>
                <w:szCs w:val="21"/>
                <w:highlight w:val="none"/>
              </w:rPr>
            </w:pPr>
            <w:r>
              <w:rPr>
                <w:sz w:val="21"/>
                <w:szCs w:val="21"/>
                <w:highlight w:val="none"/>
              </w:rPr>
              <w:t>/</w:t>
            </w:r>
          </w:p>
        </w:tc>
        <w:tc>
          <w:tcPr>
            <w:tcW w:w="1340" w:type="dxa"/>
            <w:vAlign w:val="center"/>
          </w:tcPr>
          <w:p>
            <w:pPr>
              <w:jc w:val="center"/>
              <w:rPr>
                <w:sz w:val="21"/>
                <w:szCs w:val="21"/>
                <w:highlight w:val="none"/>
              </w:rPr>
            </w:pPr>
          </w:p>
          <w:p>
            <w:pPr>
              <w:ind w:left="0" w:leftChars="0" w:firstLine="0" w:firstLineChars="0"/>
              <w:jc w:val="center"/>
              <w:rPr>
                <w:sz w:val="21"/>
                <w:szCs w:val="21"/>
                <w:highlight w:val="none"/>
              </w:rPr>
            </w:pPr>
            <w:r>
              <w:rPr>
                <w:rFonts w:hint="eastAsia"/>
                <w:sz w:val="21"/>
                <w:szCs w:val="21"/>
                <w:highlight w:val="none"/>
                <w:lang w:val="en-US" w:eastAsia="zh-CN"/>
              </w:rPr>
              <w:t>0.08</w:t>
            </w:r>
            <w:r>
              <w:rPr>
                <w:sz w:val="21"/>
                <w:szCs w:val="21"/>
                <w:highlight w:val="none"/>
              </w:rPr>
              <w:t>t/a</w:t>
            </w:r>
          </w:p>
        </w:tc>
        <w:tc>
          <w:tcPr>
            <w:tcW w:w="3349" w:type="dxa"/>
            <w:vAlign w:val="center"/>
          </w:tcPr>
          <w:p>
            <w:pPr>
              <w:ind w:left="0" w:leftChars="0" w:firstLine="0" w:firstLineChars="0"/>
              <w:jc w:val="center"/>
              <w:rPr>
                <w:sz w:val="21"/>
                <w:szCs w:val="21"/>
                <w:highlight w:val="none"/>
              </w:rPr>
            </w:pPr>
            <w:r>
              <w:rPr>
                <w:sz w:val="21"/>
                <w:szCs w:val="21"/>
                <w:highlight w:val="none"/>
              </w:rPr>
              <w:t>收集存放于专用盛放桶内暂存于危废暂存间后交由有资质的单位回收处置</w:t>
            </w:r>
          </w:p>
        </w:tc>
      </w:tr>
    </w:tbl>
    <w:p>
      <w:pPr>
        <w:pStyle w:val="4"/>
        <w:rPr>
          <w:rFonts w:hint="eastAsia"/>
          <w:highlight w:val="none"/>
          <w:lang w:val="en-US" w:eastAsia="zh-CN"/>
        </w:rPr>
      </w:pPr>
      <w:r>
        <w:rPr>
          <w:rFonts w:hint="eastAsia"/>
          <w:highlight w:val="none"/>
          <w:lang w:val="en-US" w:eastAsia="zh-CN"/>
        </w:rPr>
        <w:t>10.5排污口管理</w:t>
      </w:r>
    </w:p>
    <w:p>
      <w:pPr>
        <w:autoSpaceDE w:val="0"/>
        <w:autoSpaceDN w:val="0"/>
        <w:adjustRightInd w:val="0"/>
        <w:ind w:firstLine="480"/>
        <w:rPr>
          <w:rFonts w:hint="default"/>
          <w:highlight w:val="none"/>
          <w:lang w:val="en-US" w:eastAsia="zh-CN"/>
        </w:rPr>
      </w:pPr>
      <w:r>
        <w:rPr>
          <w:rFonts w:hint="default"/>
          <w:highlight w:val="none"/>
          <w:lang w:val="en-US" w:eastAsia="zh-CN"/>
        </w:rPr>
        <w:t>排污口是项目投产后污染物进入环境、对环境产生影响的通道，强化排污口的管理是实施环境管理的基础工作之一。</w:t>
      </w:r>
    </w:p>
    <w:p>
      <w:pPr>
        <w:autoSpaceDE w:val="0"/>
        <w:autoSpaceDN w:val="0"/>
        <w:adjustRightInd w:val="0"/>
        <w:ind w:firstLine="480"/>
        <w:rPr>
          <w:rFonts w:hint="default"/>
          <w:highlight w:val="none"/>
          <w:lang w:val="en-US" w:eastAsia="zh-CN"/>
        </w:rPr>
      </w:pPr>
      <w:r>
        <w:rPr>
          <w:rFonts w:hint="default"/>
          <w:highlight w:val="none"/>
          <w:lang w:val="en-US" w:eastAsia="zh-CN"/>
        </w:rPr>
        <w:t>（1）排污口技术要求</w:t>
      </w:r>
    </w:p>
    <w:p>
      <w:pPr>
        <w:autoSpaceDE w:val="0"/>
        <w:autoSpaceDN w:val="0"/>
        <w:adjustRightInd w:val="0"/>
        <w:ind w:firstLine="480"/>
        <w:rPr>
          <w:rFonts w:hint="default"/>
          <w:highlight w:val="none"/>
          <w:lang w:val="en-US" w:eastAsia="zh-CN"/>
        </w:rPr>
      </w:pPr>
      <w:r>
        <w:rPr>
          <w:rFonts w:hint="default"/>
          <w:highlight w:val="none"/>
          <w:lang w:val="en-US" w:eastAsia="zh-CN"/>
        </w:rPr>
        <w:t>①排污口必须规范化设置，便于采样与计量检测和日常现场监督检查。</w:t>
      </w:r>
    </w:p>
    <w:p>
      <w:pPr>
        <w:autoSpaceDE w:val="0"/>
        <w:autoSpaceDN w:val="0"/>
        <w:adjustRightInd w:val="0"/>
        <w:ind w:firstLine="480"/>
        <w:rPr>
          <w:rFonts w:hint="default"/>
          <w:highlight w:val="none"/>
          <w:lang w:val="en-US" w:eastAsia="zh-CN"/>
        </w:rPr>
      </w:pPr>
      <w:r>
        <w:rPr>
          <w:rFonts w:hint="default"/>
          <w:highlight w:val="none"/>
          <w:lang w:val="en-US" w:eastAsia="zh-CN"/>
        </w:rPr>
        <w:t>②污水排放口应留有采样口，安装测流装置</w:t>
      </w:r>
    </w:p>
    <w:p>
      <w:pPr>
        <w:autoSpaceDE w:val="0"/>
        <w:autoSpaceDN w:val="0"/>
        <w:adjustRightInd w:val="0"/>
        <w:ind w:firstLine="480"/>
        <w:rPr>
          <w:rFonts w:hint="default"/>
          <w:highlight w:val="none"/>
          <w:lang w:val="en-US" w:eastAsia="zh-CN"/>
        </w:rPr>
      </w:pPr>
      <w:r>
        <w:rPr>
          <w:rFonts w:hint="default"/>
          <w:highlight w:val="none"/>
          <w:lang w:val="en-US" w:eastAsia="zh-CN"/>
        </w:rPr>
        <w:t>③排气筒应设有永久采样孔、采样平台、采样口，废气采样点应按《污染源监测技术规范设置》设置于废气排气筒上，采样点的气流要稳定，采样孔设置为圆形，直径约75mm，采样口平时应用活动式盖子盖上，防止气流涌出。</w:t>
      </w:r>
    </w:p>
    <w:p>
      <w:pPr>
        <w:autoSpaceDE w:val="0"/>
        <w:autoSpaceDN w:val="0"/>
        <w:adjustRightInd w:val="0"/>
        <w:ind w:firstLine="480"/>
        <w:rPr>
          <w:rFonts w:hint="default"/>
          <w:highlight w:val="none"/>
          <w:lang w:val="en-US" w:eastAsia="zh-CN"/>
        </w:rPr>
      </w:pPr>
      <w:r>
        <w:rPr>
          <w:rFonts w:hint="default"/>
          <w:highlight w:val="none"/>
          <w:lang w:val="en-US" w:eastAsia="zh-CN"/>
        </w:rPr>
        <w:t>（2）排污口立标和建档管理</w:t>
      </w:r>
    </w:p>
    <w:p>
      <w:pPr>
        <w:autoSpaceDE w:val="0"/>
        <w:autoSpaceDN w:val="0"/>
        <w:adjustRightInd w:val="0"/>
        <w:ind w:firstLine="480"/>
        <w:rPr>
          <w:rFonts w:hint="default"/>
          <w:highlight w:val="none"/>
          <w:lang w:val="en-US" w:eastAsia="zh-CN"/>
        </w:rPr>
      </w:pPr>
      <w:r>
        <w:rPr>
          <w:rFonts w:hint="default"/>
          <w:highlight w:val="none"/>
          <w:lang w:val="en-US" w:eastAsia="zh-CN"/>
        </w:rPr>
        <w:t>①污水排放口、废气排放口、噪声源、危废暂存间、一般工业固废储仓区应按《环境保护图形标志-排污口（源）》（GB15562.1-1995）规定，设置统一制作的环境保护图形标志牌，污染物排放口设置提示性环境个保护图形标志牌。污染物排放口的环保图形标志牌应设置在靠近采样点的醒目处，标志牌设置高度为其上缘距地面2m。</w:t>
      </w:r>
    </w:p>
    <w:p>
      <w:pPr>
        <w:autoSpaceDE w:val="0"/>
        <w:autoSpaceDN w:val="0"/>
        <w:adjustRightInd w:val="0"/>
        <w:ind w:firstLine="480"/>
        <w:rPr>
          <w:rFonts w:hint="default"/>
          <w:highlight w:val="none"/>
          <w:lang w:val="en-US" w:eastAsia="zh-CN"/>
        </w:rPr>
      </w:pPr>
      <w:r>
        <w:rPr>
          <w:rFonts w:hint="default"/>
          <w:highlight w:val="none"/>
          <w:lang w:val="en-US" w:eastAsia="zh-CN"/>
        </w:rPr>
        <w:t>②建设单位应根据《排污许可证管理暂行规定》，如实向有关部门申请排污许可证，将排污口的性质、编号、排污口的位置、主要排放的污染物种类、数量、浓度、排放规律、排放去向、污染治理设施的运行情况等信息进行建档管理，并报送环保主管部门备案。</w:t>
      </w:r>
    </w:p>
    <w:p>
      <w:pPr>
        <w:autoSpaceDE w:val="0"/>
        <w:autoSpaceDN w:val="0"/>
        <w:adjustRightInd w:val="0"/>
        <w:ind w:firstLine="480"/>
        <w:rPr>
          <w:rFonts w:hint="eastAsia"/>
          <w:highlight w:val="none"/>
          <w:lang w:val="en-US" w:eastAsia="zh-CN"/>
        </w:rPr>
      </w:pPr>
      <w:r>
        <w:rPr>
          <w:rFonts w:hint="default"/>
          <w:highlight w:val="none"/>
          <w:lang w:val="en-US" w:eastAsia="zh-CN"/>
        </w:rPr>
        <w:t>③建设单位如实填写《中华人民共和国规范化排污口标志登记证》的有关内容，由环保主管部门签发登记</w:t>
      </w:r>
      <w:r>
        <w:rPr>
          <w:rFonts w:hint="eastAsia"/>
          <w:highlight w:val="none"/>
          <w:lang w:val="en-US" w:eastAsia="zh-CN"/>
        </w:rPr>
        <w:t>证。</w:t>
      </w:r>
    </w:p>
    <w:p>
      <w:pPr>
        <w:pStyle w:val="4"/>
        <w:rPr>
          <w:rFonts w:hint="default"/>
          <w:highlight w:val="none"/>
          <w:lang w:val="en-US" w:eastAsia="zh-CN"/>
        </w:rPr>
      </w:pPr>
      <w:r>
        <w:rPr>
          <w:rFonts w:hint="eastAsia"/>
          <w:highlight w:val="none"/>
          <w:lang w:val="en-US" w:eastAsia="zh-CN"/>
        </w:rPr>
        <w:t>10.6总量控制</w:t>
      </w:r>
    </w:p>
    <w:p>
      <w:pPr>
        <w:autoSpaceDE w:val="0"/>
        <w:autoSpaceDN w:val="0"/>
        <w:adjustRightInd w:val="0"/>
        <w:ind w:firstLine="480"/>
        <w:rPr>
          <w:rFonts w:hint="eastAsia"/>
          <w:highlight w:val="none"/>
          <w:lang w:eastAsia="zh-CN"/>
        </w:rPr>
      </w:pPr>
      <w:r>
        <w:rPr>
          <w:rFonts w:hint="eastAsia"/>
          <w:highlight w:val="none"/>
          <w:lang w:eastAsia="zh-CN"/>
        </w:rPr>
        <w:t>总量控制的目的就是为了有效地保护和改善环境质量，保证经济建设和环境保护协调发展，使环境质量不因经济发展而随之恶化，并逐步改善。因此本次评价的总量控制分析旨在通过采取相应的污染控制措施，确保项目投产后的污染物排放符合相应的排放标准和总量控制的要求。</w:t>
      </w:r>
    </w:p>
    <w:p>
      <w:pPr>
        <w:autoSpaceDE w:val="0"/>
        <w:autoSpaceDN w:val="0"/>
        <w:adjustRightInd w:val="0"/>
        <w:ind w:firstLine="480"/>
        <w:rPr>
          <w:rFonts w:hint="eastAsia"/>
          <w:highlight w:val="none"/>
          <w:lang w:eastAsia="zh-CN"/>
        </w:rPr>
      </w:pPr>
      <w:r>
        <w:rPr>
          <w:rFonts w:hint="eastAsia"/>
          <w:highlight w:val="none"/>
          <w:lang w:eastAsia="zh-CN"/>
        </w:rPr>
        <w:t>1、总量控制指标的确定原则</w:t>
      </w:r>
    </w:p>
    <w:p>
      <w:pPr>
        <w:autoSpaceDE w:val="0"/>
        <w:autoSpaceDN w:val="0"/>
        <w:adjustRightInd w:val="0"/>
        <w:ind w:firstLine="480"/>
        <w:rPr>
          <w:rFonts w:hint="eastAsia"/>
          <w:highlight w:val="none"/>
          <w:lang w:eastAsia="zh-CN"/>
        </w:rPr>
      </w:pPr>
      <w:r>
        <w:rPr>
          <w:rFonts w:hint="eastAsia"/>
          <w:highlight w:val="none"/>
          <w:lang w:eastAsia="zh-CN"/>
        </w:rPr>
        <w:t>在确定拟建项目污染物排放总量控制指标时，遵循以下原则：</w:t>
      </w:r>
    </w:p>
    <w:p>
      <w:pPr>
        <w:autoSpaceDE w:val="0"/>
        <w:autoSpaceDN w:val="0"/>
        <w:adjustRightInd w:val="0"/>
        <w:ind w:firstLine="480"/>
        <w:rPr>
          <w:rFonts w:hint="eastAsia"/>
          <w:highlight w:val="none"/>
          <w:lang w:eastAsia="zh-CN"/>
        </w:rPr>
      </w:pPr>
      <w:r>
        <w:rPr>
          <w:rFonts w:hint="eastAsia"/>
          <w:highlight w:val="none"/>
          <w:lang w:eastAsia="zh-CN"/>
        </w:rPr>
        <w:t>（1）各污染物的排放浓度和排放速率必须符合国家有关污染物达标排放标准。</w:t>
      </w:r>
    </w:p>
    <w:p>
      <w:pPr>
        <w:autoSpaceDE w:val="0"/>
        <w:autoSpaceDN w:val="0"/>
        <w:adjustRightInd w:val="0"/>
        <w:ind w:firstLine="480"/>
        <w:rPr>
          <w:rFonts w:hint="eastAsia"/>
          <w:highlight w:val="none"/>
          <w:lang w:eastAsia="zh-CN"/>
        </w:rPr>
      </w:pPr>
      <w:r>
        <w:rPr>
          <w:rFonts w:hint="eastAsia"/>
          <w:highlight w:val="none"/>
          <w:lang w:eastAsia="zh-CN"/>
        </w:rPr>
        <w:t>（2）各污染源所排污染物其贡献浓度与环境背景值叠加后，应符合即定的环境质量标准。</w:t>
      </w:r>
    </w:p>
    <w:p>
      <w:pPr>
        <w:autoSpaceDE w:val="0"/>
        <w:autoSpaceDN w:val="0"/>
        <w:adjustRightInd w:val="0"/>
        <w:ind w:firstLine="480"/>
        <w:rPr>
          <w:rFonts w:hint="eastAsia"/>
          <w:highlight w:val="none"/>
          <w:lang w:eastAsia="zh-CN"/>
        </w:rPr>
      </w:pPr>
      <w:r>
        <w:rPr>
          <w:rFonts w:hint="eastAsia"/>
          <w:highlight w:val="none"/>
          <w:lang w:eastAsia="zh-CN"/>
        </w:rPr>
        <w:t>（3）采取有效的管理措施和技术措施，削减污染物的排放量，使排污处于较低的水平。</w:t>
      </w:r>
    </w:p>
    <w:p>
      <w:pPr>
        <w:autoSpaceDE w:val="0"/>
        <w:autoSpaceDN w:val="0"/>
        <w:adjustRightInd w:val="0"/>
        <w:ind w:firstLine="480"/>
        <w:rPr>
          <w:rFonts w:hint="eastAsia"/>
          <w:highlight w:val="none"/>
          <w:lang w:eastAsia="zh-CN"/>
        </w:rPr>
      </w:pPr>
      <w:r>
        <w:rPr>
          <w:rFonts w:hint="eastAsia"/>
          <w:highlight w:val="none"/>
          <w:lang w:eastAsia="zh-CN"/>
        </w:rPr>
        <w:t>（4）各污染源所排放污染物以采取治理措施后实际所能达到的排放水平为基准， 确定总量控制指标。</w:t>
      </w:r>
    </w:p>
    <w:p>
      <w:pPr>
        <w:autoSpaceDE w:val="0"/>
        <w:autoSpaceDN w:val="0"/>
        <w:adjustRightInd w:val="0"/>
        <w:ind w:firstLine="480"/>
        <w:rPr>
          <w:rFonts w:hint="eastAsia"/>
          <w:highlight w:val="none"/>
          <w:lang w:eastAsia="zh-CN"/>
        </w:rPr>
      </w:pPr>
      <w:r>
        <w:rPr>
          <w:rFonts w:hint="eastAsia"/>
          <w:highlight w:val="none"/>
          <w:lang w:eastAsia="zh-CN"/>
        </w:rPr>
        <w:t>（5）满足清洁生产的要求。</w:t>
      </w:r>
    </w:p>
    <w:p>
      <w:pPr>
        <w:autoSpaceDE w:val="0"/>
        <w:autoSpaceDN w:val="0"/>
        <w:adjustRightInd w:val="0"/>
        <w:ind w:firstLine="480"/>
        <w:rPr>
          <w:rFonts w:hint="eastAsia"/>
          <w:highlight w:val="none"/>
          <w:lang w:eastAsia="zh-CN"/>
        </w:rPr>
      </w:pPr>
      <w:r>
        <w:rPr>
          <w:rFonts w:hint="eastAsia"/>
          <w:highlight w:val="none"/>
          <w:lang w:eastAsia="zh-CN"/>
        </w:rPr>
        <w:t>2、污染物排放总量控制因子及指标</w:t>
      </w:r>
    </w:p>
    <w:p>
      <w:pPr>
        <w:autoSpaceDE w:val="0"/>
        <w:autoSpaceDN w:val="0"/>
        <w:adjustRightInd w:val="0"/>
        <w:ind w:firstLine="480"/>
        <w:rPr>
          <w:rFonts w:hint="eastAsia"/>
          <w:highlight w:val="none"/>
          <w:lang w:eastAsia="zh-CN"/>
        </w:rPr>
      </w:pPr>
      <w:r>
        <w:rPr>
          <w:rFonts w:hint="eastAsia"/>
          <w:highlight w:val="none"/>
          <w:lang w:eastAsia="zh-CN"/>
        </w:rPr>
        <w:t>（1）废水</w:t>
      </w:r>
    </w:p>
    <w:p>
      <w:pPr>
        <w:autoSpaceDE w:val="0"/>
        <w:autoSpaceDN w:val="0"/>
        <w:adjustRightInd w:val="0"/>
        <w:ind w:firstLine="480"/>
        <w:rPr>
          <w:rFonts w:hint="eastAsia"/>
          <w:highlight w:val="none"/>
          <w:lang w:eastAsia="zh-CN"/>
        </w:rPr>
      </w:pPr>
      <w:r>
        <w:rPr>
          <w:rFonts w:hint="eastAsia"/>
          <w:highlight w:val="none"/>
          <w:lang w:eastAsia="zh-CN"/>
        </w:rPr>
        <w:t>本项目生活污水经沉淀池收集后回用于场地洒水降尘；初期雨水经雨水沉淀池收集处理后用于场地洒水降尘，不外排。</w:t>
      </w:r>
    </w:p>
    <w:p>
      <w:pPr>
        <w:autoSpaceDE w:val="0"/>
        <w:autoSpaceDN w:val="0"/>
        <w:adjustRightInd w:val="0"/>
        <w:ind w:firstLine="480"/>
        <w:rPr>
          <w:rFonts w:hint="eastAsia"/>
          <w:highlight w:val="none"/>
          <w:lang w:eastAsia="zh-CN"/>
        </w:rPr>
      </w:pPr>
      <w:r>
        <w:rPr>
          <w:rFonts w:hint="eastAsia"/>
          <w:highlight w:val="none"/>
          <w:lang w:eastAsia="zh-CN"/>
        </w:rPr>
        <w:t>（2）废气</w:t>
      </w:r>
    </w:p>
    <w:p>
      <w:pPr>
        <w:autoSpaceDE w:val="0"/>
        <w:autoSpaceDN w:val="0"/>
        <w:adjustRightInd w:val="0"/>
        <w:ind w:firstLine="480"/>
        <w:rPr>
          <w:rFonts w:hint="eastAsia"/>
          <w:highlight w:val="none"/>
          <w:lang w:eastAsia="zh-CN"/>
        </w:rPr>
      </w:pPr>
      <w:r>
        <w:rPr>
          <w:rFonts w:hint="eastAsia"/>
          <w:highlight w:val="none"/>
          <w:lang w:eastAsia="zh-CN"/>
        </w:rPr>
        <w:t>矿石开采区：</w:t>
      </w:r>
    </w:p>
    <w:p>
      <w:pPr>
        <w:autoSpaceDE w:val="0"/>
        <w:autoSpaceDN w:val="0"/>
        <w:adjustRightInd w:val="0"/>
        <w:ind w:firstLine="480"/>
        <w:rPr>
          <w:rFonts w:hint="eastAsia"/>
          <w:highlight w:val="none"/>
          <w:lang w:eastAsia="zh-CN"/>
        </w:rPr>
      </w:pPr>
      <w:r>
        <w:rPr>
          <w:rFonts w:hint="eastAsia"/>
          <w:highlight w:val="none"/>
          <w:lang w:eastAsia="zh-CN"/>
        </w:rPr>
        <w:t>表土剥离的作业是包括除去覆压在矿床上面物料的一切活动，包括清除地表的植被被、表土、下层土和其他不需要的地层。本项目矿山表土剥离过程中采取洒水抑尘措施， 可以有效抑制粉尘的产生，除去率达</w:t>
      </w:r>
      <w:r>
        <w:rPr>
          <w:rFonts w:hint="eastAsia"/>
          <w:highlight w:val="none"/>
          <w:lang w:val="en-US" w:eastAsia="zh-CN"/>
        </w:rPr>
        <w:t>8</w:t>
      </w:r>
      <w:r>
        <w:rPr>
          <w:rFonts w:hint="eastAsia"/>
          <w:highlight w:val="none"/>
          <w:lang w:eastAsia="zh-CN"/>
        </w:rPr>
        <w:t>0%以上；在凿岩钻孔过程中采用湿法作业，选用带有捕尘装置的潜孔钻机，可有效抑制粉尘产生；爆破采用多排中深孔爆破、非电导爆管起爆。在爆破现场加强洒水喷淋抑尘，充分湿润可以使粉尘排放量减低至</w:t>
      </w:r>
      <w:r>
        <w:rPr>
          <w:rFonts w:hint="eastAsia"/>
          <w:highlight w:val="none"/>
          <w:lang w:val="en-US" w:eastAsia="zh-CN"/>
        </w:rPr>
        <w:t>8</w:t>
      </w:r>
      <w:r>
        <w:rPr>
          <w:rFonts w:hint="eastAsia"/>
          <w:highlight w:val="none"/>
          <w:lang w:eastAsia="zh-CN"/>
        </w:rPr>
        <w:t>0%。在装卸过程中通过喷淋设置进行洒水降尘，除尘效率为</w:t>
      </w:r>
      <w:r>
        <w:rPr>
          <w:rFonts w:hint="eastAsia"/>
          <w:highlight w:val="none"/>
          <w:lang w:val="en-US" w:eastAsia="zh-CN"/>
        </w:rPr>
        <w:t>8</w:t>
      </w:r>
      <w:r>
        <w:rPr>
          <w:rFonts w:hint="eastAsia"/>
          <w:highlight w:val="none"/>
          <w:lang w:eastAsia="zh-CN"/>
        </w:rPr>
        <w:t>0%；汽车运输粉尘的产尘强度与路面种类、气候干湿以及汽车行驶速度等因素有关，与运输汽车覆盖与否、道路表面含尘量大小有关，矿山地理位置、气候条件不同，产尘量的差异也较大。项目建成后，矿区运输车辆限制车速，运输道路以碎石路面为主，保持地面清洁；运输车辆采用篷布进行遮蔽处理，控制装载量，禁止裸露、冒尖或超载运输；保持车身及车轮清洁，定期对道路采取洒水降尘措施，扬尘产量极少，扬尘可以得到较好的控制；本项目爆破时产生的气体主要为CO</w:t>
      </w:r>
      <w:r>
        <w:rPr>
          <w:rFonts w:hint="eastAsia"/>
          <w:highlight w:val="none"/>
          <w:vertAlign w:val="subscript"/>
          <w:lang w:eastAsia="zh-CN"/>
        </w:rPr>
        <w:t>2</w:t>
      </w:r>
      <w:r>
        <w:rPr>
          <w:rFonts w:hint="eastAsia"/>
          <w:highlight w:val="none"/>
          <w:lang w:eastAsia="zh-CN"/>
        </w:rPr>
        <w:t>、CO、NO、NO</w:t>
      </w:r>
      <w:r>
        <w:rPr>
          <w:rFonts w:hint="eastAsia"/>
          <w:highlight w:val="none"/>
          <w:vertAlign w:val="subscript"/>
          <w:lang w:eastAsia="zh-CN"/>
        </w:rPr>
        <w:t>2</w:t>
      </w:r>
      <w:r>
        <w:rPr>
          <w:rFonts w:hint="eastAsia"/>
          <w:highlight w:val="none"/>
          <w:lang w:eastAsia="zh-CN"/>
        </w:rPr>
        <w:t>等。爆破为间歇性工作，爆破产生的废气量较少， 为无组织排放，爆破废气经过大气扩散。</w:t>
      </w:r>
    </w:p>
    <w:p>
      <w:pPr>
        <w:autoSpaceDE w:val="0"/>
        <w:autoSpaceDN w:val="0"/>
        <w:adjustRightInd w:val="0"/>
        <w:ind w:firstLine="480"/>
        <w:rPr>
          <w:rFonts w:hint="eastAsia"/>
          <w:highlight w:val="none"/>
          <w:lang w:eastAsia="zh-CN"/>
        </w:rPr>
      </w:pPr>
      <w:r>
        <w:rPr>
          <w:rFonts w:hint="eastAsia"/>
          <w:highlight w:val="none"/>
          <w:lang w:eastAsia="zh-CN"/>
        </w:rPr>
        <w:t>破碎加工区：</w:t>
      </w:r>
    </w:p>
    <w:p>
      <w:pPr>
        <w:autoSpaceDE w:val="0"/>
        <w:autoSpaceDN w:val="0"/>
        <w:adjustRightInd w:val="0"/>
        <w:ind w:firstLine="480"/>
        <w:rPr>
          <w:rFonts w:hint="eastAsia"/>
          <w:highlight w:val="none"/>
          <w:lang w:eastAsia="zh-CN"/>
        </w:rPr>
      </w:pPr>
      <w:r>
        <w:rPr>
          <w:rFonts w:hint="eastAsia"/>
          <w:highlight w:val="none"/>
          <w:lang w:eastAsia="zh-CN"/>
        </w:rPr>
        <w:t>本项目</w:t>
      </w:r>
      <w:r>
        <w:rPr>
          <w:rFonts w:ascii="Times New Roman" w:hAnsi="Times New Roman"/>
          <w:highlight w:val="none"/>
        </w:rPr>
        <w:t>无组织排放</w:t>
      </w:r>
      <w:r>
        <w:rPr>
          <w:rFonts w:hint="eastAsia" w:ascii="Times New Roman" w:hAnsi="Times New Roman"/>
          <w:highlight w:val="none"/>
          <w:lang w:eastAsia="zh-CN"/>
        </w:rPr>
        <w:t>粉尘</w:t>
      </w:r>
      <w:r>
        <w:rPr>
          <w:rFonts w:ascii="Times New Roman" w:hAnsi="Times New Roman"/>
          <w:highlight w:val="none"/>
        </w:rPr>
        <w:t>经</w:t>
      </w:r>
      <w:r>
        <w:rPr>
          <w:rFonts w:hint="eastAsia" w:ascii="Times New Roman" w:hAnsi="Times New Roman"/>
          <w:highlight w:val="none"/>
          <w:lang w:eastAsia="zh-CN"/>
        </w:rPr>
        <w:t>破碎口</w:t>
      </w:r>
      <w:r>
        <w:rPr>
          <w:rFonts w:ascii="Times New Roman" w:hAnsi="Times New Roman"/>
          <w:highlight w:val="none"/>
        </w:rPr>
        <w:t>洒水、喷雾降尘，及密闭皮带运输加装溜槽等措施</w:t>
      </w:r>
      <w:r>
        <w:rPr>
          <w:rFonts w:hint="eastAsia" w:ascii="Times New Roman" w:hAnsi="Times New Roman"/>
          <w:highlight w:val="none"/>
          <w:lang w:eastAsia="zh-CN"/>
        </w:rPr>
        <w:t>可有效抑制粉尘产生量及排放量；</w:t>
      </w:r>
      <w:r>
        <w:rPr>
          <w:rFonts w:ascii="Times New Roman" w:hAnsi="Times New Roman"/>
          <w:highlight w:val="none"/>
        </w:rPr>
        <w:t>破碎及筛分工序粉尘、粉碎及筛分工序粉尘加装布袋除尘器处理，再由15m高排气筒</w:t>
      </w:r>
      <w:r>
        <w:rPr>
          <w:rFonts w:hint="eastAsia" w:ascii="Times New Roman" w:hAnsi="Times New Roman"/>
          <w:highlight w:val="none"/>
          <w:lang w:eastAsia="zh-CN"/>
        </w:rPr>
        <w:t>达标</w:t>
      </w:r>
      <w:r>
        <w:rPr>
          <w:rFonts w:ascii="Times New Roman" w:hAnsi="Times New Roman"/>
          <w:highlight w:val="none"/>
        </w:rPr>
        <w:t>排放</w:t>
      </w:r>
      <w:r>
        <w:rPr>
          <w:rFonts w:hint="eastAsia"/>
          <w:highlight w:val="none"/>
          <w:lang w:eastAsia="zh-CN"/>
        </w:rPr>
        <w:t>。</w:t>
      </w:r>
    </w:p>
    <w:p>
      <w:pPr>
        <w:autoSpaceDE w:val="0"/>
        <w:autoSpaceDN w:val="0"/>
        <w:adjustRightInd w:val="0"/>
        <w:ind w:firstLine="480"/>
        <w:rPr>
          <w:rFonts w:hint="eastAsia"/>
          <w:highlight w:val="none"/>
          <w:lang w:eastAsia="zh-CN"/>
        </w:rPr>
      </w:pPr>
      <w:r>
        <w:rPr>
          <w:rFonts w:hint="eastAsia"/>
          <w:highlight w:val="none"/>
          <w:lang w:eastAsia="zh-CN"/>
        </w:rPr>
        <w:t>燃油尾气：</w:t>
      </w:r>
    </w:p>
    <w:p>
      <w:pPr>
        <w:autoSpaceDE w:val="0"/>
        <w:autoSpaceDN w:val="0"/>
        <w:adjustRightInd w:val="0"/>
        <w:ind w:firstLine="480"/>
        <w:rPr>
          <w:rFonts w:hint="eastAsia"/>
          <w:highlight w:val="none"/>
          <w:lang w:eastAsia="zh-CN"/>
        </w:rPr>
      </w:pPr>
      <w:r>
        <w:rPr>
          <w:rFonts w:hint="eastAsia"/>
          <w:highlight w:val="none"/>
          <w:lang w:eastAsia="zh-CN"/>
        </w:rPr>
        <w:t>所有燃油机械（挖掘机、装载机）设备在使用期间要保证其正常运行，经常检修保养，防止非正常运行造成的尾气超标排放。运输车辆尾气属于分散流动源，且运输距离较短，污染物排放量相对较小。同时，项目运输车辆均为通过审查合格的，在日常管理中加强车辆的维修和检验，确保车辆的正常运行。故燃油尾气对项目所在区域大气环境影响较小。</w:t>
      </w:r>
    </w:p>
    <w:p>
      <w:pPr>
        <w:autoSpaceDE w:val="0"/>
        <w:autoSpaceDN w:val="0"/>
        <w:adjustRightInd w:val="0"/>
        <w:ind w:firstLine="480"/>
        <w:rPr>
          <w:rFonts w:hint="eastAsia"/>
          <w:highlight w:val="none"/>
          <w:lang w:eastAsia="zh-CN"/>
        </w:rPr>
      </w:pPr>
      <w:r>
        <w:rPr>
          <w:rFonts w:hint="eastAsia"/>
          <w:highlight w:val="none"/>
          <w:lang w:eastAsia="zh-CN"/>
        </w:rPr>
        <w:t>根据《国家环境保护“十三五”规划基本思路》（以下简称《基本思路》），在“十三五”期间，建立环境质量改善和污染物总量控制的双重体系，在既有常规污染物总量控制的基础上实行“主要污染物总量指标体系扩容”，继续实施全国二氧化硫、氮氧化物、化学需氧量、氨氮排放总量控制，初步考虑，对全国实施重点行业工业烟粉尘总量控制，对总氮、总磷和挥发性有机物（以下简称VOCs）实施重点区域和重点行业相结合的总量控制，增强差别化、针对性和可操作性。根据环保部规划财务司司长赵华林的解释：新增的四种污染物总量控制指标并不是在所有的区域和所有的行业实施，而是在某些重点区域和重点行业分别实施，这也是它们区别于既有的四种主要污染物控制指标的地方。</w:t>
      </w:r>
    </w:p>
    <w:p>
      <w:pPr>
        <w:autoSpaceDE w:val="0"/>
        <w:autoSpaceDN w:val="0"/>
        <w:adjustRightInd w:val="0"/>
        <w:ind w:firstLine="480"/>
        <w:rPr>
          <w:rFonts w:hint="eastAsia"/>
          <w:highlight w:val="none"/>
          <w:lang w:eastAsia="zh-CN"/>
        </w:rPr>
      </w:pPr>
      <w:r>
        <w:rPr>
          <w:rFonts w:hint="eastAsia"/>
          <w:highlight w:val="none"/>
          <w:lang w:eastAsia="zh-CN"/>
        </w:rPr>
        <w:t>同时，根据《基本思路》初步考虑在电力、钢铁、水泥等重点行业开展烟粉尘总量控制，实施基于新排放标准的行业治污减排管理，把问题突出、影响范围广的区域大点源烟粉尘排放量降下去。</w:t>
      </w:r>
    </w:p>
    <w:p>
      <w:pPr>
        <w:autoSpaceDE w:val="0"/>
        <w:autoSpaceDN w:val="0"/>
        <w:adjustRightInd w:val="0"/>
        <w:ind w:firstLine="480"/>
        <w:rPr>
          <w:rFonts w:hint="eastAsia"/>
          <w:highlight w:val="none"/>
          <w:lang w:eastAsia="zh-CN"/>
        </w:rPr>
      </w:pPr>
      <w:r>
        <w:rPr>
          <w:rFonts w:hint="eastAsia"/>
          <w:highlight w:val="none"/>
          <w:lang w:eastAsia="zh-CN"/>
        </w:rPr>
        <w:t>（3）小结</w:t>
      </w:r>
    </w:p>
    <w:p>
      <w:pPr>
        <w:autoSpaceDE w:val="0"/>
        <w:autoSpaceDN w:val="0"/>
        <w:adjustRightInd w:val="0"/>
        <w:ind w:firstLine="480"/>
        <w:rPr>
          <w:rFonts w:hint="eastAsia"/>
          <w:highlight w:val="none"/>
          <w:lang w:eastAsia="zh-CN"/>
        </w:rPr>
      </w:pPr>
      <w:r>
        <w:rPr>
          <w:rFonts w:hint="eastAsia"/>
          <w:highlight w:val="none"/>
          <w:lang w:eastAsia="zh-CN"/>
        </w:rPr>
        <w:t>本项目属于矿石开采项目，不在上述“电力、钢铁、水泥”等开展烟粉尘总量控制重点行业范畴。本项目在运营期大气污染物主要为粉尘排放，另外仅部分采矿设备使用柴油，无组织排放少量NO</w:t>
      </w:r>
      <w:r>
        <w:rPr>
          <w:rFonts w:hint="eastAsia"/>
          <w:highlight w:val="none"/>
          <w:vertAlign w:val="subscript"/>
          <w:lang w:eastAsia="zh-CN"/>
        </w:rPr>
        <w:t>X</w:t>
      </w:r>
      <w:r>
        <w:rPr>
          <w:rFonts w:hint="eastAsia"/>
          <w:highlight w:val="none"/>
          <w:lang w:eastAsia="zh-CN"/>
        </w:rPr>
        <w:t>，生产废气中无国家总量控制的污染物指标。水污染物可实现零排放。</w:t>
      </w:r>
    </w:p>
    <w:p>
      <w:pPr>
        <w:autoSpaceDE w:val="0"/>
        <w:autoSpaceDN w:val="0"/>
        <w:adjustRightInd w:val="0"/>
        <w:ind w:firstLine="480"/>
        <w:rPr>
          <w:rFonts w:hint="eastAsia"/>
          <w:highlight w:val="none"/>
          <w:lang w:eastAsia="zh-CN"/>
        </w:rPr>
      </w:pPr>
      <w:r>
        <w:rPr>
          <w:rFonts w:hint="eastAsia"/>
          <w:highlight w:val="none"/>
          <w:lang w:eastAsia="zh-CN"/>
        </w:rPr>
        <w:t>综上，本次评价建议不做污染物总量控制指标的建议。</w:t>
      </w:r>
    </w:p>
    <w:p>
      <w:pPr>
        <w:autoSpaceDE w:val="0"/>
        <w:autoSpaceDN w:val="0"/>
        <w:adjustRightInd w:val="0"/>
        <w:ind w:firstLine="480"/>
        <w:rPr>
          <w:rFonts w:hint="eastAsia"/>
          <w:highlight w:val="none"/>
          <w:lang w:eastAsia="zh-CN"/>
        </w:rPr>
      </w:pPr>
    </w:p>
    <w:p>
      <w:pPr>
        <w:autoSpaceDE w:val="0"/>
        <w:autoSpaceDN w:val="0"/>
        <w:adjustRightInd w:val="0"/>
        <w:ind w:firstLine="480"/>
        <w:rPr>
          <w:rFonts w:hint="eastAsia"/>
          <w:highlight w:val="none"/>
          <w:lang w:eastAsia="zh-CN"/>
        </w:rPr>
      </w:pPr>
    </w:p>
    <w:p>
      <w:pPr>
        <w:autoSpaceDE w:val="0"/>
        <w:autoSpaceDN w:val="0"/>
        <w:adjustRightInd w:val="0"/>
        <w:ind w:firstLine="480"/>
        <w:rPr>
          <w:rFonts w:hint="eastAsia"/>
          <w:highlight w:val="none"/>
          <w:lang w:eastAsia="zh-CN"/>
        </w:rPr>
      </w:pPr>
    </w:p>
    <w:p>
      <w:pPr>
        <w:autoSpaceDE w:val="0"/>
        <w:autoSpaceDN w:val="0"/>
        <w:adjustRightInd w:val="0"/>
        <w:ind w:firstLine="480"/>
        <w:rPr>
          <w:rFonts w:hint="eastAsia"/>
          <w:highlight w:val="none"/>
          <w:lang w:eastAsia="zh-CN"/>
        </w:rPr>
      </w:pPr>
    </w:p>
    <w:p>
      <w:pPr>
        <w:autoSpaceDE w:val="0"/>
        <w:autoSpaceDN w:val="0"/>
        <w:adjustRightInd w:val="0"/>
        <w:ind w:firstLine="480"/>
        <w:rPr>
          <w:rFonts w:hint="eastAsia"/>
          <w:color w:val="000000"/>
          <w:szCs w:val="32"/>
          <w:highlight w:val="none"/>
          <w:lang w:val="en-US" w:eastAsia="zh-CN"/>
        </w:rPr>
      </w:pPr>
    </w:p>
    <w:p>
      <w:pPr>
        <w:pStyle w:val="3"/>
        <w:rPr>
          <w:color w:val="000000"/>
          <w:szCs w:val="32"/>
          <w:highlight w:val="none"/>
        </w:rPr>
      </w:pPr>
      <w:r>
        <w:rPr>
          <w:rFonts w:hint="eastAsia"/>
          <w:color w:val="000000"/>
          <w:szCs w:val="32"/>
          <w:highlight w:val="none"/>
          <w:lang w:val="en-US" w:eastAsia="zh-CN"/>
        </w:rPr>
        <w:t>11</w:t>
      </w:r>
      <w:r>
        <w:rPr>
          <w:color w:val="000000"/>
          <w:szCs w:val="32"/>
          <w:highlight w:val="none"/>
        </w:rPr>
        <w:t xml:space="preserve"> 环境影响评价结论</w:t>
      </w:r>
      <w:bookmarkEnd w:id="574"/>
      <w:bookmarkEnd w:id="575"/>
      <w:bookmarkEnd w:id="576"/>
    </w:p>
    <w:p>
      <w:pPr>
        <w:pStyle w:val="4"/>
        <w:rPr>
          <w:color w:val="000000"/>
          <w:highlight w:val="none"/>
        </w:rPr>
      </w:pPr>
      <w:bookmarkStart w:id="577" w:name="_Toc13131"/>
      <w:bookmarkStart w:id="578" w:name="_Toc823"/>
      <w:bookmarkStart w:id="579" w:name="_Toc19777"/>
      <w:bookmarkStart w:id="580" w:name="_Toc30593"/>
      <w:bookmarkStart w:id="581" w:name="_Toc1807"/>
      <w:r>
        <w:rPr>
          <w:rFonts w:hint="eastAsia"/>
          <w:color w:val="000000"/>
          <w:highlight w:val="none"/>
          <w:lang w:val="en-US" w:eastAsia="zh-CN"/>
        </w:rPr>
        <w:t>11</w:t>
      </w:r>
      <w:r>
        <w:rPr>
          <w:color w:val="000000"/>
          <w:highlight w:val="none"/>
        </w:rPr>
        <w:t>.1项目概况</w:t>
      </w:r>
      <w:bookmarkEnd w:id="577"/>
      <w:bookmarkEnd w:id="578"/>
      <w:bookmarkEnd w:id="579"/>
      <w:bookmarkEnd w:id="580"/>
      <w:bookmarkEnd w:id="581"/>
    </w:p>
    <w:p>
      <w:pPr>
        <w:autoSpaceDE w:val="0"/>
        <w:autoSpaceDN w:val="0"/>
        <w:adjustRightInd w:val="0"/>
        <w:ind w:firstLine="480"/>
        <w:rPr>
          <w:rFonts w:hint="eastAsia" w:eastAsia="宋体"/>
          <w:highlight w:val="none"/>
          <w:lang w:eastAsia="zh-CN"/>
        </w:rPr>
      </w:pPr>
      <w:r>
        <w:rPr>
          <w:rFonts w:hint="eastAsia"/>
          <w:highlight w:val="none"/>
        </w:rPr>
        <w:t>项目名称：</w:t>
      </w:r>
      <w:r>
        <w:rPr>
          <w:rFonts w:hint="eastAsia"/>
          <w:highlight w:val="none"/>
          <w:lang w:eastAsia="zh-CN"/>
        </w:rPr>
        <w:t>砚山县阿猛镇倮基黑卡子凹塘石料厂年产30万吨建筑石料用灰岩建设项目</w:t>
      </w:r>
    </w:p>
    <w:p>
      <w:pPr>
        <w:autoSpaceDE w:val="0"/>
        <w:autoSpaceDN w:val="0"/>
        <w:adjustRightInd w:val="0"/>
        <w:ind w:firstLine="480"/>
        <w:rPr>
          <w:rFonts w:hint="eastAsia" w:eastAsia="宋体"/>
          <w:highlight w:val="none"/>
          <w:lang w:eastAsia="zh-CN"/>
        </w:rPr>
      </w:pPr>
      <w:r>
        <w:rPr>
          <w:rFonts w:hint="eastAsia"/>
          <w:highlight w:val="none"/>
        </w:rPr>
        <w:t>建设单位：</w:t>
      </w:r>
      <w:r>
        <w:rPr>
          <w:rFonts w:hint="eastAsia"/>
          <w:highlight w:val="none"/>
          <w:lang w:eastAsia="zh-CN"/>
        </w:rPr>
        <w:t>砚山县江那镇真元饲料添加剂沸石粉厂</w:t>
      </w:r>
    </w:p>
    <w:p>
      <w:pPr>
        <w:autoSpaceDE w:val="0"/>
        <w:autoSpaceDN w:val="0"/>
        <w:adjustRightInd w:val="0"/>
        <w:ind w:firstLine="480"/>
        <w:rPr>
          <w:rFonts w:hint="eastAsia" w:eastAsia="宋体"/>
          <w:highlight w:val="none"/>
          <w:lang w:eastAsia="zh-CN"/>
        </w:rPr>
      </w:pPr>
      <w:r>
        <w:rPr>
          <w:rFonts w:hint="eastAsia"/>
          <w:highlight w:val="none"/>
        </w:rPr>
        <w:t>建设性质：</w:t>
      </w:r>
      <w:r>
        <w:rPr>
          <w:rFonts w:hint="eastAsia"/>
          <w:highlight w:val="none"/>
          <w:lang w:eastAsia="zh-CN"/>
        </w:rPr>
        <w:t>新建</w:t>
      </w:r>
    </w:p>
    <w:p>
      <w:pPr>
        <w:autoSpaceDE w:val="0"/>
        <w:autoSpaceDN w:val="0"/>
        <w:adjustRightInd w:val="0"/>
        <w:ind w:firstLine="480"/>
        <w:rPr>
          <w:rFonts w:hint="eastAsia" w:eastAsia="宋体"/>
          <w:highlight w:val="none"/>
          <w:lang w:eastAsia="zh-CN"/>
        </w:rPr>
      </w:pPr>
      <w:r>
        <w:rPr>
          <w:rFonts w:hint="eastAsia"/>
          <w:highlight w:val="none"/>
        </w:rPr>
        <w:t>建设地点：</w:t>
      </w:r>
      <w:r>
        <w:rPr>
          <w:rFonts w:hint="eastAsia"/>
          <w:highlight w:val="none"/>
          <w:lang w:eastAsia="zh-CN"/>
        </w:rPr>
        <w:t>砚山县阿猛镇倮基黑卡子凹塘</w:t>
      </w:r>
    </w:p>
    <w:p>
      <w:pPr>
        <w:autoSpaceDE w:val="0"/>
        <w:autoSpaceDN w:val="0"/>
        <w:adjustRightInd w:val="0"/>
        <w:ind w:firstLine="480"/>
        <w:rPr>
          <w:color w:val="auto"/>
          <w:highlight w:val="none"/>
        </w:rPr>
      </w:pPr>
      <w:r>
        <w:rPr>
          <w:rFonts w:hint="eastAsia"/>
          <w:highlight w:val="none"/>
        </w:rPr>
        <w:t>建设规模：矿区范围面积为0.</w:t>
      </w:r>
      <w:r>
        <w:rPr>
          <w:rFonts w:hint="eastAsia"/>
          <w:highlight w:val="none"/>
          <w:lang w:val="en-US" w:eastAsia="zh-CN"/>
        </w:rPr>
        <w:t>095</w:t>
      </w:r>
      <w:r>
        <w:rPr>
          <w:rFonts w:hint="eastAsia"/>
          <w:highlight w:val="none"/>
        </w:rPr>
        <w:t>km</w:t>
      </w:r>
      <w:r>
        <w:rPr>
          <w:rFonts w:hint="eastAsia"/>
          <w:highlight w:val="none"/>
          <w:vertAlign w:val="superscript"/>
        </w:rPr>
        <w:t>2</w:t>
      </w:r>
      <w:r>
        <w:rPr>
          <w:rFonts w:hint="eastAsia"/>
          <w:color w:val="auto"/>
          <w:highlight w:val="none"/>
        </w:rPr>
        <w:t>，</w:t>
      </w:r>
      <w:r>
        <w:rPr>
          <w:rFonts w:hint="eastAsia"/>
          <w:color w:val="auto"/>
          <w:highlight w:val="none"/>
          <w:lang w:eastAsia="zh-CN"/>
        </w:rPr>
        <w:t>年采</w:t>
      </w:r>
      <w:r>
        <w:rPr>
          <w:rFonts w:hint="eastAsia"/>
          <w:color w:val="auto"/>
          <w:highlight w:val="none"/>
        </w:rPr>
        <w:t>石灰岩</w:t>
      </w:r>
      <w:r>
        <w:rPr>
          <w:rFonts w:hint="eastAsia"/>
          <w:color w:val="auto"/>
          <w:highlight w:val="none"/>
          <w:lang w:eastAsia="zh-CN"/>
        </w:rPr>
        <w:t>矿</w:t>
      </w:r>
      <w:r>
        <w:rPr>
          <w:rFonts w:hint="eastAsia"/>
          <w:color w:val="auto"/>
          <w:highlight w:val="none"/>
          <w:lang w:val="en-US" w:eastAsia="zh-CN"/>
        </w:rPr>
        <w:t>30</w:t>
      </w:r>
      <w:r>
        <w:rPr>
          <w:rFonts w:hint="eastAsia"/>
          <w:color w:val="auto"/>
          <w:highlight w:val="none"/>
        </w:rPr>
        <w:t>万吨</w:t>
      </w:r>
    </w:p>
    <w:p>
      <w:pPr>
        <w:autoSpaceDE w:val="0"/>
        <w:autoSpaceDN w:val="0"/>
        <w:adjustRightInd w:val="0"/>
        <w:ind w:firstLine="480"/>
        <w:rPr>
          <w:highlight w:val="none"/>
        </w:rPr>
      </w:pPr>
      <w:r>
        <w:rPr>
          <w:rFonts w:hint="eastAsia"/>
          <w:highlight w:val="none"/>
        </w:rPr>
        <w:t>开采方式：露天开采</w:t>
      </w:r>
    </w:p>
    <w:p>
      <w:pPr>
        <w:autoSpaceDE w:val="0"/>
        <w:autoSpaceDN w:val="0"/>
        <w:adjustRightInd w:val="0"/>
        <w:ind w:firstLine="480"/>
        <w:rPr>
          <w:highlight w:val="none"/>
        </w:rPr>
      </w:pPr>
      <w:r>
        <w:rPr>
          <w:rFonts w:hint="eastAsia"/>
          <w:highlight w:val="none"/>
        </w:rPr>
        <w:t>产品方案：矿石产品为</w:t>
      </w:r>
      <w:r>
        <w:rPr>
          <w:rFonts w:hint="eastAsia"/>
          <w:highlight w:val="none"/>
          <w:lang w:eastAsia="zh-CN"/>
        </w:rPr>
        <w:t>公分石（粒级为Ф</w:t>
      </w:r>
      <w:r>
        <w:rPr>
          <w:rFonts w:hint="eastAsia"/>
          <w:highlight w:val="none"/>
          <w:lang w:val="en-US" w:eastAsia="zh-CN"/>
        </w:rPr>
        <w:t>15-30mm</w:t>
      </w:r>
      <w:r>
        <w:rPr>
          <w:rFonts w:hint="eastAsia"/>
          <w:highlight w:val="none"/>
          <w:lang w:eastAsia="zh-CN"/>
        </w:rPr>
        <w:t>）、细砂（粒级为Ф</w:t>
      </w:r>
      <w:r>
        <w:rPr>
          <w:rFonts w:hint="eastAsia"/>
          <w:highlight w:val="none"/>
          <w:lang w:val="en-US" w:eastAsia="zh-CN"/>
        </w:rPr>
        <w:t>0-15mm</w:t>
      </w:r>
      <w:r>
        <w:rPr>
          <w:rFonts w:hint="eastAsia"/>
          <w:highlight w:val="none"/>
          <w:lang w:eastAsia="zh-CN"/>
        </w:rPr>
        <w:t>）</w:t>
      </w:r>
      <w:r>
        <w:rPr>
          <w:rFonts w:hint="eastAsia"/>
          <w:highlight w:val="none"/>
        </w:rPr>
        <w:t>。</w:t>
      </w:r>
    </w:p>
    <w:p>
      <w:pPr>
        <w:pStyle w:val="17"/>
        <w:ind w:firstLine="480"/>
        <w:rPr>
          <w:rFonts w:hint="eastAsia" w:ascii="Times New Roman" w:hAnsi="Times New Roman"/>
          <w:color w:val="auto"/>
          <w:highlight w:val="none"/>
        </w:rPr>
      </w:pPr>
      <w:r>
        <w:rPr>
          <w:rFonts w:ascii="Times New Roman" w:hAnsi="Times New Roman"/>
          <w:color w:val="auto"/>
          <w:highlight w:val="none"/>
        </w:rPr>
        <w:t>总投资：</w:t>
      </w:r>
      <w:r>
        <w:rPr>
          <w:rFonts w:hint="eastAsia" w:ascii="Times New Roman" w:hAnsi="Times New Roman"/>
          <w:color w:val="auto"/>
          <w:highlight w:val="none"/>
          <w:lang w:val="en-US" w:eastAsia="zh-CN"/>
        </w:rPr>
        <w:t>568</w:t>
      </w:r>
      <w:r>
        <w:rPr>
          <w:rFonts w:ascii="Times New Roman" w:hAnsi="Times New Roman"/>
          <w:color w:val="auto"/>
          <w:highlight w:val="none"/>
        </w:rPr>
        <w:t>万元</w:t>
      </w:r>
      <w:r>
        <w:rPr>
          <w:rFonts w:hint="eastAsia" w:ascii="Times New Roman" w:hAnsi="Times New Roman"/>
          <w:color w:val="auto"/>
          <w:highlight w:val="none"/>
        </w:rPr>
        <w:t>，其中环保投资</w:t>
      </w:r>
      <w:r>
        <w:rPr>
          <w:rFonts w:hint="eastAsia" w:ascii="Times New Roman" w:hAnsi="Times New Roman"/>
          <w:color w:val="auto"/>
          <w:highlight w:val="none"/>
          <w:lang w:val="en-US" w:eastAsia="zh-CN"/>
        </w:rPr>
        <w:t>109.5</w:t>
      </w:r>
      <w:r>
        <w:rPr>
          <w:rFonts w:hint="eastAsia" w:ascii="Times New Roman" w:hAnsi="Times New Roman"/>
          <w:color w:val="auto"/>
          <w:highlight w:val="none"/>
        </w:rPr>
        <w:t>万元，约占总投资的</w:t>
      </w:r>
      <w:r>
        <w:rPr>
          <w:rFonts w:hint="eastAsia" w:ascii="Times New Roman" w:hAnsi="Times New Roman"/>
          <w:color w:val="auto"/>
          <w:highlight w:val="none"/>
          <w:lang w:val="en-US" w:eastAsia="zh-CN"/>
        </w:rPr>
        <w:t>19.3</w:t>
      </w:r>
      <w:r>
        <w:rPr>
          <w:rFonts w:hint="eastAsia" w:ascii="Times New Roman" w:hAnsi="Times New Roman"/>
          <w:color w:val="auto"/>
          <w:highlight w:val="none"/>
        </w:rPr>
        <w:t>%。</w:t>
      </w:r>
    </w:p>
    <w:p>
      <w:pPr>
        <w:pStyle w:val="17"/>
        <w:ind w:firstLine="480"/>
        <w:rPr>
          <w:rFonts w:hint="eastAsia" w:ascii="Times New Roman" w:hAnsi="Times New Roman"/>
          <w:color w:val="auto"/>
          <w:highlight w:val="none"/>
        </w:rPr>
      </w:pPr>
      <w:r>
        <w:rPr>
          <w:rFonts w:ascii="Times New Roman" w:hAnsi="Times New Roman"/>
          <w:color w:val="auto"/>
          <w:highlight w:val="none"/>
        </w:rPr>
        <w:t>服务年限：</w:t>
      </w:r>
      <w:r>
        <w:rPr>
          <w:rFonts w:hint="eastAsia" w:ascii="Times New Roman" w:hAnsi="Times New Roman"/>
          <w:color w:val="auto"/>
          <w:highlight w:val="none"/>
          <w:lang w:val="en-US" w:eastAsia="zh-CN"/>
        </w:rPr>
        <w:t>6.8</w:t>
      </w:r>
      <w:r>
        <w:rPr>
          <w:rFonts w:ascii="Times New Roman" w:hAnsi="Times New Roman"/>
          <w:color w:val="auto"/>
          <w:highlight w:val="none"/>
        </w:rPr>
        <w:t>年</w:t>
      </w:r>
    </w:p>
    <w:p>
      <w:pPr>
        <w:pStyle w:val="4"/>
        <w:rPr>
          <w:color w:val="000000"/>
          <w:highlight w:val="none"/>
        </w:rPr>
      </w:pPr>
      <w:bookmarkStart w:id="582" w:name="_Toc29235"/>
      <w:bookmarkStart w:id="583" w:name="_Toc30865"/>
      <w:bookmarkStart w:id="584" w:name="_Toc28132"/>
      <w:bookmarkStart w:id="585" w:name="_Toc10203"/>
      <w:bookmarkStart w:id="586" w:name="_Toc7481"/>
      <w:r>
        <w:rPr>
          <w:rFonts w:hint="eastAsia"/>
          <w:color w:val="000000"/>
          <w:highlight w:val="none"/>
          <w:lang w:val="en-US" w:eastAsia="zh-CN"/>
        </w:rPr>
        <w:t>11</w:t>
      </w:r>
      <w:r>
        <w:rPr>
          <w:color w:val="000000"/>
          <w:highlight w:val="none"/>
        </w:rPr>
        <w:t>.2环境质量现状</w:t>
      </w:r>
      <w:bookmarkEnd w:id="582"/>
      <w:bookmarkEnd w:id="583"/>
      <w:bookmarkEnd w:id="584"/>
      <w:bookmarkEnd w:id="585"/>
      <w:r>
        <w:rPr>
          <w:rFonts w:hint="eastAsia"/>
          <w:color w:val="000000"/>
          <w:highlight w:val="none"/>
        </w:rPr>
        <w:t>评价结论</w:t>
      </w:r>
      <w:bookmarkEnd w:id="586"/>
    </w:p>
    <w:p>
      <w:pPr>
        <w:numPr>
          <w:ilvl w:val="0"/>
          <w:numId w:val="13"/>
        </w:numPr>
        <w:ind w:firstLine="480"/>
        <w:rPr>
          <w:highlight w:val="none"/>
        </w:rPr>
      </w:pPr>
      <w:r>
        <w:rPr>
          <w:rFonts w:hint="eastAsia"/>
          <w:highlight w:val="none"/>
        </w:rPr>
        <w:t>环境空气</w:t>
      </w:r>
    </w:p>
    <w:p>
      <w:pPr>
        <w:pStyle w:val="17"/>
        <w:ind w:firstLine="480"/>
        <w:rPr>
          <w:color w:val="auto"/>
          <w:highlight w:val="none"/>
        </w:rPr>
      </w:pPr>
      <w:r>
        <w:rPr>
          <w:rFonts w:hint="eastAsia"/>
          <w:color w:val="auto"/>
          <w:highlight w:val="none"/>
          <w:lang w:eastAsia="zh-CN"/>
        </w:rPr>
        <w:t>根据文山州市便民服务中心环境空气自动监测</w:t>
      </w:r>
      <w:r>
        <w:rPr>
          <w:rFonts w:hint="default" w:ascii="Times New Roman" w:hAnsi="Times New Roman" w:cs="Times New Roman"/>
          <w:color w:val="auto"/>
          <w:highlight w:val="none"/>
          <w:lang w:val="en-US" w:eastAsia="zh-CN"/>
        </w:rPr>
        <w:t>2018年日历年</w:t>
      </w:r>
      <w:r>
        <w:rPr>
          <w:rFonts w:hint="eastAsia"/>
          <w:color w:val="auto"/>
          <w:highlight w:val="none"/>
          <w:lang w:val="en-US" w:eastAsia="zh-CN"/>
        </w:rPr>
        <w:t>监测</w:t>
      </w:r>
      <w:r>
        <w:rPr>
          <w:rFonts w:hint="eastAsia"/>
          <w:color w:val="auto"/>
          <w:highlight w:val="none"/>
          <w:lang w:eastAsia="zh-CN"/>
        </w:rPr>
        <w:t>数据和补充监测数据结果可以看出，</w:t>
      </w:r>
      <w:r>
        <w:rPr>
          <w:rFonts w:hint="eastAsia"/>
          <w:color w:val="auto"/>
          <w:highlight w:val="none"/>
        </w:rPr>
        <w:t>项目所在区域环境空气质量较好，能达到</w:t>
      </w:r>
      <w:r>
        <w:rPr>
          <w:rFonts w:ascii="Times New Roman" w:hAnsi="Times New Roman"/>
          <w:color w:val="auto"/>
          <w:highlight w:val="none"/>
        </w:rPr>
        <w:t>《环境空气质量标准》（GB3095-2012）中二级标准</w:t>
      </w:r>
      <w:r>
        <w:rPr>
          <w:rFonts w:hint="eastAsia" w:ascii="Times New Roman" w:hAnsi="Times New Roman"/>
          <w:color w:val="auto"/>
          <w:highlight w:val="none"/>
        </w:rPr>
        <w:t>要求</w:t>
      </w:r>
      <w:r>
        <w:rPr>
          <w:rFonts w:hint="eastAsia" w:ascii="Times New Roman" w:hAnsi="Times New Roman"/>
          <w:color w:val="auto"/>
          <w:highlight w:val="none"/>
          <w:lang w:eastAsia="zh-CN"/>
        </w:rPr>
        <w:t>，属达标区。</w:t>
      </w:r>
    </w:p>
    <w:p>
      <w:pPr>
        <w:ind w:firstLine="480"/>
        <w:rPr>
          <w:highlight w:val="none"/>
        </w:rPr>
      </w:pPr>
      <w:r>
        <w:rPr>
          <w:rFonts w:hint="eastAsia"/>
          <w:highlight w:val="none"/>
        </w:rPr>
        <w:t>（2）地表水</w:t>
      </w:r>
    </w:p>
    <w:p>
      <w:pPr>
        <w:ind w:firstLine="480"/>
        <w:rPr>
          <w:highlight w:val="none"/>
        </w:rPr>
      </w:pPr>
      <w:r>
        <w:rPr>
          <w:rFonts w:hint="eastAsia"/>
          <w:highlight w:val="none"/>
        </w:rPr>
        <w:t>根据</w:t>
      </w:r>
      <w:r>
        <w:rPr>
          <w:kern w:val="52"/>
          <w:highlight w:val="none"/>
        </w:rPr>
        <w:t>云南环绿环境检测技术有限公司</w:t>
      </w:r>
      <w:r>
        <w:rPr>
          <w:rFonts w:hint="eastAsia"/>
          <w:kern w:val="52"/>
          <w:highlight w:val="none"/>
          <w:lang w:val="en-US" w:eastAsia="zh-CN"/>
        </w:rPr>
        <w:t>2020</w:t>
      </w:r>
      <w:r>
        <w:rPr>
          <w:kern w:val="52"/>
          <w:highlight w:val="none"/>
        </w:rPr>
        <w:t>年</w:t>
      </w:r>
      <w:r>
        <w:rPr>
          <w:rFonts w:hint="eastAsia"/>
          <w:kern w:val="52"/>
          <w:highlight w:val="none"/>
          <w:lang w:val="en-US" w:eastAsia="zh-CN"/>
        </w:rPr>
        <w:t>2</w:t>
      </w:r>
      <w:r>
        <w:rPr>
          <w:kern w:val="52"/>
          <w:highlight w:val="none"/>
        </w:rPr>
        <w:t>月</w:t>
      </w:r>
      <w:r>
        <w:rPr>
          <w:rFonts w:hint="eastAsia"/>
          <w:kern w:val="52"/>
          <w:highlight w:val="none"/>
          <w:lang w:val="en-US" w:eastAsia="zh-CN"/>
        </w:rPr>
        <w:t>13</w:t>
      </w:r>
      <w:r>
        <w:rPr>
          <w:kern w:val="52"/>
          <w:highlight w:val="none"/>
        </w:rPr>
        <w:t>日至</w:t>
      </w:r>
      <w:r>
        <w:rPr>
          <w:rFonts w:hint="eastAsia"/>
          <w:kern w:val="52"/>
          <w:highlight w:val="none"/>
          <w:lang w:val="en-US" w:eastAsia="zh-CN"/>
        </w:rPr>
        <w:t>14</w:t>
      </w:r>
      <w:r>
        <w:rPr>
          <w:kern w:val="52"/>
          <w:highlight w:val="none"/>
        </w:rPr>
        <w:t>日对</w:t>
      </w:r>
      <w:r>
        <w:rPr>
          <w:rFonts w:hint="eastAsia"/>
          <w:kern w:val="52"/>
          <w:highlight w:val="none"/>
          <w:lang w:eastAsia="zh-CN"/>
        </w:rPr>
        <w:t>卡子水库</w:t>
      </w:r>
      <w:r>
        <w:rPr>
          <w:kern w:val="52"/>
          <w:highlight w:val="none"/>
        </w:rPr>
        <w:t>水环境质量现状监测</w:t>
      </w:r>
      <w:r>
        <w:rPr>
          <w:rFonts w:hint="eastAsia"/>
          <w:kern w:val="52"/>
          <w:highlight w:val="none"/>
        </w:rPr>
        <w:t>结果表明</w:t>
      </w:r>
      <w:r>
        <w:rPr>
          <w:rFonts w:hint="eastAsia"/>
          <w:highlight w:val="none"/>
        </w:rPr>
        <w:t>，</w:t>
      </w:r>
      <w:r>
        <w:rPr>
          <w:rFonts w:hint="eastAsia"/>
          <w:highlight w:val="none"/>
          <w:lang w:val="zh-CN"/>
        </w:rPr>
        <w:t>卡子水库不能满足</w:t>
      </w:r>
      <w:r>
        <w:rPr>
          <w:highlight w:val="none"/>
          <w:lang w:val="zh-CN"/>
        </w:rPr>
        <w:t>GB3838-2002《地表水环境质量标准》Ⅲ类标准</w:t>
      </w:r>
      <w:r>
        <w:rPr>
          <w:rFonts w:hint="eastAsia"/>
          <w:highlight w:val="none"/>
          <w:lang w:val="zh-CN"/>
        </w:rPr>
        <w:t>，主要超标因子为总磷，超标倍数</w:t>
      </w:r>
      <w:r>
        <w:rPr>
          <w:rFonts w:hint="eastAsia"/>
          <w:highlight w:val="none"/>
          <w:lang w:val="en-US" w:eastAsia="zh-CN"/>
        </w:rPr>
        <w:t>3</w:t>
      </w:r>
      <w:r>
        <w:rPr>
          <w:rFonts w:hint="eastAsia"/>
          <w:highlight w:val="none"/>
        </w:rPr>
        <w:t>，主要受周边农业面源污染影响。</w:t>
      </w:r>
    </w:p>
    <w:p>
      <w:pPr>
        <w:ind w:firstLine="480"/>
        <w:rPr>
          <w:highlight w:val="none"/>
        </w:rPr>
      </w:pPr>
      <w:r>
        <w:rPr>
          <w:rFonts w:hint="eastAsia"/>
          <w:highlight w:val="none"/>
        </w:rPr>
        <w:t>（3）声环境</w:t>
      </w:r>
    </w:p>
    <w:p>
      <w:pPr>
        <w:pStyle w:val="17"/>
        <w:ind w:firstLine="480"/>
        <w:rPr>
          <w:rFonts w:ascii="Times New Roman" w:hAnsi="Times New Roman"/>
          <w:highlight w:val="none"/>
        </w:rPr>
      </w:pPr>
      <w:r>
        <w:rPr>
          <w:rFonts w:ascii="Times New Roman" w:hAnsi="Times New Roman"/>
          <w:highlight w:val="none"/>
        </w:rPr>
        <w:t>根据云南环绿环境检测技术有限公司</w:t>
      </w:r>
      <w:r>
        <w:rPr>
          <w:rFonts w:hint="eastAsia" w:ascii="Times New Roman" w:hAnsi="Times New Roman"/>
          <w:highlight w:val="none"/>
          <w:lang w:val="en-US" w:eastAsia="zh-CN"/>
        </w:rPr>
        <w:t>2020</w:t>
      </w:r>
      <w:r>
        <w:rPr>
          <w:rFonts w:ascii="Times New Roman" w:hAnsi="Times New Roman"/>
          <w:highlight w:val="none"/>
        </w:rPr>
        <w:t>年</w:t>
      </w:r>
      <w:r>
        <w:rPr>
          <w:rFonts w:hint="eastAsia" w:ascii="Times New Roman" w:hAnsi="Times New Roman"/>
          <w:highlight w:val="none"/>
          <w:lang w:val="en-US" w:eastAsia="zh-CN"/>
        </w:rPr>
        <w:t>2</w:t>
      </w:r>
      <w:r>
        <w:rPr>
          <w:rFonts w:ascii="Times New Roman" w:hAnsi="Times New Roman"/>
          <w:highlight w:val="none"/>
        </w:rPr>
        <w:t>月</w:t>
      </w:r>
      <w:r>
        <w:rPr>
          <w:rFonts w:hint="eastAsia" w:ascii="Times New Roman" w:hAnsi="Times New Roman"/>
          <w:highlight w:val="none"/>
          <w:lang w:val="en-US" w:eastAsia="zh-CN"/>
        </w:rPr>
        <w:t>15</w:t>
      </w:r>
      <w:r>
        <w:rPr>
          <w:rFonts w:ascii="Times New Roman" w:hAnsi="Times New Roman"/>
          <w:highlight w:val="none"/>
        </w:rPr>
        <w:t>日至</w:t>
      </w:r>
      <w:r>
        <w:rPr>
          <w:rFonts w:hint="eastAsia" w:ascii="Times New Roman" w:hAnsi="Times New Roman"/>
          <w:highlight w:val="none"/>
          <w:lang w:val="en-US" w:eastAsia="zh-CN"/>
        </w:rPr>
        <w:t>16</w:t>
      </w:r>
      <w:r>
        <w:rPr>
          <w:rFonts w:ascii="Times New Roman" w:hAnsi="Times New Roman"/>
          <w:highlight w:val="none"/>
        </w:rPr>
        <w:t>日对</w:t>
      </w:r>
      <w:r>
        <w:rPr>
          <w:rFonts w:hint="eastAsia" w:ascii="Times New Roman" w:hAnsi="Times New Roman"/>
          <w:highlight w:val="none"/>
          <w:lang w:eastAsia="zh-CN"/>
        </w:rPr>
        <w:t>项目区</w:t>
      </w:r>
      <w:r>
        <w:rPr>
          <w:rFonts w:hint="eastAsia" w:ascii="Times New Roman" w:hAnsi="Times New Roman"/>
          <w:highlight w:val="none"/>
        </w:rPr>
        <w:t>声</w:t>
      </w:r>
      <w:r>
        <w:rPr>
          <w:rFonts w:ascii="Times New Roman" w:hAnsi="Times New Roman"/>
          <w:highlight w:val="none"/>
        </w:rPr>
        <w:t>环境质量现状监测结果表明</w:t>
      </w:r>
      <w:r>
        <w:rPr>
          <w:rFonts w:hint="eastAsia" w:ascii="Times New Roman" w:hAnsi="Times New Roman"/>
          <w:highlight w:val="none"/>
        </w:rPr>
        <w:t>，</w:t>
      </w:r>
      <w:r>
        <w:rPr>
          <w:rFonts w:hint="eastAsia" w:ascii="Times New Roman" w:hAnsi="Times New Roman"/>
          <w:highlight w:val="none"/>
          <w:lang w:val="zh-CN"/>
        </w:rPr>
        <w:t>监测点噪声昼夜监测值均能满足《声环境质量标准》（GB3096-2008）中的</w:t>
      </w:r>
      <w:r>
        <w:rPr>
          <w:rFonts w:hint="eastAsia" w:ascii="Times New Roman" w:hAnsi="Times New Roman"/>
          <w:highlight w:val="none"/>
        </w:rPr>
        <w:t>2</w:t>
      </w:r>
      <w:r>
        <w:rPr>
          <w:rFonts w:hint="eastAsia" w:ascii="Times New Roman" w:hAnsi="Times New Roman"/>
          <w:highlight w:val="none"/>
          <w:lang w:val="zh-CN"/>
        </w:rPr>
        <w:t>类标准，区域声环境质量现状良好。</w:t>
      </w:r>
    </w:p>
    <w:p>
      <w:pPr>
        <w:ind w:firstLine="480"/>
        <w:rPr>
          <w:highlight w:val="none"/>
        </w:rPr>
      </w:pPr>
      <w:r>
        <w:rPr>
          <w:highlight w:val="none"/>
        </w:rPr>
        <w:t>（4）生态环境</w:t>
      </w:r>
    </w:p>
    <w:p>
      <w:pPr>
        <w:pStyle w:val="17"/>
        <w:ind w:firstLine="480"/>
        <w:rPr>
          <w:rFonts w:hint="eastAsia" w:ascii="Times New Roman" w:hAnsi="Times New Roman"/>
          <w:highlight w:val="none"/>
          <w:lang w:val="zh-CN"/>
        </w:rPr>
      </w:pPr>
      <w:r>
        <w:rPr>
          <w:rFonts w:hint="eastAsia" w:ascii="Times New Roman" w:hAnsi="Times New Roman"/>
          <w:highlight w:val="none"/>
          <w:lang w:val="zh-CN"/>
        </w:rPr>
        <w:t>评价区人员活动频繁，生态环境受人为干扰较大，植被覆盖率低，物种多样性一般，生态环境质量现状一般。</w:t>
      </w:r>
    </w:p>
    <w:p>
      <w:pPr>
        <w:pStyle w:val="17"/>
        <w:numPr>
          <w:ilvl w:val="0"/>
          <w:numId w:val="0"/>
        </w:numPr>
        <w:ind w:leftChars="200"/>
        <w:rPr>
          <w:rFonts w:hint="eastAsia" w:ascii="Times New Roman" w:hAnsi="Times New Roman"/>
          <w:highlight w:val="none"/>
          <w:lang w:val="zh-CN"/>
        </w:rPr>
      </w:pPr>
      <w:r>
        <w:rPr>
          <w:rFonts w:hint="eastAsia" w:ascii="Times New Roman" w:hAnsi="Times New Roman"/>
          <w:highlight w:val="none"/>
          <w:lang w:val="zh-CN"/>
        </w:rPr>
        <w:t>（</w:t>
      </w:r>
      <w:r>
        <w:rPr>
          <w:rFonts w:hint="eastAsia" w:ascii="Times New Roman" w:hAnsi="Times New Roman"/>
          <w:highlight w:val="none"/>
          <w:lang w:val="en-US" w:eastAsia="zh-CN"/>
        </w:rPr>
        <w:t>5</w:t>
      </w:r>
      <w:r>
        <w:rPr>
          <w:rFonts w:hint="eastAsia" w:ascii="Times New Roman" w:hAnsi="Times New Roman"/>
          <w:highlight w:val="none"/>
          <w:lang w:val="zh-CN"/>
        </w:rPr>
        <w:t>）土壤</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highlight w:val="none"/>
          <w:lang w:val="zh-CN"/>
        </w:rPr>
      </w:pPr>
      <w:r>
        <w:rPr>
          <w:rFonts w:hint="eastAsia" w:ascii="Times New Roman" w:hAnsi="Times New Roman" w:cs="Times New Roman"/>
          <w:color w:val="auto"/>
          <w:sz w:val="24"/>
          <w:szCs w:val="24"/>
          <w:highlight w:val="none"/>
          <w:lang w:val="en-US" w:eastAsia="zh-CN"/>
        </w:rPr>
        <w:t>根据对项目区域土壤进行采样监测，结果表明</w:t>
      </w:r>
      <w:r>
        <w:rPr>
          <w:rFonts w:hint="default" w:ascii="Times New Roman" w:hAnsi="Times New Roman" w:cs="Times New Roman"/>
          <w:highlight w:val="none"/>
          <w:lang w:val="en-US" w:eastAsia="zh-CN"/>
        </w:rPr>
        <w:t>，占地范围外BT1（上风向）</w:t>
      </w:r>
      <w:r>
        <w:rPr>
          <w:rFonts w:hint="eastAsia" w:ascii="Times New Roman" w:hAnsi="Times New Roman" w:cs="Times New Roman"/>
          <w:highlight w:val="none"/>
          <w:lang w:val="en-US" w:eastAsia="zh-CN"/>
        </w:rPr>
        <w:t>、占地范围外BT3（下风向）表层土壤现状监测值</w:t>
      </w:r>
      <w:r>
        <w:rPr>
          <w:rFonts w:hint="default" w:ascii="Times New Roman" w:hAnsi="Times New Roman" w:cs="Times New Roman"/>
          <w:highlight w:val="none"/>
          <w:lang w:val="en-US" w:eastAsia="zh-CN"/>
        </w:rPr>
        <w:t>均能满足《土壤环境质量-农用地土壤污染风险管控标准》（GB15618-218）筛选值要求</w:t>
      </w:r>
      <w:r>
        <w:rPr>
          <w:rFonts w:hint="eastAsia" w:ascii="Times New Roman" w:hAnsi="Times New Roman" w:cs="Times New Roman"/>
          <w:highlight w:val="none"/>
          <w:lang w:val="en-US" w:eastAsia="zh-CN"/>
        </w:rPr>
        <w:t>；土壤pH值范围为6.18-6.43（5.5＜pH＜8.5），无酸化、碱化现象。土壤环境质量现状较好。</w:t>
      </w:r>
    </w:p>
    <w:p>
      <w:pPr>
        <w:pStyle w:val="4"/>
        <w:rPr>
          <w:rFonts w:hint="eastAsia" w:eastAsia="宋体"/>
          <w:color w:val="000000"/>
          <w:highlight w:val="none"/>
          <w:lang w:eastAsia="zh-CN"/>
        </w:rPr>
      </w:pPr>
      <w:bookmarkStart w:id="587" w:name="_Toc3217"/>
      <w:r>
        <w:rPr>
          <w:rFonts w:hint="eastAsia"/>
          <w:color w:val="000000"/>
          <w:highlight w:val="none"/>
          <w:lang w:val="en-US" w:eastAsia="zh-CN"/>
        </w:rPr>
        <w:t>11</w:t>
      </w:r>
      <w:r>
        <w:rPr>
          <w:color w:val="000000"/>
          <w:highlight w:val="none"/>
        </w:rPr>
        <w:t>.3</w:t>
      </w:r>
      <w:r>
        <w:rPr>
          <w:rFonts w:hint="eastAsia"/>
          <w:color w:val="000000"/>
          <w:highlight w:val="none"/>
          <w:lang w:eastAsia="zh-CN"/>
        </w:rPr>
        <w:t>环境影响分析结论</w:t>
      </w:r>
      <w:bookmarkEnd w:id="587"/>
    </w:p>
    <w:p>
      <w:pPr>
        <w:pStyle w:val="17"/>
        <w:ind w:left="0" w:leftChars="0" w:firstLine="0" w:firstLineChars="0"/>
        <w:rPr>
          <w:rFonts w:hint="eastAsia" w:ascii="Times New Roman" w:hAnsi="Times New Roman" w:eastAsia="宋体"/>
          <w:color w:val="FF0000"/>
          <w:highlight w:val="none"/>
          <w:lang w:val="en-US" w:eastAsia="zh-CN"/>
        </w:rPr>
      </w:pPr>
      <w:r>
        <w:rPr>
          <w:rFonts w:hint="eastAsia" w:ascii="Times New Roman" w:hAnsi="Times New Roman" w:cs="宋体"/>
          <w:b/>
          <w:kern w:val="0"/>
          <w:sz w:val="28"/>
          <w:szCs w:val="27"/>
          <w:highlight w:val="none"/>
          <w:lang w:val="en-US" w:eastAsia="zh-CN" w:bidi="ar-SA"/>
        </w:rPr>
        <w:t>11</w:t>
      </w:r>
      <w:r>
        <w:rPr>
          <w:rFonts w:hint="eastAsia" w:ascii="Times New Roman" w:hAnsi="Times New Roman" w:eastAsia="宋体" w:cs="宋体"/>
          <w:b/>
          <w:kern w:val="0"/>
          <w:sz w:val="28"/>
          <w:szCs w:val="27"/>
          <w:highlight w:val="none"/>
          <w:lang w:val="en-US" w:eastAsia="zh-CN" w:bidi="ar-SA"/>
        </w:rPr>
        <w:t>.</w:t>
      </w:r>
      <w:r>
        <w:rPr>
          <w:rFonts w:hint="eastAsia" w:ascii="Times New Roman" w:hAnsi="Times New Roman" w:cs="宋体"/>
          <w:b/>
          <w:kern w:val="0"/>
          <w:sz w:val="28"/>
          <w:szCs w:val="27"/>
          <w:highlight w:val="none"/>
          <w:lang w:val="en-US" w:eastAsia="zh-CN" w:bidi="ar-SA"/>
        </w:rPr>
        <w:t>3.1</w:t>
      </w:r>
      <w:r>
        <w:rPr>
          <w:rFonts w:hint="eastAsia" w:ascii="Times New Roman" w:hAnsi="Times New Roman" w:eastAsia="宋体" w:cs="宋体"/>
          <w:b/>
          <w:kern w:val="0"/>
          <w:sz w:val="28"/>
          <w:szCs w:val="27"/>
          <w:highlight w:val="none"/>
          <w:lang w:val="en-US" w:eastAsia="zh-CN" w:bidi="ar-SA"/>
        </w:rPr>
        <w:t xml:space="preserve"> </w:t>
      </w:r>
      <w:r>
        <w:rPr>
          <w:rFonts w:hint="eastAsia" w:ascii="Times New Roman" w:hAnsi="Times New Roman" w:cs="宋体"/>
          <w:b/>
          <w:kern w:val="0"/>
          <w:sz w:val="28"/>
          <w:szCs w:val="27"/>
          <w:highlight w:val="none"/>
          <w:lang w:val="en-US" w:eastAsia="zh-CN" w:bidi="ar-SA"/>
        </w:rPr>
        <w:t>施工期环境影响分析结论</w:t>
      </w:r>
    </w:p>
    <w:p>
      <w:pPr>
        <w:pStyle w:val="17"/>
        <w:ind w:firstLine="480"/>
        <w:rPr>
          <w:rFonts w:hint="eastAsia" w:ascii="Times New Roman" w:hAnsi="Times New Roman"/>
          <w:color w:val="auto"/>
          <w:highlight w:val="none"/>
        </w:rPr>
      </w:pPr>
      <w:r>
        <w:rPr>
          <w:rFonts w:hint="eastAsia" w:ascii="Times New Roman" w:hAnsi="Times New Roman"/>
          <w:color w:val="auto"/>
          <w:highlight w:val="none"/>
        </w:rPr>
        <w:t>项目施工期主要包括露天采场、排水沟、</w:t>
      </w:r>
      <w:r>
        <w:rPr>
          <w:rFonts w:hint="eastAsia" w:ascii="Times New Roman" w:hAnsi="Times New Roman"/>
          <w:color w:val="auto"/>
          <w:highlight w:val="none"/>
          <w:lang w:eastAsia="zh-CN"/>
        </w:rPr>
        <w:t>排土</w:t>
      </w:r>
      <w:r>
        <w:rPr>
          <w:rFonts w:hint="eastAsia" w:ascii="Times New Roman" w:hAnsi="Times New Roman"/>
          <w:color w:val="auto"/>
          <w:highlight w:val="none"/>
        </w:rPr>
        <w:t>场、初期雨水沉淀池等构筑物的建设。项目施工不占用基本农田、耕地，施工期较短，产生的影响有暂时性、瞬时性、可恢复性等特点。</w:t>
      </w:r>
    </w:p>
    <w:p>
      <w:pPr>
        <w:pStyle w:val="17"/>
        <w:ind w:firstLine="480"/>
        <w:rPr>
          <w:rFonts w:hint="eastAsia" w:ascii="Times New Roman" w:hAnsi="Times New Roman"/>
          <w:color w:val="auto"/>
          <w:highlight w:val="none"/>
        </w:rPr>
      </w:pPr>
      <w:r>
        <w:rPr>
          <w:rFonts w:hint="eastAsia" w:ascii="Times New Roman" w:hAnsi="Times New Roman"/>
          <w:color w:val="auto"/>
          <w:highlight w:val="none"/>
        </w:rPr>
        <w:t>工程施工占地面积小，施工面小、工程量小，但在施工过程中仍会损毁部分林木，对生态环境造成一定的影响；施工产生的废气量较小，但仍会对道路两侧、采场附近的树木及灌丛等绿色植物产生影响；爆破、破碎及安装设备产生的噪声将影响周围的小型野生动物的生境生活；基建期产生的废土方全部用于场内道路及平台的铺设，不外排。</w:t>
      </w:r>
    </w:p>
    <w:p>
      <w:pPr>
        <w:pStyle w:val="17"/>
        <w:ind w:firstLine="480"/>
        <w:rPr>
          <w:rFonts w:hint="eastAsia" w:ascii="Times New Roman" w:hAnsi="Times New Roman"/>
          <w:color w:val="auto"/>
          <w:highlight w:val="none"/>
        </w:rPr>
      </w:pPr>
      <w:r>
        <w:rPr>
          <w:rFonts w:hint="eastAsia" w:ascii="Times New Roman" w:hAnsi="Times New Roman"/>
          <w:color w:val="auto"/>
          <w:highlight w:val="none"/>
        </w:rPr>
        <w:t>项目施工期严格按照开采设计方案布设开采平台及场内运输道路，不侵占、不扩建。定时采用喷雾洒水措施对施工面进行降尘，减少废气扩散对周边林地绿色植物的影响。设备安装产生的噪声不可避免，但经过生态调查，项目评价范围内生物多样性较为简单，野生动物大多为鸟类及蛙类，施工噪声对野生生物的生境生活影响较小。</w:t>
      </w:r>
    </w:p>
    <w:p>
      <w:pPr>
        <w:pStyle w:val="17"/>
        <w:ind w:firstLine="480"/>
        <w:rPr>
          <w:rFonts w:ascii="Times New Roman" w:hAnsi="Times New Roman"/>
          <w:color w:val="FF0000"/>
          <w:highlight w:val="none"/>
        </w:rPr>
      </w:pPr>
      <w:r>
        <w:rPr>
          <w:rFonts w:hint="eastAsia" w:ascii="Times New Roman" w:hAnsi="Times New Roman"/>
          <w:color w:val="auto"/>
          <w:highlight w:val="none"/>
        </w:rPr>
        <w:t>综上所述，工程施工期不可避免的对周边环境造成一定的影响，但是本工程施工期较短，并采取相应的措施对产生的污染进行抑制，遂施工期对环境影响较小。</w:t>
      </w:r>
    </w:p>
    <w:p>
      <w:pPr>
        <w:pStyle w:val="17"/>
        <w:ind w:left="0" w:leftChars="0" w:firstLine="0" w:firstLineChars="0"/>
        <w:rPr>
          <w:rFonts w:hint="default" w:ascii="Times New Roman" w:hAnsi="Times New Roman" w:cs="Times New Roman"/>
          <w:color w:val="auto"/>
          <w:highlight w:val="none"/>
          <w:lang w:eastAsia="zh-CN"/>
        </w:rPr>
      </w:pPr>
      <w:r>
        <w:rPr>
          <w:rFonts w:hint="eastAsia" w:ascii="Times New Roman" w:hAnsi="Times New Roman" w:cs="宋体"/>
          <w:b/>
          <w:kern w:val="0"/>
          <w:sz w:val="28"/>
          <w:szCs w:val="27"/>
          <w:highlight w:val="none"/>
          <w:lang w:val="en-US" w:eastAsia="zh-CN" w:bidi="ar-SA"/>
        </w:rPr>
        <w:t>11</w:t>
      </w:r>
      <w:r>
        <w:rPr>
          <w:rFonts w:hint="eastAsia" w:ascii="Times New Roman" w:hAnsi="Times New Roman" w:eastAsia="宋体" w:cs="宋体"/>
          <w:b/>
          <w:kern w:val="0"/>
          <w:sz w:val="28"/>
          <w:szCs w:val="27"/>
          <w:highlight w:val="none"/>
          <w:lang w:val="en-US" w:eastAsia="zh-CN" w:bidi="ar-SA"/>
        </w:rPr>
        <w:t>.</w:t>
      </w:r>
      <w:r>
        <w:rPr>
          <w:rFonts w:hint="eastAsia" w:ascii="Times New Roman" w:hAnsi="Times New Roman" w:cs="宋体"/>
          <w:b/>
          <w:kern w:val="0"/>
          <w:sz w:val="28"/>
          <w:szCs w:val="27"/>
          <w:highlight w:val="none"/>
          <w:lang w:val="en-US" w:eastAsia="zh-CN" w:bidi="ar-SA"/>
        </w:rPr>
        <w:t>3.2</w:t>
      </w:r>
      <w:r>
        <w:rPr>
          <w:rFonts w:hint="eastAsia" w:ascii="Times New Roman" w:hAnsi="Times New Roman" w:eastAsia="宋体" w:cs="宋体"/>
          <w:b/>
          <w:kern w:val="0"/>
          <w:sz w:val="28"/>
          <w:szCs w:val="27"/>
          <w:highlight w:val="none"/>
          <w:lang w:val="en-US" w:eastAsia="zh-CN" w:bidi="ar-SA"/>
        </w:rPr>
        <w:t xml:space="preserve"> </w:t>
      </w:r>
      <w:r>
        <w:rPr>
          <w:rFonts w:hint="eastAsia" w:ascii="Times New Roman" w:hAnsi="Times New Roman" w:cs="宋体"/>
          <w:b/>
          <w:kern w:val="0"/>
          <w:sz w:val="28"/>
          <w:szCs w:val="27"/>
          <w:highlight w:val="none"/>
          <w:lang w:val="en-US" w:eastAsia="zh-CN" w:bidi="ar-SA"/>
        </w:rPr>
        <w:t>运营期环境影响分析结论</w:t>
      </w:r>
    </w:p>
    <w:p>
      <w:pPr>
        <w:pStyle w:val="17"/>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1、环境空气影响分析</w:t>
      </w:r>
    </w:p>
    <w:p>
      <w:pPr>
        <w:pStyle w:val="17"/>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环境空气的主要污染因素有无组织排放的采场粉尘、破碎场粉尘，有组织排放的粗碎及筛分粉尘、细碎及筛分粉尘。无组织排放经洒水、喷雾降尘，及密闭皮带运输加装溜槽等措施，破碎及筛分工序粉尘、粉碎及筛分工序粉尘加装布袋除尘器处理，再由15m高排气筒排放，满足《大气污染物综合排放标准》（GB16297-1996）二级排放标准要求。</w:t>
      </w:r>
    </w:p>
    <w:p>
      <w:pPr>
        <w:pStyle w:val="17"/>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2、水环境影响分析</w:t>
      </w:r>
    </w:p>
    <w:p>
      <w:pPr>
        <w:pStyle w:val="17"/>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露天采场和破碎场在除尘过程中，用水全部进入石料，并在外界环境的因素影响下以各种方式蒸发、损失，项目除尘用水无废水产生。废水主要源于露天采场及破碎场初期雨水</w:t>
      </w:r>
      <w:r>
        <w:rPr>
          <w:rFonts w:hint="eastAsia" w:ascii="Times New Roman" w:hAnsi="Times New Roman" w:cs="Times New Roman"/>
          <w:color w:val="auto"/>
          <w:highlight w:val="none"/>
          <w:lang w:eastAsia="zh-CN"/>
        </w:rPr>
        <w:t>和</w:t>
      </w:r>
      <w:r>
        <w:rPr>
          <w:rFonts w:hint="default" w:ascii="Times New Roman" w:hAnsi="Times New Roman" w:cs="Times New Roman"/>
          <w:color w:val="auto"/>
          <w:highlight w:val="none"/>
        </w:rPr>
        <w:t>生活污水。初期雨水经过截排水沟截流收集后进入初期雨水沉淀池进行沉淀处理，待非雨天时用于洒水降尘。生活污水经沉淀池处理后装入洒水车回用于场区洒水降尘。各单元产生的废水经有效的处理后均能循环利用，无废水外排，不会对周边地表水体产生不良影响。</w:t>
      </w:r>
    </w:p>
    <w:p>
      <w:pPr>
        <w:pStyle w:val="17"/>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3、声环境影响分析</w:t>
      </w:r>
    </w:p>
    <w:p>
      <w:pPr>
        <w:pStyle w:val="17"/>
        <w:ind w:firstLine="480"/>
        <w:rPr>
          <w:rFonts w:hint="default" w:eastAsia="宋体"/>
          <w:color w:val="auto"/>
          <w:highlight w:val="none"/>
          <w:lang w:val="en-US" w:eastAsia="zh-CN"/>
        </w:rPr>
      </w:pPr>
      <w:r>
        <w:rPr>
          <w:rFonts w:hint="default" w:ascii="Times New Roman" w:hAnsi="Times New Roman" w:cs="Times New Roman"/>
          <w:color w:val="auto"/>
          <w:highlight w:val="none"/>
        </w:rPr>
        <w:t>各设备噪声值东、南、西、北场界噪声值均能达到《工业企业厂界环境噪声排放标准》（GB12348-2008）中2类区昼间标准限值。经上分析可知，项目噪声对项目周边环境的影响较小。</w:t>
      </w:r>
    </w:p>
    <w:p>
      <w:pPr>
        <w:pStyle w:val="17"/>
        <w:ind w:firstLine="480"/>
        <w:rPr>
          <w:rFonts w:hint="eastAsia" w:ascii="Times New Roman" w:hAnsi="Times New Roman"/>
          <w:color w:val="auto"/>
          <w:highlight w:val="none"/>
        </w:rPr>
      </w:pPr>
      <w:r>
        <w:rPr>
          <w:rFonts w:hint="eastAsia" w:ascii="Times New Roman" w:hAnsi="Times New Roman"/>
          <w:color w:val="auto"/>
          <w:highlight w:val="none"/>
        </w:rPr>
        <w:t>4、固体废物影响分析</w:t>
      </w:r>
    </w:p>
    <w:p>
      <w:pPr>
        <w:pStyle w:val="17"/>
        <w:ind w:firstLine="480"/>
        <w:rPr>
          <w:color w:val="auto"/>
          <w:highlight w:val="none"/>
        </w:rPr>
      </w:pPr>
      <w:r>
        <w:rPr>
          <w:rFonts w:hint="eastAsia" w:ascii="Times New Roman" w:hAnsi="Times New Roman"/>
          <w:color w:val="auto"/>
          <w:highlight w:val="none"/>
        </w:rPr>
        <w:t>项目开采剥离表土全部暂存于表土堆场，用作恢复过程中的绿化覆土；废土石方堆存于废石场，用于后期采空区回填；沉淀池污泥定期清理至表土堆场与表土分开堆放，用于后期复垦；除尘器收尘灰经收集后作为石粉外售；废机油采用专用桶收集后暂存于项目破碎区危废暂存间（1间，10m</w:t>
      </w:r>
      <w:r>
        <w:rPr>
          <w:rFonts w:hint="eastAsia" w:ascii="Times New Roman" w:hAnsi="Times New Roman"/>
          <w:color w:val="auto"/>
          <w:highlight w:val="none"/>
          <w:vertAlign w:val="superscript"/>
        </w:rPr>
        <w:t>2</w:t>
      </w:r>
      <w:r>
        <w:rPr>
          <w:rFonts w:hint="eastAsia" w:ascii="Times New Roman" w:hAnsi="Times New Roman"/>
          <w:color w:val="auto"/>
          <w:highlight w:val="none"/>
        </w:rPr>
        <w:t>），定期委托有资质单位处置；生活垃圾垃圾桶收集后，定期外运至</w:t>
      </w:r>
      <w:r>
        <w:rPr>
          <w:rFonts w:hint="eastAsia" w:ascii="Times New Roman" w:hAnsi="Times New Roman"/>
          <w:color w:val="auto"/>
          <w:highlight w:val="none"/>
          <w:lang w:eastAsia="zh-CN"/>
        </w:rPr>
        <w:t>卡子村</w:t>
      </w:r>
      <w:r>
        <w:rPr>
          <w:rFonts w:hint="eastAsia" w:ascii="Times New Roman" w:hAnsi="Times New Roman"/>
          <w:color w:val="auto"/>
          <w:highlight w:val="none"/>
        </w:rPr>
        <w:t>垃圾堆放地点，由环卫部门清运处置。运营期固体废物经合理有效的处置后，对周边环境影响较小。</w:t>
      </w:r>
    </w:p>
    <w:p>
      <w:pPr>
        <w:pStyle w:val="4"/>
        <w:rPr>
          <w:highlight w:val="none"/>
        </w:rPr>
      </w:pPr>
      <w:bookmarkStart w:id="588" w:name="_Toc1405"/>
      <w:r>
        <w:rPr>
          <w:rFonts w:hint="eastAsia"/>
          <w:color w:val="000000"/>
          <w:highlight w:val="none"/>
        </w:rPr>
        <w:t>1</w:t>
      </w:r>
      <w:r>
        <w:rPr>
          <w:rFonts w:hint="eastAsia"/>
          <w:color w:val="000000"/>
          <w:highlight w:val="none"/>
          <w:lang w:val="en-US" w:eastAsia="zh-CN"/>
        </w:rPr>
        <w:t>1</w:t>
      </w:r>
      <w:r>
        <w:rPr>
          <w:color w:val="000000"/>
          <w:highlight w:val="none"/>
        </w:rPr>
        <w:t>.4</w:t>
      </w:r>
      <w:r>
        <w:rPr>
          <w:rFonts w:hint="eastAsia"/>
          <w:highlight w:val="none"/>
        </w:rPr>
        <w:t>总量控制</w:t>
      </w:r>
      <w:bookmarkEnd w:id="588"/>
    </w:p>
    <w:p>
      <w:pPr>
        <w:pStyle w:val="17"/>
        <w:ind w:firstLine="482"/>
        <w:rPr>
          <w:rFonts w:ascii="Times New Roman" w:hAnsi="Times New Roman"/>
          <w:b/>
          <w:bCs/>
          <w:highlight w:val="none"/>
        </w:rPr>
      </w:pPr>
      <w:r>
        <w:rPr>
          <w:rFonts w:hint="eastAsia"/>
          <w:b/>
          <w:bCs/>
          <w:highlight w:val="none"/>
        </w:rPr>
        <w:t>（</w:t>
      </w:r>
      <w:r>
        <w:rPr>
          <w:rFonts w:ascii="Times New Roman" w:hAnsi="Times New Roman"/>
          <w:b/>
          <w:bCs/>
          <w:highlight w:val="none"/>
        </w:rPr>
        <w:t>1）废水</w:t>
      </w:r>
    </w:p>
    <w:p>
      <w:pPr>
        <w:pStyle w:val="17"/>
        <w:ind w:firstLine="480"/>
        <w:rPr>
          <w:rFonts w:ascii="Times New Roman" w:hAnsi="Times New Roman"/>
          <w:highlight w:val="none"/>
        </w:rPr>
      </w:pPr>
      <w:r>
        <w:rPr>
          <w:rFonts w:ascii="Times New Roman" w:hAnsi="Times New Roman"/>
          <w:highlight w:val="none"/>
        </w:rPr>
        <w:t>本项目</w:t>
      </w:r>
      <w:r>
        <w:rPr>
          <w:rFonts w:hint="eastAsia" w:ascii="Times New Roman" w:hAnsi="Times New Roman"/>
          <w:highlight w:val="none"/>
          <w:lang w:eastAsia="zh-CN"/>
        </w:rPr>
        <w:t>无外排废水</w:t>
      </w:r>
      <w:r>
        <w:rPr>
          <w:rFonts w:ascii="Times New Roman" w:hAnsi="Times New Roman"/>
          <w:highlight w:val="none"/>
        </w:rPr>
        <w:t>，故无需设置总量控制指标。</w:t>
      </w:r>
    </w:p>
    <w:p>
      <w:pPr>
        <w:pStyle w:val="17"/>
        <w:ind w:firstLine="482"/>
        <w:rPr>
          <w:rFonts w:ascii="Times New Roman" w:hAnsi="Times New Roman"/>
          <w:b/>
          <w:bCs/>
          <w:color w:val="auto"/>
          <w:highlight w:val="none"/>
        </w:rPr>
      </w:pPr>
      <w:r>
        <w:rPr>
          <w:rFonts w:ascii="Times New Roman" w:hAnsi="Times New Roman"/>
          <w:b/>
          <w:bCs/>
          <w:color w:val="auto"/>
          <w:highlight w:val="none"/>
        </w:rPr>
        <w:t>（2）废气</w:t>
      </w:r>
    </w:p>
    <w:p>
      <w:pPr>
        <w:pStyle w:val="17"/>
        <w:ind w:firstLine="480"/>
        <w:rPr>
          <w:rFonts w:ascii="Times New Roman" w:hAnsi="Times New Roman"/>
          <w:color w:val="FF0000"/>
          <w:highlight w:val="none"/>
        </w:rPr>
      </w:pPr>
      <w:r>
        <w:rPr>
          <w:rFonts w:ascii="Times New Roman" w:hAnsi="Times New Roman"/>
          <w:color w:val="auto"/>
          <w:highlight w:val="none"/>
        </w:rPr>
        <w:t>本项目有组织外排</w:t>
      </w:r>
      <w:r>
        <w:rPr>
          <w:rFonts w:hint="eastAsia" w:ascii="Times New Roman" w:hAnsi="Times New Roman"/>
          <w:color w:val="auto"/>
          <w:highlight w:val="none"/>
          <w:lang w:eastAsia="zh-CN"/>
        </w:rPr>
        <w:t>颗粒物</w:t>
      </w:r>
      <w:r>
        <w:rPr>
          <w:rFonts w:ascii="Times New Roman" w:hAnsi="Times New Roman"/>
          <w:color w:val="auto"/>
          <w:highlight w:val="none"/>
        </w:rPr>
        <w:t>年排放量为</w:t>
      </w:r>
      <w:r>
        <w:rPr>
          <w:rFonts w:hint="eastAsia" w:ascii="Times New Roman" w:hAnsi="Times New Roman"/>
          <w:color w:val="auto"/>
          <w:highlight w:val="none"/>
          <w:lang w:val="en-US" w:eastAsia="zh-CN"/>
        </w:rPr>
        <w:t>0.0157</w:t>
      </w:r>
      <w:r>
        <w:rPr>
          <w:rFonts w:ascii="Times New Roman" w:hAnsi="Times New Roman"/>
          <w:color w:val="auto"/>
          <w:highlight w:val="none"/>
        </w:rPr>
        <w:t>t/a；无组织外排</w:t>
      </w:r>
      <w:r>
        <w:rPr>
          <w:rFonts w:hint="eastAsia" w:ascii="Times New Roman" w:hAnsi="Times New Roman"/>
          <w:color w:val="auto"/>
          <w:highlight w:val="none"/>
          <w:lang w:eastAsia="zh-CN"/>
        </w:rPr>
        <w:t>颗粒物</w:t>
      </w:r>
      <w:r>
        <w:rPr>
          <w:rFonts w:ascii="Times New Roman" w:hAnsi="Times New Roman"/>
          <w:color w:val="auto"/>
          <w:highlight w:val="none"/>
        </w:rPr>
        <w:t>年排放量为</w:t>
      </w:r>
      <w:r>
        <w:rPr>
          <w:rFonts w:hint="eastAsia" w:ascii="Times New Roman" w:hAnsi="Times New Roman"/>
          <w:color w:val="auto"/>
          <w:highlight w:val="none"/>
          <w:lang w:val="en-US" w:eastAsia="zh-CN"/>
        </w:rPr>
        <w:t>1.25</w:t>
      </w:r>
      <w:r>
        <w:rPr>
          <w:rFonts w:ascii="Times New Roman" w:hAnsi="Times New Roman"/>
          <w:color w:val="auto"/>
          <w:highlight w:val="none"/>
        </w:rPr>
        <w:t>t/a，合计总排放量为</w:t>
      </w:r>
      <w:r>
        <w:rPr>
          <w:rFonts w:hint="eastAsia" w:ascii="Times New Roman" w:hAnsi="Times New Roman"/>
          <w:color w:val="auto"/>
          <w:highlight w:val="none"/>
          <w:lang w:val="en-US" w:eastAsia="zh-CN"/>
        </w:rPr>
        <w:t>1.2657</w:t>
      </w:r>
      <w:r>
        <w:rPr>
          <w:rFonts w:ascii="Times New Roman" w:hAnsi="Times New Roman"/>
          <w:color w:val="auto"/>
          <w:highlight w:val="none"/>
        </w:rPr>
        <w:t>t/a。</w:t>
      </w:r>
    </w:p>
    <w:p>
      <w:pPr>
        <w:pStyle w:val="17"/>
        <w:ind w:firstLine="482"/>
        <w:rPr>
          <w:rFonts w:ascii="Times New Roman" w:hAnsi="Times New Roman"/>
          <w:b/>
          <w:bCs/>
          <w:highlight w:val="none"/>
        </w:rPr>
      </w:pPr>
      <w:r>
        <w:rPr>
          <w:rFonts w:ascii="Times New Roman" w:hAnsi="Times New Roman"/>
          <w:b/>
          <w:bCs/>
          <w:highlight w:val="none"/>
        </w:rPr>
        <w:t>（3）固废</w:t>
      </w:r>
    </w:p>
    <w:p>
      <w:pPr>
        <w:pStyle w:val="17"/>
        <w:ind w:firstLine="480"/>
        <w:rPr>
          <w:rFonts w:hint="eastAsia" w:hAnsi="宋体" w:eastAsia="宋体" w:cs="宋体"/>
          <w:highlight w:val="none"/>
          <w:lang w:eastAsia="zh-CN"/>
        </w:rPr>
      </w:pPr>
      <w:r>
        <w:rPr>
          <w:rFonts w:hint="eastAsia" w:ascii="Times New Roman" w:hAnsi="Times New Roman"/>
          <w:highlight w:val="none"/>
        </w:rPr>
        <w:t>处置率100</w:t>
      </w:r>
      <w:r>
        <w:rPr>
          <w:rFonts w:hint="eastAsia" w:hAnsi="宋体" w:cs="宋体"/>
          <w:highlight w:val="none"/>
        </w:rPr>
        <w:t>％</w:t>
      </w:r>
      <w:r>
        <w:rPr>
          <w:rFonts w:hint="eastAsia" w:hAnsi="宋体" w:cs="宋体"/>
          <w:highlight w:val="none"/>
          <w:lang w:eastAsia="zh-CN"/>
        </w:rPr>
        <w:t>。</w:t>
      </w:r>
    </w:p>
    <w:p>
      <w:pPr>
        <w:pStyle w:val="17"/>
        <w:ind w:firstLine="480"/>
        <w:rPr>
          <w:rFonts w:hAnsi="宋体" w:cs="宋体"/>
          <w:highlight w:val="none"/>
        </w:rPr>
      </w:pPr>
      <w:r>
        <w:rPr>
          <w:rFonts w:hint="eastAsia"/>
          <w:highlight w:val="none"/>
          <w:lang w:eastAsia="zh-CN"/>
        </w:rPr>
        <w:t>本项目属于矿石开采项目，不在“电力、钢铁、水泥”等开展烟粉尘总量控制重点行业范畴。本项目在运营期大气污染物主要为粉尘排放，另外仅部分采矿设备使用柴油，无组织排放少量NO</w:t>
      </w:r>
      <w:r>
        <w:rPr>
          <w:rFonts w:hint="eastAsia"/>
          <w:highlight w:val="none"/>
          <w:vertAlign w:val="subscript"/>
          <w:lang w:eastAsia="zh-CN"/>
        </w:rPr>
        <w:t>X</w:t>
      </w:r>
      <w:r>
        <w:rPr>
          <w:rFonts w:hint="eastAsia"/>
          <w:highlight w:val="none"/>
          <w:lang w:eastAsia="zh-CN"/>
        </w:rPr>
        <w:t>，生产废气中无国家总量控制的污染物指标。水污染物可实现零排放。因此，本次评价建议不做污染物总量控制指标的建议</w:t>
      </w:r>
      <w:r>
        <w:rPr>
          <w:rFonts w:hint="eastAsia" w:hAnsi="宋体" w:cs="宋体"/>
          <w:highlight w:val="none"/>
        </w:rPr>
        <w:t>。</w:t>
      </w:r>
    </w:p>
    <w:p>
      <w:pPr>
        <w:pStyle w:val="4"/>
        <w:rPr>
          <w:highlight w:val="none"/>
        </w:rPr>
      </w:pPr>
      <w:bookmarkStart w:id="589" w:name="_Toc19603"/>
      <w:r>
        <w:rPr>
          <w:rFonts w:hint="eastAsia"/>
          <w:highlight w:val="none"/>
        </w:rPr>
        <w:t>1</w:t>
      </w:r>
      <w:r>
        <w:rPr>
          <w:rFonts w:hint="eastAsia"/>
          <w:highlight w:val="none"/>
          <w:lang w:val="en-US" w:eastAsia="zh-CN"/>
        </w:rPr>
        <w:t>1</w:t>
      </w:r>
      <w:r>
        <w:rPr>
          <w:rFonts w:hint="eastAsia"/>
          <w:highlight w:val="none"/>
        </w:rPr>
        <w:t>.</w:t>
      </w:r>
      <w:r>
        <w:rPr>
          <w:rFonts w:hint="eastAsia"/>
          <w:highlight w:val="none"/>
          <w:lang w:val="en-US" w:eastAsia="zh-CN"/>
        </w:rPr>
        <w:t>5</w:t>
      </w:r>
      <w:r>
        <w:rPr>
          <w:rFonts w:hint="eastAsia"/>
          <w:highlight w:val="none"/>
        </w:rPr>
        <w:t>公众参与</w:t>
      </w:r>
      <w:bookmarkEnd w:id="589"/>
    </w:p>
    <w:p>
      <w:pPr>
        <w:pStyle w:val="17"/>
        <w:ind w:firstLine="480"/>
        <w:rPr>
          <w:rFonts w:hint="default" w:ascii="Times New Roman" w:hAnsi="Times New Roman" w:cs="Times New Roman"/>
          <w:highlight w:val="none"/>
        </w:rPr>
      </w:pPr>
      <w:r>
        <w:rPr>
          <w:rFonts w:hint="default" w:ascii="Times New Roman" w:hAnsi="Times New Roman" w:cs="Times New Roman"/>
          <w:highlight w:val="none"/>
        </w:rPr>
        <w:t>20</w:t>
      </w:r>
      <w:r>
        <w:rPr>
          <w:rFonts w:hint="eastAsia" w:ascii="Times New Roman" w:hAnsi="Times New Roman" w:cs="Times New Roman"/>
          <w:highlight w:val="none"/>
          <w:lang w:val="en-US" w:eastAsia="zh-CN"/>
        </w:rPr>
        <w:t>20</w:t>
      </w:r>
      <w:r>
        <w:rPr>
          <w:rFonts w:hint="default" w:ascii="Times New Roman" w:hAnsi="Times New Roman" w:cs="Times New Roman"/>
          <w:highlight w:val="none"/>
        </w:rPr>
        <w:t>年</w:t>
      </w:r>
      <w:r>
        <w:rPr>
          <w:rFonts w:hint="eastAsia" w:ascii="Times New Roman" w:hAnsi="Times New Roman" w:cs="Times New Roman"/>
          <w:highlight w:val="none"/>
          <w:lang w:val="en-US" w:eastAsia="zh-CN"/>
        </w:rPr>
        <w:t>3</w:t>
      </w:r>
      <w:r>
        <w:rPr>
          <w:rFonts w:hint="default" w:ascii="Times New Roman" w:hAnsi="Times New Roman" w:cs="Times New Roman"/>
          <w:highlight w:val="none"/>
        </w:rPr>
        <w:t>月，建设单位在环评爱好者网站上进行了第一次信息公示</w:t>
      </w:r>
      <w:r>
        <w:rPr>
          <w:rFonts w:hint="eastAsia" w:ascii="Times New Roman" w:hAnsi="Times New Roman" w:cs="Times New Roman"/>
          <w:highlight w:val="none"/>
          <w:lang w:eastAsia="zh-CN"/>
        </w:rPr>
        <w:t>（委托编制情况）</w:t>
      </w:r>
      <w:r>
        <w:rPr>
          <w:rFonts w:hint="default" w:ascii="Times New Roman" w:hAnsi="Times New Roman" w:cs="Times New Roman"/>
          <w:highlight w:val="none"/>
        </w:rPr>
        <w:t>，公示期间未收到任何反馈意见；</w:t>
      </w:r>
    </w:p>
    <w:p>
      <w:pPr>
        <w:pStyle w:val="17"/>
        <w:ind w:firstLine="480"/>
        <w:rPr>
          <w:rFonts w:hint="default" w:ascii="Times New Roman" w:hAnsi="Times New Roman" w:cs="Times New Roman"/>
          <w:highlight w:val="none"/>
        </w:rPr>
      </w:pPr>
      <w:r>
        <w:rPr>
          <w:rFonts w:hint="default" w:ascii="Times New Roman" w:hAnsi="Times New Roman" w:cs="Times New Roman"/>
          <w:highlight w:val="none"/>
        </w:rPr>
        <w:t>初稿形成后，建设单位</w:t>
      </w:r>
      <w:r>
        <w:rPr>
          <w:rFonts w:hint="default" w:ascii="Times New Roman" w:hAnsi="Times New Roman" w:cs="Times New Roman"/>
          <w:highlight w:val="none"/>
          <w:lang w:eastAsia="zh-CN"/>
        </w:rPr>
        <w:t>于</w:t>
      </w:r>
      <w:r>
        <w:rPr>
          <w:rFonts w:hint="eastAsia" w:ascii="Times New Roman" w:hAnsi="Times New Roman" w:cs="Times New Roman"/>
          <w:highlight w:val="none"/>
          <w:lang w:val="en-US" w:eastAsia="zh-CN"/>
        </w:rPr>
        <w:t>2020</w:t>
      </w:r>
      <w:r>
        <w:rPr>
          <w:rFonts w:hint="default" w:ascii="Times New Roman" w:hAnsi="Times New Roman" w:cs="Times New Roman"/>
          <w:highlight w:val="none"/>
          <w:lang w:val="en-US" w:eastAsia="zh-CN"/>
        </w:rPr>
        <w:t>年3月6日—19日</w:t>
      </w:r>
      <w:r>
        <w:rPr>
          <w:rFonts w:hint="default" w:ascii="Times New Roman" w:hAnsi="Times New Roman" w:cs="Times New Roman"/>
          <w:highlight w:val="none"/>
        </w:rPr>
        <w:t>在环评爱好者网站；文山日报</w:t>
      </w:r>
      <w:r>
        <w:rPr>
          <w:rFonts w:hint="default" w:ascii="Times New Roman" w:hAnsi="Times New Roman" w:cs="Times New Roman"/>
          <w:highlight w:val="none"/>
          <w:lang w:eastAsia="zh-CN"/>
        </w:rPr>
        <w:t>（两次）</w:t>
      </w:r>
      <w:r>
        <w:rPr>
          <w:rFonts w:hint="default" w:ascii="Times New Roman" w:hAnsi="Times New Roman" w:cs="Times New Roman"/>
          <w:highlight w:val="none"/>
        </w:rPr>
        <w:t>；</w:t>
      </w:r>
      <w:r>
        <w:rPr>
          <w:rFonts w:hint="eastAsia" w:ascii="Times New Roman" w:hAnsi="Times New Roman" w:cs="Times New Roman"/>
          <w:highlight w:val="none"/>
          <w:lang w:eastAsia="zh-CN"/>
        </w:rPr>
        <w:t>卡子</w:t>
      </w:r>
      <w:r>
        <w:rPr>
          <w:rFonts w:hint="default" w:ascii="Times New Roman" w:hAnsi="Times New Roman" w:cs="Times New Roman"/>
          <w:highlight w:val="none"/>
        </w:rPr>
        <w:t>村、</w:t>
      </w:r>
      <w:r>
        <w:rPr>
          <w:rFonts w:hint="eastAsia" w:ascii="Times New Roman" w:hAnsi="Times New Roman" w:cs="Times New Roman"/>
          <w:highlight w:val="none"/>
          <w:lang w:eastAsia="zh-CN"/>
        </w:rPr>
        <w:t>倮基黑村</w:t>
      </w:r>
      <w:r>
        <w:rPr>
          <w:rFonts w:hint="default" w:ascii="Times New Roman" w:hAnsi="Times New Roman" w:cs="Times New Roman"/>
          <w:highlight w:val="none"/>
        </w:rPr>
        <w:t>委会公示栏同步进行了第二次信息公示；公示期间未收到任何反馈意见。</w:t>
      </w:r>
    </w:p>
    <w:p>
      <w:pPr>
        <w:pStyle w:val="17"/>
        <w:ind w:firstLine="480"/>
        <w:rPr>
          <w:rFonts w:hint="eastAsia" w:ascii="Times New Roman" w:hAnsi="Times New Roman" w:cs="Times New Roman"/>
          <w:highlight w:val="none"/>
          <w:lang w:eastAsia="zh-CN"/>
        </w:rPr>
      </w:pPr>
      <w:r>
        <w:rPr>
          <w:rFonts w:hint="eastAsia" w:ascii="Times New Roman" w:hAnsi="Times New Roman" w:cs="Times New Roman"/>
          <w:highlight w:val="none"/>
          <w:lang w:eastAsia="zh-CN"/>
        </w:rPr>
        <w:t>公众参与详见建设项目环境影响评价公众参与说明。</w:t>
      </w:r>
    </w:p>
    <w:p>
      <w:pPr>
        <w:pStyle w:val="4"/>
        <w:rPr>
          <w:rFonts w:hint="eastAsia" w:eastAsia="宋体"/>
          <w:highlight w:val="none"/>
          <w:lang w:eastAsia="zh-CN"/>
        </w:rPr>
      </w:pPr>
      <w:bookmarkStart w:id="590" w:name="_Toc3505"/>
      <w:r>
        <w:rPr>
          <w:rFonts w:hint="eastAsia"/>
          <w:highlight w:val="none"/>
          <w:lang w:val="en-US" w:eastAsia="zh-CN"/>
        </w:rPr>
        <w:t>11</w:t>
      </w:r>
      <w:r>
        <w:rPr>
          <w:rFonts w:hint="eastAsia"/>
          <w:highlight w:val="none"/>
        </w:rPr>
        <w:t>.</w:t>
      </w:r>
      <w:r>
        <w:rPr>
          <w:rFonts w:hint="eastAsia"/>
          <w:highlight w:val="none"/>
          <w:lang w:val="en-US" w:eastAsia="zh-CN"/>
        </w:rPr>
        <w:t>6</w:t>
      </w:r>
      <w:r>
        <w:rPr>
          <w:rFonts w:hint="eastAsia"/>
          <w:highlight w:val="none"/>
          <w:lang w:eastAsia="zh-CN"/>
        </w:rPr>
        <w:t>环境保护措施</w:t>
      </w:r>
      <w:bookmarkEnd w:id="590"/>
    </w:p>
    <w:p>
      <w:pPr>
        <w:pStyle w:val="17"/>
        <w:ind w:left="0" w:leftChars="0" w:firstLine="0" w:firstLineChars="0"/>
        <w:rPr>
          <w:rFonts w:hint="eastAsia" w:ascii="Times New Roman" w:hAnsi="Times New Roman" w:cs="Times New Roman"/>
          <w:highlight w:val="none"/>
          <w:lang w:eastAsia="zh-CN"/>
        </w:rPr>
      </w:pPr>
      <w:r>
        <w:rPr>
          <w:rFonts w:hint="eastAsia" w:ascii="Times New Roman" w:hAnsi="Times New Roman" w:cs="宋体"/>
          <w:b/>
          <w:kern w:val="0"/>
          <w:sz w:val="28"/>
          <w:szCs w:val="27"/>
          <w:highlight w:val="none"/>
          <w:lang w:val="en-US" w:eastAsia="zh-CN" w:bidi="ar-SA"/>
        </w:rPr>
        <w:t>11</w:t>
      </w:r>
      <w:r>
        <w:rPr>
          <w:rFonts w:hint="eastAsia" w:ascii="Times New Roman" w:hAnsi="Times New Roman" w:eastAsia="宋体" w:cs="宋体"/>
          <w:b/>
          <w:kern w:val="0"/>
          <w:sz w:val="28"/>
          <w:szCs w:val="27"/>
          <w:highlight w:val="none"/>
          <w:lang w:val="en-US" w:eastAsia="zh-CN" w:bidi="ar-SA"/>
        </w:rPr>
        <w:t>.</w:t>
      </w:r>
      <w:r>
        <w:rPr>
          <w:rFonts w:hint="eastAsia" w:ascii="Times New Roman" w:hAnsi="Times New Roman" w:cs="宋体"/>
          <w:b/>
          <w:kern w:val="0"/>
          <w:sz w:val="28"/>
          <w:szCs w:val="27"/>
          <w:highlight w:val="none"/>
          <w:lang w:val="en-US" w:eastAsia="zh-CN" w:bidi="ar-SA"/>
        </w:rPr>
        <w:t>6.1</w:t>
      </w:r>
      <w:r>
        <w:rPr>
          <w:rFonts w:hint="eastAsia" w:ascii="Times New Roman" w:hAnsi="Times New Roman" w:eastAsia="宋体" w:cs="宋体"/>
          <w:b/>
          <w:kern w:val="0"/>
          <w:sz w:val="28"/>
          <w:szCs w:val="27"/>
          <w:highlight w:val="none"/>
          <w:lang w:val="en-US" w:eastAsia="zh-CN" w:bidi="ar-SA"/>
        </w:rPr>
        <w:t xml:space="preserve"> </w:t>
      </w:r>
      <w:r>
        <w:rPr>
          <w:rFonts w:hint="eastAsia" w:ascii="Times New Roman" w:hAnsi="Times New Roman" w:cs="宋体"/>
          <w:b/>
          <w:kern w:val="0"/>
          <w:sz w:val="28"/>
          <w:szCs w:val="27"/>
          <w:highlight w:val="none"/>
          <w:lang w:val="en-US" w:eastAsia="zh-CN" w:bidi="ar-SA"/>
        </w:rPr>
        <w:t>施工期环境保护措施</w:t>
      </w:r>
    </w:p>
    <w:p>
      <w:pPr>
        <w:pStyle w:val="17"/>
        <w:ind w:firstLine="480"/>
        <w:rPr>
          <w:rFonts w:hint="eastAsia" w:ascii="Times New Roman" w:hAnsi="Times New Roman" w:cs="Times New Roman"/>
          <w:highlight w:val="none"/>
          <w:lang w:eastAsia="zh-CN"/>
        </w:rPr>
      </w:pPr>
      <w:r>
        <w:rPr>
          <w:rFonts w:hint="eastAsia" w:ascii="Times New Roman" w:hAnsi="Times New Roman" w:cs="Times New Roman"/>
          <w:highlight w:val="none"/>
          <w:lang w:eastAsia="zh-CN"/>
        </w:rPr>
        <w:t>施工期项目拟采取的污染防治措施如下：</w:t>
      </w:r>
    </w:p>
    <w:p>
      <w:pPr>
        <w:pStyle w:val="17"/>
        <w:ind w:firstLine="480"/>
        <w:rPr>
          <w:rFonts w:hint="eastAsia" w:ascii="Times New Roman" w:hAnsi="Times New Roman" w:cs="Times New Roman"/>
          <w:highlight w:val="none"/>
          <w:lang w:eastAsia="zh-CN"/>
        </w:rPr>
      </w:pPr>
      <w:r>
        <w:rPr>
          <w:rFonts w:hint="eastAsia" w:ascii="Times New Roman" w:hAnsi="Times New Roman" w:cs="Times New Roman"/>
          <w:highlight w:val="none"/>
          <w:lang w:eastAsia="zh-CN"/>
        </w:rPr>
        <w:t>（1）运输施工材料如水泥、粘土、沙石、建筑垃圾等车辆严密遮盖，防止材料散落飞扬；施工区及主要的运输道路要定时洒水，防止尘土飞扬污染环境。</w:t>
      </w:r>
    </w:p>
    <w:p>
      <w:pPr>
        <w:pStyle w:val="17"/>
        <w:ind w:firstLine="480"/>
        <w:rPr>
          <w:rFonts w:hint="eastAsia" w:ascii="Times New Roman" w:hAnsi="Times New Roman" w:cs="Times New Roman"/>
          <w:highlight w:val="none"/>
          <w:lang w:eastAsia="zh-CN"/>
        </w:rPr>
      </w:pPr>
      <w:r>
        <w:rPr>
          <w:rFonts w:hint="eastAsia" w:ascii="Times New Roman" w:hAnsi="Times New Roman" w:cs="Times New Roman"/>
          <w:highlight w:val="none"/>
          <w:lang w:eastAsia="zh-CN"/>
        </w:rPr>
        <w:t>（2）项目施工废水和生活污水产生量为 2.48m</w:t>
      </w:r>
      <w:r>
        <w:rPr>
          <w:rFonts w:hint="eastAsia" w:ascii="Times New Roman" w:hAnsi="Times New Roman" w:cs="Times New Roman"/>
          <w:highlight w:val="none"/>
          <w:vertAlign w:val="superscript"/>
          <w:lang w:eastAsia="zh-CN"/>
        </w:rPr>
        <w:t>3</w:t>
      </w:r>
      <w:r>
        <w:rPr>
          <w:rFonts w:hint="eastAsia" w:ascii="Times New Roman" w:hAnsi="Times New Roman" w:cs="Times New Roman"/>
          <w:highlight w:val="none"/>
          <w:lang w:eastAsia="zh-CN"/>
        </w:rPr>
        <w:t>/d，设置沉淀池（1个，3m</w:t>
      </w:r>
      <w:r>
        <w:rPr>
          <w:rFonts w:hint="eastAsia" w:ascii="Times New Roman" w:hAnsi="Times New Roman" w:cs="Times New Roman"/>
          <w:highlight w:val="none"/>
          <w:vertAlign w:val="superscript"/>
          <w:lang w:eastAsia="zh-CN"/>
        </w:rPr>
        <w:t>3</w:t>
      </w:r>
      <w:r>
        <w:rPr>
          <w:rFonts w:hint="eastAsia" w:ascii="Times New Roman" w:hAnsi="Times New Roman" w:cs="Times New Roman"/>
          <w:highlight w:val="none"/>
          <w:lang w:eastAsia="zh-CN"/>
        </w:rPr>
        <w:t>）沉淀处理后回用于场区洒水降尘。初期雨水经容积为30m</w:t>
      </w:r>
      <w:r>
        <w:rPr>
          <w:rFonts w:hint="eastAsia" w:ascii="Times New Roman" w:hAnsi="Times New Roman" w:cs="Times New Roman"/>
          <w:highlight w:val="none"/>
          <w:vertAlign w:val="superscript"/>
          <w:lang w:eastAsia="zh-CN"/>
        </w:rPr>
        <w:t>3</w:t>
      </w:r>
      <w:r>
        <w:rPr>
          <w:rFonts w:hint="eastAsia" w:ascii="Times New Roman" w:hAnsi="Times New Roman" w:cs="Times New Roman"/>
          <w:highlight w:val="none"/>
          <w:lang w:eastAsia="zh-CN"/>
        </w:rPr>
        <w:t>的雨水沉淀池收集，经沉淀处理后回用于场区洒水降尘，不外排。</w:t>
      </w:r>
    </w:p>
    <w:p>
      <w:pPr>
        <w:pStyle w:val="17"/>
        <w:ind w:firstLine="480"/>
        <w:rPr>
          <w:rFonts w:hint="eastAsia" w:ascii="Times New Roman" w:hAnsi="Times New Roman" w:cs="Times New Roman"/>
          <w:highlight w:val="none"/>
          <w:lang w:eastAsia="zh-CN"/>
        </w:rPr>
      </w:pPr>
      <w:r>
        <w:rPr>
          <w:rFonts w:hint="eastAsia" w:ascii="Times New Roman" w:hAnsi="Times New Roman" w:cs="Times New Roman"/>
          <w:highlight w:val="none"/>
          <w:lang w:eastAsia="zh-CN"/>
        </w:rPr>
        <w:t>（3）距离衰减、树木屏蔽的条件下，施工场地产生的噪声对敏感点影响不大。噪声具有局部性和暂时性的特点，随着施工结束即自行消失。</w:t>
      </w:r>
    </w:p>
    <w:p>
      <w:pPr>
        <w:pStyle w:val="17"/>
        <w:ind w:firstLine="480"/>
        <w:rPr>
          <w:rFonts w:hint="eastAsia" w:ascii="Times New Roman" w:hAnsi="Times New Roman" w:cs="Times New Roman"/>
          <w:highlight w:val="none"/>
          <w:lang w:eastAsia="zh-CN"/>
        </w:rPr>
      </w:pPr>
      <w:r>
        <w:rPr>
          <w:rFonts w:hint="eastAsia" w:ascii="Times New Roman" w:hAnsi="Times New Roman" w:cs="Times New Roman"/>
          <w:highlight w:val="none"/>
          <w:lang w:eastAsia="zh-CN"/>
        </w:rPr>
        <w:t>（</w:t>
      </w:r>
      <w:r>
        <w:rPr>
          <w:rFonts w:hint="eastAsia" w:ascii="Times New Roman" w:hAnsi="Times New Roman" w:cs="Times New Roman"/>
          <w:highlight w:val="none"/>
          <w:lang w:val="en-US" w:eastAsia="zh-CN"/>
        </w:rPr>
        <w:t>4</w:t>
      </w:r>
      <w:r>
        <w:rPr>
          <w:rFonts w:hint="eastAsia" w:ascii="Times New Roman" w:hAnsi="Times New Roman" w:cs="Times New Roman"/>
          <w:highlight w:val="none"/>
          <w:lang w:eastAsia="zh-CN"/>
        </w:rPr>
        <w:t>）基建工程开挖产生少量的弃土石等固体废物，用于场区道路的建设，可全部综合利用；施工人员产生的生活垃圾，集中收集，定期运至卡子村生活垃圾收集点，由环卫部门清运处置。</w:t>
      </w:r>
    </w:p>
    <w:p>
      <w:pPr>
        <w:pStyle w:val="17"/>
        <w:ind w:left="0" w:leftChars="0" w:firstLine="0" w:firstLineChars="0"/>
        <w:rPr>
          <w:rFonts w:hint="eastAsia" w:ascii="Times New Roman" w:hAnsi="Times New Roman" w:cs="Times New Roman"/>
          <w:highlight w:val="none"/>
          <w:lang w:eastAsia="zh-CN"/>
        </w:rPr>
      </w:pPr>
      <w:r>
        <w:rPr>
          <w:rFonts w:hint="eastAsia" w:ascii="Times New Roman" w:hAnsi="Times New Roman" w:cs="宋体"/>
          <w:b/>
          <w:kern w:val="0"/>
          <w:sz w:val="28"/>
          <w:szCs w:val="27"/>
          <w:highlight w:val="none"/>
          <w:lang w:val="en-US" w:eastAsia="zh-CN" w:bidi="ar-SA"/>
        </w:rPr>
        <w:t>11</w:t>
      </w:r>
      <w:r>
        <w:rPr>
          <w:rFonts w:hint="eastAsia" w:ascii="Times New Roman" w:hAnsi="Times New Roman" w:eastAsia="宋体" w:cs="宋体"/>
          <w:b/>
          <w:kern w:val="0"/>
          <w:sz w:val="28"/>
          <w:szCs w:val="27"/>
          <w:highlight w:val="none"/>
          <w:lang w:val="en-US" w:eastAsia="zh-CN" w:bidi="ar-SA"/>
        </w:rPr>
        <w:t>.</w:t>
      </w:r>
      <w:r>
        <w:rPr>
          <w:rFonts w:hint="eastAsia" w:ascii="Times New Roman" w:hAnsi="Times New Roman" w:cs="宋体"/>
          <w:b/>
          <w:kern w:val="0"/>
          <w:sz w:val="28"/>
          <w:szCs w:val="27"/>
          <w:highlight w:val="none"/>
          <w:lang w:val="en-US" w:eastAsia="zh-CN" w:bidi="ar-SA"/>
        </w:rPr>
        <w:t>6.2</w:t>
      </w:r>
      <w:r>
        <w:rPr>
          <w:rFonts w:hint="eastAsia" w:ascii="Times New Roman" w:hAnsi="Times New Roman" w:eastAsia="宋体" w:cs="宋体"/>
          <w:b/>
          <w:kern w:val="0"/>
          <w:sz w:val="28"/>
          <w:szCs w:val="27"/>
          <w:highlight w:val="none"/>
          <w:lang w:val="en-US" w:eastAsia="zh-CN" w:bidi="ar-SA"/>
        </w:rPr>
        <w:t xml:space="preserve"> </w:t>
      </w:r>
      <w:r>
        <w:rPr>
          <w:rFonts w:hint="eastAsia" w:ascii="Times New Roman" w:hAnsi="Times New Roman" w:cs="宋体"/>
          <w:b/>
          <w:kern w:val="0"/>
          <w:sz w:val="28"/>
          <w:szCs w:val="27"/>
          <w:highlight w:val="none"/>
          <w:lang w:val="en-US" w:eastAsia="zh-CN" w:bidi="ar-SA"/>
        </w:rPr>
        <w:t>运营期环境保护措施</w:t>
      </w:r>
    </w:p>
    <w:p>
      <w:pPr>
        <w:pStyle w:val="17"/>
        <w:ind w:firstLine="480"/>
        <w:rPr>
          <w:rFonts w:hint="eastAsia" w:ascii="Times New Roman" w:hAnsi="Times New Roman" w:cs="Times New Roman"/>
          <w:highlight w:val="none"/>
          <w:lang w:eastAsia="zh-CN"/>
        </w:rPr>
      </w:pPr>
      <w:r>
        <w:rPr>
          <w:rFonts w:hint="eastAsia" w:ascii="Times New Roman" w:hAnsi="Times New Roman" w:cs="Times New Roman"/>
          <w:highlight w:val="none"/>
          <w:lang w:eastAsia="zh-CN"/>
        </w:rPr>
        <w:t>1、废气污染防治措施</w:t>
      </w:r>
    </w:p>
    <w:p>
      <w:pPr>
        <w:pStyle w:val="17"/>
        <w:ind w:firstLine="480"/>
        <w:rPr>
          <w:rFonts w:hint="eastAsia" w:ascii="Times New Roman" w:hAnsi="Times New Roman" w:cs="Times New Roman"/>
          <w:highlight w:val="none"/>
          <w:lang w:eastAsia="zh-CN"/>
        </w:rPr>
      </w:pPr>
      <w:r>
        <w:rPr>
          <w:rFonts w:hint="eastAsia" w:ascii="Times New Roman" w:hAnsi="Times New Roman" w:cs="Times New Roman"/>
          <w:highlight w:val="none"/>
          <w:lang w:eastAsia="zh-CN"/>
        </w:rPr>
        <w:t>项目运营期主要的废气污染源为露天采场粉尘、破碎场粉尘、运输扬尘、堆场扬尘等。项目拟采取的抑尘措施如下：</w:t>
      </w:r>
    </w:p>
    <w:p>
      <w:pPr>
        <w:pStyle w:val="17"/>
        <w:ind w:firstLine="480"/>
        <w:rPr>
          <w:rFonts w:hint="eastAsia" w:ascii="Times New Roman" w:hAnsi="Times New Roman" w:cs="Times New Roman"/>
          <w:highlight w:val="none"/>
          <w:lang w:eastAsia="zh-CN"/>
        </w:rPr>
      </w:pPr>
      <w:r>
        <w:rPr>
          <w:rFonts w:hint="eastAsia" w:ascii="Times New Roman" w:hAnsi="Times New Roman" w:cs="Times New Roman"/>
          <w:highlight w:val="none"/>
          <w:lang w:eastAsia="zh-CN"/>
        </w:rPr>
        <w:t>①露天采场粉尘</w:t>
      </w:r>
    </w:p>
    <w:p>
      <w:pPr>
        <w:pStyle w:val="17"/>
        <w:ind w:firstLine="480"/>
        <w:rPr>
          <w:rFonts w:hint="eastAsia" w:ascii="Times New Roman" w:hAnsi="Times New Roman" w:cs="Times New Roman"/>
          <w:highlight w:val="none"/>
          <w:lang w:eastAsia="zh-CN"/>
        </w:rPr>
      </w:pPr>
      <w:r>
        <w:rPr>
          <w:rFonts w:hint="eastAsia" w:ascii="Times New Roman" w:hAnsi="Times New Roman" w:cs="Times New Roman"/>
          <w:highlight w:val="none"/>
          <w:lang w:eastAsia="zh-CN"/>
        </w:rPr>
        <w:t>项目采用湿式凿岩方式，微差爆破，装卸作业点经常进行喷雾洒水，降低空气中粉尘的浓度。在爆破环节采取洒水降尘措施。采空区应及时覆土绿化，种植防尘树种。</w:t>
      </w:r>
    </w:p>
    <w:p>
      <w:pPr>
        <w:pStyle w:val="17"/>
        <w:ind w:firstLine="480"/>
        <w:rPr>
          <w:rFonts w:hint="eastAsia" w:ascii="Times New Roman" w:hAnsi="Times New Roman" w:cs="Times New Roman"/>
          <w:highlight w:val="none"/>
          <w:lang w:eastAsia="zh-CN"/>
        </w:rPr>
      </w:pPr>
      <w:r>
        <w:rPr>
          <w:rFonts w:hint="eastAsia" w:ascii="Times New Roman" w:hAnsi="Times New Roman" w:cs="Times New Roman"/>
          <w:highlight w:val="none"/>
          <w:lang w:eastAsia="zh-CN"/>
        </w:rPr>
        <w:t>②破碎场粉尘</w:t>
      </w:r>
    </w:p>
    <w:p>
      <w:pPr>
        <w:pStyle w:val="17"/>
        <w:ind w:firstLine="480"/>
        <w:rPr>
          <w:rFonts w:hint="eastAsia" w:ascii="Times New Roman" w:hAnsi="Times New Roman" w:cs="Times New Roman"/>
          <w:highlight w:val="none"/>
          <w:lang w:eastAsia="zh-CN"/>
        </w:rPr>
      </w:pPr>
      <w:r>
        <w:rPr>
          <w:rFonts w:hint="eastAsia" w:ascii="Times New Roman" w:hAnsi="Times New Roman" w:cs="Times New Roman"/>
          <w:highlight w:val="none"/>
          <w:lang w:eastAsia="zh-CN"/>
        </w:rPr>
        <w:t>设置破碎生产线厂房，厂房采用全封闭；运输皮带增加密闭措施，在进出料口通过喷雾洒水降尘，同时进料口加装溜槽设备。粗碎及筛分和细碎及筛分工序产生的粉尘采用布袋除尘器+15m排气筒处理。</w:t>
      </w:r>
    </w:p>
    <w:p>
      <w:pPr>
        <w:pStyle w:val="17"/>
        <w:ind w:firstLine="480"/>
        <w:rPr>
          <w:rFonts w:hint="eastAsia" w:ascii="Times New Roman" w:hAnsi="Times New Roman" w:cs="Times New Roman"/>
          <w:highlight w:val="none"/>
          <w:lang w:eastAsia="zh-CN"/>
        </w:rPr>
      </w:pPr>
      <w:r>
        <w:rPr>
          <w:rFonts w:hint="eastAsia" w:ascii="Times New Roman" w:hAnsi="Times New Roman" w:cs="Times New Roman"/>
          <w:highlight w:val="none"/>
          <w:lang w:eastAsia="zh-CN"/>
        </w:rPr>
        <w:t>③堆场扬尘</w:t>
      </w:r>
    </w:p>
    <w:p>
      <w:pPr>
        <w:pStyle w:val="17"/>
        <w:ind w:firstLine="480"/>
        <w:rPr>
          <w:rFonts w:hint="eastAsia" w:ascii="Times New Roman" w:hAnsi="Times New Roman" w:cs="Times New Roman"/>
          <w:highlight w:val="none"/>
          <w:lang w:eastAsia="zh-CN"/>
        </w:rPr>
      </w:pPr>
      <w:r>
        <w:rPr>
          <w:rFonts w:hint="eastAsia" w:ascii="Times New Roman" w:hAnsi="Times New Roman" w:cs="Times New Roman"/>
          <w:highlight w:val="none"/>
          <w:lang w:eastAsia="zh-CN"/>
        </w:rPr>
        <w:t>排土场表层利用毡布覆盖，设置自动洒水装置，废石堆场设置自动洒水装置，适当使用洒水降尘。</w:t>
      </w:r>
    </w:p>
    <w:p>
      <w:pPr>
        <w:pStyle w:val="17"/>
        <w:ind w:firstLine="480"/>
        <w:rPr>
          <w:rFonts w:hint="eastAsia" w:ascii="Times New Roman" w:hAnsi="Times New Roman" w:cs="Times New Roman"/>
          <w:highlight w:val="none"/>
          <w:lang w:eastAsia="zh-CN"/>
        </w:rPr>
      </w:pPr>
      <w:r>
        <w:rPr>
          <w:rFonts w:hint="eastAsia" w:ascii="Times New Roman" w:hAnsi="Times New Roman" w:cs="Times New Roman"/>
          <w:highlight w:val="none"/>
          <w:lang w:eastAsia="zh-CN"/>
        </w:rPr>
        <w:t>④运输扬尘</w:t>
      </w:r>
    </w:p>
    <w:p>
      <w:pPr>
        <w:pStyle w:val="17"/>
        <w:ind w:firstLine="480"/>
        <w:rPr>
          <w:rFonts w:hint="eastAsia" w:ascii="Times New Roman" w:hAnsi="Times New Roman" w:cs="Times New Roman"/>
          <w:highlight w:val="none"/>
          <w:lang w:eastAsia="zh-CN"/>
        </w:rPr>
      </w:pPr>
      <w:r>
        <w:rPr>
          <w:rFonts w:hint="eastAsia" w:ascii="Times New Roman" w:hAnsi="Times New Roman" w:cs="Times New Roman"/>
          <w:highlight w:val="none"/>
          <w:lang w:eastAsia="zh-CN"/>
        </w:rPr>
        <w:t>运输车辆所装石料辆的装载高度不得超过车辆槽帮上沿，应用苫布遮盖严实，设洒水车，运输路线每天洒水4次，运输车辆沿线经过有村屯等居民区时， 限速行驶15km/h。</w:t>
      </w:r>
    </w:p>
    <w:p>
      <w:pPr>
        <w:pStyle w:val="17"/>
        <w:ind w:firstLine="480"/>
        <w:rPr>
          <w:rFonts w:hint="eastAsia" w:ascii="Times New Roman" w:hAnsi="Times New Roman" w:cs="Times New Roman"/>
          <w:highlight w:val="none"/>
          <w:lang w:eastAsia="zh-CN"/>
        </w:rPr>
      </w:pPr>
      <w:r>
        <w:rPr>
          <w:rFonts w:hint="eastAsia" w:ascii="Times New Roman" w:hAnsi="Times New Roman" w:cs="Times New Roman"/>
          <w:highlight w:val="none"/>
          <w:lang w:eastAsia="zh-CN"/>
        </w:rPr>
        <w:t>经采取上诉措施，项目排放的大气污染物对周边敏感点影响不大，可以达到“双达标”的要求（污染物排放达标、环境质量达标）。</w:t>
      </w:r>
    </w:p>
    <w:p>
      <w:pPr>
        <w:pStyle w:val="17"/>
        <w:ind w:firstLine="480"/>
        <w:rPr>
          <w:rFonts w:hint="eastAsia" w:ascii="Times New Roman" w:hAnsi="Times New Roman" w:cs="Times New Roman"/>
          <w:highlight w:val="none"/>
          <w:lang w:eastAsia="zh-CN"/>
        </w:rPr>
      </w:pPr>
      <w:r>
        <w:rPr>
          <w:rFonts w:hint="eastAsia" w:ascii="Times New Roman" w:hAnsi="Times New Roman" w:cs="Times New Roman"/>
          <w:highlight w:val="none"/>
          <w:lang w:eastAsia="zh-CN"/>
        </w:rPr>
        <w:t>2、废水污染防治措施</w:t>
      </w:r>
    </w:p>
    <w:p>
      <w:pPr>
        <w:pStyle w:val="17"/>
        <w:ind w:firstLine="480"/>
        <w:rPr>
          <w:rFonts w:hint="eastAsia" w:ascii="Times New Roman" w:hAnsi="Times New Roman" w:cs="Times New Roman"/>
          <w:highlight w:val="none"/>
          <w:lang w:eastAsia="zh-CN"/>
        </w:rPr>
      </w:pPr>
      <w:r>
        <w:rPr>
          <w:rFonts w:hint="eastAsia" w:ascii="Times New Roman" w:hAnsi="Times New Roman" w:cs="Times New Roman"/>
          <w:highlight w:val="none"/>
          <w:lang w:eastAsia="zh-CN"/>
        </w:rPr>
        <w:t>露天采场设置截排水沟，破碎场四周设置截排水沟，初期雨水经截排水沟分别汇至相应初期雨水沉淀池（容积分别为</w:t>
      </w:r>
      <w:r>
        <w:rPr>
          <w:rFonts w:hint="eastAsia" w:ascii="Times New Roman" w:hAnsi="Times New Roman" w:cs="Times New Roman"/>
          <w:highlight w:val="none"/>
          <w:lang w:val="en-US" w:eastAsia="zh-CN"/>
        </w:rPr>
        <w:t>30</w:t>
      </w:r>
      <w:r>
        <w:rPr>
          <w:rFonts w:hint="eastAsia" w:ascii="Times New Roman" w:hAnsi="Times New Roman" w:cs="Times New Roman"/>
          <w:highlight w:val="none"/>
          <w:lang w:eastAsia="zh-CN"/>
        </w:rPr>
        <w:t>m</w:t>
      </w:r>
      <w:r>
        <w:rPr>
          <w:rFonts w:hint="eastAsia" w:ascii="Times New Roman" w:hAnsi="Times New Roman" w:cs="Times New Roman"/>
          <w:highlight w:val="none"/>
          <w:vertAlign w:val="superscript"/>
          <w:lang w:eastAsia="zh-CN"/>
        </w:rPr>
        <w:t>3</w:t>
      </w:r>
      <w:r>
        <w:rPr>
          <w:rFonts w:hint="eastAsia" w:ascii="Times New Roman" w:hAnsi="Times New Roman" w:cs="Times New Roman"/>
          <w:highlight w:val="none"/>
          <w:lang w:eastAsia="zh-CN"/>
        </w:rPr>
        <w:t>和16</w:t>
      </w:r>
      <w:r>
        <w:rPr>
          <w:rFonts w:hint="eastAsia" w:ascii="Times New Roman" w:hAnsi="Times New Roman" w:cs="Times New Roman"/>
          <w:highlight w:val="none"/>
          <w:lang w:val="en-US" w:eastAsia="zh-CN"/>
        </w:rPr>
        <w:t>0</w:t>
      </w:r>
      <w:r>
        <w:rPr>
          <w:rFonts w:hint="eastAsia" w:ascii="Times New Roman" w:hAnsi="Times New Roman" w:cs="Times New Roman"/>
          <w:highlight w:val="none"/>
          <w:lang w:eastAsia="zh-CN"/>
        </w:rPr>
        <w:t>m</w:t>
      </w:r>
      <w:r>
        <w:rPr>
          <w:rFonts w:hint="eastAsia" w:ascii="Times New Roman" w:hAnsi="Times New Roman" w:cs="Times New Roman"/>
          <w:highlight w:val="none"/>
          <w:vertAlign w:val="superscript"/>
          <w:lang w:eastAsia="zh-CN"/>
        </w:rPr>
        <w:t>3</w:t>
      </w:r>
      <w:r>
        <w:rPr>
          <w:rFonts w:hint="eastAsia" w:ascii="Times New Roman" w:hAnsi="Times New Roman" w:cs="Times New Roman"/>
          <w:highlight w:val="none"/>
          <w:lang w:eastAsia="zh-CN"/>
        </w:rPr>
        <w:t>）处理，雨水经沉淀后回用于场内除尘，不外排。</w:t>
      </w:r>
    </w:p>
    <w:p>
      <w:pPr>
        <w:pStyle w:val="17"/>
        <w:ind w:firstLine="480"/>
        <w:rPr>
          <w:rFonts w:hint="eastAsia" w:ascii="Times New Roman" w:hAnsi="Times New Roman" w:cs="Times New Roman"/>
          <w:highlight w:val="none"/>
          <w:lang w:eastAsia="zh-CN"/>
        </w:rPr>
      </w:pPr>
      <w:r>
        <w:rPr>
          <w:rFonts w:hint="eastAsia" w:ascii="Times New Roman" w:hAnsi="Times New Roman" w:cs="Times New Roman"/>
          <w:highlight w:val="none"/>
          <w:lang w:eastAsia="zh-CN"/>
        </w:rPr>
        <w:t>职工生活污水经沉淀池处理后回用于场区洒水降尘。</w:t>
      </w:r>
    </w:p>
    <w:p>
      <w:pPr>
        <w:pStyle w:val="17"/>
        <w:ind w:firstLine="480"/>
        <w:rPr>
          <w:rFonts w:hint="eastAsia" w:ascii="Times New Roman" w:hAnsi="Times New Roman" w:cs="Times New Roman"/>
          <w:highlight w:val="none"/>
          <w:lang w:eastAsia="zh-CN"/>
        </w:rPr>
      </w:pPr>
      <w:r>
        <w:rPr>
          <w:rFonts w:hint="eastAsia" w:ascii="Times New Roman" w:hAnsi="Times New Roman" w:cs="Times New Roman"/>
          <w:highlight w:val="none"/>
          <w:lang w:eastAsia="zh-CN"/>
        </w:rPr>
        <w:t>经采取上述措施，项目对周边水环境影响不大。</w:t>
      </w:r>
    </w:p>
    <w:p>
      <w:pPr>
        <w:pStyle w:val="17"/>
        <w:ind w:firstLine="480"/>
        <w:rPr>
          <w:rFonts w:hint="eastAsia" w:ascii="Times New Roman" w:hAnsi="Times New Roman" w:cs="Times New Roman"/>
          <w:highlight w:val="none"/>
          <w:lang w:eastAsia="zh-CN"/>
        </w:rPr>
      </w:pPr>
      <w:r>
        <w:rPr>
          <w:rFonts w:hint="eastAsia" w:ascii="Times New Roman" w:hAnsi="Times New Roman" w:cs="Times New Roman"/>
          <w:highlight w:val="none"/>
          <w:lang w:eastAsia="zh-CN"/>
        </w:rPr>
        <w:t>3、噪声污染防治措施</w:t>
      </w:r>
    </w:p>
    <w:p>
      <w:pPr>
        <w:pStyle w:val="17"/>
        <w:ind w:firstLine="480"/>
        <w:rPr>
          <w:rFonts w:hint="eastAsia" w:ascii="Times New Roman" w:hAnsi="Times New Roman" w:cs="Times New Roman"/>
          <w:highlight w:val="none"/>
          <w:lang w:eastAsia="zh-CN"/>
        </w:rPr>
      </w:pPr>
      <w:r>
        <w:rPr>
          <w:rFonts w:hint="eastAsia" w:ascii="Times New Roman" w:hAnsi="Times New Roman" w:cs="Times New Roman"/>
          <w:highlight w:val="none"/>
          <w:lang w:eastAsia="zh-CN"/>
        </w:rPr>
        <w:t>露天开采噪声防治措施：采购性能好、噪声低的机械设备和流动运输设备， 对采矿机械进行定期保养、采矿工人配截耳塞、耳罩等。</w:t>
      </w:r>
    </w:p>
    <w:p>
      <w:pPr>
        <w:pStyle w:val="17"/>
        <w:ind w:firstLine="480"/>
        <w:rPr>
          <w:rFonts w:hint="eastAsia" w:ascii="Times New Roman" w:hAnsi="Times New Roman" w:cs="Times New Roman"/>
          <w:highlight w:val="none"/>
          <w:lang w:eastAsia="zh-CN"/>
        </w:rPr>
      </w:pPr>
      <w:r>
        <w:rPr>
          <w:rFonts w:hint="eastAsia" w:ascii="Times New Roman" w:hAnsi="Times New Roman" w:cs="Times New Roman"/>
          <w:highlight w:val="none"/>
          <w:lang w:eastAsia="zh-CN"/>
        </w:rPr>
        <w:t>工业场地噪声防止措施：对各设备安装减震垫、合理布置噪声源，将机械设备布置在离办公生活区较远地方。</w:t>
      </w:r>
    </w:p>
    <w:p>
      <w:pPr>
        <w:pStyle w:val="17"/>
        <w:ind w:firstLine="480"/>
        <w:rPr>
          <w:rFonts w:hint="eastAsia" w:ascii="Times New Roman" w:hAnsi="Times New Roman" w:cs="Times New Roman"/>
          <w:highlight w:val="none"/>
          <w:lang w:eastAsia="zh-CN"/>
        </w:rPr>
      </w:pPr>
      <w:r>
        <w:rPr>
          <w:rFonts w:hint="eastAsia" w:ascii="Times New Roman" w:hAnsi="Times New Roman" w:cs="Times New Roman"/>
          <w:highlight w:val="none"/>
          <w:lang w:eastAsia="zh-CN"/>
        </w:rPr>
        <w:t>运输噪声防治措施：车辆通过居民点时禁鸣喇叭，减缓车速，减轻交通噪声对沿线居民等敏感点的影响。</w:t>
      </w:r>
    </w:p>
    <w:p>
      <w:pPr>
        <w:pStyle w:val="17"/>
        <w:ind w:firstLine="480"/>
        <w:rPr>
          <w:rFonts w:hint="eastAsia" w:ascii="Times New Roman" w:hAnsi="Times New Roman" w:cs="Times New Roman"/>
          <w:highlight w:val="none"/>
          <w:lang w:eastAsia="zh-CN"/>
        </w:rPr>
      </w:pPr>
      <w:r>
        <w:rPr>
          <w:rFonts w:hint="eastAsia" w:ascii="Times New Roman" w:hAnsi="Times New Roman" w:cs="Times New Roman"/>
          <w:highlight w:val="none"/>
          <w:lang w:eastAsia="zh-CN"/>
        </w:rPr>
        <w:t>经采取上述措施，项目噪声对周边敏感点影响不大。</w:t>
      </w:r>
    </w:p>
    <w:p>
      <w:pPr>
        <w:pStyle w:val="17"/>
        <w:ind w:firstLine="480"/>
        <w:rPr>
          <w:rFonts w:hint="eastAsia" w:ascii="Times New Roman" w:hAnsi="Times New Roman" w:cs="Times New Roman"/>
          <w:highlight w:val="none"/>
          <w:lang w:eastAsia="zh-CN"/>
        </w:rPr>
      </w:pPr>
      <w:r>
        <w:rPr>
          <w:rFonts w:hint="eastAsia" w:ascii="Times New Roman" w:hAnsi="Times New Roman" w:cs="Times New Roman"/>
          <w:highlight w:val="none"/>
          <w:lang w:eastAsia="zh-CN"/>
        </w:rPr>
        <w:t>4、固体废物污染防治措施</w:t>
      </w:r>
    </w:p>
    <w:p>
      <w:pPr>
        <w:pStyle w:val="17"/>
        <w:ind w:firstLine="480"/>
        <w:rPr>
          <w:rFonts w:hint="eastAsia" w:ascii="Times New Roman" w:hAnsi="Times New Roman" w:cs="Times New Roman"/>
          <w:highlight w:val="none"/>
          <w:lang w:eastAsia="zh-CN"/>
        </w:rPr>
      </w:pPr>
      <w:r>
        <w:rPr>
          <w:rFonts w:hint="eastAsia" w:ascii="Times New Roman" w:hAnsi="Times New Roman" w:cs="Times New Roman"/>
          <w:highlight w:val="none"/>
          <w:lang w:eastAsia="zh-CN"/>
        </w:rPr>
        <w:t>项目废土石临时堆存在矿山排土场内，待后期土地复垦用；初期雨水沉淀池污泥堆至排土场后期复垦用；生活垃圾统一收集， 定期运至卡子村垃圾收集点，由环卫部门清运处置；废机油收集于专用的盛放桶中，暂存于危废暂存间，后交由有资质的单位回收处置。</w:t>
      </w:r>
    </w:p>
    <w:p>
      <w:pPr>
        <w:pStyle w:val="17"/>
        <w:ind w:firstLine="480"/>
        <w:rPr>
          <w:rFonts w:hint="eastAsia" w:ascii="Times New Roman" w:hAnsi="Times New Roman" w:cs="Times New Roman"/>
          <w:highlight w:val="none"/>
          <w:lang w:eastAsia="zh-CN"/>
        </w:rPr>
      </w:pPr>
      <w:r>
        <w:rPr>
          <w:rFonts w:hint="eastAsia" w:ascii="Times New Roman" w:hAnsi="Times New Roman" w:cs="Times New Roman"/>
          <w:highlight w:val="none"/>
          <w:lang w:eastAsia="zh-CN"/>
        </w:rPr>
        <w:t>综上所述，项目产生的各项固废均能得到合理处置。</w:t>
      </w:r>
    </w:p>
    <w:p>
      <w:pPr>
        <w:pStyle w:val="17"/>
        <w:ind w:left="0" w:leftChars="0" w:firstLine="0" w:firstLineChars="0"/>
        <w:rPr>
          <w:rFonts w:hint="eastAsia" w:ascii="Times New Roman" w:hAnsi="Times New Roman" w:cs="Times New Roman"/>
          <w:highlight w:val="none"/>
          <w:lang w:eastAsia="zh-CN"/>
        </w:rPr>
      </w:pPr>
      <w:r>
        <w:rPr>
          <w:rFonts w:hint="eastAsia" w:ascii="Times New Roman" w:hAnsi="Times New Roman" w:cs="宋体"/>
          <w:b/>
          <w:kern w:val="0"/>
          <w:sz w:val="28"/>
          <w:szCs w:val="27"/>
          <w:highlight w:val="none"/>
          <w:lang w:val="en-US" w:eastAsia="zh-CN" w:bidi="ar-SA"/>
        </w:rPr>
        <w:t>11</w:t>
      </w:r>
      <w:r>
        <w:rPr>
          <w:rFonts w:hint="eastAsia" w:ascii="Times New Roman" w:hAnsi="Times New Roman" w:eastAsia="宋体" w:cs="宋体"/>
          <w:b/>
          <w:kern w:val="0"/>
          <w:sz w:val="28"/>
          <w:szCs w:val="27"/>
          <w:highlight w:val="none"/>
          <w:lang w:val="en-US" w:eastAsia="zh-CN" w:bidi="ar-SA"/>
        </w:rPr>
        <w:t>.</w:t>
      </w:r>
      <w:r>
        <w:rPr>
          <w:rFonts w:hint="eastAsia" w:ascii="Times New Roman" w:hAnsi="Times New Roman" w:cs="宋体"/>
          <w:b/>
          <w:kern w:val="0"/>
          <w:sz w:val="28"/>
          <w:szCs w:val="27"/>
          <w:highlight w:val="none"/>
          <w:lang w:val="en-US" w:eastAsia="zh-CN" w:bidi="ar-SA"/>
        </w:rPr>
        <w:t>6.3</w:t>
      </w:r>
      <w:r>
        <w:rPr>
          <w:rFonts w:hint="eastAsia" w:ascii="Times New Roman" w:hAnsi="Times New Roman" w:eastAsia="宋体" w:cs="宋体"/>
          <w:b/>
          <w:kern w:val="0"/>
          <w:sz w:val="28"/>
          <w:szCs w:val="27"/>
          <w:highlight w:val="none"/>
          <w:lang w:val="en-US" w:eastAsia="zh-CN" w:bidi="ar-SA"/>
        </w:rPr>
        <w:t xml:space="preserve"> </w:t>
      </w:r>
      <w:r>
        <w:rPr>
          <w:rFonts w:hint="eastAsia" w:ascii="Times New Roman" w:hAnsi="Times New Roman" w:cs="宋体"/>
          <w:b/>
          <w:kern w:val="0"/>
          <w:sz w:val="28"/>
          <w:szCs w:val="27"/>
          <w:highlight w:val="none"/>
          <w:lang w:val="en-US" w:eastAsia="zh-CN" w:bidi="ar-SA"/>
        </w:rPr>
        <w:t>闭矿期环境保护措施</w:t>
      </w:r>
    </w:p>
    <w:p>
      <w:pPr>
        <w:pStyle w:val="17"/>
        <w:ind w:firstLine="480"/>
        <w:rPr>
          <w:rFonts w:hint="eastAsia" w:ascii="Times New Roman" w:hAnsi="Times New Roman" w:cs="Times New Roman"/>
          <w:highlight w:val="none"/>
          <w:lang w:eastAsia="zh-CN"/>
        </w:rPr>
      </w:pPr>
      <w:r>
        <w:rPr>
          <w:rFonts w:hint="eastAsia" w:ascii="Times New Roman" w:hAnsi="Times New Roman" w:cs="Times New Roman"/>
          <w:highlight w:val="none"/>
          <w:lang w:eastAsia="zh-CN"/>
        </w:rPr>
        <w:t>矿山服务期满后，首先封闭采场，并标危险警示，落实闭矿后的生态恢复（包括植被恢复和土地复垦），按经国土部门批准的矿山土地复垦方案进行。</w:t>
      </w:r>
    </w:p>
    <w:p>
      <w:pPr>
        <w:pStyle w:val="17"/>
        <w:ind w:firstLine="480"/>
        <w:rPr>
          <w:rFonts w:hint="eastAsia" w:ascii="Times New Roman" w:hAnsi="Times New Roman" w:cs="Times New Roman"/>
          <w:highlight w:val="none"/>
          <w:lang w:eastAsia="zh-CN"/>
        </w:rPr>
      </w:pPr>
      <w:r>
        <w:rPr>
          <w:rFonts w:hint="eastAsia" w:ascii="Times New Roman" w:hAnsi="Times New Roman" w:cs="Times New Roman"/>
          <w:highlight w:val="none"/>
          <w:lang w:eastAsia="zh-CN"/>
        </w:rPr>
        <w:t>矿山施工期和开采期会扰动土地，破坏植被、引发水土流失加剧、扰动野生动物的栖息环境等，原有景观发生了较大的改变。为尽可能地减轻建设过程和投入营运后对生态环境的影响，必须采取切实有效的措施保护生态环境，做好生态恢复与土地复垦。恢复生态景观，避免和减轻自然环境的破坏。矿山植被恢复和土地复垦是改善和恢复矿区生态环境的最佳途径之一。</w:t>
      </w:r>
    </w:p>
    <w:p>
      <w:pPr>
        <w:pStyle w:val="17"/>
        <w:ind w:firstLine="480"/>
        <w:rPr>
          <w:rFonts w:hint="eastAsia" w:ascii="Times New Roman" w:hAnsi="Times New Roman" w:cs="Times New Roman"/>
          <w:highlight w:val="none"/>
          <w:lang w:eastAsia="zh-CN"/>
        </w:rPr>
      </w:pPr>
      <w:r>
        <w:rPr>
          <w:rFonts w:hint="eastAsia" w:ascii="Times New Roman" w:hAnsi="Times New Roman" w:cs="Times New Roman"/>
          <w:highlight w:val="none"/>
          <w:lang w:eastAsia="zh-CN"/>
        </w:rPr>
        <w:t>矿山主要通过土地复垦和植被种植恢复矿山生态环境，具体实施如下：①矿山复垦为有林地及灌木林地，矿山绿化面积可达100%；② 开采结束后，将采区底部平台、破碎场地、排土场、基础设施区通过挖坑栽种小乔木复垦为有林地。</w:t>
      </w:r>
    </w:p>
    <w:p>
      <w:pPr>
        <w:keepNext/>
        <w:keepLines/>
        <w:ind w:firstLine="0" w:firstLineChars="0"/>
        <w:outlineLvl w:val="1"/>
        <w:rPr>
          <w:rFonts w:hint="eastAsia"/>
          <w:b/>
          <w:sz w:val="30"/>
          <w:szCs w:val="28"/>
          <w:highlight w:val="none"/>
          <w:lang w:eastAsia="zh-CN"/>
        </w:rPr>
      </w:pPr>
      <w:bookmarkStart w:id="591" w:name="_Toc17253"/>
      <w:r>
        <w:rPr>
          <w:rFonts w:hint="eastAsia"/>
          <w:b/>
          <w:sz w:val="30"/>
          <w:szCs w:val="28"/>
          <w:highlight w:val="none"/>
          <w:lang w:val="en-US" w:eastAsia="zh-CN"/>
        </w:rPr>
        <w:t>11</w:t>
      </w:r>
      <w:r>
        <w:rPr>
          <w:rFonts w:hint="eastAsia"/>
          <w:b/>
          <w:sz w:val="30"/>
          <w:szCs w:val="28"/>
          <w:highlight w:val="none"/>
        </w:rPr>
        <w:t>.</w:t>
      </w:r>
      <w:r>
        <w:rPr>
          <w:rFonts w:hint="eastAsia"/>
          <w:b/>
          <w:sz w:val="30"/>
          <w:szCs w:val="28"/>
          <w:highlight w:val="none"/>
          <w:lang w:val="en-US" w:eastAsia="zh-CN"/>
        </w:rPr>
        <w:t>7</w:t>
      </w:r>
      <w:r>
        <w:rPr>
          <w:rFonts w:hint="eastAsia"/>
          <w:b/>
          <w:sz w:val="30"/>
          <w:szCs w:val="28"/>
          <w:highlight w:val="none"/>
          <w:lang w:eastAsia="zh-CN"/>
        </w:rPr>
        <w:t>环境风险影响评价结论</w:t>
      </w:r>
      <w:bookmarkEnd w:id="591"/>
    </w:p>
    <w:p>
      <w:pPr>
        <w:pStyle w:val="17"/>
        <w:ind w:firstLine="480"/>
        <w:rPr>
          <w:rFonts w:hint="eastAsia" w:ascii="Times New Roman" w:hAnsi="Times New Roman" w:cs="Times New Roman"/>
          <w:highlight w:val="none"/>
          <w:lang w:eastAsia="zh-CN"/>
        </w:rPr>
      </w:pPr>
      <w:r>
        <w:rPr>
          <w:rFonts w:hint="eastAsia" w:ascii="Times New Roman" w:hAnsi="Times New Roman" w:cs="Times New Roman"/>
          <w:highlight w:val="none"/>
          <w:lang w:eastAsia="zh-CN"/>
        </w:rPr>
        <w:t>项目主要环境风险包括：危险物质使用贮运过程的环境风险（炸药、雷管等爆破器材爆炸事故环境风险）、柴油储罐及废机油泄露风险等，均为可防控风险。危险物质使用贮运过程（炸药、雷管等爆破器材爆炸事故环境风险）采取上述委托具有相关爆破资质的爆破公司等措施，柴油泄漏事故通过采取上述设置围堰、地面防渗处理等措施，废机油泄漏采取上述防渗及事故应急池收集等措施，即可有效的防控建设项目的环境风险。据调查数据，风险的发生概率较低，只要严格按照国家有关规定加强生产管理，对环保措施加强环保管理和巡查、维护，发生事故的可能性不大。</w:t>
      </w:r>
    </w:p>
    <w:p>
      <w:pPr>
        <w:pStyle w:val="17"/>
        <w:ind w:firstLine="480"/>
        <w:rPr>
          <w:rFonts w:hint="eastAsia" w:ascii="Times New Roman" w:hAnsi="Times New Roman" w:cs="Times New Roman"/>
          <w:highlight w:val="none"/>
          <w:lang w:eastAsia="zh-CN"/>
        </w:rPr>
      </w:pPr>
      <w:r>
        <w:rPr>
          <w:rFonts w:hint="eastAsia" w:ascii="Times New Roman" w:hAnsi="Times New Roman" w:cs="Times New Roman"/>
          <w:highlight w:val="none"/>
          <w:lang w:eastAsia="zh-CN"/>
        </w:rPr>
        <w:t>通过制定严格风险防范措施和管理规定，落实岗位责任制，加强职工的安全生产教育，提高风险意识，能够最大限度地减少可能发生的环境风险，在发生环境风险事故时，要及时启动风险应急预案。在认真贯彻落实本报告提出的各项环境风险防范措施和加强管理的前提下，本项目的环境风险是可以接受的。</w:t>
      </w:r>
    </w:p>
    <w:p>
      <w:pPr>
        <w:pStyle w:val="17"/>
        <w:ind w:left="0" w:leftChars="0" w:firstLine="0" w:firstLineChars="0"/>
        <w:rPr>
          <w:rFonts w:hint="eastAsia" w:ascii="Times New Roman" w:hAnsi="Times New Roman" w:cs="Times New Roman"/>
          <w:highlight w:val="none"/>
          <w:lang w:eastAsia="zh-CN"/>
        </w:rPr>
      </w:pPr>
      <w:r>
        <w:rPr>
          <w:rFonts w:hint="eastAsia"/>
          <w:b/>
          <w:sz w:val="30"/>
          <w:szCs w:val="28"/>
          <w:highlight w:val="none"/>
          <w:lang w:val="en-US" w:eastAsia="zh-CN"/>
        </w:rPr>
        <w:t>11</w:t>
      </w:r>
      <w:r>
        <w:rPr>
          <w:rFonts w:hint="eastAsia"/>
          <w:b/>
          <w:sz w:val="30"/>
          <w:szCs w:val="28"/>
          <w:highlight w:val="none"/>
        </w:rPr>
        <w:t>.</w:t>
      </w:r>
      <w:r>
        <w:rPr>
          <w:rFonts w:hint="eastAsia"/>
          <w:b/>
          <w:sz w:val="30"/>
          <w:szCs w:val="28"/>
          <w:highlight w:val="none"/>
          <w:lang w:val="en-US" w:eastAsia="zh-CN"/>
        </w:rPr>
        <w:t>8</w:t>
      </w:r>
      <w:r>
        <w:rPr>
          <w:rFonts w:hint="eastAsia"/>
          <w:b/>
          <w:sz w:val="30"/>
          <w:szCs w:val="28"/>
          <w:highlight w:val="none"/>
          <w:lang w:eastAsia="zh-CN"/>
        </w:rPr>
        <w:t>环境影响经济损益分析结论</w:t>
      </w:r>
    </w:p>
    <w:p>
      <w:pPr>
        <w:pStyle w:val="17"/>
        <w:ind w:firstLine="480"/>
        <w:rPr>
          <w:rFonts w:hint="default" w:ascii="Times New Roman" w:hAnsi="Times New Roman" w:cs="Times New Roman"/>
          <w:highlight w:val="none"/>
          <w:lang w:val="en-US" w:eastAsia="zh-CN"/>
        </w:rPr>
      </w:pPr>
      <w:r>
        <w:rPr>
          <w:rFonts w:hint="eastAsia" w:ascii="Times New Roman" w:hAnsi="Times New Roman" w:cs="Times New Roman"/>
          <w:highlight w:val="none"/>
          <w:lang w:eastAsia="zh-CN"/>
        </w:rPr>
        <w:t>通过采取环保措施后，环保设施运行对项目实施产生了一定的社会效益、经济效益和环境经济效益。本项目环保投资为</w:t>
      </w:r>
      <w:r>
        <w:rPr>
          <w:rFonts w:hint="eastAsia" w:ascii="Times New Roman" w:hAnsi="Times New Roman" w:cs="Times New Roman"/>
          <w:highlight w:val="none"/>
          <w:lang w:val="en-US" w:eastAsia="zh-CN"/>
        </w:rPr>
        <w:t>109.5</w:t>
      </w:r>
      <w:r>
        <w:rPr>
          <w:rFonts w:hint="eastAsia" w:ascii="Times New Roman" w:hAnsi="Times New Roman" w:cs="Times New Roman"/>
          <w:highlight w:val="none"/>
          <w:lang w:eastAsia="zh-CN"/>
        </w:rPr>
        <w:t>万元，占总投资的</w:t>
      </w:r>
      <w:r>
        <w:rPr>
          <w:rFonts w:hint="eastAsia" w:ascii="Times New Roman" w:hAnsi="Times New Roman" w:cs="Times New Roman"/>
          <w:highlight w:val="none"/>
          <w:lang w:val="en-US" w:eastAsia="zh-CN"/>
        </w:rPr>
        <w:t>19.3</w:t>
      </w:r>
      <w:r>
        <w:rPr>
          <w:rFonts w:hint="eastAsia" w:ascii="Times New Roman" w:hAnsi="Times New Roman" w:cs="Times New Roman"/>
          <w:highlight w:val="none"/>
          <w:lang w:eastAsia="zh-CN"/>
        </w:rPr>
        <w:t>%。</w:t>
      </w:r>
    </w:p>
    <w:p>
      <w:pPr>
        <w:pStyle w:val="17"/>
        <w:ind w:left="0" w:leftChars="0" w:firstLine="0" w:firstLineChars="0"/>
        <w:rPr>
          <w:rFonts w:hint="eastAsia" w:ascii="Times New Roman" w:hAnsi="Times New Roman" w:cs="Times New Roman"/>
          <w:highlight w:val="none"/>
          <w:lang w:eastAsia="zh-CN"/>
        </w:rPr>
      </w:pPr>
      <w:r>
        <w:rPr>
          <w:rFonts w:hint="eastAsia"/>
          <w:b/>
          <w:sz w:val="30"/>
          <w:szCs w:val="28"/>
          <w:highlight w:val="none"/>
          <w:lang w:val="en-US" w:eastAsia="zh-CN"/>
        </w:rPr>
        <w:t>11</w:t>
      </w:r>
      <w:r>
        <w:rPr>
          <w:rFonts w:hint="eastAsia"/>
          <w:b/>
          <w:sz w:val="30"/>
          <w:szCs w:val="28"/>
          <w:highlight w:val="none"/>
        </w:rPr>
        <w:t>.</w:t>
      </w:r>
      <w:r>
        <w:rPr>
          <w:rFonts w:hint="eastAsia"/>
          <w:b/>
          <w:sz w:val="30"/>
          <w:szCs w:val="28"/>
          <w:highlight w:val="none"/>
          <w:lang w:val="en-US" w:eastAsia="zh-CN"/>
        </w:rPr>
        <w:t>9</w:t>
      </w:r>
      <w:r>
        <w:rPr>
          <w:rFonts w:hint="eastAsia"/>
          <w:b/>
          <w:sz w:val="30"/>
          <w:szCs w:val="28"/>
          <w:highlight w:val="none"/>
          <w:lang w:eastAsia="zh-CN"/>
        </w:rPr>
        <w:t>环境管理与监测计划</w:t>
      </w:r>
    </w:p>
    <w:p>
      <w:pPr>
        <w:pStyle w:val="17"/>
        <w:ind w:firstLine="480"/>
        <w:rPr>
          <w:rFonts w:hint="eastAsia" w:ascii="Times New Roman" w:hAnsi="Times New Roman" w:cs="Times New Roman"/>
          <w:highlight w:val="none"/>
          <w:lang w:eastAsia="zh-CN"/>
        </w:rPr>
      </w:pPr>
      <w:r>
        <w:rPr>
          <w:rFonts w:hint="eastAsia" w:ascii="Times New Roman" w:hAnsi="Times New Roman" w:cs="Times New Roman"/>
          <w:highlight w:val="none"/>
          <w:lang w:eastAsia="zh-CN"/>
        </w:rPr>
        <w:t>本次评价针对项目施工期和运营期提出了对应的环境管理要求，同时明确了污染物排放清单、排污口规范化设置要求，以及相关信息公开的要求。建设单位在项目施工期、运营期应严格按照上述环境管理要求开展相关工作。</w:t>
      </w:r>
    </w:p>
    <w:p>
      <w:pPr>
        <w:pStyle w:val="17"/>
        <w:ind w:firstLine="480"/>
        <w:rPr>
          <w:rFonts w:hint="eastAsia" w:ascii="Times New Roman" w:hAnsi="Times New Roman" w:eastAsia="宋体" w:cs="Times New Roman"/>
          <w:highlight w:val="none"/>
          <w:lang w:eastAsia="zh-CN"/>
        </w:rPr>
      </w:pPr>
      <w:r>
        <w:rPr>
          <w:rFonts w:hint="eastAsia" w:ascii="Times New Roman" w:hAnsi="Times New Roman" w:cs="Times New Roman"/>
          <w:highlight w:val="none"/>
          <w:lang w:eastAsia="zh-CN"/>
        </w:rPr>
        <w:t>本次评价针对项目施工期和运营期提出了对应的环境监测要求，同时明确了运营期污染源监测和环境监测的计划表，建设单位在项目施工期、运营期应委托有资质的单位开展相关监测，监测频次、监测点位、监测污染物种类等均应满足本次评价提出的相关要求。</w:t>
      </w:r>
    </w:p>
    <w:p>
      <w:pPr>
        <w:keepNext/>
        <w:keepLines/>
        <w:ind w:firstLine="0" w:firstLineChars="0"/>
        <w:outlineLvl w:val="1"/>
        <w:rPr>
          <w:b/>
          <w:sz w:val="30"/>
          <w:szCs w:val="28"/>
          <w:highlight w:val="none"/>
          <w:lang w:val="zh-CN"/>
        </w:rPr>
      </w:pPr>
      <w:bookmarkStart w:id="592" w:name="_Toc505861763"/>
      <w:bookmarkStart w:id="593" w:name="_Toc501110164"/>
      <w:bookmarkStart w:id="594" w:name="_Toc17043"/>
      <w:r>
        <w:rPr>
          <w:rFonts w:hint="eastAsia"/>
          <w:b/>
          <w:sz w:val="30"/>
          <w:szCs w:val="28"/>
          <w:highlight w:val="none"/>
          <w:lang w:val="en-US" w:eastAsia="zh-CN"/>
        </w:rPr>
        <w:t>11</w:t>
      </w:r>
      <w:r>
        <w:rPr>
          <w:rFonts w:hint="eastAsia"/>
          <w:b/>
          <w:sz w:val="30"/>
          <w:szCs w:val="28"/>
          <w:highlight w:val="none"/>
        </w:rPr>
        <w:t>.</w:t>
      </w:r>
      <w:r>
        <w:rPr>
          <w:rFonts w:hint="eastAsia"/>
          <w:b/>
          <w:sz w:val="30"/>
          <w:szCs w:val="28"/>
          <w:highlight w:val="none"/>
          <w:lang w:val="en-US" w:eastAsia="zh-CN"/>
        </w:rPr>
        <w:t>10</w:t>
      </w:r>
      <w:r>
        <w:rPr>
          <w:rFonts w:hint="eastAsia"/>
          <w:b/>
          <w:sz w:val="30"/>
          <w:szCs w:val="28"/>
          <w:highlight w:val="none"/>
          <w:lang w:val="zh-CN"/>
        </w:rPr>
        <w:t>评价总结论</w:t>
      </w:r>
      <w:bookmarkEnd w:id="592"/>
      <w:bookmarkEnd w:id="593"/>
      <w:bookmarkEnd w:id="594"/>
    </w:p>
    <w:p>
      <w:pPr>
        <w:adjustRightInd w:val="0"/>
        <w:snapToGrid w:val="0"/>
        <w:ind w:firstLine="480"/>
        <w:rPr>
          <w:highlight w:val="none"/>
        </w:rPr>
      </w:pPr>
      <w:r>
        <w:rPr>
          <w:rFonts w:hint="eastAsia"/>
          <w:highlight w:val="none"/>
        </w:rPr>
        <w:t>本项目符合国家和云南省的产业政策，符合区域规划</w:t>
      </w:r>
      <w:r>
        <w:rPr>
          <w:highlight w:val="none"/>
        </w:rPr>
        <w:t>要求</w:t>
      </w:r>
      <w:r>
        <w:rPr>
          <w:rFonts w:hint="eastAsia"/>
          <w:highlight w:val="none"/>
        </w:rPr>
        <w:t>。项目的建设能够带来明显的经济效益和社会效益，对当地的经济发展和劳动就业有积极作用。通过分析，项目建设和运营不可避免地对采场周围的生态环境、水环境、声环境、环境空气、景观等产生一定的负面影响，但在严格落实设计及本环评提出的各项污染防治措施和生态恢复措施后，可有效减缓矿山建设对生态、地表水和大气等环境的影响，并做到污染物达标排放。该项目的建设体现了经济、社会和环境三方面效益的统一，得到了当地居民和政府的支持。总体而言，建设单位只要认真贯彻执行国家的环保法律、法规，认真落实本环评提出的污染防治及生态恢复对策，就可以使项目的负面影响减小到最低。所以，从环境保护的角度分析，本项目的建设是可行的。</w:t>
      </w:r>
    </w:p>
    <w:p>
      <w:pPr>
        <w:pStyle w:val="17"/>
        <w:ind w:firstLine="480"/>
        <w:rPr>
          <w:highlight w:val="none"/>
        </w:rPr>
      </w:pPr>
    </w:p>
    <w:p>
      <w:pPr>
        <w:pStyle w:val="17"/>
        <w:ind w:firstLine="480"/>
        <w:rPr>
          <w:highlight w:val="none"/>
        </w:rPr>
      </w:pPr>
    </w:p>
    <w:p>
      <w:pPr>
        <w:pStyle w:val="17"/>
        <w:ind w:firstLine="480"/>
        <w:rPr>
          <w:highlight w:val="none"/>
        </w:rPr>
      </w:pPr>
    </w:p>
    <w:p>
      <w:pPr>
        <w:pStyle w:val="17"/>
        <w:ind w:firstLine="0" w:firstLineChars="0"/>
        <w:rPr>
          <w:rFonts w:ascii="Times New Roman" w:hAnsi="Times New Roman"/>
          <w:highlight w:val="none"/>
        </w:rPr>
      </w:pPr>
    </w:p>
    <w:sectPr>
      <w:pgSz w:w="11911" w:h="16838"/>
      <w:pgMar w:top="1417" w:right="1417" w:bottom="1417" w:left="1417" w:header="879" w:footer="952" w:gutter="0"/>
      <w:pgBorders>
        <w:top w:val="none" w:sz="0" w:space="0"/>
        <w:left w:val="none" w:sz="0" w:space="0"/>
        <w:bottom w:val="none" w:sz="0" w:space="0"/>
        <w:right w:val="none" w:sz="0" w:space="0"/>
      </w:pgBorders>
      <w:pgNumType w:fmt="decimal"/>
      <w:cols w:space="720" w:num="1"/>
      <w:docGrid w:linePitch="312" w:charSpace="0"/>
    </w:sectPr>
  </w:body>
</w:document>
</file>

<file path=word/customizations.xml><?xml version="1.0" encoding="utf-8"?>
<wne:tcg xmlns:r="http://schemas.openxmlformats.org/officeDocument/2006/relationships" xmlns:wne="http://schemas.microsoft.com/office/word/2006/wordml">
  <wne:keymaps>
    <wne:keymap wne:kcmPrimary="0071">
      <wne:acd wne:acdName="acd0"/>
    </wne:keymap>
    <wne:keymap wne:kcmPrimary="0074">
      <wne:acd wne:acdName="acd1"/>
    </wne:keymap>
  </wne:keymaps>
  <wne:acds>
    <wne:acd wne:argValue="AQAAAAIA" wne:acdName="acd0" wne:fciIndexBasedOn="0065"/>
    <wne:acd wne:argValue="AgBoiDRZ" wne:acdName="acd1"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43"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urier">
    <w:altName w:val="Courier New"/>
    <w:panose1 w:val="02070409020205020404"/>
    <w:charset w:val="00"/>
    <w:family w:val="auto"/>
    <w:pitch w:val="default"/>
    <w:sig w:usb0="00000000" w:usb1="00000000" w:usb2="00000000" w:usb3="00000000" w:csb0="00000001" w:csb1="00000000"/>
  </w:font>
  <w:font w:name="LMUCAJ + TimesNewRomanPSMT">
    <w:altName w:val="Microsoft JhengHei Light"/>
    <w:panose1 w:val="00000000000000000000"/>
    <w:charset w:val="00"/>
    <w:family w:val="auto"/>
    <w:pitch w:val="default"/>
    <w:sig w:usb0="00000000" w:usb1="00000000" w:usb2="00000000" w:usb3="00000000" w:csb0="00040001" w:csb1="00000000"/>
  </w:font>
  <w:font w:name="Arial Unicode MS">
    <w:panose1 w:val="020B0604020202020204"/>
    <w:charset w:val="86"/>
    <w:family w:val="swiss"/>
    <w:pitch w:val="default"/>
    <w:sig w:usb0="FFFFFFFF" w:usb1="E9FFFFFF" w:usb2="0000003F" w:usb3="00000000" w:csb0="603F01FF" w:csb1="FFFF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2FF" w:usb1="420024FF" w:usb2="00000000" w:usb3="00000000" w:csb0="2000019F" w:csb1="00000000"/>
  </w:font>
  <w:font w:name="Microsoft JhengHei Light">
    <w:panose1 w:val="020B0304030504040204"/>
    <w:charset w:val="86"/>
    <w:family w:val="auto"/>
    <w:pitch w:val="default"/>
    <w:sig w:usb0="800002EF" w:usb1="28CFFCFB" w:usb2="00000016" w:usb3="00000000" w:csb0="203E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jc w:val="center"/>
    </w:pPr>
    <w: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pPr>
                            <w:pStyle w:val="21"/>
                            <w:ind w:firstLine="360"/>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72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zql5uc8AAAAFAQAADwAAAAAAAAABACAAAAAiAAAAZHJzL2Rvd25yZXYu&#10;eG1sUEsBAhQAFAAAAAgAh07iQDDh7VkEAgAABAQAAA4AAAAAAAAAAQAgAAAAHgEAAGRycy9lMm9E&#10;b2MueG1sUEsFBgAAAAAGAAYAWQEAAJQFAAAAAA==&#10;">
              <v:fill on="f" focussize="0,0"/>
              <v:stroke on="f"/>
              <v:imagedata o:title=""/>
              <o:lock v:ext="edit" aspectratio="f"/>
              <v:textbox inset="0mm,0mm,0mm,0mm" style="mso-fit-shape-to-text:t;">
                <w:txbxContent>
                  <w:p>
                    <w:pPr>
                      <w:pStyle w:val="21"/>
                      <w:ind w:firstLine="360"/>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49531392" behindDoc="1" locked="0" layoutInCell="1" allowOverlap="1">
              <wp:simplePos x="0" y="0"/>
              <wp:positionH relativeFrom="page">
                <wp:posOffset>3692525</wp:posOffset>
              </wp:positionH>
              <wp:positionV relativeFrom="page">
                <wp:posOffset>9928860</wp:posOffset>
              </wp:positionV>
              <wp:extent cx="178435" cy="165735"/>
              <wp:effectExtent l="0" t="0" r="0" b="0"/>
              <wp:wrapNone/>
              <wp:docPr id="2" name="文本框 2"/>
              <wp:cNvGraphicFramePr/>
              <a:graphic xmlns:a="http://schemas.openxmlformats.org/drawingml/2006/main">
                <a:graphicData uri="http://schemas.microsoft.com/office/word/2010/wordprocessingShape">
                  <wps:wsp>
                    <wps:cNvSpPr txBox="1"/>
                    <wps:spPr>
                      <a:xfrm>
                        <a:off x="0" y="0"/>
                        <a:ext cx="178435" cy="165735"/>
                      </a:xfrm>
                      <a:prstGeom prst="rect">
                        <a:avLst/>
                      </a:prstGeom>
                      <a:noFill/>
                      <a:ln>
                        <a:noFill/>
                      </a:ln>
                    </wps:spPr>
                    <wps:txbx>
                      <w:txbxContent>
                        <w:p>
                          <w:pPr>
                            <w:spacing w:before="10"/>
                            <w:ind w:left="40" w:right="0" w:firstLine="0"/>
                            <w:jc w:val="left"/>
                            <w:rPr>
                              <w:rFonts w:ascii="Times New Roman"/>
                              <w:sz w:val="20"/>
                            </w:rPr>
                          </w:pPr>
                          <w:r>
                            <w:fldChar w:fldCharType="begin"/>
                          </w:r>
                          <w:r>
                            <w:rPr>
                              <w:rFonts w:ascii="Times New Roman"/>
                              <w:sz w:val="20"/>
                            </w:rPr>
                            <w:instrText xml:space="preserve"> PAGE </w:instrText>
                          </w:r>
                          <w:r>
                            <w:fldChar w:fldCharType="separate"/>
                          </w:r>
                          <w:r>
                            <w:t>85</w:t>
                          </w:r>
                          <w:r>
                            <w:fldChar w:fldCharType="end"/>
                          </w:r>
                        </w:p>
                      </w:txbxContent>
                    </wps:txbx>
                    <wps:bodyPr lIns="0" tIns="0" rIns="0" bIns="0" upright="1"/>
                  </wps:wsp>
                </a:graphicData>
              </a:graphic>
            </wp:anchor>
          </w:drawing>
        </mc:Choice>
        <mc:Fallback>
          <w:pict>
            <v:shape id="_x0000_s1026" o:spid="_x0000_s1026" o:spt="202" type="#_x0000_t202" style="position:absolute;left:0pt;margin-left:290.75pt;margin-top:781.8pt;height:13.05pt;width:14.05pt;mso-position-horizontal-relative:page;mso-position-vertical-relative:page;z-index:-253785088;mso-width-relative:page;mso-height-relative:page;" filled="f" stroked="f" coordsize="21600,21600" o:gfxdata="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VZwoW2gAAAA0BAAAPAAAAAAAAAAEAIAAAACIAAABkcnMvZG93bnJldi54bWxQSwEC&#10;FAAUAAAACACHTuJABhONZ7kBAABxAwAADgAAAAAAAAABACAAAAApAQAAZHJzL2Uyb0RvYy54bWxQ&#10;SwUGAAAAAAYABgBZAQAAVAUAAAAA&#10;">
              <v:fill on="f" focussize="0,0"/>
              <v:stroke on="f"/>
              <v:imagedata o:title=""/>
              <o:lock v:ext="edit" aspectratio="f"/>
              <v:textbox inset="0mm,0mm,0mm,0mm">
                <w:txbxContent>
                  <w:p>
                    <w:pPr>
                      <w:spacing w:before="10"/>
                      <w:ind w:left="40" w:right="0" w:firstLine="0"/>
                      <w:jc w:val="left"/>
                      <w:rPr>
                        <w:rFonts w:ascii="Times New Roman"/>
                        <w:sz w:val="20"/>
                      </w:rPr>
                    </w:pPr>
                    <w:r>
                      <w:fldChar w:fldCharType="begin"/>
                    </w:r>
                    <w:r>
                      <w:rPr>
                        <w:rFonts w:ascii="Times New Roman"/>
                        <w:sz w:val="20"/>
                      </w:rPr>
                      <w:instrText xml:space="preserve"> PAGE </w:instrText>
                    </w:r>
                    <w:r>
                      <w:fldChar w:fldCharType="separate"/>
                    </w:r>
                    <w:r>
                      <w:t>85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jc w:val="cente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4"/>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pPr>
                            <w:pStyle w:val="21"/>
                            <w:ind w:firstLine="360"/>
                          </w:pPr>
                          <w:r>
                            <w:rPr>
                              <w:rFonts w:hint="eastAsia"/>
                            </w:rPr>
                            <w:fldChar w:fldCharType="begin"/>
                          </w:r>
                          <w:r>
                            <w:rPr>
                              <w:rFonts w:hint="eastAsia"/>
                            </w:rPr>
                            <w:instrText xml:space="preserve"> PAGE  \* MERGEFORMAT </w:instrText>
                          </w:r>
                          <w:r>
                            <w:rPr>
                              <w:rFonts w:hint="eastAsia"/>
                            </w:rPr>
                            <w:fldChar w:fldCharType="separate"/>
                          </w:r>
                          <w:r>
                            <w:t>166</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OqXm5zwAAAAUBAAAPAAAAAAAAAAEAIAAAACIAAABkcnMvZG93bnJldi54&#10;bWxQSwECFAAUAAAACACHTuJAS6I99gMCAAAEBAAADgAAAAAAAAABACAAAAAeAQAAZHJzL2Uyb0Rv&#10;Yy54bWxQSwUGAAAAAAYABgBZAQAAkwUAAAAA&#10;">
              <v:fill on="f" focussize="0,0"/>
              <v:stroke on="f"/>
              <v:imagedata o:title=""/>
              <o:lock v:ext="edit" aspectratio="f"/>
              <v:textbox inset="0mm,0mm,0mm,0mm" style="mso-fit-shape-to-text:t;">
                <w:txbxContent>
                  <w:p>
                    <w:pPr>
                      <w:pStyle w:val="21"/>
                      <w:ind w:firstLine="360"/>
                    </w:pPr>
                    <w:r>
                      <w:rPr>
                        <w:rFonts w:hint="eastAsia"/>
                      </w:rPr>
                      <w:fldChar w:fldCharType="begin"/>
                    </w:r>
                    <w:r>
                      <w:rPr>
                        <w:rFonts w:hint="eastAsia"/>
                      </w:rPr>
                      <w:instrText xml:space="preserve"> PAGE  \* MERGEFORMAT </w:instrText>
                    </w:r>
                    <w:r>
                      <w:rPr>
                        <w:rFonts w:hint="eastAsia"/>
                      </w:rPr>
                      <w:fldChar w:fldCharType="separate"/>
                    </w:r>
                    <w:r>
                      <w:t>166</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single" w:color="auto" w:sz="4" w:space="1"/>
      </w:pBdr>
      <w:ind w:left="0" w:leftChars="0" w:firstLine="0" w:firstLineChars="0"/>
      <w:jc w:val="center"/>
      <w:rPr>
        <w:sz w:val="21"/>
        <w:szCs w:val="21"/>
      </w:rPr>
    </w:pPr>
    <w:r>
      <w:rPr>
        <w:rFonts w:hint="eastAsia"/>
        <w:sz w:val="21"/>
        <w:szCs w:val="21"/>
        <w:lang w:eastAsia="zh-CN"/>
      </w:rPr>
      <w:t>砚山县阿猛镇倮基黑卡子凹塘石料厂年产30万吨建筑石料用灰岩建设项目</w:t>
    </w:r>
    <w:r>
      <w:rPr>
        <w:sz w:val="21"/>
        <w:szCs w:val="21"/>
      </w:rPr>
      <w:t>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5A7DE4"/>
    <w:multiLevelType w:val="singleLevel"/>
    <w:tmpl w:val="AC5A7DE4"/>
    <w:lvl w:ilvl="0" w:tentative="0">
      <w:start w:val="1"/>
      <w:numFmt w:val="decimal"/>
      <w:suff w:val="nothing"/>
      <w:lvlText w:val="（%1）"/>
      <w:lvlJc w:val="left"/>
    </w:lvl>
  </w:abstractNum>
  <w:abstractNum w:abstractNumId="1">
    <w:nsid w:val="B853C50E"/>
    <w:multiLevelType w:val="singleLevel"/>
    <w:tmpl w:val="B853C50E"/>
    <w:lvl w:ilvl="0" w:tentative="0">
      <w:start w:val="1"/>
      <w:numFmt w:val="decimal"/>
      <w:suff w:val="nothing"/>
      <w:lvlText w:val="（%1）"/>
      <w:lvlJc w:val="left"/>
    </w:lvl>
  </w:abstractNum>
  <w:abstractNum w:abstractNumId="2">
    <w:nsid w:val="BD9C1319"/>
    <w:multiLevelType w:val="singleLevel"/>
    <w:tmpl w:val="BD9C1319"/>
    <w:lvl w:ilvl="0" w:tentative="0">
      <w:start w:val="2"/>
      <w:numFmt w:val="decimal"/>
      <w:suff w:val="nothing"/>
      <w:lvlText w:val="（%1）"/>
      <w:lvlJc w:val="left"/>
    </w:lvl>
  </w:abstractNum>
  <w:abstractNum w:abstractNumId="3">
    <w:nsid w:val="E2CC0D37"/>
    <w:multiLevelType w:val="multilevel"/>
    <w:tmpl w:val="E2CC0D37"/>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4">
    <w:nsid w:val="FFD2ED93"/>
    <w:multiLevelType w:val="singleLevel"/>
    <w:tmpl w:val="FFD2ED93"/>
    <w:lvl w:ilvl="0" w:tentative="0">
      <w:start w:val="2"/>
      <w:numFmt w:val="decimal"/>
      <w:suff w:val="nothing"/>
      <w:lvlText w:val="（%1）"/>
      <w:lvlJc w:val="left"/>
    </w:lvl>
  </w:abstractNum>
  <w:abstractNum w:abstractNumId="5">
    <w:nsid w:val="06251630"/>
    <w:multiLevelType w:val="singleLevel"/>
    <w:tmpl w:val="06251630"/>
    <w:lvl w:ilvl="0" w:tentative="0">
      <w:start w:val="1"/>
      <w:numFmt w:val="upperLetter"/>
      <w:suff w:val="nothing"/>
      <w:lvlText w:val="%1、"/>
      <w:lvlJc w:val="left"/>
    </w:lvl>
  </w:abstractNum>
  <w:abstractNum w:abstractNumId="6">
    <w:nsid w:val="1D661D2D"/>
    <w:multiLevelType w:val="singleLevel"/>
    <w:tmpl w:val="1D661D2D"/>
    <w:lvl w:ilvl="0" w:tentative="0">
      <w:start w:val="2"/>
      <w:numFmt w:val="decimal"/>
      <w:suff w:val="nothing"/>
      <w:lvlText w:val="%1、"/>
      <w:lvlJc w:val="left"/>
    </w:lvl>
  </w:abstractNum>
  <w:abstractNum w:abstractNumId="7">
    <w:nsid w:val="22651C0F"/>
    <w:multiLevelType w:val="singleLevel"/>
    <w:tmpl w:val="22651C0F"/>
    <w:lvl w:ilvl="0" w:tentative="0">
      <w:start w:val="1"/>
      <w:numFmt w:val="decimal"/>
      <w:suff w:val="nothing"/>
      <w:lvlText w:val="（%1）"/>
      <w:lvlJc w:val="left"/>
    </w:lvl>
  </w:abstractNum>
  <w:abstractNum w:abstractNumId="8">
    <w:nsid w:val="48B47765"/>
    <w:multiLevelType w:val="multilevel"/>
    <w:tmpl w:val="48B47765"/>
    <w:lvl w:ilvl="0" w:tentative="0">
      <w:start w:val="1"/>
      <w:numFmt w:val="lowerLetter"/>
      <w:lvlText w:val="%1)"/>
      <w:lvlJc w:val="left"/>
      <w:pPr>
        <w:ind w:left="842" w:hanging="420"/>
      </w:pPr>
    </w:lvl>
    <w:lvl w:ilvl="1" w:tentative="0">
      <w:start w:val="1"/>
      <w:numFmt w:val="lowerLetter"/>
      <w:lvlText w:val="%2)"/>
      <w:lvlJc w:val="left"/>
      <w:pPr>
        <w:ind w:left="846"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9">
    <w:nsid w:val="546FFD44"/>
    <w:multiLevelType w:val="singleLevel"/>
    <w:tmpl w:val="546FFD44"/>
    <w:lvl w:ilvl="0" w:tentative="0">
      <w:start w:val="1"/>
      <w:numFmt w:val="chineseCounting"/>
      <w:suff w:val="nothing"/>
      <w:lvlText w:val="%1、"/>
      <w:lvlJc w:val="left"/>
      <w:rPr>
        <w:rFonts w:hint="eastAsia"/>
      </w:rPr>
    </w:lvl>
  </w:abstractNum>
  <w:abstractNum w:abstractNumId="10">
    <w:nsid w:val="65A83A71"/>
    <w:multiLevelType w:val="singleLevel"/>
    <w:tmpl w:val="65A83A71"/>
    <w:lvl w:ilvl="0" w:tentative="0">
      <w:start w:val="7"/>
      <w:numFmt w:val="decimal"/>
      <w:suff w:val="nothing"/>
      <w:lvlText w:val="（%1）"/>
      <w:lvlJc w:val="left"/>
    </w:lvl>
  </w:abstractNum>
  <w:abstractNum w:abstractNumId="11">
    <w:nsid w:val="708628DF"/>
    <w:multiLevelType w:val="singleLevel"/>
    <w:tmpl w:val="708628DF"/>
    <w:lvl w:ilvl="0" w:tentative="0">
      <w:start w:val="1"/>
      <w:numFmt w:val="decimal"/>
      <w:suff w:val="nothing"/>
      <w:lvlText w:val="（%1）"/>
      <w:lvlJc w:val="left"/>
    </w:lvl>
  </w:abstractNum>
  <w:abstractNum w:abstractNumId="12">
    <w:nsid w:val="740E7EEC"/>
    <w:multiLevelType w:val="multilevel"/>
    <w:tmpl w:val="740E7EEC"/>
    <w:lvl w:ilvl="0" w:tentative="0">
      <w:start w:val="1"/>
      <w:numFmt w:val="decimal"/>
      <w:pStyle w:val="43"/>
      <w:lvlText w:val="%1."/>
      <w:lvlJc w:val="left"/>
      <w:pPr>
        <w:tabs>
          <w:tab w:val="left" w:pos="720"/>
        </w:tabs>
        <w:ind w:left="720" w:hanging="720"/>
      </w:pPr>
    </w:lvl>
    <w:lvl w:ilvl="1" w:tentative="0">
      <w:start w:val="1"/>
      <w:numFmt w:val="decimal"/>
      <w:pStyle w:val="64"/>
      <w:lvlText w:val="%2."/>
      <w:lvlJc w:val="left"/>
      <w:pPr>
        <w:tabs>
          <w:tab w:val="left" w:pos="1440"/>
        </w:tabs>
        <w:ind w:left="1440" w:hanging="720"/>
      </w:pPr>
    </w:lvl>
    <w:lvl w:ilvl="2" w:tentative="0">
      <w:start w:val="1"/>
      <w:numFmt w:val="decimal"/>
      <w:pStyle w:val="124"/>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num w:numId="1">
    <w:abstractNumId w:val="12"/>
  </w:num>
  <w:num w:numId="2">
    <w:abstractNumId w:val="9"/>
  </w:num>
  <w:num w:numId="3">
    <w:abstractNumId w:val="6"/>
  </w:num>
  <w:num w:numId="4">
    <w:abstractNumId w:val="1"/>
  </w:num>
  <w:num w:numId="5">
    <w:abstractNumId w:val="4"/>
  </w:num>
  <w:num w:numId="6">
    <w:abstractNumId w:val="3"/>
  </w:num>
  <w:num w:numId="7">
    <w:abstractNumId w:val="2"/>
  </w:num>
  <w:num w:numId="8">
    <w:abstractNumId w:val="5"/>
  </w:num>
  <w:num w:numId="9">
    <w:abstractNumId w:val="7"/>
  </w:num>
  <w:num w:numId="10">
    <w:abstractNumId w:val="8"/>
  </w:num>
  <w:num w:numId="11">
    <w:abstractNumId w:val="10"/>
  </w:num>
  <w:num w:numId="12">
    <w:abstractNumId w:val="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documentProtection w:enforcement="0"/>
  <w:defaultTabStop w:val="420"/>
  <w:drawingGridHorizontalSpacing w:val="240"/>
  <w:drawingGridVerticalSpacing w:val="-794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2409B"/>
    <w:rsid w:val="00074DE3"/>
    <w:rsid w:val="000D28F3"/>
    <w:rsid w:val="000E5F5F"/>
    <w:rsid w:val="001178C9"/>
    <w:rsid w:val="00162B09"/>
    <w:rsid w:val="00172A27"/>
    <w:rsid w:val="001D37F6"/>
    <w:rsid w:val="00264ED3"/>
    <w:rsid w:val="0028687B"/>
    <w:rsid w:val="002A7BBE"/>
    <w:rsid w:val="003015DB"/>
    <w:rsid w:val="00375651"/>
    <w:rsid w:val="00483936"/>
    <w:rsid w:val="00490AE3"/>
    <w:rsid w:val="004A60A1"/>
    <w:rsid w:val="004C74DC"/>
    <w:rsid w:val="00530F24"/>
    <w:rsid w:val="005572E1"/>
    <w:rsid w:val="005A6657"/>
    <w:rsid w:val="005B0DA2"/>
    <w:rsid w:val="005B5A27"/>
    <w:rsid w:val="005D34A9"/>
    <w:rsid w:val="00625BDE"/>
    <w:rsid w:val="006D7FCA"/>
    <w:rsid w:val="00783769"/>
    <w:rsid w:val="007B118D"/>
    <w:rsid w:val="007F5A24"/>
    <w:rsid w:val="00812624"/>
    <w:rsid w:val="008152F4"/>
    <w:rsid w:val="00B56B6E"/>
    <w:rsid w:val="00B81BEC"/>
    <w:rsid w:val="00BA63AE"/>
    <w:rsid w:val="00C17EE3"/>
    <w:rsid w:val="00C40B5C"/>
    <w:rsid w:val="00CA6E9F"/>
    <w:rsid w:val="00CD6982"/>
    <w:rsid w:val="00CE0B8E"/>
    <w:rsid w:val="00D11926"/>
    <w:rsid w:val="00DD5AB3"/>
    <w:rsid w:val="00E50D22"/>
    <w:rsid w:val="00E527D2"/>
    <w:rsid w:val="00EB4BAB"/>
    <w:rsid w:val="00EC7393"/>
    <w:rsid w:val="00EF0194"/>
    <w:rsid w:val="00F074AD"/>
    <w:rsid w:val="00F52454"/>
    <w:rsid w:val="016603D9"/>
    <w:rsid w:val="017510D9"/>
    <w:rsid w:val="018D39B2"/>
    <w:rsid w:val="01AC5D82"/>
    <w:rsid w:val="01B9710B"/>
    <w:rsid w:val="01F30FEF"/>
    <w:rsid w:val="02287EFE"/>
    <w:rsid w:val="025C662A"/>
    <w:rsid w:val="0266635B"/>
    <w:rsid w:val="02A57444"/>
    <w:rsid w:val="02B461B9"/>
    <w:rsid w:val="02BB0242"/>
    <w:rsid w:val="03113138"/>
    <w:rsid w:val="032B086D"/>
    <w:rsid w:val="03305C1D"/>
    <w:rsid w:val="035F3AB0"/>
    <w:rsid w:val="037472F8"/>
    <w:rsid w:val="039770BA"/>
    <w:rsid w:val="03AA6587"/>
    <w:rsid w:val="03F47FEB"/>
    <w:rsid w:val="0459700E"/>
    <w:rsid w:val="045A76D6"/>
    <w:rsid w:val="04606684"/>
    <w:rsid w:val="04722808"/>
    <w:rsid w:val="04AD16D1"/>
    <w:rsid w:val="04BD5141"/>
    <w:rsid w:val="04CD607A"/>
    <w:rsid w:val="04F82F22"/>
    <w:rsid w:val="0524290D"/>
    <w:rsid w:val="053F462D"/>
    <w:rsid w:val="05603AB4"/>
    <w:rsid w:val="05673E8D"/>
    <w:rsid w:val="059B2B6A"/>
    <w:rsid w:val="05BF63FF"/>
    <w:rsid w:val="05ED0438"/>
    <w:rsid w:val="05EF13DC"/>
    <w:rsid w:val="05F626AA"/>
    <w:rsid w:val="0606546B"/>
    <w:rsid w:val="06413823"/>
    <w:rsid w:val="064930F3"/>
    <w:rsid w:val="06504763"/>
    <w:rsid w:val="06565C63"/>
    <w:rsid w:val="067407A6"/>
    <w:rsid w:val="06801FAC"/>
    <w:rsid w:val="06944B8D"/>
    <w:rsid w:val="06AF0B0E"/>
    <w:rsid w:val="06C84981"/>
    <w:rsid w:val="06E72178"/>
    <w:rsid w:val="06ED1DA3"/>
    <w:rsid w:val="071F5067"/>
    <w:rsid w:val="07685CC6"/>
    <w:rsid w:val="0787214A"/>
    <w:rsid w:val="07C043FF"/>
    <w:rsid w:val="07FA59D1"/>
    <w:rsid w:val="08186777"/>
    <w:rsid w:val="082E75A1"/>
    <w:rsid w:val="083108EA"/>
    <w:rsid w:val="08755D5E"/>
    <w:rsid w:val="08802FCA"/>
    <w:rsid w:val="088A1639"/>
    <w:rsid w:val="08947A86"/>
    <w:rsid w:val="08967F3C"/>
    <w:rsid w:val="08CD7E25"/>
    <w:rsid w:val="09045E13"/>
    <w:rsid w:val="0958394F"/>
    <w:rsid w:val="095A6E45"/>
    <w:rsid w:val="098B447C"/>
    <w:rsid w:val="09BB3D06"/>
    <w:rsid w:val="09CB4FCC"/>
    <w:rsid w:val="09CF54CB"/>
    <w:rsid w:val="0A0A5831"/>
    <w:rsid w:val="0A174444"/>
    <w:rsid w:val="0A356FB0"/>
    <w:rsid w:val="0A4B442F"/>
    <w:rsid w:val="0A5C3A80"/>
    <w:rsid w:val="0A5D7DF6"/>
    <w:rsid w:val="0AD3727D"/>
    <w:rsid w:val="0AE36DDD"/>
    <w:rsid w:val="0B115C6B"/>
    <w:rsid w:val="0B1D6A9C"/>
    <w:rsid w:val="0B7F77D7"/>
    <w:rsid w:val="0B9319D1"/>
    <w:rsid w:val="0B9A7B24"/>
    <w:rsid w:val="0BD4038C"/>
    <w:rsid w:val="0BF971CB"/>
    <w:rsid w:val="0C5306CC"/>
    <w:rsid w:val="0C5A26B0"/>
    <w:rsid w:val="0C726C0E"/>
    <w:rsid w:val="0CD23C50"/>
    <w:rsid w:val="0CFA6781"/>
    <w:rsid w:val="0D0F2580"/>
    <w:rsid w:val="0D203EBA"/>
    <w:rsid w:val="0D5A71AC"/>
    <w:rsid w:val="0D6F63FF"/>
    <w:rsid w:val="0D761015"/>
    <w:rsid w:val="0D89051D"/>
    <w:rsid w:val="0D897A04"/>
    <w:rsid w:val="0DCA0777"/>
    <w:rsid w:val="0DD5456B"/>
    <w:rsid w:val="0DF64622"/>
    <w:rsid w:val="0E0B43F7"/>
    <w:rsid w:val="0E15014E"/>
    <w:rsid w:val="0E4029B7"/>
    <w:rsid w:val="0E475F41"/>
    <w:rsid w:val="0E4C3CBA"/>
    <w:rsid w:val="0E6422D6"/>
    <w:rsid w:val="0E81551C"/>
    <w:rsid w:val="0E8F1FE0"/>
    <w:rsid w:val="0E9E67D7"/>
    <w:rsid w:val="0F0D2F6F"/>
    <w:rsid w:val="0F1A13D7"/>
    <w:rsid w:val="0F2D65A2"/>
    <w:rsid w:val="0F423CBD"/>
    <w:rsid w:val="0F433065"/>
    <w:rsid w:val="0F453AD6"/>
    <w:rsid w:val="0F4D1C49"/>
    <w:rsid w:val="0F5C0035"/>
    <w:rsid w:val="0F66499E"/>
    <w:rsid w:val="0F6A33B3"/>
    <w:rsid w:val="0F736393"/>
    <w:rsid w:val="0F7C0739"/>
    <w:rsid w:val="0F7C5007"/>
    <w:rsid w:val="0F8B3BA7"/>
    <w:rsid w:val="100A3CA8"/>
    <w:rsid w:val="106122F3"/>
    <w:rsid w:val="106B2581"/>
    <w:rsid w:val="10894C6E"/>
    <w:rsid w:val="108C2320"/>
    <w:rsid w:val="109B1DCF"/>
    <w:rsid w:val="10AA1A45"/>
    <w:rsid w:val="10C5422A"/>
    <w:rsid w:val="10D1641F"/>
    <w:rsid w:val="10D773E2"/>
    <w:rsid w:val="1112228E"/>
    <w:rsid w:val="111655EE"/>
    <w:rsid w:val="11196FB7"/>
    <w:rsid w:val="11247958"/>
    <w:rsid w:val="112F0E4A"/>
    <w:rsid w:val="11543A47"/>
    <w:rsid w:val="11984BB1"/>
    <w:rsid w:val="11AA16CB"/>
    <w:rsid w:val="11AC67FA"/>
    <w:rsid w:val="11BE7E4F"/>
    <w:rsid w:val="11CF1B20"/>
    <w:rsid w:val="11CF2A2B"/>
    <w:rsid w:val="11EF5569"/>
    <w:rsid w:val="12092149"/>
    <w:rsid w:val="12443491"/>
    <w:rsid w:val="125F04AD"/>
    <w:rsid w:val="12660D17"/>
    <w:rsid w:val="126C17EF"/>
    <w:rsid w:val="128A1E2C"/>
    <w:rsid w:val="12A5432B"/>
    <w:rsid w:val="12D56DAB"/>
    <w:rsid w:val="13413450"/>
    <w:rsid w:val="139F51EB"/>
    <w:rsid w:val="13EA286A"/>
    <w:rsid w:val="13FC4CE1"/>
    <w:rsid w:val="140E13D6"/>
    <w:rsid w:val="141A533F"/>
    <w:rsid w:val="146005F6"/>
    <w:rsid w:val="14946C32"/>
    <w:rsid w:val="14A1199B"/>
    <w:rsid w:val="14BF5512"/>
    <w:rsid w:val="14D60064"/>
    <w:rsid w:val="14D97B94"/>
    <w:rsid w:val="1532687C"/>
    <w:rsid w:val="153B4153"/>
    <w:rsid w:val="15486F4C"/>
    <w:rsid w:val="1556596F"/>
    <w:rsid w:val="15DF7942"/>
    <w:rsid w:val="16025629"/>
    <w:rsid w:val="16084E60"/>
    <w:rsid w:val="160A538F"/>
    <w:rsid w:val="16AE6471"/>
    <w:rsid w:val="16C1740C"/>
    <w:rsid w:val="16CD572E"/>
    <w:rsid w:val="16EB5893"/>
    <w:rsid w:val="16F026F0"/>
    <w:rsid w:val="175239CF"/>
    <w:rsid w:val="1779426B"/>
    <w:rsid w:val="17857B05"/>
    <w:rsid w:val="17916082"/>
    <w:rsid w:val="1798512D"/>
    <w:rsid w:val="17D54069"/>
    <w:rsid w:val="17E90912"/>
    <w:rsid w:val="17EA43A1"/>
    <w:rsid w:val="17F2333B"/>
    <w:rsid w:val="180A51F8"/>
    <w:rsid w:val="180C1899"/>
    <w:rsid w:val="1838294B"/>
    <w:rsid w:val="18814E23"/>
    <w:rsid w:val="18BB45DB"/>
    <w:rsid w:val="19252017"/>
    <w:rsid w:val="195D51D1"/>
    <w:rsid w:val="19611AFD"/>
    <w:rsid w:val="19697E7D"/>
    <w:rsid w:val="199A58B7"/>
    <w:rsid w:val="19A42BA5"/>
    <w:rsid w:val="19AD1303"/>
    <w:rsid w:val="19C33F9F"/>
    <w:rsid w:val="19C34E08"/>
    <w:rsid w:val="19DD0991"/>
    <w:rsid w:val="19FF39FF"/>
    <w:rsid w:val="1A0F10CA"/>
    <w:rsid w:val="1A2C1FA2"/>
    <w:rsid w:val="1A5A5942"/>
    <w:rsid w:val="1A5D43B2"/>
    <w:rsid w:val="1A8E0FE9"/>
    <w:rsid w:val="1AD36612"/>
    <w:rsid w:val="1B2A0B21"/>
    <w:rsid w:val="1B8E27F3"/>
    <w:rsid w:val="1BA062AE"/>
    <w:rsid w:val="1BAD2905"/>
    <w:rsid w:val="1BDE630B"/>
    <w:rsid w:val="1BE57499"/>
    <w:rsid w:val="1C2173BC"/>
    <w:rsid w:val="1C2E1324"/>
    <w:rsid w:val="1C6A5B8C"/>
    <w:rsid w:val="1CBC2417"/>
    <w:rsid w:val="1D1104E7"/>
    <w:rsid w:val="1D245C88"/>
    <w:rsid w:val="1D477BC8"/>
    <w:rsid w:val="1D6F2512"/>
    <w:rsid w:val="1DBB6E37"/>
    <w:rsid w:val="1DCD280B"/>
    <w:rsid w:val="1DF20550"/>
    <w:rsid w:val="1E424056"/>
    <w:rsid w:val="1E4E6564"/>
    <w:rsid w:val="1E514DF5"/>
    <w:rsid w:val="1E7C1CEE"/>
    <w:rsid w:val="1EAE4A76"/>
    <w:rsid w:val="1EB73CAA"/>
    <w:rsid w:val="1F44668D"/>
    <w:rsid w:val="1F47690C"/>
    <w:rsid w:val="1F5000C2"/>
    <w:rsid w:val="1F543F89"/>
    <w:rsid w:val="1F8869B0"/>
    <w:rsid w:val="1F9D4AF6"/>
    <w:rsid w:val="1FBB2C3A"/>
    <w:rsid w:val="1FDB4285"/>
    <w:rsid w:val="1FDC1C7C"/>
    <w:rsid w:val="2001066F"/>
    <w:rsid w:val="2007261C"/>
    <w:rsid w:val="202B52FE"/>
    <w:rsid w:val="204E30DE"/>
    <w:rsid w:val="2060054B"/>
    <w:rsid w:val="20682253"/>
    <w:rsid w:val="20D044DF"/>
    <w:rsid w:val="20E84C78"/>
    <w:rsid w:val="21043526"/>
    <w:rsid w:val="21166AAF"/>
    <w:rsid w:val="212B5AF1"/>
    <w:rsid w:val="215F4409"/>
    <w:rsid w:val="21644B35"/>
    <w:rsid w:val="219645E3"/>
    <w:rsid w:val="21DE4D8A"/>
    <w:rsid w:val="22236D06"/>
    <w:rsid w:val="22277334"/>
    <w:rsid w:val="2295753C"/>
    <w:rsid w:val="22A105B8"/>
    <w:rsid w:val="22B953D7"/>
    <w:rsid w:val="233232F1"/>
    <w:rsid w:val="23386936"/>
    <w:rsid w:val="234111CC"/>
    <w:rsid w:val="234B1060"/>
    <w:rsid w:val="23717905"/>
    <w:rsid w:val="237329CC"/>
    <w:rsid w:val="23754D03"/>
    <w:rsid w:val="237A6254"/>
    <w:rsid w:val="23B55CD7"/>
    <w:rsid w:val="23B93928"/>
    <w:rsid w:val="23BC188D"/>
    <w:rsid w:val="23CC7F91"/>
    <w:rsid w:val="23F13525"/>
    <w:rsid w:val="244D34E8"/>
    <w:rsid w:val="247B6562"/>
    <w:rsid w:val="24815C06"/>
    <w:rsid w:val="24EF5AE3"/>
    <w:rsid w:val="24F56C1C"/>
    <w:rsid w:val="252D27DA"/>
    <w:rsid w:val="25420631"/>
    <w:rsid w:val="25480F7F"/>
    <w:rsid w:val="255E7DEC"/>
    <w:rsid w:val="25B6334E"/>
    <w:rsid w:val="25CC0268"/>
    <w:rsid w:val="262638C0"/>
    <w:rsid w:val="262D39F7"/>
    <w:rsid w:val="265D0079"/>
    <w:rsid w:val="26685F2D"/>
    <w:rsid w:val="26803DE7"/>
    <w:rsid w:val="26806824"/>
    <w:rsid w:val="26A86A81"/>
    <w:rsid w:val="26CF5730"/>
    <w:rsid w:val="27011C49"/>
    <w:rsid w:val="270208B0"/>
    <w:rsid w:val="2740582B"/>
    <w:rsid w:val="275542EB"/>
    <w:rsid w:val="27904E4A"/>
    <w:rsid w:val="27A42704"/>
    <w:rsid w:val="27CA5216"/>
    <w:rsid w:val="280938D8"/>
    <w:rsid w:val="2832308A"/>
    <w:rsid w:val="283759B4"/>
    <w:rsid w:val="28CD59F6"/>
    <w:rsid w:val="28D1668C"/>
    <w:rsid w:val="28DC5C24"/>
    <w:rsid w:val="28FC5586"/>
    <w:rsid w:val="29017971"/>
    <w:rsid w:val="29021CE9"/>
    <w:rsid w:val="2902341B"/>
    <w:rsid w:val="290B6132"/>
    <w:rsid w:val="29130E9B"/>
    <w:rsid w:val="29795F59"/>
    <w:rsid w:val="298367E8"/>
    <w:rsid w:val="298863D1"/>
    <w:rsid w:val="299B1AC0"/>
    <w:rsid w:val="29B27DE6"/>
    <w:rsid w:val="29C90478"/>
    <w:rsid w:val="29E73973"/>
    <w:rsid w:val="2A5313D8"/>
    <w:rsid w:val="2A5F4695"/>
    <w:rsid w:val="2A6F17EC"/>
    <w:rsid w:val="2A717448"/>
    <w:rsid w:val="2A844BFA"/>
    <w:rsid w:val="2B0674E5"/>
    <w:rsid w:val="2B2D1A23"/>
    <w:rsid w:val="2B4F44FA"/>
    <w:rsid w:val="2B5B2543"/>
    <w:rsid w:val="2B626F75"/>
    <w:rsid w:val="2B733111"/>
    <w:rsid w:val="2B7B2EF5"/>
    <w:rsid w:val="2BC65F97"/>
    <w:rsid w:val="2BDF2A92"/>
    <w:rsid w:val="2C4B5B93"/>
    <w:rsid w:val="2C4E5BAC"/>
    <w:rsid w:val="2C7A333E"/>
    <w:rsid w:val="2C881AC7"/>
    <w:rsid w:val="2C92218F"/>
    <w:rsid w:val="2C9E0C16"/>
    <w:rsid w:val="2CC93D71"/>
    <w:rsid w:val="2CC97CE3"/>
    <w:rsid w:val="2D000FF6"/>
    <w:rsid w:val="2D0265CD"/>
    <w:rsid w:val="2D154E2D"/>
    <w:rsid w:val="2D2F624E"/>
    <w:rsid w:val="2D3F1485"/>
    <w:rsid w:val="2D45047F"/>
    <w:rsid w:val="2D60655A"/>
    <w:rsid w:val="2D715FE9"/>
    <w:rsid w:val="2DB3490D"/>
    <w:rsid w:val="2DE96093"/>
    <w:rsid w:val="2DF73FFD"/>
    <w:rsid w:val="2E4E3B6C"/>
    <w:rsid w:val="2E8444D3"/>
    <w:rsid w:val="2EA34937"/>
    <w:rsid w:val="2EA77F62"/>
    <w:rsid w:val="2EDF14C1"/>
    <w:rsid w:val="2EFC022E"/>
    <w:rsid w:val="2F0043B5"/>
    <w:rsid w:val="2F042D53"/>
    <w:rsid w:val="2F7D1743"/>
    <w:rsid w:val="2F925032"/>
    <w:rsid w:val="2FB8557C"/>
    <w:rsid w:val="2FCB1D9A"/>
    <w:rsid w:val="3031581B"/>
    <w:rsid w:val="3038149C"/>
    <w:rsid w:val="30497C07"/>
    <w:rsid w:val="30544F22"/>
    <w:rsid w:val="305778AE"/>
    <w:rsid w:val="30815331"/>
    <w:rsid w:val="309B5FD1"/>
    <w:rsid w:val="309C11D5"/>
    <w:rsid w:val="30BA355D"/>
    <w:rsid w:val="30DB1238"/>
    <w:rsid w:val="30DF3727"/>
    <w:rsid w:val="3101280D"/>
    <w:rsid w:val="31084318"/>
    <w:rsid w:val="313B38DD"/>
    <w:rsid w:val="313C5D84"/>
    <w:rsid w:val="314E7211"/>
    <w:rsid w:val="31756A12"/>
    <w:rsid w:val="31AB55F9"/>
    <w:rsid w:val="31BD74F7"/>
    <w:rsid w:val="31D24F56"/>
    <w:rsid w:val="31E23C65"/>
    <w:rsid w:val="320F1BB1"/>
    <w:rsid w:val="32287A18"/>
    <w:rsid w:val="32922733"/>
    <w:rsid w:val="32CC00E5"/>
    <w:rsid w:val="32D809EC"/>
    <w:rsid w:val="32F6642B"/>
    <w:rsid w:val="33107E54"/>
    <w:rsid w:val="33220261"/>
    <w:rsid w:val="333461BC"/>
    <w:rsid w:val="334C19C8"/>
    <w:rsid w:val="33A37F3E"/>
    <w:rsid w:val="33B55256"/>
    <w:rsid w:val="33E6257C"/>
    <w:rsid w:val="33EA53EB"/>
    <w:rsid w:val="33FD6510"/>
    <w:rsid w:val="340230A7"/>
    <w:rsid w:val="343A2DFC"/>
    <w:rsid w:val="34446A23"/>
    <w:rsid w:val="345A52FA"/>
    <w:rsid w:val="346D3260"/>
    <w:rsid w:val="349B2C52"/>
    <w:rsid w:val="34AB04EC"/>
    <w:rsid w:val="34BD3AA4"/>
    <w:rsid w:val="34C90443"/>
    <w:rsid w:val="34CE1E8D"/>
    <w:rsid w:val="34E97290"/>
    <w:rsid w:val="351A1342"/>
    <w:rsid w:val="3526545C"/>
    <w:rsid w:val="352F7CCE"/>
    <w:rsid w:val="3552652E"/>
    <w:rsid w:val="355557A1"/>
    <w:rsid w:val="355A54E1"/>
    <w:rsid w:val="356117F2"/>
    <w:rsid w:val="35666DB1"/>
    <w:rsid w:val="35D13819"/>
    <w:rsid w:val="36A35487"/>
    <w:rsid w:val="36E772EE"/>
    <w:rsid w:val="36EE08C0"/>
    <w:rsid w:val="37635A79"/>
    <w:rsid w:val="377670F3"/>
    <w:rsid w:val="37F062AD"/>
    <w:rsid w:val="381256EA"/>
    <w:rsid w:val="38147DA4"/>
    <w:rsid w:val="381F4B07"/>
    <w:rsid w:val="383C26AD"/>
    <w:rsid w:val="38576CBD"/>
    <w:rsid w:val="38771982"/>
    <w:rsid w:val="38AA1F5E"/>
    <w:rsid w:val="38C64FAD"/>
    <w:rsid w:val="38D80B3D"/>
    <w:rsid w:val="39046D83"/>
    <w:rsid w:val="395D50E5"/>
    <w:rsid w:val="39877625"/>
    <w:rsid w:val="39964B3E"/>
    <w:rsid w:val="39A87C85"/>
    <w:rsid w:val="39C138A8"/>
    <w:rsid w:val="39DB755C"/>
    <w:rsid w:val="39F30DDE"/>
    <w:rsid w:val="39FE4809"/>
    <w:rsid w:val="3A811A81"/>
    <w:rsid w:val="3AE626BC"/>
    <w:rsid w:val="3B0C12C3"/>
    <w:rsid w:val="3B122DEB"/>
    <w:rsid w:val="3B187661"/>
    <w:rsid w:val="3B205B8A"/>
    <w:rsid w:val="3B6F0794"/>
    <w:rsid w:val="3B8B72FF"/>
    <w:rsid w:val="3BA07CE8"/>
    <w:rsid w:val="3BD51570"/>
    <w:rsid w:val="3C131D96"/>
    <w:rsid w:val="3C372557"/>
    <w:rsid w:val="3C3D6987"/>
    <w:rsid w:val="3C405CEF"/>
    <w:rsid w:val="3C946362"/>
    <w:rsid w:val="3CFB6071"/>
    <w:rsid w:val="3D2F2962"/>
    <w:rsid w:val="3D4C60BE"/>
    <w:rsid w:val="3D542A87"/>
    <w:rsid w:val="3D641C82"/>
    <w:rsid w:val="3D794000"/>
    <w:rsid w:val="3DA44623"/>
    <w:rsid w:val="3DAA5CBD"/>
    <w:rsid w:val="3DEA65FE"/>
    <w:rsid w:val="3E285585"/>
    <w:rsid w:val="3E361721"/>
    <w:rsid w:val="3E3C7F5D"/>
    <w:rsid w:val="3E4101A5"/>
    <w:rsid w:val="3E617C85"/>
    <w:rsid w:val="3EB7773F"/>
    <w:rsid w:val="3EDA4B45"/>
    <w:rsid w:val="3EDD7CFF"/>
    <w:rsid w:val="3F0850E3"/>
    <w:rsid w:val="3F4E4089"/>
    <w:rsid w:val="3F764D79"/>
    <w:rsid w:val="3FA113FA"/>
    <w:rsid w:val="3FBC60D2"/>
    <w:rsid w:val="40167700"/>
    <w:rsid w:val="402C780B"/>
    <w:rsid w:val="40622405"/>
    <w:rsid w:val="40847290"/>
    <w:rsid w:val="40D97AF2"/>
    <w:rsid w:val="411202E8"/>
    <w:rsid w:val="41216505"/>
    <w:rsid w:val="412F4546"/>
    <w:rsid w:val="41595175"/>
    <w:rsid w:val="418335BC"/>
    <w:rsid w:val="41AC56FA"/>
    <w:rsid w:val="41C40A24"/>
    <w:rsid w:val="41E3675C"/>
    <w:rsid w:val="41EF40C4"/>
    <w:rsid w:val="423E7D61"/>
    <w:rsid w:val="427C51B7"/>
    <w:rsid w:val="42A3249A"/>
    <w:rsid w:val="42B63989"/>
    <w:rsid w:val="42C65C04"/>
    <w:rsid w:val="42E11E85"/>
    <w:rsid w:val="42EA3548"/>
    <w:rsid w:val="42FA45FF"/>
    <w:rsid w:val="431546B1"/>
    <w:rsid w:val="435608A6"/>
    <w:rsid w:val="435753B7"/>
    <w:rsid w:val="43791B09"/>
    <w:rsid w:val="437D6010"/>
    <w:rsid w:val="43846C82"/>
    <w:rsid w:val="43F05936"/>
    <w:rsid w:val="44104A5D"/>
    <w:rsid w:val="4460791A"/>
    <w:rsid w:val="44795069"/>
    <w:rsid w:val="44C847AA"/>
    <w:rsid w:val="44D82FE9"/>
    <w:rsid w:val="44DF6E7E"/>
    <w:rsid w:val="44E0337A"/>
    <w:rsid w:val="44F26517"/>
    <w:rsid w:val="44FA34FD"/>
    <w:rsid w:val="45222CE4"/>
    <w:rsid w:val="454018A3"/>
    <w:rsid w:val="45A1630B"/>
    <w:rsid w:val="45BB037C"/>
    <w:rsid w:val="45BF4264"/>
    <w:rsid w:val="45C56F2B"/>
    <w:rsid w:val="45EE3ADD"/>
    <w:rsid w:val="45F235DF"/>
    <w:rsid w:val="460D6729"/>
    <w:rsid w:val="460E3E33"/>
    <w:rsid w:val="46126D34"/>
    <w:rsid w:val="46220FF3"/>
    <w:rsid w:val="46406300"/>
    <w:rsid w:val="465B2A61"/>
    <w:rsid w:val="46763413"/>
    <w:rsid w:val="469176AB"/>
    <w:rsid w:val="46E45FDE"/>
    <w:rsid w:val="471740ED"/>
    <w:rsid w:val="471A659A"/>
    <w:rsid w:val="475B6A79"/>
    <w:rsid w:val="476F31FB"/>
    <w:rsid w:val="4782702E"/>
    <w:rsid w:val="479B0168"/>
    <w:rsid w:val="47F26602"/>
    <w:rsid w:val="48383B02"/>
    <w:rsid w:val="484A4DFE"/>
    <w:rsid w:val="48815522"/>
    <w:rsid w:val="48AF0560"/>
    <w:rsid w:val="48BB4AD1"/>
    <w:rsid w:val="48BF239A"/>
    <w:rsid w:val="48C528A7"/>
    <w:rsid w:val="49DA0DDC"/>
    <w:rsid w:val="49DC4A61"/>
    <w:rsid w:val="49E57A49"/>
    <w:rsid w:val="4A2F1FBC"/>
    <w:rsid w:val="4A3C5462"/>
    <w:rsid w:val="4A9E38FE"/>
    <w:rsid w:val="4AB8472D"/>
    <w:rsid w:val="4AD7276F"/>
    <w:rsid w:val="4B035FC5"/>
    <w:rsid w:val="4B20286D"/>
    <w:rsid w:val="4B294053"/>
    <w:rsid w:val="4B31771B"/>
    <w:rsid w:val="4B3630AF"/>
    <w:rsid w:val="4BC2251F"/>
    <w:rsid w:val="4BCB7EC8"/>
    <w:rsid w:val="4BDB1235"/>
    <w:rsid w:val="4BE248E8"/>
    <w:rsid w:val="4BF02E3F"/>
    <w:rsid w:val="4C352E46"/>
    <w:rsid w:val="4C4A21B6"/>
    <w:rsid w:val="4C886E3B"/>
    <w:rsid w:val="4C961607"/>
    <w:rsid w:val="4CBE1C2E"/>
    <w:rsid w:val="4CDA1581"/>
    <w:rsid w:val="4D08738A"/>
    <w:rsid w:val="4D303C34"/>
    <w:rsid w:val="4D9C443B"/>
    <w:rsid w:val="4DF9293F"/>
    <w:rsid w:val="4E515C87"/>
    <w:rsid w:val="4E542444"/>
    <w:rsid w:val="4E643520"/>
    <w:rsid w:val="4EAD47D7"/>
    <w:rsid w:val="4F2F780B"/>
    <w:rsid w:val="4F3178C8"/>
    <w:rsid w:val="4F420AAA"/>
    <w:rsid w:val="4F72506F"/>
    <w:rsid w:val="4F7807CE"/>
    <w:rsid w:val="4F7B1000"/>
    <w:rsid w:val="4FF8051F"/>
    <w:rsid w:val="5036787C"/>
    <w:rsid w:val="50397A88"/>
    <w:rsid w:val="50490EAB"/>
    <w:rsid w:val="504E01E6"/>
    <w:rsid w:val="50610F21"/>
    <w:rsid w:val="507270B3"/>
    <w:rsid w:val="509A5F5B"/>
    <w:rsid w:val="50CD12EF"/>
    <w:rsid w:val="50DD43ED"/>
    <w:rsid w:val="5121596D"/>
    <w:rsid w:val="51712C15"/>
    <w:rsid w:val="51A06811"/>
    <w:rsid w:val="51A07E5F"/>
    <w:rsid w:val="51C13939"/>
    <w:rsid w:val="51C76C7B"/>
    <w:rsid w:val="51ED1078"/>
    <w:rsid w:val="521234F9"/>
    <w:rsid w:val="52BB457C"/>
    <w:rsid w:val="52F910B2"/>
    <w:rsid w:val="53130219"/>
    <w:rsid w:val="53181813"/>
    <w:rsid w:val="532768DB"/>
    <w:rsid w:val="53386ECA"/>
    <w:rsid w:val="53390385"/>
    <w:rsid w:val="533C4379"/>
    <w:rsid w:val="53487CF6"/>
    <w:rsid w:val="53B94D27"/>
    <w:rsid w:val="53CE245D"/>
    <w:rsid w:val="53CF09BD"/>
    <w:rsid w:val="53F37667"/>
    <w:rsid w:val="53FC016F"/>
    <w:rsid w:val="54631F7D"/>
    <w:rsid w:val="546D422A"/>
    <w:rsid w:val="546E57EE"/>
    <w:rsid w:val="555733F1"/>
    <w:rsid w:val="55747E7F"/>
    <w:rsid w:val="558D6E6E"/>
    <w:rsid w:val="55D5785E"/>
    <w:rsid w:val="55D61540"/>
    <w:rsid w:val="56125B1B"/>
    <w:rsid w:val="5627578E"/>
    <w:rsid w:val="56345F5A"/>
    <w:rsid w:val="567820F0"/>
    <w:rsid w:val="568079CC"/>
    <w:rsid w:val="56815C26"/>
    <w:rsid w:val="56847DC0"/>
    <w:rsid w:val="56FA35B1"/>
    <w:rsid w:val="5709115B"/>
    <w:rsid w:val="57265E25"/>
    <w:rsid w:val="573B3EE8"/>
    <w:rsid w:val="573E214C"/>
    <w:rsid w:val="57584CE4"/>
    <w:rsid w:val="575D261B"/>
    <w:rsid w:val="58297B7D"/>
    <w:rsid w:val="584F1EF9"/>
    <w:rsid w:val="58590054"/>
    <w:rsid w:val="587757F1"/>
    <w:rsid w:val="58887D01"/>
    <w:rsid w:val="58913243"/>
    <w:rsid w:val="58D237A9"/>
    <w:rsid w:val="58DE6CB7"/>
    <w:rsid w:val="58FE1157"/>
    <w:rsid w:val="5901003C"/>
    <w:rsid w:val="59534A99"/>
    <w:rsid w:val="5981606B"/>
    <w:rsid w:val="598A3ACA"/>
    <w:rsid w:val="599D3901"/>
    <w:rsid w:val="599E40C4"/>
    <w:rsid w:val="59BF3BFE"/>
    <w:rsid w:val="5A0C4E22"/>
    <w:rsid w:val="5A982E82"/>
    <w:rsid w:val="5A9B5D5C"/>
    <w:rsid w:val="5AA9783A"/>
    <w:rsid w:val="5AB321D3"/>
    <w:rsid w:val="5ADC2E41"/>
    <w:rsid w:val="5AEC3939"/>
    <w:rsid w:val="5AEC418C"/>
    <w:rsid w:val="5AEE590E"/>
    <w:rsid w:val="5B6D6E49"/>
    <w:rsid w:val="5BFD216E"/>
    <w:rsid w:val="5BFD46EF"/>
    <w:rsid w:val="5C0302D3"/>
    <w:rsid w:val="5C323DE8"/>
    <w:rsid w:val="5C4D437C"/>
    <w:rsid w:val="5C55104C"/>
    <w:rsid w:val="5C7732D4"/>
    <w:rsid w:val="5CC80F02"/>
    <w:rsid w:val="5D0E7D5B"/>
    <w:rsid w:val="5D274A99"/>
    <w:rsid w:val="5D4B5140"/>
    <w:rsid w:val="5D5912BE"/>
    <w:rsid w:val="5D59561F"/>
    <w:rsid w:val="5D5E32A1"/>
    <w:rsid w:val="5D652FAC"/>
    <w:rsid w:val="5D7A7173"/>
    <w:rsid w:val="5DD027AD"/>
    <w:rsid w:val="5E000694"/>
    <w:rsid w:val="5E364B7F"/>
    <w:rsid w:val="5E640F37"/>
    <w:rsid w:val="5EA2015E"/>
    <w:rsid w:val="5EA34A19"/>
    <w:rsid w:val="5EC2016E"/>
    <w:rsid w:val="5ED03369"/>
    <w:rsid w:val="5EE41807"/>
    <w:rsid w:val="5F712189"/>
    <w:rsid w:val="5F721162"/>
    <w:rsid w:val="5F890387"/>
    <w:rsid w:val="5FAB2F40"/>
    <w:rsid w:val="5FD84F75"/>
    <w:rsid w:val="5FDD0700"/>
    <w:rsid w:val="5FFB380E"/>
    <w:rsid w:val="5FFF6DC4"/>
    <w:rsid w:val="600A12B7"/>
    <w:rsid w:val="60254860"/>
    <w:rsid w:val="60494795"/>
    <w:rsid w:val="604C0D5B"/>
    <w:rsid w:val="605F6D64"/>
    <w:rsid w:val="608747CB"/>
    <w:rsid w:val="60B55D42"/>
    <w:rsid w:val="60BA3D18"/>
    <w:rsid w:val="60E45462"/>
    <w:rsid w:val="60F26420"/>
    <w:rsid w:val="610B4EB4"/>
    <w:rsid w:val="61196F1E"/>
    <w:rsid w:val="61D458D2"/>
    <w:rsid w:val="61F81628"/>
    <w:rsid w:val="62221B5F"/>
    <w:rsid w:val="6237516B"/>
    <w:rsid w:val="62410F36"/>
    <w:rsid w:val="624F24B7"/>
    <w:rsid w:val="62543C77"/>
    <w:rsid w:val="62710551"/>
    <w:rsid w:val="62B63C9F"/>
    <w:rsid w:val="62DC1674"/>
    <w:rsid w:val="62F62738"/>
    <w:rsid w:val="630B0812"/>
    <w:rsid w:val="631C2CF6"/>
    <w:rsid w:val="631E01EC"/>
    <w:rsid w:val="63282B09"/>
    <w:rsid w:val="632E07CC"/>
    <w:rsid w:val="634E1390"/>
    <w:rsid w:val="63723FC7"/>
    <w:rsid w:val="63760411"/>
    <w:rsid w:val="63AC1896"/>
    <w:rsid w:val="640517E1"/>
    <w:rsid w:val="640B52D8"/>
    <w:rsid w:val="645C008A"/>
    <w:rsid w:val="64640C29"/>
    <w:rsid w:val="649055BE"/>
    <w:rsid w:val="64B64486"/>
    <w:rsid w:val="64F44484"/>
    <w:rsid w:val="65633A9F"/>
    <w:rsid w:val="65A753EE"/>
    <w:rsid w:val="65FB3D49"/>
    <w:rsid w:val="669317CB"/>
    <w:rsid w:val="66D93295"/>
    <w:rsid w:val="66E86641"/>
    <w:rsid w:val="66F53BF2"/>
    <w:rsid w:val="670B0F2A"/>
    <w:rsid w:val="6721566B"/>
    <w:rsid w:val="676B636F"/>
    <w:rsid w:val="681415AF"/>
    <w:rsid w:val="68276C82"/>
    <w:rsid w:val="687C3164"/>
    <w:rsid w:val="68800C30"/>
    <w:rsid w:val="68A41132"/>
    <w:rsid w:val="69133120"/>
    <w:rsid w:val="69454413"/>
    <w:rsid w:val="6A010A08"/>
    <w:rsid w:val="6A113B29"/>
    <w:rsid w:val="6A416783"/>
    <w:rsid w:val="6A423DD4"/>
    <w:rsid w:val="6AB8767D"/>
    <w:rsid w:val="6AE60351"/>
    <w:rsid w:val="6B337087"/>
    <w:rsid w:val="6B3A7106"/>
    <w:rsid w:val="6B5E5E73"/>
    <w:rsid w:val="6BA62246"/>
    <w:rsid w:val="6BAD067F"/>
    <w:rsid w:val="6BF0253B"/>
    <w:rsid w:val="6BF7333F"/>
    <w:rsid w:val="6BFB702E"/>
    <w:rsid w:val="6C33142C"/>
    <w:rsid w:val="6C687095"/>
    <w:rsid w:val="6C8024FE"/>
    <w:rsid w:val="6C984845"/>
    <w:rsid w:val="6C9A1DAD"/>
    <w:rsid w:val="6CCF618D"/>
    <w:rsid w:val="6CD45BAF"/>
    <w:rsid w:val="6CD64441"/>
    <w:rsid w:val="6D4670E4"/>
    <w:rsid w:val="6D4D061F"/>
    <w:rsid w:val="6D4D550C"/>
    <w:rsid w:val="6DE177CF"/>
    <w:rsid w:val="6DEE4124"/>
    <w:rsid w:val="6DF92C41"/>
    <w:rsid w:val="6E2033DC"/>
    <w:rsid w:val="6E516767"/>
    <w:rsid w:val="6E9A3DE3"/>
    <w:rsid w:val="6EA70FDC"/>
    <w:rsid w:val="6EB27085"/>
    <w:rsid w:val="6EBE29E6"/>
    <w:rsid w:val="6EC35E10"/>
    <w:rsid w:val="6ECF5B8D"/>
    <w:rsid w:val="6EE86463"/>
    <w:rsid w:val="6EF83E81"/>
    <w:rsid w:val="6F0F5B5C"/>
    <w:rsid w:val="6F3247B0"/>
    <w:rsid w:val="6FEE261F"/>
    <w:rsid w:val="6FF8767D"/>
    <w:rsid w:val="70201306"/>
    <w:rsid w:val="702F3CD8"/>
    <w:rsid w:val="704A0F9A"/>
    <w:rsid w:val="70787352"/>
    <w:rsid w:val="708265AB"/>
    <w:rsid w:val="708C54E6"/>
    <w:rsid w:val="708D76A8"/>
    <w:rsid w:val="70A46F77"/>
    <w:rsid w:val="70A91A64"/>
    <w:rsid w:val="70B702EB"/>
    <w:rsid w:val="70C67FD3"/>
    <w:rsid w:val="70D965F7"/>
    <w:rsid w:val="70DA2852"/>
    <w:rsid w:val="70E74BEC"/>
    <w:rsid w:val="70FD21D9"/>
    <w:rsid w:val="71925A67"/>
    <w:rsid w:val="71A6211F"/>
    <w:rsid w:val="720A4F55"/>
    <w:rsid w:val="720F2E66"/>
    <w:rsid w:val="722D12E8"/>
    <w:rsid w:val="724F6EEC"/>
    <w:rsid w:val="725F14C2"/>
    <w:rsid w:val="7268564A"/>
    <w:rsid w:val="72737680"/>
    <w:rsid w:val="72772E78"/>
    <w:rsid w:val="72917D25"/>
    <w:rsid w:val="72A52E79"/>
    <w:rsid w:val="72B044C8"/>
    <w:rsid w:val="72C50083"/>
    <w:rsid w:val="72CC08AC"/>
    <w:rsid w:val="72ED5AC0"/>
    <w:rsid w:val="732C2787"/>
    <w:rsid w:val="735D46D1"/>
    <w:rsid w:val="737B6C8E"/>
    <w:rsid w:val="73B90E1F"/>
    <w:rsid w:val="74054274"/>
    <w:rsid w:val="74582C7B"/>
    <w:rsid w:val="746B0CC6"/>
    <w:rsid w:val="747141DE"/>
    <w:rsid w:val="74940A11"/>
    <w:rsid w:val="749B1AF2"/>
    <w:rsid w:val="74C72AD1"/>
    <w:rsid w:val="74CA0FED"/>
    <w:rsid w:val="74D731E6"/>
    <w:rsid w:val="751D332D"/>
    <w:rsid w:val="752825A4"/>
    <w:rsid w:val="75283C04"/>
    <w:rsid w:val="758913F7"/>
    <w:rsid w:val="75A0138B"/>
    <w:rsid w:val="75A1425D"/>
    <w:rsid w:val="760E5EBC"/>
    <w:rsid w:val="765D607A"/>
    <w:rsid w:val="76753DAB"/>
    <w:rsid w:val="76AF5A3D"/>
    <w:rsid w:val="76E1777D"/>
    <w:rsid w:val="77791060"/>
    <w:rsid w:val="77883200"/>
    <w:rsid w:val="7797683E"/>
    <w:rsid w:val="77AA0C05"/>
    <w:rsid w:val="77EB1AFE"/>
    <w:rsid w:val="77FE0A72"/>
    <w:rsid w:val="780B691D"/>
    <w:rsid w:val="78C935D6"/>
    <w:rsid w:val="78CB57EA"/>
    <w:rsid w:val="78CF7C25"/>
    <w:rsid w:val="78DB4E04"/>
    <w:rsid w:val="78FA681C"/>
    <w:rsid w:val="79027B96"/>
    <w:rsid w:val="793F3C02"/>
    <w:rsid w:val="7942307D"/>
    <w:rsid w:val="79567EFD"/>
    <w:rsid w:val="79960C00"/>
    <w:rsid w:val="79C53784"/>
    <w:rsid w:val="7A264D74"/>
    <w:rsid w:val="7AE7035E"/>
    <w:rsid w:val="7B1746A7"/>
    <w:rsid w:val="7B2E332F"/>
    <w:rsid w:val="7B570469"/>
    <w:rsid w:val="7B5E225C"/>
    <w:rsid w:val="7B640504"/>
    <w:rsid w:val="7BC32B22"/>
    <w:rsid w:val="7BCA334A"/>
    <w:rsid w:val="7C0E692D"/>
    <w:rsid w:val="7C0F3316"/>
    <w:rsid w:val="7C323D9A"/>
    <w:rsid w:val="7C895CF5"/>
    <w:rsid w:val="7CAE0763"/>
    <w:rsid w:val="7CE47A63"/>
    <w:rsid w:val="7CF92139"/>
    <w:rsid w:val="7D3A3D08"/>
    <w:rsid w:val="7D4346D7"/>
    <w:rsid w:val="7D833A44"/>
    <w:rsid w:val="7D94586C"/>
    <w:rsid w:val="7D9E190C"/>
    <w:rsid w:val="7E042D7B"/>
    <w:rsid w:val="7E0818AB"/>
    <w:rsid w:val="7E161841"/>
    <w:rsid w:val="7E2C4449"/>
    <w:rsid w:val="7E2F4CF0"/>
    <w:rsid w:val="7E317833"/>
    <w:rsid w:val="7E3914E9"/>
    <w:rsid w:val="7E740F9E"/>
    <w:rsid w:val="7E7618FF"/>
    <w:rsid w:val="7E7B6AE6"/>
    <w:rsid w:val="7E964557"/>
    <w:rsid w:val="7EB26107"/>
    <w:rsid w:val="7ED0367A"/>
    <w:rsid w:val="7F0E6A52"/>
    <w:rsid w:val="7F5A2DCF"/>
    <w:rsid w:val="7F8B36C7"/>
    <w:rsid w:val="7F943D6E"/>
    <w:rsid w:val="7FA57C3D"/>
    <w:rsid w:val="7FAC45C6"/>
    <w:rsid w:val="7FCA54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uiPriority="0" w:name="toc 4"/>
    <w:lsdException w:qFormat="1" w:unhideWhenUsed="0" w:uiPriority="0" w:semiHidden="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qFormat="1"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643" w:firstLineChars="200"/>
    </w:pPr>
    <w:rPr>
      <w:rFonts w:ascii="Times New Roman" w:hAnsi="Times New Roman" w:eastAsia="宋体" w:cs="Times New Roman"/>
      <w:kern w:val="2"/>
      <w:sz w:val="24"/>
      <w:szCs w:val="24"/>
      <w:lang w:val="en-US" w:eastAsia="zh-CN" w:bidi="ar-SA"/>
    </w:rPr>
  </w:style>
  <w:style w:type="paragraph" w:styleId="3">
    <w:name w:val="heading 1"/>
    <w:basedOn w:val="1"/>
    <w:next w:val="1"/>
    <w:link w:val="46"/>
    <w:qFormat/>
    <w:uiPriority w:val="0"/>
    <w:pPr>
      <w:keepNext/>
      <w:keepLines/>
      <w:ind w:firstLine="0" w:firstLineChars="0"/>
      <w:outlineLvl w:val="0"/>
    </w:pPr>
    <w:rPr>
      <w:b/>
      <w:kern w:val="44"/>
      <w:sz w:val="32"/>
    </w:rPr>
  </w:style>
  <w:style w:type="paragraph" w:styleId="4">
    <w:name w:val="heading 2"/>
    <w:basedOn w:val="1"/>
    <w:next w:val="1"/>
    <w:link w:val="39"/>
    <w:qFormat/>
    <w:uiPriority w:val="0"/>
    <w:pPr>
      <w:keepNext/>
      <w:keepLines/>
      <w:ind w:firstLine="0" w:firstLineChars="0"/>
      <w:outlineLvl w:val="1"/>
    </w:pPr>
    <w:rPr>
      <w:b/>
      <w:bCs/>
      <w:sz w:val="30"/>
      <w:szCs w:val="32"/>
    </w:rPr>
  </w:style>
  <w:style w:type="paragraph" w:styleId="5">
    <w:name w:val="heading 3"/>
    <w:basedOn w:val="1"/>
    <w:next w:val="1"/>
    <w:link w:val="47"/>
    <w:qFormat/>
    <w:uiPriority w:val="0"/>
    <w:pPr>
      <w:ind w:firstLine="0" w:firstLineChars="0"/>
      <w:outlineLvl w:val="2"/>
    </w:pPr>
    <w:rPr>
      <w:rFonts w:hint="eastAsia"/>
      <w:b/>
      <w:kern w:val="0"/>
      <w:sz w:val="28"/>
      <w:szCs w:val="27"/>
    </w:rPr>
  </w:style>
  <w:style w:type="paragraph" w:styleId="6">
    <w:name w:val="heading 4"/>
    <w:basedOn w:val="1"/>
    <w:next w:val="7"/>
    <w:qFormat/>
    <w:uiPriority w:val="0"/>
    <w:pPr>
      <w:keepNext/>
      <w:keepLines/>
      <w:spacing w:before="100" w:after="100"/>
      <w:ind w:firstLine="1040"/>
      <w:outlineLvl w:val="3"/>
    </w:pPr>
    <w:rPr>
      <w:rFonts w:cs="宋体"/>
      <w:b/>
      <w:bCs/>
    </w:rPr>
  </w:style>
  <w:style w:type="paragraph" w:styleId="10">
    <w:name w:val="heading 5"/>
    <w:basedOn w:val="1"/>
    <w:next w:val="1"/>
    <w:qFormat/>
    <w:uiPriority w:val="0"/>
    <w:pPr>
      <w:keepNext/>
      <w:keepLines/>
      <w:spacing w:before="280" w:after="290" w:line="372" w:lineRule="auto"/>
      <w:outlineLvl w:val="4"/>
    </w:pPr>
    <w:rPr>
      <w:b/>
      <w:sz w:val="28"/>
    </w:rPr>
  </w:style>
  <w:style w:type="paragraph" w:styleId="11">
    <w:name w:val="heading 9"/>
    <w:basedOn w:val="1"/>
    <w:next w:val="1"/>
    <w:qFormat/>
    <w:uiPriority w:val="0"/>
    <w:pPr>
      <w:spacing w:line="240" w:lineRule="auto"/>
      <w:ind w:firstLine="0" w:firstLineChars="0"/>
      <w:outlineLvl w:val="8"/>
    </w:pPr>
    <w:rPr>
      <w:sz w:val="21"/>
    </w:rPr>
  </w:style>
  <w:style w:type="character" w:default="1" w:styleId="31">
    <w:name w:val="Default Paragraph Font"/>
    <w:link w:val="32"/>
    <w:semiHidden/>
    <w:unhideWhenUsed/>
    <w:qFormat/>
    <w:uiPriority w:val="1"/>
    <w:rPr>
      <w:rFonts w:hAnsi="宋体" w:cs="宋体"/>
      <w:szCs w:val="26"/>
    </w:rPr>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style>
  <w:style w:type="paragraph" w:styleId="7">
    <w:name w:val="Body Text First Indent 2"/>
    <w:basedOn w:val="8"/>
    <w:next w:val="9"/>
    <w:qFormat/>
    <w:uiPriority w:val="0"/>
    <w:pPr>
      <w:ind w:firstLine="420"/>
    </w:pPr>
  </w:style>
  <w:style w:type="paragraph" w:styleId="8">
    <w:name w:val="Body Text Indent"/>
    <w:basedOn w:val="1"/>
    <w:qFormat/>
    <w:uiPriority w:val="0"/>
  </w:style>
  <w:style w:type="paragraph" w:styleId="9">
    <w:name w:val="Body Text First Indent"/>
    <w:basedOn w:val="2"/>
    <w:next w:val="1"/>
    <w:qFormat/>
    <w:uiPriority w:val="0"/>
    <w:pPr>
      <w:ind w:firstLine="420" w:firstLineChars="100"/>
    </w:pPr>
  </w:style>
  <w:style w:type="paragraph" w:styleId="12">
    <w:name w:val="Normal Indent"/>
    <w:basedOn w:val="1"/>
    <w:qFormat/>
    <w:uiPriority w:val="0"/>
    <w:pPr>
      <w:ind w:firstLine="420"/>
    </w:pPr>
  </w:style>
  <w:style w:type="paragraph" w:styleId="13">
    <w:name w:val="caption"/>
    <w:basedOn w:val="1"/>
    <w:next w:val="1"/>
    <w:qFormat/>
    <w:uiPriority w:val="0"/>
    <w:rPr>
      <w:rFonts w:ascii="Arial" w:hAnsi="Arial" w:eastAsia="黑体" w:cs="Arial"/>
      <w:sz w:val="20"/>
      <w:szCs w:val="20"/>
    </w:rPr>
  </w:style>
  <w:style w:type="paragraph" w:styleId="14">
    <w:name w:val="annotation text"/>
    <w:basedOn w:val="1"/>
    <w:link w:val="155"/>
    <w:qFormat/>
    <w:uiPriority w:val="0"/>
  </w:style>
  <w:style w:type="paragraph" w:styleId="15">
    <w:name w:val="toc 5"/>
    <w:basedOn w:val="1"/>
    <w:next w:val="1"/>
    <w:qFormat/>
    <w:uiPriority w:val="0"/>
    <w:pPr>
      <w:ind w:left="840"/>
      <w:jc w:val="left"/>
    </w:pPr>
    <w:rPr>
      <w:sz w:val="18"/>
      <w:szCs w:val="18"/>
    </w:rPr>
  </w:style>
  <w:style w:type="paragraph" w:styleId="16">
    <w:name w:val="toc 3"/>
    <w:basedOn w:val="1"/>
    <w:next w:val="1"/>
    <w:qFormat/>
    <w:uiPriority w:val="0"/>
    <w:pPr>
      <w:ind w:left="840" w:leftChars="400"/>
    </w:pPr>
  </w:style>
  <w:style w:type="paragraph" w:styleId="17">
    <w:name w:val="Plain Text"/>
    <w:basedOn w:val="1"/>
    <w:qFormat/>
    <w:uiPriority w:val="0"/>
    <w:rPr>
      <w:rFonts w:ascii="宋体" w:hAnsi="Courier New"/>
    </w:rPr>
  </w:style>
  <w:style w:type="paragraph" w:styleId="18">
    <w:name w:val="Date"/>
    <w:basedOn w:val="1"/>
    <w:next w:val="1"/>
    <w:qFormat/>
    <w:uiPriority w:val="0"/>
    <w:pPr>
      <w:autoSpaceDE w:val="0"/>
      <w:autoSpaceDN w:val="0"/>
      <w:adjustRightInd w:val="0"/>
      <w:spacing w:line="315" w:lineRule="atLeast"/>
    </w:pPr>
  </w:style>
  <w:style w:type="paragraph" w:styleId="19">
    <w:name w:val="Body Text Indent 2"/>
    <w:basedOn w:val="1"/>
    <w:qFormat/>
    <w:uiPriority w:val="0"/>
    <w:pPr>
      <w:widowControl/>
      <w:autoSpaceDE w:val="0"/>
      <w:autoSpaceDN w:val="0"/>
      <w:spacing w:line="520" w:lineRule="exact"/>
      <w:ind w:firstLine="560"/>
      <w:textAlignment w:val="bottom"/>
    </w:pPr>
    <w:rPr>
      <w:sz w:val="28"/>
      <w:szCs w:val="28"/>
    </w:rPr>
  </w:style>
  <w:style w:type="paragraph" w:styleId="20">
    <w:name w:val="Balloon Text"/>
    <w:basedOn w:val="1"/>
    <w:link w:val="157"/>
    <w:semiHidden/>
    <w:unhideWhenUsed/>
    <w:qFormat/>
    <w:uiPriority w:val="0"/>
    <w:pPr>
      <w:spacing w:line="240" w:lineRule="auto"/>
    </w:pPr>
    <w:rPr>
      <w:sz w:val="18"/>
      <w:szCs w:val="18"/>
    </w:rPr>
  </w:style>
  <w:style w:type="paragraph" w:styleId="21">
    <w:name w:val="footer"/>
    <w:basedOn w:val="1"/>
    <w:qFormat/>
    <w:uiPriority w:val="0"/>
    <w:pPr>
      <w:tabs>
        <w:tab w:val="center" w:pos="4153"/>
        <w:tab w:val="right" w:pos="8306"/>
      </w:tabs>
      <w:snapToGrid w:val="0"/>
    </w:pPr>
    <w:rPr>
      <w:sz w:val="18"/>
    </w:rPr>
  </w:style>
  <w:style w:type="paragraph" w:styleId="22">
    <w:name w:val="header"/>
    <w:basedOn w:val="1"/>
    <w:qFormat/>
    <w:uiPriority w:val="0"/>
    <w:pPr>
      <w:pBdr>
        <w:bottom w:val="dashDotStroked" w:color="auto" w:sz="24" w:space="1"/>
      </w:pBdr>
      <w:tabs>
        <w:tab w:val="center" w:pos="4153"/>
        <w:tab w:val="right" w:pos="8306"/>
      </w:tabs>
      <w:snapToGrid w:val="0"/>
      <w:jc w:val="center"/>
    </w:pPr>
    <w:rPr>
      <w:sz w:val="18"/>
      <w:szCs w:val="18"/>
    </w:rPr>
  </w:style>
  <w:style w:type="paragraph" w:styleId="23">
    <w:name w:val="toc 1"/>
    <w:basedOn w:val="1"/>
    <w:next w:val="1"/>
    <w:qFormat/>
    <w:uiPriority w:val="0"/>
  </w:style>
  <w:style w:type="paragraph" w:styleId="24">
    <w:name w:val="Body Text Indent 3"/>
    <w:basedOn w:val="1"/>
    <w:qFormat/>
    <w:uiPriority w:val="0"/>
    <w:pPr>
      <w:spacing w:line="480" w:lineRule="auto"/>
      <w:ind w:firstLine="480"/>
    </w:pPr>
  </w:style>
  <w:style w:type="paragraph" w:styleId="25">
    <w:name w:val="toc 2"/>
    <w:basedOn w:val="1"/>
    <w:next w:val="1"/>
    <w:qFormat/>
    <w:uiPriority w:val="0"/>
    <w:pPr>
      <w:ind w:left="420" w:leftChars="200"/>
    </w:pPr>
  </w:style>
  <w:style w:type="paragraph" w:styleId="26">
    <w:name w:val="Body Text 2"/>
    <w:basedOn w:val="1"/>
    <w:qFormat/>
    <w:uiPriority w:val="0"/>
    <w:pPr>
      <w:spacing w:after="120" w:line="480" w:lineRule="auto"/>
      <w:ind w:firstLine="0" w:firstLineChars="0"/>
    </w:pPr>
    <w:rPr>
      <w:sz w:val="21"/>
    </w:rPr>
  </w:style>
  <w:style w:type="paragraph" w:styleId="27">
    <w:name w:val="Normal (Web)"/>
    <w:basedOn w:val="1"/>
    <w:qFormat/>
    <w:uiPriority w:val="0"/>
    <w:rPr>
      <w:rFonts w:ascii="Calibri" w:hAnsi="Calibri"/>
    </w:rPr>
  </w:style>
  <w:style w:type="paragraph" w:styleId="28">
    <w:name w:val="annotation subject"/>
    <w:basedOn w:val="14"/>
    <w:next w:val="14"/>
    <w:link w:val="156"/>
    <w:semiHidden/>
    <w:unhideWhenUsed/>
    <w:qFormat/>
    <w:uiPriority w:val="0"/>
    <w:rPr>
      <w:b/>
      <w:bCs/>
    </w:rPr>
  </w:style>
  <w:style w:type="table" w:styleId="30">
    <w:name w:val="Table Grid"/>
    <w:basedOn w:val="29"/>
    <w:qFormat/>
    <w:uiPriority w:val="0"/>
    <w:pPr>
      <w:widowControl w:val="0"/>
      <w:spacing w:line="240" w:lineRule="atLeas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2">
    <w:name w:val=" Char4 Char Char Char"/>
    <w:basedOn w:val="1"/>
    <w:link w:val="31"/>
    <w:semiHidden/>
    <w:qFormat/>
    <w:uiPriority w:val="0"/>
    <w:pPr>
      <w:snapToGrid w:val="0"/>
      <w:spacing w:line="360" w:lineRule="auto"/>
      <w:ind w:firstLine="200" w:firstLineChars="200"/>
    </w:pPr>
    <w:rPr>
      <w:rFonts w:hAnsi="宋体" w:cs="宋体"/>
      <w:szCs w:val="26"/>
    </w:rPr>
  </w:style>
  <w:style w:type="character" w:styleId="33">
    <w:name w:val="Strong"/>
    <w:basedOn w:val="31"/>
    <w:qFormat/>
    <w:uiPriority w:val="0"/>
    <w:rPr>
      <w:b/>
    </w:rPr>
  </w:style>
  <w:style w:type="character" w:styleId="34">
    <w:name w:val="FollowedHyperlink"/>
    <w:qFormat/>
    <w:uiPriority w:val="0"/>
    <w:rPr>
      <w:color w:val="800080"/>
      <w:u w:val="single"/>
    </w:rPr>
  </w:style>
  <w:style w:type="character" w:styleId="35">
    <w:name w:val="Emphasis"/>
    <w:qFormat/>
    <w:uiPriority w:val="0"/>
    <w:rPr>
      <w:i/>
    </w:rPr>
  </w:style>
  <w:style w:type="character" w:styleId="36">
    <w:name w:val="Hyperlink"/>
    <w:qFormat/>
    <w:uiPriority w:val="0"/>
    <w:rPr>
      <w:color w:val="0000FF"/>
      <w:u w:val="single"/>
    </w:rPr>
  </w:style>
  <w:style w:type="character" w:styleId="37">
    <w:name w:val="HTML Code"/>
    <w:basedOn w:val="31"/>
    <w:semiHidden/>
    <w:unhideWhenUsed/>
    <w:qFormat/>
    <w:uiPriority w:val="0"/>
    <w:rPr>
      <w:rFonts w:hint="default" w:ascii="Courier" w:hAnsi="Courier" w:eastAsia="Courier New" w:cs="Courier New"/>
      <w:sz w:val="20"/>
    </w:rPr>
  </w:style>
  <w:style w:type="character" w:styleId="38">
    <w:name w:val="annotation reference"/>
    <w:qFormat/>
    <w:uiPriority w:val="0"/>
    <w:rPr>
      <w:sz w:val="21"/>
      <w:szCs w:val="21"/>
    </w:rPr>
  </w:style>
  <w:style w:type="character" w:customStyle="1" w:styleId="39">
    <w:name w:val="标题 2 Char"/>
    <w:link w:val="4"/>
    <w:qFormat/>
    <w:uiPriority w:val="0"/>
    <w:rPr>
      <w:rFonts w:ascii="Times New Roman" w:hAnsi="Times New Roman" w:eastAsia="宋体"/>
      <w:b/>
      <w:bCs/>
      <w:sz w:val="30"/>
      <w:szCs w:val="32"/>
    </w:rPr>
  </w:style>
  <w:style w:type="character" w:customStyle="1" w:styleId="40">
    <w:name w:val="font01"/>
    <w:qFormat/>
    <w:uiPriority w:val="0"/>
    <w:rPr>
      <w:rFonts w:hint="default" w:ascii="Times New Roman" w:hAnsi="Times New Roman" w:cs="Times New Roman"/>
      <w:color w:val="000000"/>
      <w:sz w:val="21"/>
      <w:szCs w:val="21"/>
      <w:u w:val="none"/>
    </w:rPr>
  </w:style>
  <w:style w:type="character" w:customStyle="1" w:styleId="41">
    <w:name w:val="font31"/>
    <w:qFormat/>
    <w:uiPriority w:val="0"/>
    <w:rPr>
      <w:rFonts w:hint="default" w:ascii="LMUCAJ + TimesNewRomanPSMT" w:hAnsi="LMUCAJ + TimesNewRomanPSMT" w:eastAsia="LMUCAJ + TimesNewRomanPSMT" w:cs="LMUCAJ + TimesNewRomanPSMT"/>
      <w:color w:val="000000"/>
      <w:sz w:val="24"/>
      <w:szCs w:val="24"/>
      <w:u w:val="none"/>
    </w:rPr>
  </w:style>
  <w:style w:type="character" w:customStyle="1" w:styleId="42">
    <w:name w:val="1级标题 Char"/>
    <w:link w:val="43"/>
    <w:qFormat/>
    <w:uiPriority w:val="0"/>
    <w:rPr>
      <w:rFonts w:ascii="Times New Roman" w:hAnsi="Times New Roman" w:eastAsia="宋体" w:cs="黑体"/>
      <w:b/>
      <w:bCs/>
      <w:kern w:val="44"/>
      <w:sz w:val="32"/>
      <w:szCs w:val="44"/>
    </w:rPr>
  </w:style>
  <w:style w:type="paragraph" w:customStyle="1" w:styleId="43">
    <w:name w:val="1级标题"/>
    <w:basedOn w:val="1"/>
    <w:link w:val="42"/>
    <w:qFormat/>
    <w:uiPriority w:val="0"/>
    <w:pPr>
      <w:keepNext/>
      <w:keepLines/>
      <w:pageBreakBefore/>
      <w:widowControl/>
      <w:numPr>
        <w:ilvl w:val="0"/>
        <w:numId w:val="1"/>
      </w:numPr>
      <w:ind w:left="0" w:firstLine="0" w:firstLineChars="0"/>
      <w:jc w:val="center"/>
      <w:outlineLvl w:val="0"/>
    </w:pPr>
    <w:rPr>
      <w:rFonts w:cs="黑体"/>
      <w:b/>
      <w:bCs/>
      <w:kern w:val="44"/>
      <w:sz w:val="32"/>
      <w:szCs w:val="44"/>
    </w:rPr>
  </w:style>
  <w:style w:type="character" w:customStyle="1" w:styleId="44">
    <w:name w:val="font11"/>
    <w:qFormat/>
    <w:uiPriority w:val="0"/>
    <w:rPr>
      <w:rFonts w:hint="eastAsia" w:ascii="宋体" w:hAnsi="宋体" w:eastAsia="宋体" w:cs="宋体"/>
      <w:color w:val="000000"/>
      <w:sz w:val="21"/>
      <w:szCs w:val="21"/>
      <w:u w:val="none"/>
    </w:rPr>
  </w:style>
  <w:style w:type="character" w:customStyle="1" w:styleId="45">
    <w:name w:val="font41"/>
    <w:qFormat/>
    <w:uiPriority w:val="0"/>
    <w:rPr>
      <w:rFonts w:hint="default" w:ascii="Times New Roman" w:hAnsi="Times New Roman" w:cs="Times New Roman"/>
      <w:color w:val="000000"/>
      <w:sz w:val="21"/>
      <w:szCs w:val="21"/>
      <w:u w:val="none"/>
      <w:vertAlign w:val="subscript"/>
    </w:rPr>
  </w:style>
  <w:style w:type="character" w:customStyle="1" w:styleId="46">
    <w:name w:val="标题 1 Char"/>
    <w:link w:val="3"/>
    <w:qFormat/>
    <w:uiPriority w:val="0"/>
    <w:rPr>
      <w:rFonts w:ascii="Times New Roman" w:hAnsi="Times New Roman" w:eastAsia="宋体"/>
      <w:b/>
      <w:kern w:val="44"/>
      <w:sz w:val="32"/>
    </w:rPr>
  </w:style>
  <w:style w:type="character" w:customStyle="1" w:styleId="47">
    <w:name w:val="标题 3 Char"/>
    <w:link w:val="5"/>
    <w:qFormat/>
    <w:uiPriority w:val="0"/>
    <w:rPr>
      <w:rFonts w:ascii="Times New Roman" w:hAnsi="Times New Roman" w:eastAsia="宋体"/>
      <w:b/>
      <w:sz w:val="28"/>
    </w:rPr>
  </w:style>
  <w:style w:type="character" w:customStyle="1" w:styleId="48">
    <w:name w:val="font21"/>
    <w:qFormat/>
    <w:uiPriority w:val="0"/>
    <w:rPr>
      <w:rFonts w:hint="default" w:ascii="Times New Roman" w:hAnsi="Times New Roman" w:cs="Times New Roman"/>
      <w:color w:val="000000"/>
      <w:sz w:val="21"/>
      <w:szCs w:val="21"/>
      <w:u w:val="none"/>
    </w:rPr>
  </w:style>
  <w:style w:type="character" w:customStyle="1" w:styleId="49">
    <w:name w:val="font51"/>
    <w:qFormat/>
    <w:uiPriority w:val="0"/>
    <w:rPr>
      <w:rFonts w:hint="default" w:ascii="Times New Roman" w:hAnsi="Times New Roman" w:cs="Times New Roman"/>
      <w:color w:val="000000"/>
      <w:sz w:val="16"/>
      <w:szCs w:val="16"/>
      <w:u w:val="none"/>
      <w:vertAlign w:val="subscript"/>
    </w:rPr>
  </w:style>
  <w:style w:type="character" w:customStyle="1" w:styleId="50">
    <w:name w:val="标题 2 Char Char Char Char Char Char"/>
    <w:qFormat/>
    <w:uiPriority w:val="0"/>
    <w:rPr>
      <w:rFonts w:ascii="Arial" w:hAnsi="Arial" w:eastAsia="黑体"/>
      <w:b/>
      <w:bCs/>
      <w:kern w:val="2"/>
      <w:sz w:val="24"/>
      <w:szCs w:val="32"/>
      <w:lang w:val="en-US" w:eastAsia="zh-CN" w:bidi="ar-SA"/>
    </w:rPr>
  </w:style>
  <w:style w:type="paragraph" w:customStyle="1" w:styleId="51">
    <w:name w:val="CM16"/>
    <w:basedOn w:val="52"/>
    <w:next w:val="52"/>
    <w:unhideWhenUsed/>
    <w:qFormat/>
    <w:uiPriority w:val="99"/>
    <w:pPr>
      <w:spacing w:line="443" w:lineRule="atLeast"/>
    </w:pPr>
    <w:rPr>
      <w:rFonts w:hint="default"/>
    </w:rPr>
  </w:style>
  <w:style w:type="paragraph" w:customStyle="1" w:styleId="52">
    <w:name w:val="Default"/>
    <w:unhideWhenUsed/>
    <w:qFormat/>
    <w:uiPriority w:val="99"/>
    <w:pPr>
      <w:widowControl w:val="0"/>
      <w:autoSpaceDE w:val="0"/>
      <w:autoSpaceDN w:val="0"/>
      <w:adjustRightInd w:val="0"/>
    </w:pPr>
    <w:rPr>
      <w:rFonts w:hint="eastAsia" w:ascii="宋体" w:hAnsi="宋体" w:eastAsia="宋体" w:cs="Times New Roman"/>
      <w:color w:val="000000"/>
      <w:sz w:val="24"/>
      <w:szCs w:val="22"/>
      <w:lang w:val="en-US" w:eastAsia="zh-CN" w:bidi="ar-SA"/>
    </w:rPr>
  </w:style>
  <w:style w:type="paragraph" w:customStyle="1" w:styleId="53">
    <w:name w:val="Normal_158"/>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54">
    <w:name w:val="CM4"/>
    <w:basedOn w:val="52"/>
    <w:next w:val="52"/>
    <w:unhideWhenUsed/>
    <w:qFormat/>
    <w:uiPriority w:val="99"/>
    <w:pPr>
      <w:spacing w:line="468" w:lineRule="atLeast"/>
    </w:pPr>
    <w:rPr>
      <w:rFonts w:hint="default"/>
    </w:rPr>
  </w:style>
  <w:style w:type="paragraph" w:customStyle="1" w:styleId="55">
    <w:name w:val="Normal_51"/>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56">
    <w:name w:val="Normal_67"/>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57">
    <w:name w:val="Normal_61"/>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58">
    <w:name w:val="Normal_71"/>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59">
    <w:name w:val="Normal_65"/>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60">
    <w:name w:val="Normal_111"/>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61">
    <w:name w:val="Normal_49"/>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62">
    <w:name w:val="表格文字"/>
    <w:basedOn w:val="1"/>
    <w:next w:val="2"/>
    <w:qFormat/>
    <w:uiPriority w:val="0"/>
    <w:pPr>
      <w:autoSpaceDE w:val="0"/>
      <w:autoSpaceDN w:val="0"/>
      <w:adjustRightInd w:val="0"/>
      <w:spacing w:line="240" w:lineRule="auto"/>
      <w:ind w:firstLine="0" w:firstLineChars="0"/>
      <w:jc w:val="center"/>
      <w:textAlignment w:val="bottom"/>
    </w:pPr>
    <w:rPr>
      <w:kern w:val="0"/>
      <w:sz w:val="21"/>
      <w:szCs w:val="21"/>
    </w:rPr>
  </w:style>
  <w:style w:type="paragraph" w:customStyle="1" w:styleId="63">
    <w:name w:val="Normal_159"/>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64">
    <w:name w:val="2级标题"/>
    <w:basedOn w:val="1"/>
    <w:qFormat/>
    <w:uiPriority w:val="0"/>
    <w:pPr>
      <w:widowControl/>
      <w:numPr>
        <w:ilvl w:val="1"/>
        <w:numId w:val="1"/>
      </w:numPr>
      <w:ind w:left="0" w:firstLine="0" w:firstLineChars="0"/>
      <w:outlineLvl w:val="1"/>
    </w:pPr>
    <w:rPr>
      <w:b/>
      <w:bCs/>
      <w:snapToGrid w:val="0"/>
      <w:kern w:val="0"/>
      <w:sz w:val="30"/>
      <w:szCs w:val="32"/>
    </w:rPr>
  </w:style>
  <w:style w:type="paragraph" w:customStyle="1" w:styleId="65">
    <w:name w:val="表题"/>
    <w:basedOn w:val="1"/>
    <w:qFormat/>
    <w:uiPriority w:val="0"/>
    <w:pPr>
      <w:jc w:val="center"/>
    </w:pPr>
    <w:rPr>
      <w:rFonts w:ascii="Arial" w:hAnsi="Arial"/>
      <w:b/>
      <w:sz w:val="21"/>
    </w:rPr>
  </w:style>
  <w:style w:type="paragraph" w:customStyle="1" w:styleId="66">
    <w:name w:val="样式320"/>
    <w:basedOn w:val="1"/>
    <w:qFormat/>
    <w:uiPriority w:val="0"/>
    <w:pPr>
      <w:ind w:firstLine="1446"/>
    </w:pPr>
    <w:rPr>
      <w:szCs w:val="21"/>
    </w:rPr>
  </w:style>
  <w:style w:type="paragraph" w:customStyle="1" w:styleId="67">
    <w:name w:val="Normal_53"/>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68">
    <w:name w:val="无悬挂正文5号"/>
    <w:basedOn w:val="1"/>
    <w:qFormat/>
    <w:uiPriority w:val="0"/>
    <w:pPr>
      <w:jc w:val="center"/>
    </w:pPr>
  </w:style>
  <w:style w:type="paragraph" w:customStyle="1" w:styleId="69">
    <w:name w:val="CM86"/>
    <w:basedOn w:val="52"/>
    <w:next w:val="52"/>
    <w:unhideWhenUsed/>
    <w:qFormat/>
    <w:uiPriority w:val="99"/>
    <w:pPr>
      <w:spacing w:after="105"/>
    </w:pPr>
    <w:rPr>
      <w:rFonts w:hint="default"/>
    </w:rPr>
  </w:style>
  <w:style w:type="paragraph" w:customStyle="1" w:styleId="70">
    <w:name w:val="Normal_59"/>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71">
    <w:name w:val="CM17"/>
    <w:basedOn w:val="52"/>
    <w:next w:val="52"/>
    <w:unhideWhenUsed/>
    <w:qFormat/>
    <w:uiPriority w:val="99"/>
    <w:pPr>
      <w:spacing w:line="443" w:lineRule="atLeast"/>
    </w:pPr>
    <w:rPr>
      <w:rFonts w:hint="default"/>
    </w:rPr>
  </w:style>
  <w:style w:type="paragraph" w:customStyle="1" w:styleId="72">
    <w:name w:val="Normal_52"/>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73">
    <w:name w:val="Normal_112"/>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74">
    <w:name w:val="Normal_109"/>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75">
    <w:name w:val="正文样式 Char"/>
    <w:basedOn w:val="1"/>
    <w:qFormat/>
    <w:uiPriority w:val="0"/>
    <w:pPr>
      <w:adjustRightInd w:val="0"/>
      <w:snapToGrid w:val="0"/>
      <w:spacing w:line="460" w:lineRule="exact"/>
      <w:ind w:firstLine="200"/>
    </w:pPr>
    <w:rPr>
      <w:color w:val="000000"/>
      <w:sz w:val="26"/>
      <w:szCs w:val="26"/>
    </w:rPr>
  </w:style>
  <w:style w:type="paragraph" w:customStyle="1" w:styleId="76">
    <w:name w:val="Normal_102"/>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77">
    <w:name w:val="Normal_88"/>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78">
    <w:name w:val="WPSOffice手动目录 1"/>
    <w:qFormat/>
    <w:uiPriority w:val="0"/>
    <w:rPr>
      <w:rFonts w:ascii="Times New Roman" w:hAnsi="Times New Roman" w:eastAsia="宋体" w:cs="Times New Roman"/>
      <w:lang w:val="en-US" w:eastAsia="zh-CN" w:bidi="ar-SA"/>
    </w:rPr>
  </w:style>
  <w:style w:type="paragraph" w:customStyle="1" w:styleId="79">
    <w:name w:val="普通(网站)1"/>
    <w:basedOn w:val="1"/>
    <w:qFormat/>
    <w:uiPriority w:val="0"/>
    <w:pPr>
      <w:widowControl/>
      <w:spacing w:before="100" w:beforeAutospacing="1" w:after="100" w:afterAutospacing="1" w:line="240" w:lineRule="auto"/>
      <w:ind w:firstLine="0"/>
    </w:pPr>
    <w:rPr>
      <w:rFonts w:hint="eastAsia" w:ascii="宋体" w:hAnsi="宋体"/>
    </w:rPr>
  </w:style>
  <w:style w:type="paragraph" w:customStyle="1" w:styleId="80">
    <w:name w:val="标准"/>
    <w:basedOn w:val="1"/>
    <w:qFormat/>
    <w:uiPriority w:val="0"/>
    <w:pPr>
      <w:adjustRightInd w:val="0"/>
      <w:spacing w:line="480" w:lineRule="exact"/>
      <w:textAlignment w:val="baseline"/>
    </w:pPr>
    <w:rPr>
      <w:kern w:val="0"/>
      <w:sz w:val="28"/>
      <w:szCs w:val="20"/>
      <w:lang w:val="en-GB"/>
    </w:rPr>
  </w:style>
  <w:style w:type="paragraph" w:customStyle="1" w:styleId="81">
    <w:name w:val="标题4"/>
    <w:basedOn w:val="1"/>
    <w:qFormat/>
    <w:uiPriority w:val="0"/>
    <w:pPr>
      <w:jc w:val="center"/>
    </w:pPr>
    <w:rPr>
      <w:b/>
      <w:bCs/>
      <w:spacing w:val="-2"/>
    </w:rPr>
  </w:style>
  <w:style w:type="paragraph" w:customStyle="1" w:styleId="82">
    <w:name w:val="Normal_110"/>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83">
    <w:name w:val="样式35"/>
    <w:basedOn w:val="1"/>
    <w:qFormat/>
    <w:uiPriority w:val="0"/>
    <w:pPr>
      <w:adjustRightInd w:val="0"/>
      <w:spacing w:line="312" w:lineRule="auto"/>
      <w:ind w:firstLine="567"/>
      <w:textAlignment w:val="baseline"/>
    </w:pPr>
    <w:rPr>
      <w:rFonts w:ascii="宋体"/>
      <w:kern w:val="0"/>
      <w:sz w:val="28"/>
    </w:rPr>
  </w:style>
  <w:style w:type="paragraph" w:customStyle="1" w:styleId="84">
    <w:name w:val="Normal_117"/>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85">
    <w:name w:val="txtBox Char"/>
    <w:basedOn w:val="1"/>
    <w:qFormat/>
    <w:uiPriority w:val="0"/>
    <w:pPr>
      <w:jc w:val="center"/>
    </w:pPr>
  </w:style>
  <w:style w:type="paragraph" w:customStyle="1" w:styleId="86">
    <w:name w:val="Normal_91"/>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87">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8">
    <w:name w:val="Normal_90"/>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89">
    <w:name w:val="Normal_63"/>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90">
    <w:name w:val="Normal_69"/>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91">
    <w:name w:val="CM93"/>
    <w:basedOn w:val="52"/>
    <w:next w:val="52"/>
    <w:unhideWhenUsed/>
    <w:qFormat/>
    <w:uiPriority w:val="99"/>
    <w:pPr>
      <w:spacing w:after="180"/>
    </w:pPr>
    <w:rPr>
      <w:rFonts w:hint="default"/>
    </w:rPr>
  </w:style>
  <w:style w:type="paragraph" w:customStyle="1" w:styleId="92">
    <w:name w:val="Normal_62"/>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93">
    <w:name w:val="表标题"/>
    <w:basedOn w:val="1"/>
    <w:qFormat/>
    <w:uiPriority w:val="0"/>
    <w:pPr>
      <w:jc w:val="center"/>
    </w:pPr>
    <w:rPr>
      <w:b/>
      <w:szCs w:val="20"/>
    </w:rPr>
  </w:style>
  <w:style w:type="paragraph" w:customStyle="1" w:styleId="94">
    <w:name w:val="样式9"/>
    <w:basedOn w:val="1"/>
    <w:qFormat/>
    <w:uiPriority w:val="0"/>
    <w:pPr>
      <w:spacing w:line="360" w:lineRule="exact"/>
      <w:jc w:val="center"/>
    </w:pPr>
    <w:rPr>
      <w:color w:val="000000"/>
    </w:rPr>
  </w:style>
  <w:style w:type="paragraph" w:customStyle="1" w:styleId="95">
    <w:name w:val="Normal_103"/>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96">
    <w:name w:val="CM66"/>
    <w:basedOn w:val="52"/>
    <w:next w:val="52"/>
    <w:unhideWhenUsed/>
    <w:qFormat/>
    <w:uiPriority w:val="99"/>
    <w:pPr>
      <w:spacing w:after="258"/>
    </w:pPr>
    <w:rPr>
      <w:rFonts w:hint="default"/>
    </w:rPr>
  </w:style>
  <w:style w:type="paragraph" w:customStyle="1" w:styleId="97">
    <w:name w:val="Normal_94"/>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98">
    <w:name w:val="Normal_50"/>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99">
    <w:name w:val="CM63"/>
    <w:basedOn w:val="52"/>
    <w:next w:val="52"/>
    <w:unhideWhenUsed/>
    <w:qFormat/>
    <w:uiPriority w:val="99"/>
    <w:pPr>
      <w:spacing w:after="180"/>
    </w:pPr>
    <w:rPr>
      <w:rFonts w:hint="default"/>
    </w:rPr>
  </w:style>
  <w:style w:type="paragraph" w:customStyle="1" w:styleId="100">
    <w:name w:val="Normal_96"/>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101">
    <w:name w:val="Normal_89"/>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102">
    <w:name w:val="Normal_97"/>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103">
    <w:name w:val="Normal_68"/>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104">
    <w:name w:val="中文报告书样式"/>
    <w:basedOn w:val="1"/>
    <w:qFormat/>
    <w:uiPriority w:val="0"/>
    <w:pPr>
      <w:adjustRightInd w:val="0"/>
      <w:spacing w:line="420" w:lineRule="atLeast"/>
      <w:textAlignment w:val="baseline"/>
    </w:pPr>
    <w:rPr>
      <w:rFonts w:ascii="宋体" w:hAnsi="宋体"/>
      <w:kern w:val="24"/>
      <w:szCs w:val="21"/>
    </w:rPr>
  </w:style>
  <w:style w:type="paragraph" w:customStyle="1" w:styleId="105">
    <w:name w:val="表头"/>
    <w:basedOn w:val="12"/>
    <w:next w:val="1"/>
    <w:qFormat/>
    <w:uiPriority w:val="0"/>
    <w:pPr>
      <w:spacing w:line="240" w:lineRule="auto"/>
      <w:ind w:firstLine="1040"/>
      <w:jc w:val="center"/>
    </w:pPr>
    <w:rPr>
      <w:b/>
    </w:rPr>
  </w:style>
  <w:style w:type="paragraph" w:customStyle="1" w:styleId="106">
    <w:name w:val="Normal_57"/>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107">
    <w:name w:val="正文▲"/>
    <w:qFormat/>
    <w:uiPriority w:val="0"/>
    <w:pPr>
      <w:spacing w:line="360" w:lineRule="auto"/>
      <w:ind w:firstLine="200" w:firstLineChars="200"/>
    </w:pPr>
    <w:rPr>
      <w:rFonts w:ascii="Times New Roman" w:hAnsi="Times New Roman" w:eastAsia="宋体" w:cs="Times New Roman"/>
      <w:color w:val="000000"/>
      <w:sz w:val="24"/>
      <w:szCs w:val="24"/>
      <w:lang w:val="en-US" w:eastAsia="zh-CN" w:bidi="ar-SA"/>
    </w:rPr>
  </w:style>
  <w:style w:type="paragraph" w:customStyle="1" w:styleId="108">
    <w:name w:val="p0"/>
    <w:basedOn w:val="1"/>
    <w:qFormat/>
    <w:uiPriority w:val="0"/>
    <w:pPr>
      <w:widowControl/>
      <w:spacing w:line="240" w:lineRule="auto"/>
      <w:ind w:firstLine="0" w:firstLineChars="0"/>
    </w:pPr>
    <w:rPr>
      <w:rFonts w:ascii="Calibri" w:hAnsi="Calibri" w:cs="Calibri"/>
      <w:kern w:val="0"/>
      <w:sz w:val="21"/>
      <w:szCs w:val="21"/>
    </w:rPr>
  </w:style>
  <w:style w:type="paragraph" w:customStyle="1" w:styleId="109">
    <w:name w:val="表格文字1"/>
    <w:basedOn w:val="1"/>
    <w:qFormat/>
    <w:uiPriority w:val="0"/>
    <w:pPr>
      <w:snapToGrid w:val="0"/>
      <w:spacing w:line="360" w:lineRule="atLeast"/>
      <w:jc w:val="center"/>
    </w:pPr>
    <w:rPr>
      <w:sz w:val="18"/>
      <w:szCs w:val="20"/>
    </w:rPr>
  </w:style>
  <w:style w:type="paragraph" w:customStyle="1" w:styleId="110">
    <w:name w:val="Normal_54"/>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111">
    <w:name w:val="Normal_115"/>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112">
    <w:name w:val="CM12"/>
    <w:basedOn w:val="52"/>
    <w:next w:val="52"/>
    <w:unhideWhenUsed/>
    <w:qFormat/>
    <w:uiPriority w:val="99"/>
    <w:pPr>
      <w:spacing w:line="440" w:lineRule="atLeast"/>
    </w:pPr>
    <w:rPr>
      <w:rFonts w:hint="default"/>
    </w:rPr>
  </w:style>
  <w:style w:type="paragraph" w:customStyle="1" w:styleId="113">
    <w:name w:val="表格体"/>
    <w:basedOn w:val="1"/>
    <w:qFormat/>
    <w:uiPriority w:val="0"/>
    <w:pPr>
      <w:adjustRightInd w:val="0"/>
      <w:snapToGrid w:val="0"/>
      <w:jc w:val="center"/>
    </w:pPr>
    <w:rPr>
      <w:bCs/>
    </w:rPr>
  </w:style>
  <w:style w:type="paragraph" w:customStyle="1" w:styleId="114">
    <w:name w:val="Table Paragraph"/>
    <w:basedOn w:val="1"/>
    <w:qFormat/>
    <w:uiPriority w:val="1"/>
    <w:rPr>
      <w:rFonts w:ascii="宋体" w:hAnsi="宋体" w:cs="宋体"/>
      <w:lang w:val="zh-CN" w:bidi="zh-CN"/>
    </w:rPr>
  </w:style>
  <w:style w:type="paragraph" w:styleId="115">
    <w:name w:val="List Paragraph"/>
    <w:basedOn w:val="1"/>
    <w:qFormat/>
    <w:uiPriority w:val="1"/>
    <w:pPr>
      <w:spacing w:before="1"/>
      <w:ind w:left="1521" w:hanging="601"/>
    </w:pPr>
    <w:rPr>
      <w:rFonts w:ascii="宋体" w:hAnsi="宋体" w:cs="宋体"/>
      <w:lang w:val="zh-CN" w:bidi="zh-CN"/>
    </w:rPr>
  </w:style>
  <w:style w:type="paragraph" w:customStyle="1" w:styleId="116">
    <w:name w:val="Normal_93"/>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117">
    <w:name w:val="CM13"/>
    <w:basedOn w:val="52"/>
    <w:next w:val="52"/>
    <w:unhideWhenUsed/>
    <w:qFormat/>
    <w:uiPriority w:val="99"/>
    <w:rPr>
      <w:rFonts w:hint="default"/>
    </w:rPr>
  </w:style>
  <w:style w:type="paragraph" w:customStyle="1" w:styleId="118">
    <w:name w:val="Normal_85"/>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119">
    <w:name w:val="Normal_70"/>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120">
    <w:name w:val="Normal_60"/>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121">
    <w:name w:val="CM75"/>
    <w:basedOn w:val="52"/>
    <w:next w:val="52"/>
    <w:unhideWhenUsed/>
    <w:qFormat/>
    <w:uiPriority w:val="99"/>
    <w:pPr>
      <w:spacing w:after="75"/>
    </w:pPr>
    <w:rPr>
      <w:rFonts w:hint="default"/>
    </w:rPr>
  </w:style>
  <w:style w:type="paragraph" w:customStyle="1" w:styleId="122">
    <w:name w:val="表格"/>
    <w:basedOn w:val="1"/>
    <w:qFormat/>
    <w:uiPriority w:val="0"/>
    <w:pPr>
      <w:spacing w:line="240" w:lineRule="auto"/>
      <w:ind w:firstLine="0" w:firstLineChars="0"/>
      <w:jc w:val="center"/>
    </w:pPr>
    <w:rPr>
      <w:sz w:val="21"/>
      <w:szCs w:val="21"/>
    </w:rPr>
  </w:style>
  <w:style w:type="paragraph" w:customStyle="1" w:styleId="123">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pPr>
    <w:rPr>
      <w:rFonts w:eastAsia="Arial Unicode MS"/>
      <w:kern w:val="0"/>
    </w:rPr>
  </w:style>
  <w:style w:type="paragraph" w:customStyle="1" w:styleId="124">
    <w:name w:val="3级标题"/>
    <w:basedOn w:val="1"/>
    <w:qFormat/>
    <w:uiPriority w:val="0"/>
    <w:pPr>
      <w:numPr>
        <w:ilvl w:val="2"/>
        <w:numId w:val="1"/>
      </w:numPr>
      <w:spacing w:beforeLines="50" w:afterLines="50"/>
      <w:ind w:firstLine="0" w:firstLineChars="0"/>
      <w:outlineLvl w:val="2"/>
    </w:pPr>
    <w:rPr>
      <w:rFonts w:ascii="宋体" w:hAnsi="宋体"/>
      <w:b/>
      <w:bCs/>
      <w:sz w:val="28"/>
      <w:szCs w:val="28"/>
    </w:rPr>
  </w:style>
  <w:style w:type="paragraph" w:customStyle="1" w:styleId="125">
    <w:name w:val="Normal_160"/>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126">
    <w:name w:val="Normal_76"/>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127">
    <w:name w:val="Normal_86"/>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128">
    <w:name w:val="Normal_118"/>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129">
    <w:name w:val="Normal_114"/>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130">
    <w:name w:val="Normal_105"/>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131">
    <w:name w:val="CM82"/>
    <w:basedOn w:val="52"/>
    <w:next w:val="52"/>
    <w:unhideWhenUsed/>
    <w:qFormat/>
    <w:uiPriority w:val="99"/>
    <w:pPr>
      <w:spacing w:after="155"/>
    </w:pPr>
    <w:rPr>
      <w:rFonts w:hint="default"/>
    </w:rPr>
  </w:style>
  <w:style w:type="paragraph" w:customStyle="1" w:styleId="132">
    <w:name w:val="Normal_116"/>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133">
    <w:name w:val="样式 正文1 + 首行缩进:  2 字符"/>
    <w:basedOn w:val="1"/>
    <w:qFormat/>
    <w:uiPriority w:val="0"/>
    <w:pPr>
      <w:widowControl/>
      <w:ind w:firstLine="200"/>
    </w:pPr>
    <w:rPr>
      <w:rFonts w:ascii="宋体"/>
      <w:szCs w:val="20"/>
    </w:rPr>
  </w:style>
  <w:style w:type="paragraph" w:customStyle="1" w:styleId="134">
    <w:name w:val="正文(首行缩进)"/>
    <w:basedOn w:val="1"/>
    <w:qFormat/>
    <w:uiPriority w:val="0"/>
    <w:pPr>
      <w:ind w:firstLine="540" w:firstLineChars="225"/>
    </w:pPr>
    <w:rPr>
      <w:snapToGrid w:val="0"/>
      <w:color w:val="000000"/>
    </w:rPr>
  </w:style>
  <w:style w:type="paragraph" w:customStyle="1" w:styleId="135">
    <w:name w:val="Normal_66"/>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136">
    <w:name w:val="Normal_87"/>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137">
    <w:name w:val="yxz-TM表格标题"/>
    <w:basedOn w:val="1"/>
    <w:qFormat/>
    <w:uiPriority w:val="0"/>
    <w:pPr>
      <w:spacing w:before="160"/>
      <w:jc w:val="center"/>
    </w:pPr>
    <w:rPr>
      <w:rFonts w:eastAsia="黑体" w:cs="宋体"/>
      <w:szCs w:val="20"/>
    </w:rPr>
  </w:style>
  <w:style w:type="paragraph" w:customStyle="1" w:styleId="138">
    <w:name w:val="xl29"/>
    <w:basedOn w:val="1"/>
    <w:qFormat/>
    <w:uiPriority w:val="0"/>
    <w:pPr>
      <w:widowControl/>
      <w:spacing w:before="100" w:after="100"/>
      <w:jc w:val="center"/>
    </w:pPr>
    <w:rPr>
      <w:kern w:val="0"/>
      <w:szCs w:val="20"/>
    </w:rPr>
  </w:style>
  <w:style w:type="paragraph" w:customStyle="1" w:styleId="139">
    <w:name w:val="Normal_95"/>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140">
    <w:name w:val="Normal_75"/>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141">
    <w:name w:val="Normal_155"/>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142">
    <w:name w:val="Normal_58"/>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143">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144">
    <w:name w:val="正 文"/>
    <w:basedOn w:val="1"/>
    <w:qFormat/>
    <w:uiPriority w:val="0"/>
    <w:pPr>
      <w:adjustRightInd w:val="0"/>
      <w:snapToGrid w:val="0"/>
      <w:spacing w:line="348" w:lineRule="auto"/>
      <w:ind w:firstLine="200"/>
    </w:pPr>
    <w:rPr>
      <w:kern w:val="0"/>
      <w:sz w:val="28"/>
      <w:szCs w:val="21"/>
    </w:rPr>
  </w:style>
  <w:style w:type="paragraph" w:customStyle="1" w:styleId="145">
    <w:name w:val="Normal_64"/>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146">
    <w:name w:val="Normal_113"/>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147">
    <w:name w:val="正文1"/>
    <w:basedOn w:val="1"/>
    <w:qFormat/>
    <w:uiPriority w:val="0"/>
    <w:pPr>
      <w:adjustRightInd w:val="0"/>
      <w:spacing w:line="315" w:lineRule="atLeast"/>
    </w:pPr>
    <w:rPr>
      <w:rFonts w:ascii="宋体"/>
      <w:kern w:val="0"/>
      <w:sz w:val="28"/>
      <w:szCs w:val="20"/>
    </w:rPr>
  </w:style>
  <w:style w:type="paragraph" w:customStyle="1" w:styleId="148">
    <w:name w:val="Normal_92"/>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149">
    <w:name w:val="样式 样式 小四 段前: 7.8 磅 段后: 7.8 磅 行距: 1.5 倍行距 + 首行缩进:  2 字符"/>
    <w:basedOn w:val="1"/>
    <w:qFormat/>
    <w:uiPriority w:val="0"/>
    <w:pPr>
      <w:ind w:firstLine="480"/>
    </w:pPr>
  </w:style>
  <w:style w:type="paragraph" w:customStyle="1" w:styleId="150">
    <w:name w:val="CM42"/>
    <w:basedOn w:val="52"/>
    <w:next w:val="52"/>
    <w:unhideWhenUsed/>
    <w:qFormat/>
    <w:uiPriority w:val="99"/>
    <w:pPr>
      <w:spacing w:line="468" w:lineRule="atLeast"/>
    </w:pPr>
    <w:rPr>
      <w:rFonts w:hint="default"/>
    </w:rPr>
  </w:style>
  <w:style w:type="paragraph" w:customStyle="1" w:styleId="151">
    <w:name w:val="【正文】"/>
    <w:basedOn w:val="1"/>
    <w:qFormat/>
    <w:uiPriority w:val="0"/>
    <w:pPr>
      <w:spacing w:line="440" w:lineRule="exact"/>
      <w:ind w:firstLine="544"/>
    </w:pPr>
    <w:rPr>
      <w:rFonts w:cs="宋体"/>
      <w:szCs w:val="20"/>
    </w:rPr>
  </w:style>
  <w:style w:type="paragraph" w:customStyle="1" w:styleId="152">
    <w:name w:val="CM19"/>
    <w:basedOn w:val="52"/>
    <w:next w:val="52"/>
    <w:unhideWhenUsed/>
    <w:qFormat/>
    <w:uiPriority w:val="99"/>
    <w:pPr>
      <w:spacing w:line="466" w:lineRule="atLeast"/>
    </w:pPr>
    <w:rPr>
      <w:rFonts w:hint="default"/>
    </w:rPr>
  </w:style>
  <w:style w:type="paragraph" w:customStyle="1" w:styleId="153">
    <w:name w:val="Normal_169"/>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154">
    <w:name w:val="正文2"/>
    <w:basedOn w:val="1"/>
    <w:next w:val="1"/>
    <w:qFormat/>
    <w:uiPriority w:val="0"/>
    <w:pPr>
      <w:adjustRightInd w:val="0"/>
      <w:snapToGrid w:val="0"/>
    </w:pPr>
    <w:rPr>
      <w:rFonts w:cs="宋体"/>
      <w:sz w:val="28"/>
      <w:szCs w:val="28"/>
    </w:rPr>
  </w:style>
  <w:style w:type="character" w:customStyle="1" w:styleId="155">
    <w:name w:val="批注文字 Char"/>
    <w:basedOn w:val="31"/>
    <w:link w:val="14"/>
    <w:qFormat/>
    <w:uiPriority w:val="0"/>
    <w:rPr>
      <w:kern w:val="2"/>
      <w:sz w:val="24"/>
      <w:szCs w:val="24"/>
    </w:rPr>
  </w:style>
  <w:style w:type="character" w:customStyle="1" w:styleId="156">
    <w:name w:val="批注主题 Char"/>
    <w:basedOn w:val="155"/>
    <w:link w:val="28"/>
    <w:semiHidden/>
    <w:qFormat/>
    <w:uiPriority w:val="0"/>
    <w:rPr>
      <w:b/>
      <w:bCs/>
      <w:kern w:val="2"/>
      <w:sz w:val="24"/>
      <w:szCs w:val="24"/>
    </w:rPr>
  </w:style>
  <w:style w:type="character" w:customStyle="1" w:styleId="157">
    <w:name w:val="批注框文本 Char"/>
    <w:basedOn w:val="31"/>
    <w:link w:val="20"/>
    <w:semiHidden/>
    <w:qFormat/>
    <w:uiPriority w:val="0"/>
    <w:rPr>
      <w:kern w:val="2"/>
      <w:sz w:val="18"/>
      <w:szCs w:val="18"/>
    </w:rPr>
  </w:style>
  <w:style w:type="paragraph" w:customStyle="1" w:styleId="158">
    <w:name w:val="b表内容"/>
    <w:basedOn w:val="2"/>
    <w:qFormat/>
    <w:uiPriority w:val="0"/>
    <w:pPr>
      <w:spacing w:line="360" w:lineRule="auto"/>
      <w:jc w:val="center"/>
    </w:pPr>
    <w:rPr>
      <w:rFonts w:eastAsia="宋体"/>
      <w:sz w:val="21"/>
    </w:rPr>
  </w:style>
  <w:style w:type="character" w:customStyle="1" w:styleId="159">
    <w:name w:val="endlink1"/>
    <w:basedOn w:val="31"/>
    <w:qFormat/>
    <w:uiPriority w:val="0"/>
    <w:rPr>
      <w:b/>
      <w:i/>
      <w:color w:val="000000"/>
      <w:spacing w:val="120"/>
      <w:w w:val="1"/>
      <w:sz w:val="14"/>
      <w:szCs w:val="14"/>
      <w:u w:val="none"/>
      <w:bdr w:val="single" w:color="00CC33" w:sz="8" w:space="0"/>
    </w:rPr>
  </w:style>
  <w:style w:type="character" w:customStyle="1" w:styleId="160">
    <w:name w:val="样式 红色"/>
    <w:basedOn w:val="31"/>
    <w:qFormat/>
    <w:uiPriority w:val="0"/>
    <w:rPr>
      <w:color w:val="FF0000"/>
      <w:spacing w:val="8"/>
      <w:w w:val="100"/>
      <w:position w:val="0"/>
    </w:rPr>
  </w:style>
  <w:style w:type="paragraph" w:customStyle="1" w:styleId="161">
    <w:name w:val="样式 首行缩进:  2 字符1"/>
    <w:basedOn w:val="1"/>
    <w:qFormat/>
    <w:uiPriority w:val="0"/>
    <w:pPr>
      <w:spacing w:line="360" w:lineRule="auto"/>
      <w:ind w:firstLine="480" w:firstLineChars="200"/>
    </w:pPr>
    <w:rPr>
      <w:rFonts w:ascii="Times New Roman" w:hAnsi="Times New Roman"/>
      <w:sz w:val="24"/>
      <w:szCs w:val="20"/>
    </w:rPr>
  </w:style>
  <w:style w:type="paragraph" w:customStyle="1" w:styleId="162">
    <w:name w:val="样式2"/>
    <w:basedOn w:val="1"/>
    <w:qFormat/>
    <w:uiPriority w:val="0"/>
    <w:pPr>
      <w:spacing w:line="500" w:lineRule="exact"/>
      <w:ind w:firstLine="560" w:firstLineChars="200"/>
    </w:pPr>
    <w:rPr>
      <w:rFonts w:ascii="宋体" w:hAnsi="宋体"/>
      <w:sz w:val="28"/>
      <w:szCs w:val="28"/>
    </w:rPr>
  </w:style>
  <w:style w:type="paragraph" w:customStyle="1" w:styleId="163">
    <w:name w:val="正  文"/>
    <w:basedOn w:val="1"/>
    <w:qFormat/>
    <w:uiPriority w:val="0"/>
    <w:pPr>
      <w:widowControl/>
      <w:jc w:val="left"/>
    </w:pPr>
    <w:rPr>
      <w:rFonts w:eastAsia="仿宋_GB2312"/>
      <w:sz w:val="28"/>
      <w:szCs w:val="36"/>
    </w:rPr>
  </w:style>
  <w:style w:type="paragraph" w:customStyle="1" w:styleId="164">
    <w:name w:val="样式 样式 样式 正文首行缩进 2 + 首行缩进:  2 字符 + 首行缩进:  2 字符 + 首行缩进:  2 字符"/>
    <w:basedOn w:val="1"/>
    <w:qFormat/>
    <w:uiPriority w:val="0"/>
    <w:pPr>
      <w:spacing w:line="440" w:lineRule="exact"/>
    </w:pPr>
    <w:rPr>
      <w:rFonts w:cs="宋体"/>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7" Type="http://schemas.openxmlformats.org/officeDocument/2006/relationships/fontTable" Target="fontTable.xml"/><Relationship Id="rId36" Type="http://schemas.microsoft.com/office/2006/relationships/keyMapCustomizations" Target="customizations.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wmf"/><Relationship Id="rId3" Type="http://schemas.openxmlformats.org/officeDocument/2006/relationships/header" Target="header1.xml"/><Relationship Id="rId29" Type="http://schemas.openxmlformats.org/officeDocument/2006/relationships/oleObject" Target="embeddings/oleObject3.bin"/><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8.wmf"/><Relationship Id="rId17" Type="http://schemas.openxmlformats.org/officeDocument/2006/relationships/oleObject" Target="embeddings/oleObject1.bin"/><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D097E3-8CCB-4DBB-B144-320A46E3DD4E}">
  <ds:schemaRefs/>
</ds:datastoreItem>
</file>

<file path=docProps/app.xml><?xml version="1.0" encoding="utf-8"?>
<Properties xmlns="http://schemas.openxmlformats.org/officeDocument/2006/extended-properties" xmlns:vt="http://schemas.openxmlformats.org/officeDocument/2006/docPropsVTypes">
  <Template>Normal</Template>
  <Pages>253</Pages>
  <Words>122569</Words>
  <Characters>152108</Characters>
  <Lines>6618</Lines>
  <Paragraphs>7332</Paragraphs>
  <TotalTime>4</TotalTime>
  <ScaleCrop>false</ScaleCrop>
  <LinksUpToDate>false</LinksUpToDate>
  <CharactersWithSpaces>154701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2019-04-04T13:37:00Z</dcterms:created>
  <dc:creator>Prison Break</dc:creator>
  <cp:lastModifiedBy>theFates丿</cp:lastModifiedBy>
  <dcterms:modified xsi:type="dcterms:W3CDTF">2023-07-18T10:05:32Z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