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3"/>
        <w:tblW w:w="9587"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176"/>
        <w:gridCol w:w="362"/>
        <w:gridCol w:w="1188"/>
        <w:gridCol w:w="1607"/>
        <w:gridCol w:w="109"/>
        <w:gridCol w:w="1448"/>
        <w:gridCol w:w="382"/>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587" w:type="dxa"/>
            <w:gridSpan w:val="9"/>
            <w:tcBorders>
              <w:top w:val="nil"/>
              <w:left w:val="nil"/>
              <w:bottom w:val="single" w:color="auto" w:sz="4" w:space="0"/>
              <w:right w:val="nil"/>
            </w:tcBorders>
            <w:vAlign w:val="center"/>
          </w:tcPr>
          <w:p>
            <w:pP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表一、建设项目基本情况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05" w:type="dxa"/>
            <w:tcBorders>
              <w:top w:val="single" w:color="auto" w:sz="4" w:space="0"/>
            </w:tcBorders>
            <w:vAlign w:val="center"/>
          </w:tcPr>
          <w:p>
            <w:pPr>
              <w:spacing w:line="400" w:lineRule="exact"/>
              <w:jc w:val="center"/>
              <w:rPr>
                <w:rFonts w:hint="default" w:ascii="Times New Roman" w:hAnsi="Times New Roman" w:cs="Times New Roman"/>
                <w:color w:val="auto"/>
                <w:sz w:val="28"/>
                <w:szCs w:val="28"/>
                <w:highlight w:val="darkGreen"/>
              </w:rPr>
            </w:pPr>
            <w:r>
              <w:rPr>
                <w:rFonts w:hint="default" w:ascii="Times New Roman" w:hAnsi="Times New Roman" w:cs="Times New Roman"/>
                <w:color w:val="auto"/>
                <w:sz w:val="28"/>
                <w:szCs w:val="28"/>
              </w:rPr>
              <w:t>项目名称</w:t>
            </w:r>
          </w:p>
        </w:tc>
        <w:tc>
          <w:tcPr>
            <w:tcW w:w="8082" w:type="dxa"/>
            <w:gridSpan w:val="8"/>
            <w:tcBorders>
              <w:top w:val="single" w:color="auto" w:sz="4" w:space="0"/>
            </w:tcBorders>
            <w:vAlign w:val="center"/>
          </w:tcPr>
          <w:p>
            <w:pPr>
              <w:jc w:val="center"/>
              <w:rPr>
                <w:rFonts w:hint="default" w:ascii="Times New Roman" w:hAnsi="Times New Roman" w:cs="Times New Roman"/>
                <w:color w:val="auto"/>
                <w:sz w:val="24"/>
                <w:highlight w:val="darkGreen"/>
              </w:rPr>
            </w:pPr>
            <w:r>
              <w:rPr>
                <w:rFonts w:hint="eastAsia" w:ascii="Times New Roman" w:hAnsi="Times New Roman" w:cs="Times New Roman"/>
                <w:color w:val="auto"/>
                <w:sz w:val="24"/>
                <w:lang w:eastAsia="zh-CN"/>
              </w:rPr>
              <w:t>砚山县蚌峨加油站改建项目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05"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建设单位</w:t>
            </w:r>
          </w:p>
        </w:tc>
        <w:tc>
          <w:tcPr>
            <w:tcW w:w="8082" w:type="dxa"/>
            <w:gridSpan w:val="8"/>
            <w:vAlign w:val="center"/>
          </w:tcPr>
          <w:p>
            <w:pPr>
              <w:spacing w:line="400" w:lineRule="exact"/>
              <w:ind w:firstLine="2640" w:firstLineChars="1100"/>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eastAsia="zh-CN"/>
              </w:rPr>
              <w:t xml:space="preserve">砚山县蚌峨加油站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05"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法人代表</w:t>
            </w:r>
          </w:p>
        </w:tc>
        <w:tc>
          <w:tcPr>
            <w:tcW w:w="2726" w:type="dxa"/>
            <w:gridSpan w:val="3"/>
            <w:vAlign w:val="center"/>
          </w:tcPr>
          <w:p>
            <w:pPr>
              <w:spacing w:line="400" w:lineRule="exact"/>
              <w:jc w:val="center"/>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 xml:space="preserve"> </w:t>
            </w:r>
          </w:p>
        </w:tc>
        <w:tc>
          <w:tcPr>
            <w:tcW w:w="1716" w:type="dxa"/>
            <w:gridSpan w:val="2"/>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联系人</w:t>
            </w:r>
          </w:p>
        </w:tc>
        <w:tc>
          <w:tcPr>
            <w:tcW w:w="3640" w:type="dxa"/>
            <w:gridSpan w:val="3"/>
            <w:vAlign w:val="center"/>
          </w:tcPr>
          <w:p>
            <w:pPr>
              <w:spacing w:line="400" w:lineRule="exact"/>
              <w:jc w:val="center"/>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505"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通讯地址</w:t>
            </w:r>
          </w:p>
        </w:tc>
        <w:tc>
          <w:tcPr>
            <w:tcW w:w="8082" w:type="dxa"/>
            <w:gridSpan w:val="8"/>
            <w:vAlign w:val="center"/>
          </w:tcPr>
          <w:p>
            <w:pPr>
              <w:spacing w:line="400" w:lineRule="exact"/>
              <w:jc w:val="center"/>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eastAsia="zh-CN"/>
              </w:rPr>
              <w:t>砚山县蚌峨乡蚌峨新寨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05"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联系电话</w:t>
            </w:r>
          </w:p>
        </w:tc>
        <w:tc>
          <w:tcPr>
            <w:tcW w:w="1538" w:type="dxa"/>
            <w:gridSpan w:val="2"/>
            <w:vAlign w:val="center"/>
          </w:tcPr>
          <w:p>
            <w:pPr>
              <w:spacing w:line="400" w:lineRule="exact"/>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 xml:space="preserve"> </w:t>
            </w:r>
          </w:p>
        </w:tc>
        <w:tc>
          <w:tcPr>
            <w:tcW w:w="1188"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传真</w:t>
            </w:r>
          </w:p>
        </w:tc>
        <w:tc>
          <w:tcPr>
            <w:tcW w:w="1716" w:type="dxa"/>
            <w:gridSpan w:val="2"/>
            <w:vAlign w:val="center"/>
          </w:tcPr>
          <w:p>
            <w:pPr>
              <w:spacing w:line="400" w:lineRule="exact"/>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1448"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邮政编码</w:t>
            </w:r>
          </w:p>
        </w:tc>
        <w:tc>
          <w:tcPr>
            <w:tcW w:w="2192" w:type="dxa"/>
            <w:gridSpan w:val="2"/>
            <w:vAlign w:val="center"/>
          </w:tcPr>
          <w:p>
            <w:pPr>
              <w:spacing w:line="400" w:lineRule="exact"/>
              <w:jc w:val="center"/>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663100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05"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建设地点</w:t>
            </w:r>
          </w:p>
        </w:tc>
        <w:tc>
          <w:tcPr>
            <w:tcW w:w="8082" w:type="dxa"/>
            <w:gridSpan w:val="8"/>
            <w:vAlign w:val="center"/>
          </w:tcPr>
          <w:p>
            <w:pPr>
              <w:pStyle w:val="7"/>
              <w:jc w:val="center"/>
              <w:rPr>
                <w:rFonts w:hint="default" w:ascii="Times New Roman" w:hAnsi="Times New Roman" w:cs="Times New Roman"/>
                <w:color w:val="auto"/>
                <w:sz w:val="24"/>
              </w:rPr>
            </w:pPr>
            <w:r>
              <w:rPr>
                <w:rFonts w:hint="eastAsia" w:ascii="Times New Roman" w:hAnsi="Times New Roman" w:cs="Times New Roman"/>
                <w:color w:val="auto"/>
                <w:sz w:val="24"/>
                <w:lang w:eastAsia="zh-CN"/>
              </w:rPr>
              <w:t>砚山县蚌峨乡蚌峨新寨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505"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立项审批</w:t>
            </w:r>
          </w:p>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部门</w:t>
            </w:r>
          </w:p>
        </w:tc>
        <w:tc>
          <w:tcPr>
            <w:tcW w:w="2726" w:type="dxa"/>
            <w:gridSpan w:val="3"/>
            <w:vAlign w:val="center"/>
          </w:tcPr>
          <w:p>
            <w:pPr>
              <w:spacing w:line="400" w:lineRule="exact"/>
              <w:jc w:val="center"/>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砚山县发展和改革局</w:t>
            </w:r>
          </w:p>
        </w:tc>
        <w:tc>
          <w:tcPr>
            <w:tcW w:w="1607"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批准文号</w:t>
            </w:r>
          </w:p>
        </w:tc>
        <w:tc>
          <w:tcPr>
            <w:tcW w:w="3749" w:type="dxa"/>
            <w:gridSpan w:val="4"/>
            <w:vAlign w:val="center"/>
          </w:tcPr>
          <w:p>
            <w:pPr>
              <w:spacing w:line="400" w:lineRule="exact"/>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项目代码：2019-532622-52-03-041475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05"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建设性质</w:t>
            </w:r>
          </w:p>
        </w:tc>
        <w:tc>
          <w:tcPr>
            <w:tcW w:w="2726" w:type="dxa"/>
            <w:gridSpan w:val="3"/>
            <w:vAlign w:val="center"/>
          </w:tcPr>
          <w:p>
            <w:pPr>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□新建</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eq \o\ac(□,</w:instrText>
            </w:r>
            <w:r>
              <w:rPr>
                <w:rFonts w:hint="default" w:ascii="Times New Roman" w:hAnsi="Times New Roman" w:cs="Times New Roman"/>
                <w:color w:val="auto"/>
                <w:position w:val="2"/>
                <w:sz w:val="24"/>
              </w:rPr>
              <w:instrText xml:space="preserve">√</w:instrText>
            </w:r>
            <w:r>
              <w:rPr>
                <w:rFonts w:hint="default" w:ascii="Times New Roman" w:hAnsi="Times New Roman" w:cs="Times New Roman"/>
                <w:color w:val="auto"/>
                <w:sz w:val="24"/>
              </w:rPr>
              <w:instrText xml:space="preserve">)</w:instrTex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改扩建□技改</w:t>
            </w:r>
          </w:p>
        </w:tc>
        <w:tc>
          <w:tcPr>
            <w:tcW w:w="1607" w:type="dxa"/>
            <w:vAlign w:val="center"/>
          </w:tcPr>
          <w:p>
            <w:pPr>
              <w:spacing w:line="400" w:lineRule="exact"/>
              <w:ind w:right="-107" w:rightChars="-51"/>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行业类别</w:t>
            </w:r>
          </w:p>
          <w:p>
            <w:pPr>
              <w:spacing w:line="400" w:lineRule="exact"/>
              <w:ind w:right="-107" w:rightChars="-51"/>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及代码</w:t>
            </w:r>
          </w:p>
        </w:tc>
        <w:tc>
          <w:tcPr>
            <w:tcW w:w="3749" w:type="dxa"/>
            <w:gridSpan w:val="4"/>
            <w:vAlign w:val="center"/>
          </w:tcPr>
          <w:p>
            <w:pPr>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机动车燃料零售</w:t>
            </w:r>
          </w:p>
          <w:p>
            <w:pPr>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H6564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vAlign w:val="center"/>
          </w:tcPr>
          <w:p>
            <w:pPr>
              <w:spacing w:line="400" w:lineRule="exact"/>
              <w:ind w:firstLine="140" w:firstLineChars="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占地面积</w:t>
            </w:r>
          </w:p>
          <w:p>
            <w:pPr>
              <w:spacing w:line="400" w:lineRule="exact"/>
              <w:ind w:firstLine="140" w:firstLineChars="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(平方米)</w:t>
            </w:r>
          </w:p>
        </w:tc>
        <w:tc>
          <w:tcPr>
            <w:tcW w:w="2726" w:type="dxa"/>
            <w:gridSpan w:val="3"/>
            <w:vAlign w:val="center"/>
          </w:tcPr>
          <w:p>
            <w:pPr>
              <w:spacing w:line="400" w:lineRule="exact"/>
              <w:jc w:val="center"/>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1148.00</w:t>
            </w:r>
          </w:p>
        </w:tc>
        <w:tc>
          <w:tcPr>
            <w:tcW w:w="1607" w:type="dxa"/>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绿化面积</w:t>
            </w:r>
          </w:p>
          <w:p>
            <w:pPr>
              <w:spacing w:line="400" w:lineRule="exact"/>
              <w:jc w:val="center"/>
              <w:rPr>
                <w:rFonts w:hint="default" w:ascii="Times New Roman" w:hAnsi="Times New Roman" w:cs="Times New Roman"/>
                <w:color w:val="auto"/>
                <w:szCs w:val="21"/>
              </w:rPr>
            </w:pPr>
            <w:r>
              <w:rPr>
                <w:rFonts w:hint="default" w:ascii="Times New Roman" w:hAnsi="Times New Roman" w:cs="Times New Roman"/>
                <w:color w:val="auto"/>
                <w:sz w:val="28"/>
                <w:szCs w:val="28"/>
              </w:rPr>
              <w:t>(平方米)</w:t>
            </w:r>
          </w:p>
        </w:tc>
        <w:tc>
          <w:tcPr>
            <w:tcW w:w="3749" w:type="dxa"/>
            <w:gridSpan w:val="4"/>
            <w:vAlign w:val="center"/>
          </w:tcPr>
          <w:p>
            <w:pPr>
              <w:spacing w:line="400" w:lineRule="exact"/>
              <w:jc w:val="center"/>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505" w:type="dxa"/>
            <w:vAlign w:val="center"/>
          </w:tcPr>
          <w:p>
            <w:pPr>
              <w:spacing w:line="400" w:lineRule="exact"/>
              <w:ind w:firstLine="280" w:firstLineChars="1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总投资</w:t>
            </w:r>
          </w:p>
          <w:p>
            <w:pPr>
              <w:spacing w:line="400" w:lineRule="exact"/>
              <w:ind w:firstLine="280" w:firstLineChars="1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(万元)</w:t>
            </w:r>
          </w:p>
        </w:tc>
        <w:tc>
          <w:tcPr>
            <w:tcW w:w="1176" w:type="dxa"/>
            <w:vAlign w:val="center"/>
          </w:tcPr>
          <w:p>
            <w:pPr>
              <w:spacing w:line="400" w:lineRule="exact"/>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100.0</w:t>
            </w:r>
          </w:p>
        </w:tc>
        <w:tc>
          <w:tcPr>
            <w:tcW w:w="1550" w:type="dxa"/>
            <w:gridSpan w:val="2"/>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其中：环保资(万元)</w:t>
            </w:r>
          </w:p>
        </w:tc>
        <w:tc>
          <w:tcPr>
            <w:tcW w:w="1607" w:type="dxa"/>
            <w:vAlign w:val="center"/>
          </w:tcPr>
          <w:p>
            <w:pPr>
              <w:spacing w:line="400" w:lineRule="exact"/>
              <w:ind w:firstLine="720" w:firstLineChars="300"/>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44.3</w:t>
            </w:r>
          </w:p>
        </w:tc>
        <w:tc>
          <w:tcPr>
            <w:tcW w:w="1939" w:type="dxa"/>
            <w:gridSpan w:val="3"/>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环保投资占总投资比例（%）</w:t>
            </w:r>
          </w:p>
        </w:tc>
        <w:tc>
          <w:tcPr>
            <w:tcW w:w="1810" w:type="dxa"/>
            <w:vAlign w:val="center"/>
          </w:tcPr>
          <w:p>
            <w:pPr>
              <w:spacing w:line="400" w:lineRule="exact"/>
              <w:ind w:firstLine="480" w:firstLineChars="200"/>
              <w:jc w:val="both"/>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505" w:type="dxa"/>
            <w:vAlign w:val="center"/>
          </w:tcPr>
          <w:p>
            <w:pPr>
              <w:spacing w:line="400" w:lineRule="exact"/>
              <w:ind w:firstLine="140" w:firstLineChars="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评价经费</w:t>
            </w:r>
          </w:p>
          <w:p>
            <w:pPr>
              <w:spacing w:line="400" w:lineRule="exact"/>
              <w:ind w:firstLine="280" w:firstLineChars="1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(万元)</w:t>
            </w:r>
          </w:p>
        </w:tc>
        <w:tc>
          <w:tcPr>
            <w:tcW w:w="1176" w:type="dxa"/>
            <w:vAlign w:val="center"/>
          </w:tcPr>
          <w:p>
            <w:pPr>
              <w:spacing w:line="400" w:lineRule="exact"/>
              <w:jc w:val="center"/>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4</w:t>
            </w:r>
          </w:p>
        </w:tc>
        <w:tc>
          <w:tcPr>
            <w:tcW w:w="1550" w:type="dxa"/>
            <w:gridSpan w:val="2"/>
            <w:vAlign w:val="center"/>
          </w:tcPr>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预投产</w:t>
            </w:r>
          </w:p>
          <w:p>
            <w:pPr>
              <w:spacing w:line="400" w:lineRule="exact"/>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日期</w:t>
            </w:r>
          </w:p>
        </w:tc>
        <w:tc>
          <w:tcPr>
            <w:tcW w:w="5356" w:type="dxa"/>
            <w:gridSpan w:val="5"/>
            <w:vAlign w:val="center"/>
          </w:tcPr>
          <w:p>
            <w:pPr>
              <w:spacing w:line="400" w:lineRule="exact"/>
              <w:ind w:firstLine="1680" w:firstLineChars="700"/>
              <w:rPr>
                <w:rFonts w:hint="default" w:ascii="Times New Roman" w:hAnsi="Times New Roman" w:cs="Times New Roman"/>
                <w:color w:val="auto"/>
                <w:sz w:val="24"/>
              </w:rPr>
            </w:pPr>
            <w:r>
              <w:rPr>
                <w:rFonts w:hint="default" w:ascii="Times New Roman" w:hAnsi="Times New Roman" w:cs="Times New Roman"/>
                <w:color w:val="auto"/>
                <w:sz w:val="24"/>
              </w:rPr>
              <w:t>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587" w:type="dxa"/>
            <w:gridSpan w:val="9"/>
            <w:vAlign w:val="center"/>
          </w:tcPr>
          <w:p>
            <w:pP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工程内容及规模：</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一、项目由来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近几年，</w:t>
            </w:r>
            <w:r>
              <w:rPr>
                <w:rFonts w:hint="eastAsia" w:ascii="Times New Roman" w:hAnsi="Times New Roman" w:cs="Times New Roman"/>
                <w:color w:val="auto"/>
                <w:sz w:val="24"/>
                <w:lang w:eastAsia="zh-CN"/>
              </w:rPr>
              <w:t>蚌峨乡</w:t>
            </w:r>
            <w:r>
              <w:rPr>
                <w:rFonts w:hint="default" w:ascii="Times New Roman" w:hAnsi="Times New Roman" w:cs="Times New Roman"/>
                <w:color w:val="auto"/>
                <w:sz w:val="24"/>
              </w:rPr>
              <w:t>经济快速发展，人民生活水平不断提高，大中型机动车辆和家用小轿车的数量呈大幅度增长的趋势</w:t>
            </w:r>
            <w:r>
              <w:rPr>
                <w:rFonts w:hint="default" w:ascii="Times New Roman" w:hAnsi="Times New Roman" w:cs="Times New Roman"/>
                <w:color w:val="auto"/>
              </w:rPr>
              <w:t>，</w:t>
            </w:r>
            <w:r>
              <w:rPr>
                <w:rFonts w:hint="default" w:ascii="Times New Roman" w:hAnsi="Times New Roman" w:cs="Times New Roman"/>
                <w:color w:val="auto"/>
                <w:sz w:val="24"/>
              </w:rPr>
              <w:t>项目</w:t>
            </w:r>
            <w:r>
              <w:rPr>
                <w:rFonts w:hint="eastAsia" w:ascii="Times New Roman" w:hAnsi="Times New Roman" w:cs="Times New Roman"/>
                <w:color w:val="auto"/>
                <w:sz w:val="24"/>
                <w:lang w:eastAsia="zh-CN"/>
              </w:rPr>
              <w:t>东侧临县道者蚌段（者腊</w:t>
            </w:r>
            <w:r>
              <w:rPr>
                <w:rFonts w:hint="eastAsia" w:ascii="Times New Roman" w:hAnsi="Times New Roman" w:cs="Times New Roman"/>
                <w:color w:val="auto"/>
                <w:sz w:val="24"/>
                <w:lang w:val="en-US" w:eastAsia="zh-CN"/>
              </w:rPr>
              <w:t>--蚌峨</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，过往车辆较多，项目的建设弥补了</w:t>
            </w:r>
            <w:r>
              <w:rPr>
                <w:rFonts w:hint="default" w:ascii="Times New Roman" w:hAnsi="Times New Roman" w:cs="Times New Roman"/>
                <w:color w:val="auto"/>
                <w:sz w:val="24"/>
                <w:lang w:val="en-US" w:eastAsia="zh-CN"/>
              </w:rPr>
              <w:t>过往</w:t>
            </w:r>
            <w:r>
              <w:rPr>
                <w:rFonts w:hint="default" w:ascii="Times New Roman" w:hAnsi="Times New Roman" w:cs="Times New Roman"/>
                <w:color w:val="auto"/>
                <w:sz w:val="24"/>
              </w:rPr>
              <w:t>车辆对燃油的需求。</w:t>
            </w:r>
          </w:p>
          <w:p>
            <w:pPr>
              <w:spacing w:line="360" w:lineRule="auto"/>
              <w:ind w:firstLine="480"/>
              <w:jc w:val="both"/>
              <w:rPr>
                <w:rFonts w:hint="default" w:ascii="Times New Roman" w:hAnsi="Times New Roman" w:cs="Times New Roman"/>
                <w:color w:val="auto"/>
              </w:rPr>
            </w:pPr>
            <w:r>
              <w:rPr>
                <w:rFonts w:hint="default" w:ascii="Times New Roman" w:hAnsi="Times New Roman" w:cs="Times New Roman"/>
                <w:color w:val="auto"/>
                <w:sz w:val="24"/>
              </w:rPr>
              <w:t>项目始建于</w:t>
            </w:r>
            <w:r>
              <w:rPr>
                <w:rFonts w:hint="eastAsia" w:ascii="Times New Roman" w:hAnsi="Times New Roman" w:cs="Times New Roman"/>
                <w:color w:val="auto"/>
                <w:sz w:val="24"/>
                <w:lang w:val="en-US" w:eastAsia="zh-CN"/>
              </w:rPr>
              <w:t>2017</w:t>
            </w:r>
            <w:r>
              <w:rPr>
                <w:rFonts w:hint="default" w:ascii="Times New Roman" w:hAnsi="Times New Roman" w:cs="Times New Roman"/>
                <w:color w:val="auto"/>
                <w:sz w:val="24"/>
              </w:rPr>
              <w:t>年，</w:t>
            </w:r>
            <w:r>
              <w:rPr>
                <w:rFonts w:hint="eastAsia" w:ascii="Times New Roman" w:hAnsi="Times New Roman" w:cs="Times New Roman"/>
                <w:color w:val="auto"/>
                <w:sz w:val="24"/>
                <w:lang w:eastAsia="zh-CN"/>
              </w:rPr>
              <w:t>统一社会信用代码</w:t>
            </w:r>
            <w:r>
              <w:rPr>
                <w:rFonts w:hint="default" w:ascii="Times New Roman" w:hAnsi="Times New Roman" w:cs="Times New Roman"/>
                <w:color w:val="auto"/>
                <w:sz w:val="24"/>
                <w:lang w:eastAsia="zh-CN"/>
              </w:rPr>
              <w:t>为</w:t>
            </w:r>
            <w:r>
              <w:rPr>
                <w:rFonts w:hint="default" w:ascii="Times New Roman" w:hAnsi="Times New Roman" w:cs="Times New Roman"/>
                <w:color w:val="auto"/>
                <w:sz w:val="24"/>
                <w:lang w:val="en-US" w:eastAsia="zh-CN"/>
              </w:rPr>
              <w:t>91532622MA6KTR622N</w:t>
            </w:r>
            <w:r>
              <w:rPr>
                <w:rFonts w:hint="default" w:ascii="Times New Roman" w:hAnsi="Times New Roman" w:cs="Times New Roman"/>
                <w:color w:val="auto"/>
                <w:sz w:val="24"/>
              </w:rPr>
              <w:t>，成品油零售经营批准证书</w:t>
            </w:r>
            <w:r>
              <w:rPr>
                <w:rFonts w:hint="default" w:ascii="Times New Roman" w:hAnsi="Times New Roman" w:cs="Times New Roman"/>
                <w:color w:val="auto"/>
                <w:sz w:val="24"/>
                <w:lang w:eastAsia="zh-CN"/>
              </w:rPr>
              <w:t>文号为</w:t>
            </w:r>
            <w:r>
              <w:rPr>
                <w:rFonts w:hint="default" w:ascii="Times New Roman" w:hAnsi="Times New Roman" w:cs="Times New Roman"/>
                <w:color w:val="auto"/>
                <w:sz w:val="24"/>
              </w:rPr>
              <w:t>文山油零售证书第</w:t>
            </w:r>
            <w:r>
              <w:rPr>
                <w:rFonts w:hint="eastAsia" w:ascii="Times New Roman" w:hAnsi="Times New Roman" w:cs="Times New Roman"/>
                <w:color w:val="auto"/>
                <w:sz w:val="24"/>
                <w:lang w:val="en-US" w:eastAsia="zh-CN"/>
              </w:rPr>
              <w:t>285</w:t>
            </w:r>
            <w:r>
              <w:rPr>
                <w:rFonts w:hint="default" w:ascii="Times New Roman" w:hAnsi="Times New Roman" w:cs="Times New Roman"/>
                <w:color w:val="auto"/>
                <w:sz w:val="24"/>
              </w:rPr>
              <w:t>号</w:t>
            </w:r>
            <w:r>
              <w:rPr>
                <w:rFonts w:hint="default" w:ascii="Times New Roman" w:hAnsi="Times New Roman" w:cs="Times New Roman"/>
                <w:color w:val="auto"/>
                <w:sz w:val="24"/>
                <w:lang w:val="en-US" w:eastAsia="zh-CN"/>
              </w:rPr>
              <w:t>，危化品经营许可证书为</w:t>
            </w:r>
            <w:r>
              <w:rPr>
                <w:rFonts w:hint="eastAsia" w:ascii="Times New Roman" w:hAnsi="Times New Roman" w:cs="Times New Roman"/>
                <w:color w:val="auto"/>
                <w:sz w:val="24"/>
                <w:lang w:val="en-US" w:eastAsia="zh-CN"/>
              </w:rPr>
              <w:t>云文危●化经</w:t>
            </w:r>
            <w:r>
              <w:rPr>
                <w:rFonts w:hint="default" w:ascii="Times New Roman" w:hAnsi="Times New Roman" w:cs="Times New Roman"/>
                <w:color w:val="auto"/>
                <w:sz w:val="24"/>
                <w:lang w:val="en-US" w:eastAsia="zh-CN"/>
              </w:rPr>
              <w:t>字〔20</w:t>
            </w:r>
            <w:r>
              <w:rPr>
                <w:rFonts w:hint="eastAsia" w:ascii="Times New Roman" w:hAnsi="Times New Roman" w:cs="Times New Roman"/>
                <w:color w:val="auto"/>
                <w:sz w:val="24"/>
                <w:lang w:val="en-US" w:eastAsia="zh-CN"/>
              </w:rPr>
              <w:t>17</w:t>
            </w:r>
            <w:r>
              <w:rPr>
                <w:rFonts w:hint="default" w:ascii="Times New Roman" w:hAnsi="Times New Roman" w:cs="Times New Roman"/>
                <w:color w:val="auto"/>
                <w:sz w:val="24"/>
                <w:lang w:val="en-US" w:eastAsia="zh-CN"/>
              </w:rPr>
              <w:t>〕00</w:t>
            </w:r>
            <w:r>
              <w:rPr>
                <w:rFonts w:hint="eastAsia" w:ascii="Times New Roman" w:hAnsi="Times New Roman" w:cs="Times New Roman"/>
                <w:color w:val="auto"/>
                <w:sz w:val="24"/>
                <w:lang w:val="en-US" w:eastAsia="zh-CN"/>
              </w:rPr>
              <w:t>2009</w:t>
            </w:r>
            <w:r>
              <w:rPr>
                <w:rFonts w:hint="default" w:ascii="Times New Roman" w:hAnsi="Times New Roman" w:cs="Times New Roman"/>
                <w:color w:val="auto"/>
                <w:sz w:val="24"/>
              </w:rPr>
              <w:t>。由于项目初设等原因，储油罐存在防渗能力不足、未安装液位仪、未配套安装渗漏在线检测系统、加油站未安装油气回收装置等问题。根据</w:t>
            </w:r>
            <w:r>
              <w:rPr>
                <w:rFonts w:hint="eastAsia"/>
                <w:color w:val="auto"/>
                <w:sz w:val="24"/>
              </w:rPr>
              <w:t>根据《中共砚山县委办公室 砚山县人民政府办公室关于印发〈砚山县贯彻落实中央环境保护督察反馈意见问题整改方案〉的通知》（砚办发〔2017〕8号）要求“开展加油站地下油罐防渗设施调查，到2017年底，加油站地下油罐全部更新为双层罐或完成防渗池设置”以及“推进挥发性有机物污染治理”，</w:t>
            </w:r>
            <w:r>
              <w:rPr>
                <w:rFonts w:hint="default" w:ascii="Times New Roman" w:hAnsi="Times New Roman" w:cs="Times New Roman"/>
                <w:color w:val="auto"/>
                <w:sz w:val="24"/>
                <w:lang w:eastAsia="zh-CN"/>
              </w:rPr>
              <w:t>《文山州商务局关于转发</w:t>
            </w:r>
            <w:r>
              <w:rPr>
                <w:rFonts w:hint="default" w:ascii="Times New Roman" w:hAnsi="Times New Roman" w:cs="Times New Roman"/>
                <w:color w:val="auto"/>
                <w:sz w:val="24"/>
                <w:lang w:val="en-US" w:eastAsia="zh-CN"/>
              </w:rPr>
              <w:t>&lt;</w:t>
            </w:r>
            <w:r>
              <w:rPr>
                <w:rFonts w:hint="default" w:ascii="Times New Roman" w:hAnsi="Times New Roman" w:cs="Times New Roman"/>
                <w:color w:val="auto"/>
                <w:sz w:val="24"/>
                <w:lang w:eastAsia="zh-CN"/>
              </w:rPr>
              <w:t>云南省加快推进加油站地下油罐防渗改造工作实施方案（试行）的通知</w:t>
            </w:r>
            <w:r>
              <w:rPr>
                <w:rFonts w:hint="default" w:ascii="Times New Roman" w:hAnsi="Times New Roman" w:cs="Times New Roman"/>
                <w:color w:val="auto"/>
                <w:sz w:val="24"/>
                <w:lang w:val="en-US" w:eastAsia="zh-CN"/>
              </w:rPr>
              <w:t>&gt;</w:t>
            </w:r>
            <w:r>
              <w:rPr>
                <w:rFonts w:hint="default" w:ascii="Times New Roman" w:hAnsi="Times New Roman" w:cs="Times New Roman"/>
                <w:color w:val="auto"/>
                <w:sz w:val="24"/>
                <w:lang w:eastAsia="zh-CN"/>
              </w:rPr>
              <w:t>》（文商发〔</w:t>
            </w:r>
            <w:r>
              <w:rPr>
                <w:rFonts w:hint="default" w:ascii="Times New Roman" w:hAnsi="Times New Roman" w:cs="Times New Roman"/>
                <w:color w:val="auto"/>
                <w:sz w:val="24"/>
                <w:lang w:val="en-US" w:eastAsia="zh-CN"/>
              </w:rPr>
              <w:t>2018</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37号</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《云南省大气污染防治行动实施方案》（云政发〔2014〕9号）</w:t>
            </w:r>
            <w:r>
              <w:rPr>
                <w:rFonts w:hint="default" w:ascii="Times New Roman" w:hAnsi="Times New Roman" w:cs="Times New Roman"/>
                <w:color w:val="auto"/>
                <w:sz w:val="24"/>
                <w:lang w:eastAsia="zh-CN"/>
              </w:rPr>
              <w:t>和</w:t>
            </w:r>
            <w:r>
              <w:rPr>
                <w:rFonts w:hint="default" w:ascii="Times New Roman" w:hAnsi="Times New Roman" w:cs="Times New Roman"/>
                <w:color w:val="auto"/>
                <w:sz w:val="24"/>
              </w:rPr>
              <w:t>《加油站地下水污染防治技术指南（试行）》</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2017年3月</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中的相关规定，</w:t>
            </w:r>
            <w:r>
              <w:rPr>
                <w:rFonts w:hint="eastAsia" w:ascii="Times New Roman" w:hAnsi="Times New Roman" w:cs="Times New Roman"/>
                <w:color w:val="auto"/>
                <w:sz w:val="24"/>
                <w:lang w:eastAsia="zh-CN"/>
              </w:rPr>
              <w:t>以及《文山州环境保护局关于加油站地下油罐防渗改造工作有关环评管理问题的通知》</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文环发</w:t>
            </w:r>
            <w:r>
              <w:rPr>
                <w:rFonts w:hint="default" w:ascii="Times New Roman" w:hAnsi="Times New Roman" w:cs="Times New Roman"/>
                <w:color w:val="auto"/>
                <w:sz w:val="24"/>
              </w:rPr>
              <w:t>〔2018〕</w:t>
            </w:r>
            <w:r>
              <w:rPr>
                <w:rFonts w:hint="eastAsia" w:ascii="Times New Roman" w:hAnsi="Times New Roman" w:cs="Times New Roman"/>
                <w:color w:val="auto"/>
                <w:sz w:val="24"/>
                <w:lang w:val="en-US" w:eastAsia="zh-CN"/>
              </w:rPr>
              <w:t>243</w:t>
            </w:r>
            <w:r>
              <w:rPr>
                <w:rFonts w:hint="default" w:ascii="Times New Roman" w:hAnsi="Times New Roman" w:cs="Times New Roman"/>
                <w:color w:val="auto"/>
                <w:sz w:val="24"/>
              </w:rPr>
              <w:t>号）</w:t>
            </w:r>
            <w:r>
              <w:rPr>
                <w:rFonts w:hint="eastAsia" w:ascii="Times New Roman" w:hAnsi="Times New Roman" w:cs="Times New Roman"/>
                <w:color w:val="auto"/>
                <w:sz w:val="24"/>
                <w:lang w:eastAsia="zh-CN"/>
              </w:rPr>
              <w:t>要求</w:t>
            </w:r>
            <w:r>
              <w:rPr>
                <w:rFonts w:hint="default" w:ascii="Times New Roman" w:hAnsi="Times New Roman" w:cs="Times New Roman"/>
                <w:color w:val="auto"/>
                <w:sz w:val="24"/>
              </w:rPr>
              <w:t>。考虑到项目本身存在一定</w:t>
            </w:r>
            <w:r>
              <w:rPr>
                <w:rFonts w:hint="default" w:ascii="Times New Roman" w:hAnsi="Times New Roman" w:cs="Times New Roman"/>
                <w:color w:val="auto"/>
                <w:sz w:val="24"/>
                <w:lang w:eastAsia="zh-CN"/>
              </w:rPr>
              <w:t>环境问题，业主拟就存在的问题进行改建</w:t>
            </w:r>
            <w:r>
              <w:rPr>
                <w:rFonts w:hint="default" w:ascii="Times New Roman" w:hAnsi="Times New Roman" w:cs="Times New Roman"/>
                <w:color w:val="auto"/>
                <w:sz w:val="24"/>
                <w:lang w:val="en-US"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根据《中华人民共和国环境影响评价法》、</w:t>
            </w:r>
            <w:r>
              <w:rPr>
                <w:rFonts w:hint="default" w:ascii="Times New Roman" w:hAnsi="Times New Roman" w:cs="Times New Roman"/>
                <w:color w:val="auto"/>
                <w:sz w:val="24"/>
                <w:lang w:eastAsia="zh-CN"/>
              </w:rPr>
              <w:t>《国务院关于修改〈建设项目环境保护管理条例〉的决定》（</w:t>
            </w:r>
            <w:r>
              <w:rPr>
                <w:rFonts w:hint="default" w:ascii="Times New Roman" w:hAnsi="Times New Roman" w:cs="Times New Roman"/>
                <w:color w:val="auto"/>
                <w:sz w:val="24"/>
              </w:rPr>
              <w:t>国务院第</w:t>
            </w:r>
            <w:r>
              <w:rPr>
                <w:rFonts w:hint="default" w:ascii="Times New Roman" w:hAnsi="Times New Roman" w:cs="Times New Roman"/>
                <w:color w:val="auto"/>
                <w:sz w:val="24"/>
                <w:lang w:val="en-US" w:eastAsia="zh-CN"/>
              </w:rPr>
              <w:t>682</w:t>
            </w:r>
            <w:r>
              <w:rPr>
                <w:rFonts w:hint="default" w:ascii="Times New Roman" w:hAnsi="Times New Roman" w:cs="Times New Roman"/>
                <w:color w:val="auto"/>
                <w:sz w:val="24"/>
              </w:rPr>
              <w:t>号令</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以及《建设项目环境保护分类管理名录（201</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版）》等的规定，</w:t>
            </w:r>
            <w:r>
              <w:rPr>
                <w:rFonts w:hint="eastAsia" w:ascii="Times New Roman" w:hAnsi="Times New Roman" w:cs="Times New Roman"/>
                <w:color w:val="auto"/>
                <w:sz w:val="24"/>
                <w:lang w:eastAsia="zh-CN"/>
              </w:rPr>
              <w:t>砚山县蚌峨加油站</w:t>
            </w:r>
            <w:r>
              <w:rPr>
                <w:rFonts w:hint="default" w:ascii="Times New Roman" w:hAnsi="Times New Roman" w:cs="Times New Roman"/>
                <w:color w:val="auto"/>
                <w:sz w:val="24"/>
              </w:rPr>
              <w:t>委托我公司进行</w:t>
            </w:r>
            <w:r>
              <w:rPr>
                <w:rFonts w:hint="eastAsia" w:ascii="Times New Roman" w:hAnsi="Times New Roman" w:cs="Times New Roman"/>
                <w:color w:val="auto"/>
                <w:sz w:val="24"/>
                <w:lang w:eastAsia="zh-CN"/>
              </w:rPr>
              <w:t>砚山县蚌峨加油站改建项目</w:t>
            </w:r>
            <w:r>
              <w:rPr>
                <w:rFonts w:hint="default" w:ascii="Times New Roman" w:hAnsi="Times New Roman" w:cs="Times New Roman"/>
                <w:color w:val="auto"/>
                <w:sz w:val="24"/>
              </w:rPr>
              <w:t>的环境影响评价工作，我单位根据该项目的特点，组织专业技术人员对拟建项目区进行了实地踏勘，收集了项目所在地自然、社会和环境质量现状等资料，在此基础上根据国家环保法规、标准和环境影响评价技术导则，编制了《</w:t>
            </w:r>
            <w:r>
              <w:rPr>
                <w:rFonts w:hint="eastAsia" w:ascii="Times New Roman" w:hAnsi="Times New Roman" w:cs="Times New Roman"/>
                <w:color w:val="auto"/>
                <w:sz w:val="24"/>
                <w:lang w:eastAsia="zh-CN"/>
              </w:rPr>
              <w:t>砚山县蚌峨加油站改建项目</w:t>
            </w:r>
            <w:r>
              <w:rPr>
                <w:rFonts w:hint="default" w:ascii="Times New Roman" w:hAnsi="Times New Roman" w:cs="Times New Roman"/>
                <w:color w:val="auto"/>
                <w:sz w:val="24"/>
              </w:rPr>
              <w:t>环境影响评价报告表》。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本项目为石油成品销售项目，属非生产性项目。</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二、项目总体概况</w:t>
            </w:r>
          </w:p>
          <w:p>
            <w:pPr>
              <w:spacing w:line="360" w:lineRule="auto"/>
              <w:ind w:firstLine="482" w:firstLineChars="200"/>
              <w:rPr>
                <w:rFonts w:hint="default" w:ascii="Times New Roman" w:hAnsi="Times New Roman" w:cs="Times New Roman"/>
                <w:b/>
                <w:color w:val="auto"/>
                <w:sz w:val="24"/>
                <w:lang w:eastAsia="zh-CN"/>
              </w:rPr>
            </w:pPr>
            <w:r>
              <w:rPr>
                <w:rFonts w:hint="default" w:ascii="Times New Roman" w:hAnsi="Times New Roman" w:cs="Times New Roman"/>
                <w:b/>
                <w:color w:val="auto"/>
                <w:sz w:val="24"/>
              </w:rPr>
              <w:t>（一）</w:t>
            </w:r>
            <w:r>
              <w:rPr>
                <w:rFonts w:hint="eastAsia" w:ascii="Times New Roman" w:hAnsi="Times New Roman" w:cs="Times New Roman"/>
                <w:b/>
                <w:color w:val="auto"/>
                <w:sz w:val="24"/>
                <w:lang w:eastAsia="zh-CN"/>
              </w:rPr>
              <w:t>原</w:t>
            </w:r>
            <w:r>
              <w:rPr>
                <w:rFonts w:hint="default" w:ascii="Times New Roman" w:hAnsi="Times New Roman" w:cs="Times New Roman"/>
                <w:b/>
                <w:color w:val="auto"/>
                <w:sz w:val="24"/>
              </w:rPr>
              <w:t>项目</w:t>
            </w:r>
            <w:r>
              <w:rPr>
                <w:rFonts w:hint="eastAsia" w:ascii="Times New Roman" w:hAnsi="Times New Roman" w:cs="Times New Roman"/>
                <w:b/>
                <w:color w:val="auto"/>
                <w:sz w:val="24"/>
                <w:lang w:eastAsia="zh-CN"/>
              </w:rPr>
              <w:t>建设情况</w:t>
            </w:r>
          </w:p>
          <w:p>
            <w:pPr>
              <w:spacing w:line="360" w:lineRule="auto"/>
              <w:ind w:firstLine="480" w:firstLineChars="200"/>
              <w:rPr>
                <w:rFonts w:hint="default" w:ascii="Times New Roman" w:hAnsi="Times New Roman" w:cs="Times New Roman"/>
                <w:b/>
                <w:color w:val="auto"/>
                <w:sz w:val="24"/>
                <w:lang w:eastAsia="zh-CN"/>
              </w:rPr>
            </w:pPr>
            <w:r>
              <w:rPr>
                <w:rFonts w:hint="default" w:ascii="Times New Roman" w:hAnsi="Times New Roman" w:cs="Times New Roman"/>
                <w:color w:val="auto"/>
                <w:sz w:val="24"/>
              </w:rPr>
              <w:t>项目总占地面积为</w:t>
            </w:r>
            <w:r>
              <w:rPr>
                <w:rFonts w:hint="eastAsia" w:ascii="Times New Roman" w:hAnsi="Times New Roman" w:cs="Times New Roman"/>
                <w:color w:val="auto"/>
                <w:sz w:val="24"/>
                <w:lang w:val="en-US" w:eastAsia="zh-CN"/>
              </w:rPr>
              <w:t>1148.00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其中构筑物占地面积为</w:t>
            </w:r>
            <w:r>
              <w:rPr>
                <w:rFonts w:hint="eastAsia" w:ascii="Times New Roman" w:hAnsi="Times New Roman" w:cs="Times New Roman"/>
                <w:color w:val="auto"/>
                <w:sz w:val="24"/>
                <w:lang w:val="en-US" w:eastAsia="zh-CN"/>
              </w:rPr>
              <w:t>410.59</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卸油区占地面积</w:t>
            </w:r>
            <w:r>
              <w:rPr>
                <w:rFonts w:hint="eastAsia" w:ascii="Times New Roman" w:hAnsi="Times New Roman" w:cs="Times New Roman"/>
                <w:color w:val="auto"/>
                <w:sz w:val="24"/>
                <w:lang w:val="en-US" w:eastAsia="zh-CN"/>
              </w:rPr>
              <w:t>40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，绿化面积</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 xml:space="preserve"> 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加油罩棚占地面积</w:t>
            </w:r>
            <w:r>
              <w:rPr>
                <w:rFonts w:hint="eastAsia" w:ascii="Times New Roman" w:hAnsi="Times New Roman" w:cs="Times New Roman"/>
                <w:color w:val="auto"/>
                <w:sz w:val="24"/>
                <w:lang w:val="en-US" w:eastAsia="zh-CN"/>
              </w:rPr>
              <w:t>75.74m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其它储油罐、管线、道路等</w:t>
            </w:r>
            <w:r>
              <w:rPr>
                <w:rFonts w:hint="eastAsia" w:ascii="Times New Roman" w:hAnsi="Times New Roman" w:cs="Times New Roman"/>
                <w:color w:val="auto"/>
                <w:sz w:val="24"/>
                <w:lang w:val="en-US" w:eastAsia="zh-CN"/>
              </w:rPr>
              <w:t>601.67</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。总建筑面积</w:t>
            </w:r>
            <w:r>
              <w:rPr>
                <w:rFonts w:hint="eastAsia" w:ascii="Times New Roman" w:hAnsi="Times New Roman" w:cs="Times New Roman"/>
                <w:color w:val="auto"/>
                <w:sz w:val="24"/>
                <w:lang w:val="en-US" w:eastAsia="zh-CN"/>
              </w:rPr>
              <w:t>240.99</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项目建有一栋站房</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层，</w:t>
            </w:r>
            <w:r>
              <w:rPr>
                <w:rFonts w:hint="eastAsia" w:cs="Times New Roman"/>
                <w:color w:val="auto"/>
                <w:sz w:val="24"/>
                <w:lang w:val="en-US" w:eastAsia="zh-CN"/>
              </w:rPr>
              <w:t>混凝土</w:t>
            </w:r>
            <w:r>
              <w:rPr>
                <w:rFonts w:hint="default" w:ascii="Times New Roman" w:hAnsi="Times New Roman" w:cs="Times New Roman"/>
                <w:color w:val="auto"/>
                <w:sz w:val="24"/>
                <w:lang w:val="en-US" w:eastAsia="zh-CN"/>
              </w:rPr>
              <w:t>结构，</w:t>
            </w:r>
            <w:r>
              <w:rPr>
                <w:rFonts w:hint="eastAsia" w:ascii="Times New Roman" w:hAnsi="Times New Roman" w:cs="Times New Roman"/>
                <w:color w:val="auto"/>
                <w:sz w:val="24"/>
                <w:lang w:val="en-US" w:eastAsia="zh-CN"/>
              </w:rPr>
              <w:t>其中1层</w:t>
            </w:r>
            <w:r>
              <w:rPr>
                <w:rFonts w:hint="default" w:ascii="Times New Roman" w:hAnsi="Times New Roman" w:cs="Times New Roman"/>
                <w:color w:val="auto"/>
                <w:sz w:val="24"/>
                <w:lang w:val="en-US" w:eastAsia="zh-CN"/>
              </w:rPr>
              <w:t>设置开票区、办公区</w:t>
            </w:r>
            <w:r>
              <w:rPr>
                <w:rFonts w:hint="eastAsia" w:ascii="Times New Roman" w:hAnsi="Times New Roman" w:cs="Times New Roman"/>
                <w:color w:val="auto"/>
                <w:sz w:val="24"/>
                <w:lang w:val="en-US" w:eastAsia="zh-CN"/>
              </w:rPr>
              <w:t>、卫生间（水冲厕，男女分开）、仓库，二层设置厨房、食堂、住宿区，位于项目西侧。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原项目建设内容包括站房、</w:t>
            </w:r>
            <w:r>
              <w:rPr>
                <w:rFonts w:hint="default" w:ascii="Times New Roman" w:hAnsi="Times New Roman" w:cs="Times New Roman"/>
                <w:color w:val="auto"/>
                <w:sz w:val="24"/>
              </w:rPr>
              <w:t>罩棚、地下油罐区、绿化区及其相关配套设施。配有双枪加油机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台</w:t>
            </w:r>
            <w:r>
              <w:rPr>
                <w:rFonts w:hint="eastAsia" w:ascii="Times New Roman" w:hAnsi="Times New Roman" w:cs="Times New Roman"/>
                <w:color w:val="auto"/>
                <w:sz w:val="24"/>
                <w:lang w:eastAsia="zh-CN"/>
              </w:rPr>
              <w:t>（未设置油气回收系统）</w:t>
            </w:r>
            <w:r>
              <w:rPr>
                <w:rFonts w:hint="default" w:ascii="Times New Roman" w:hAnsi="Times New Roman" w:cs="Times New Roman"/>
                <w:color w:val="auto"/>
                <w:sz w:val="24"/>
              </w:rPr>
              <w:t>，0</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柴油</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汽油加油机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台。建有地下</w:t>
            </w:r>
            <w:r>
              <w:rPr>
                <w:rFonts w:hint="eastAsia" w:ascii="Times New Roman" w:hAnsi="Times New Roman" w:cs="Times New Roman"/>
                <w:color w:val="auto"/>
                <w:sz w:val="24"/>
                <w:lang w:eastAsia="zh-CN"/>
              </w:rPr>
              <w:t>单层</w:t>
            </w:r>
            <w:r>
              <w:rPr>
                <w:rFonts w:hint="default" w:ascii="Times New Roman" w:hAnsi="Times New Roman" w:cs="Times New Roman"/>
                <w:color w:val="auto"/>
                <w:sz w:val="24"/>
              </w:rPr>
              <w:t>储油罐</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个，总容积为</w:t>
            </w:r>
            <w:r>
              <w:rPr>
                <w:rFonts w:hint="eastAsia" w:ascii="Times New Roman" w:hAnsi="Times New Roman" w:cs="Times New Roman"/>
                <w:color w:val="auto"/>
                <w:sz w:val="24"/>
                <w:lang w:val="en-US" w:eastAsia="zh-CN"/>
              </w:rPr>
              <w:t>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，其中</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汽油储油罐</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个（</w:t>
            </w:r>
            <w:r>
              <w:rPr>
                <w:rFonts w:hint="default" w:ascii="Times New Roman" w:hAnsi="Times New Roman" w:cs="Times New Roman"/>
                <w:color w:val="auto"/>
                <w:sz w:val="24"/>
                <w:lang w:eastAsia="zh-CN"/>
              </w:rPr>
              <w:t>容积</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eastAsia" w:ascii="Times New Roman" w:hAnsi="Times New Roman" w:cs="Times New Roman"/>
                <w:color w:val="auto"/>
                <w:sz w:val="24"/>
                <w:vertAlign w:val="baseline"/>
                <w:lang w:eastAsia="zh-CN"/>
              </w:rPr>
              <w:t>），</w:t>
            </w:r>
            <w:r>
              <w:rPr>
                <w:rFonts w:hint="default" w:ascii="Times New Roman" w:hAnsi="Times New Roman" w:cs="Times New Roman"/>
                <w:color w:val="auto"/>
                <w:sz w:val="24"/>
              </w:rPr>
              <w:t>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汽油储油罐</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个（</w:t>
            </w:r>
            <w:r>
              <w:rPr>
                <w:rFonts w:hint="default" w:ascii="Times New Roman" w:hAnsi="Times New Roman" w:cs="Times New Roman"/>
                <w:color w:val="auto"/>
                <w:sz w:val="24"/>
                <w:lang w:eastAsia="zh-CN"/>
              </w:rPr>
              <w:t>容积</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vertAlign w:val="baseline"/>
                <w:lang w:eastAsia="zh-CN"/>
              </w:rPr>
              <w:t>。</w:t>
            </w:r>
            <w:r>
              <w:rPr>
                <w:rFonts w:hint="default" w:ascii="Times New Roman" w:hAnsi="Times New Roman" w:cs="Times New Roman"/>
                <w:color w:val="auto"/>
                <w:sz w:val="24"/>
              </w:rPr>
              <w:t>根据《汽车加油加气站设计与施工规范（2014年版）》（GB50156-2012）规定，三级加油站总容积V≤</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，单罐汽油容积V≤30m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，柴油容积V≤50m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，本站</w:t>
            </w:r>
            <w:r>
              <w:rPr>
                <w:rFonts w:hint="default" w:ascii="Times New Roman" w:hAnsi="Times New Roman" w:cs="Times New Roman"/>
                <w:color w:val="auto"/>
                <w:sz w:val="24"/>
                <w:lang w:eastAsia="zh-CN"/>
              </w:rPr>
              <w:t>计算</w:t>
            </w:r>
            <w:r>
              <w:rPr>
                <w:rFonts w:hint="default" w:ascii="Times New Roman" w:hAnsi="Times New Roman" w:cs="Times New Roman"/>
                <w:color w:val="auto"/>
                <w:sz w:val="24"/>
              </w:rPr>
              <w:t>总容积为</w:t>
            </w:r>
            <w:r>
              <w:rPr>
                <w:rFonts w:hint="eastAsia" w:ascii="Times New Roman" w:hAnsi="Times New Roman" w:cs="Times New Roman"/>
                <w:color w:val="auto"/>
                <w:sz w:val="24"/>
                <w:lang w:val="en-US" w:eastAsia="zh-CN"/>
              </w:rPr>
              <w:t>55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（柴油折半），单罐容积最大为</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（柴油），因此</w:t>
            </w:r>
            <w:r>
              <w:rPr>
                <w:rFonts w:hint="default" w:ascii="Times New Roman" w:hAnsi="Times New Roman" w:cs="Times New Roman"/>
                <w:color w:val="auto"/>
                <w:sz w:val="24"/>
                <w:lang w:eastAsia="zh-CN"/>
              </w:rPr>
              <w:t>原站</w:t>
            </w:r>
            <w:r>
              <w:rPr>
                <w:rFonts w:hint="default" w:ascii="Times New Roman" w:hAnsi="Times New Roman" w:cs="Times New Roman"/>
                <w:color w:val="auto"/>
                <w:sz w:val="24"/>
              </w:rPr>
              <w:t>为三级加油站。</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w:t>
            </w:r>
            <w:r>
              <w:rPr>
                <w:rFonts w:hint="default" w:ascii="Times New Roman" w:hAnsi="Times New Roman" w:cs="Times New Roman"/>
                <w:b/>
                <w:color w:val="auto"/>
                <w:sz w:val="24"/>
                <w:lang w:eastAsia="zh-CN"/>
              </w:rPr>
              <w:t>原</w:t>
            </w:r>
            <w:r>
              <w:rPr>
                <w:rFonts w:hint="default" w:ascii="Times New Roman" w:hAnsi="Times New Roman" w:cs="Times New Roman"/>
                <w:b/>
                <w:color w:val="auto"/>
                <w:sz w:val="24"/>
              </w:rPr>
              <w:t>项目</w:t>
            </w:r>
            <w:r>
              <w:rPr>
                <w:rFonts w:hint="default" w:ascii="Times New Roman" w:hAnsi="Times New Roman" w:cs="Times New Roman"/>
                <w:b/>
                <w:color w:val="auto"/>
                <w:sz w:val="24"/>
                <w:lang w:eastAsia="zh-CN"/>
              </w:rPr>
              <w:t>存在的环境问题</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对照《汽车加油加气站设计与施工规范（2014年版）》（GB50156-2012）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《加油站地下水污染防治技术指南（试行）》</w:t>
            </w:r>
            <w:r>
              <w:rPr>
                <w:rFonts w:hint="default" w:ascii="Times New Roman" w:hAnsi="Times New Roman" w:cs="Times New Roman"/>
                <w:color w:val="auto"/>
                <w:sz w:val="24"/>
                <w:lang w:eastAsia="zh-CN"/>
              </w:rPr>
              <w:t>及</w:t>
            </w:r>
            <w:r>
              <w:rPr>
                <w:rFonts w:hint="default" w:ascii="Times New Roman" w:hAnsi="Times New Roman" w:cs="Times New Roman"/>
                <w:color w:val="auto"/>
                <w:sz w:val="24"/>
              </w:rPr>
              <w:t>《云南省大气污染防治行动实施方案》（云政发〔2014〕9号）中的相关规定，目前，项目存在安全隐患及环境风险，具体如下：</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w:t>
            </w:r>
            <w:r>
              <w:rPr>
                <w:rFonts w:hint="default" w:ascii="Times New Roman" w:hAnsi="Times New Roman" w:cs="Times New Roman"/>
                <w:color w:val="auto"/>
                <w:kern w:val="0"/>
                <w:sz w:val="24"/>
              </w:rPr>
              <w:t>加油站</w:t>
            </w:r>
            <w:r>
              <w:rPr>
                <w:rFonts w:hint="default" w:ascii="Times New Roman" w:hAnsi="Times New Roman" w:cs="Times New Roman"/>
                <w:color w:val="auto"/>
                <w:sz w:val="24"/>
              </w:rPr>
              <w:t>储油罐为单层罐虽已建防渗罐池，但防渗罐池建设时间较长，防渗能力已不符合《汽车加油加气站设计与施工规范（2014年版）》（GB50156-2012）及《加油站地下水污染防治技术指南（试行）》中的“防渗要求”，存在一定的安全隐患及环境风险；</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w:t>
            </w:r>
            <w:r>
              <w:rPr>
                <w:rFonts w:hint="default" w:ascii="Times New Roman" w:hAnsi="Times New Roman" w:cs="Times New Roman"/>
                <w:color w:val="auto"/>
                <w:kern w:val="0"/>
                <w:sz w:val="24"/>
              </w:rPr>
              <w:t>加油站</w:t>
            </w:r>
            <w:r>
              <w:rPr>
                <w:rFonts w:hint="default" w:ascii="Times New Roman" w:hAnsi="Times New Roman" w:cs="Times New Roman"/>
                <w:color w:val="auto"/>
                <w:sz w:val="24"/>
              </w:rPr>
              <w:t>储油罐未安装液位仪，不符合《汽车加油加气站设计与施工规范（2014年版）》（GB50156-2012）中的“油罐应采取卸油时的防满溢措施”要求，存在一定的安全隐患及环境风险；</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ja-JP"/>
              </w:rPr>
              <w:t>③</w:t>
            </w:r>
            <w:r>
              <w:rPr>
                <w:rFonts w:hint="default" w:ascii="Times New Roman" w:hAnsi="Times New Roman" w:cs="Times New Roman"/>
                <w:color w:val="auto"/>
                <w:kern w:val="0"/>
                <w:sz w:val="24"/>
              </w:rPr>
              <w:t>加油站</w:t>
            </w:r>
            <w:r>
              <w:rPr>
                <w:rFonts w:hint="default" w:ascii="Times New Roman" w:hAnsi="Times New Roman" w:cs="Times New Roman"/>
                <w:color w:val="auto"/>
                <w:sz w:val="24"/>
              </w:rPr>
              <w:t>储油罐为单层罐且已建防渗罐池，未配套安装渗漏在线检测系统，不符合《汽车加油加气站设计与施工规范（2014年版）》（GB50156-2012）及《加油站地下水污染防治技术指南（试行）》中的“双层油罐、防渗池的渗漏检测宜采用在线监测系统的要求”，存在一定的安全隐患及环境风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④汽油加油及卸油均未设置油气回收系统。不符合</w:t>
            </w:r>
            <w:r>
              <w:rPr>
                <w:rFonts w:hint="default" w:ascii="Times New Roman" w:hAnsi="Times New Roman" w:cs="Times New Roman"/>
                <w:color w:val="auto"/>
                <w:sz w:val="24"/>
              </w:rPr>
              <w:t>《云南省大气污染防治行动实施方案》（云政发〔2014〕9号）中明确要求“推进挥发性有机物污染治理。制定加油站、储油库、油罐车油气回收治理计划；开展有机化工、表面涂装、包装印刷等行业挥发性有机物的综合整治”。</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（二）项目</w:t>
            </w:r>
            <w:r>
              <w:rPr>
                <w:rFonts w:hint="default" w:ascii="Times New Roman" w:hAnsi="Times New Roman" w:cs="Times New Roman"/>
                <w:b/>
                <w:bCs/>
                <w:color w:val="auto"/>
                <w:sz w:val="24"/>
                <w:lang w:eastAsia="zh-CN"/>
              </w:rPr>
              <w:t>改建</w:t>
            </w:r>
            <w:r>
              <w:rPr>
                <w:rFonts w:hint="default" w:ascii="Times New Roman" w:hAnsi="Times New Roman" w:cs="Times New Roman"/>
                <w:b/>
                <w:bCs/>
                <w:color w:val="auto"/>
                <w:sz w:val="24"/>
              </w:rPr>
              <w:t>设计方案</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针对原有项目存在环保问题，业主</w:t>
            </w:r>
            <w:r>
              <w:rPr>
                <w:rFonts w:hint="default" w:ascii="Times New Roman" w:hAnsi="Times New Roman" w:cs="Times New Roman"/>
                <w:color w:val="auto"/>
                <w:kern w:val="0"/>
                <w:sz w:val="24"/>
              </w:rPr>
              <w:t>决定在加油站原址内进行改造，不新增用地。</w:t>
            </w:r>
          </w:p>
          <w:p>
            <w:p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kern w:val="0"/>
                <w:sz w:val="24"/>
              </w:rPr>
              <w:t>按照</w:t>
            </w:r>
            <w:r>
              <w:rPr>
                <w:rFonts w:hint="default" w:ascii="Times New Roman" w:hAnsi="Times New Roman" w:cs="Times New Roman"/>
                <w:color w:val="auto"/>
                <w:sz w:val="24"/>
              </w:rPr>
              <w:t>《加油站地下水污染防治技术指南（试行）》要求为防止加油站油品泄漏，污染土壤和地下水，加油站需要采取防渗漏和防渗漏检测措施。所有加油站的油罐需要更新为双层罐或者设置防渗池，双层罐和防渗池应符合《汽车加油加气站设计与施工规范（2014年版）》（GB50156-2012）的要求，设置时可进行自行检查，业主拟将单层罐更换为双层罐</w:t>
            </w:r>
            <w:r>
              <w:rPr>
                <w:rFonts w:hint="default" w:ascii="Times New Roman" w:hAnsi="Times New Roman" w:cs="Times New Roman"/>
                <w:color w:val="auto"/>
                <w:sz w:val="24"/>
                <w:lang w:eastAsia="zh-CN"/>
              </w:rPr>
              <w: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按照</w:t>
            </w:r>
            <w:r>
              <w:rPr>
                <w:rFonts w:hint="default" w:ascii="Times New Roman" w:hAnsi="Times New Roman" w:cs="Times New Roman"/>
                <w:color w:val="auto"/>
                <w:sz w:val="24"/>
              </w:rPr>
              <w:t>《汽车加油加气站设计与施工规范（2014年版）》（GB50156-2012）</w:t>
            </w:r>
            <w:r>
              <w:rPr>
                <w:rFonts w:hint="default" w:ascii="Times New Roman" w:hAnsi="Times New Roman" w:cs="Times New Roman"/>
                <w:color w:val="auto"/>
                <w:sz w:val="24"/>
                <w:lang w:eastAsia="zh-CN"/>
              </w:rPr>
              <w:t>规定项目卸油区、加油区应该设置油气回收系统，根据</w:t>
            </w:r>
            <w:r>
              <w:rPr>
                <w:rFonts w:hint="default" w:ascii="Times New Roman" w:hAnsi="Times New Roman" w:cs="Times New Roman"/>
                <w:color w:val="auto"/>
                <w:sz w:val="24"/>
              </w:rPr>
              <w:t>《云南省大气污染防治行动实施方案》（云政发〔2014〕9号）中明确要求“推进挥发性有机物污染治理。制定加油站、储油库、油罐车油气回收治理计划</w:t>
            </w:r>
            <w:r>
              <w:rPr>
                <w:rFonts w:hint="default" w:ascii="Times New Roman" w:hAnsi="Times New Roman" w:cs="Times New Roman"/>
                <w:color w:val="auto"/>
                <w:sz w:val="24"/>
                <w:lang w:eastAsia="zh-CN"/>
              </w:rPr>
              <w:t>”，业主拟在卸油区、加油区设置油气回收系统。</w:t>
            </w:r>
            <w:r>
              <w:rPr>
                <w:rFonts w:hint="default" w:ascii="Times New Roman" w:hAnsi="Times New Roman" w:cs="Times New Roman"/>
                <w:color w:val="auto"/>
                <w:sz w:val="24"/>
              </w:rPr>
              <w:t>具体</w:t>
            </w:r>
            <w:r>
              <w:rPr>
                <w:rFonts w:hint="default" w:ascii="Times New Roman" w:hAnsi="Times New Roman" w:cs="Times New Roman"/>
                <w:color w:val="auto"/>
                <w:sz w:val="24"/>
                <w:lang w:eastAsia="zh-CN"/>
              </w:rPr>
              <w:t>改建</w:t>
            </w:r>
            <w:r>
              <w:rPr>
                <w:rFonts w:hint="default" w:ascii="Times New Roman" w:hAnsi="Times New Roman" w:cs="Times New Roman"/>
                <w:color w:val="auto"/>
                <w:sz w:val="24"/>
              </w:rPr>
              <w:t>方案如下</w:t>
            </w:r>
            <w:r>
              <w:rPr>
                <w:rFonts w:hint="default" w:ascii="Times New Roman" w:hAnsi="Times New Roman" w:cs="Times New Roman"/>
                <w:color w:val="auto"/>
                <w:kern w:val="0"/>
                <w:sz w:val="24"/>
              </w:rPr>
              <w:t>：</w:t>
            </w:r>
          </w:p>
          <w:p>
            <w:pPr>
              <w:numPr>
                <w:ilvl w:val="0"/>
                <w:numId w:val="1"/>
              </w:numPr>
              <w:adjustRightInd w:val="0"/>
              <w:snapToGrid w:val="0"/>
              <w:spacing w:line="360" w:lineRule="auto"/>
              <w:ind w:firstLine="482" w:firstLineChars="200"/>
              <w:rPr>
                <w:rFonts w:hint="default" w:ascii="Times New Roman" w:hAnsi="Times New Roman" w:cs="Times New Roman"/>
                <w:b/>
                <w:bCs/>
                <w:color w:val="auto"/>
                <w:kern w:val="0"/>
                <w:sz w:val="24"/>
                <w:lang w:eastAsia="zh-CN"/>
              </w:rPr>
            </w:pPr>
            <w:r>
              <w:rPr>
                <w:rFonts w:hint="default" w:ascii="Times New Roman" w:hAnsi="Times New Roman" w:cs="Times New Roman"/>
                <w:b/>
                <w:bCs/>
                <w:color w:val="auto"/>
                <w:kern w:val="0"/>
                <w:sz w:val="24"/>
                <w:lang w:eastAsia="zh-CN"/>
              </w:rPr>
              <w:t>总图布局方案</w:t>
            </w:r>
          </w:p>
          <w:p>
            <w:pPr>
              <w:adjustRightInd w:val="0"/>
              <w:snapToGrid w:val="0"/>
              <w:spacing w:line="360" w:lineRule="auto"/>
              <w:ind w:firstLine="482" w:firstLineChars="200"/>
              <w:rPr>
                <w:rFonts w:hint="default" w:ascii="Times New Roman" w:hAnsi="Times New Roman" w:eastAsia="宋体" w:cs="Times New Roman"/>
                <w:color w:val="auto"/>
                <w:sz w:val="24"/>
                <w:lang w:eastAsia="zh-CN"/>
              </w:rPr>
            </w:pPr>
            <w:r>
              <w:rPr>
                <w:rFonts w:hint="default" w:ascii="Times New Roman" w:hAnsi="Times New Roman" w:cs="Times New Roman"/>
                <w:b/>
                <w:bCs/>
                <w:color w:val="auto"/>
                <w:kern w:val="0"/>
                <w:sz w:val="24"/>
                <w:lang w:val="en-US" w:eastAsia="zh-CN"/>
              </w:rPr>
              <w:t xml:space="preserve"> </w:t>
            </w:r>
            <w:r>
              <w:rPr>
                <w:rFonts w:hint="default" w:ascii="Times New Roman" w:hAnsi="Times New Roman" w:cs="Times New Roman"/>
                <w:b w:val="0"/>
                <w:bCs w:val="0"/>
                <w:color w:val="auto"/>
                <w:kern w:val="0"/>
                <w:sz w:val="24"/>
                <w:lang w:val="en-US" w:eastAsia="zh-CN"/>
              </w:rPr>
              <w:t>项目改建后，用地面积不增加，为</w:t>
            </w:r>
            <w:r>
              <w:rPr>
                <w:rFonts w:hint="eastAsia" w:ascii="Times New Roman" w:hAnsi="Times New Roman" w:cs="Times New Roman"/>
                <w:b w:val="0"/>
                <w:bCs w:val="0"/>
                <w:color w:val="auto"/>
                <w:kern w:val="0"/>
                <w:sz w:val="24"/>
                <w:lang w:val="en-US" w:eastAsia="zh-CN"/>
              </w:rPr>
              <w:t>1148.0</w:t>
            </w:r>
            <w:r>
              <w:rPr>
                <w:rFonts w:hint="default" w:ascii="Times New Roman" w:hAnsi="Times New Roman" w:cs="Times New Roman"/>
                <w:b w:val="0"/>
                <w:bCs w:val="0"/>
                <w:color w:val="auto"/>
                <w:kern w:val="0"/>
                <w:sz w:val="24"/>
                <w:lang w:val="en-US" w:eastAsia="zh-CN"/>
              </w:rPr>
              <w:t>m</w:t>
            </w:r>
            <w:r>
              <w:rPr>
                <w:rFonts w:hint="default" w:ascii="Times New Roman" w:hAnsi="Times New Roman" w:cs="Times New Roman"/>
                <w:b w:val="0"/>
                <w:bCs w:val="0"/>
                <w:color w:val="auto"/>
                <w:kern w:val="0"/>
                <w:sz w:val="24"/>
                <w:vertAlign w:val="superscript"/>
                <w:lang w:val="en-US" w:eastAsia="zh-CN"/>
              </w:rPr>
              <w:t>2</w:t>
            </w:r>
            <w:r>
              <w:rPr>
                <w:rFonts w:hint="default" w:ascii="Times New Roman" w:hAnsi="Times New Roman" w:cs="Times New Roman"/>
                <w:b w:val="0"/>
                <w:bCs w:val="0"/>
                <w:color w:val="auto"/>
                <w:kern w:val="0"/>
                <w:sz w:val="24"/>
                <w:lang w:val="en-US" w:eastAsia="zh-CN"/>
              </w:rPr>
              <w:t>，原有站房全部保留，将原仓库</w:t>
            </w:r>
            <w:r>
              <w:rPr>
                <w:rFonts w:hint="eastAsia" w:ascii="Times New Roman" w:hAnsi="Times New Roman" w:cs="Times New Roman"/>
                <w:b w:val="0"/>
                <w:bCs w:val="0"/>
                <w:color w:val="auto"/>
                <w:kern w:val="0"/>
                <w:sz w:val="24"/>
                <w:lang w:val="en-US" w:eastAsia="zh-CN"/>
              </w:rPr>
              <w:t>隔离出来一间约20m</w:t>
            </w:r>
            <w:r>
              <w:rPr>
                <w:rFonts w:hint="eastAsia" w:ascii="Times New Roman" w:hAnsi="Times New Roman" w:cs="Times New Roman"/>
                <w:b w:val="0"/>
                <w:bCs w:val="0"/>
                <w:color w:val="auto"/>
                <w:kern w:val="0"/>
                <w:sz w:val="24"/>
                <w:vertAlign w:val="superscript"/>
                <w:lang w:val="en-US" w:eastAsia="zh-CN"/>
              </w:rPr>
              <w:t>2</w:t>
            </w:r>
            <w:r>
              <w:rPr>
                <w:rFonts w:hint="eastAsia" w:ascii="Times New Roman" w:hAnsi="Times New Roman" w:cs="Times New Roman"/>
                <w:b w:val="0"/>
                <w:bCs w:val="0"/>
                <w:color w:val="auto"/>
                <w:kern w:val="0"/>
                <w:sz w:val="24"/>
                <w:lang w:val="en-US" w:eastAsia="zh-CN"/>
              </w:rPr>
              <w:t>，</w:t>
            </w:r>
            <w:r>
              <w:rPr>
                <w:rFonts w:hint="default" w:ascii="Times New Roman" w:hAnsi="Times New Roman" w:cs="Times New Roman"/>
                <w:b w:val="0"/>
                <w:bCs w:val="0"/>
                <w:color w:val="auto"/>
                <w:kern w:val="0"/>
                <w:sz w:val="24"/>
                <w:lang w:val="en-US" w:eastAsia="zh-CN"/>
              </w:rPr>
              <w:t>改建为危废暂存间，总建筑面积不变仍为</w:t>
            </w:r>
            <w:r>
              <w:rPr>
                <w:rFonts w:hint="eastAsia" w:ascii="Times New Roman" w:hAnsi="Times New Roman" w:cs="Times New Roman"/>
                <w:b w:val="0"/>
                <w:bCs w:val="0"/>
                <w:color w:val="auto"/>
                <w:kern w:val="0"/>
                <w:sz w:val="24"/>
                <w:lang w:val="en-US" w:eastAsia="zh-CN"/>
              </w:rPr>
              <w:t>240.99</w:t>
            </w:r>
            <w:r>
              <w:rPr>
                <w:rFonts w:hint="default" w:ascii="Times New Roman" w:hAnsi="Times New Roman" w:cs="Times New Roman"/>
                <w:b w:val="0"/>
                <w:bCs w:val="0"/>
                <w:color w:val="auto"/>
                <w:kern w:val="0"/>
                <w:sz w:val="24"/>
                <w:lang w:val="en-US" w:eastAsia="zh-CN"/>
              </w:rPr>
              <w:t>m</w:t>
            </w:r>
            <w:r>
              <w:rPr>
                <w:rFonts w:hint="default" w:ascii="Times New Roman" w:hAnsi="Times New Roman" w:cs="Times New Roman"/>
                <w:b w:val="0"/>
                <w:bCs w:val="0"/>
                <w:color w:val="auto"/>
                <w:kern w:val="0"/>
                <w:sz w:val="24"/>
                <w:vertAlign w:val="superscript"/>
                <w:lang w:val="en-US" w:eastAsia="zh-CN"/>
              </w:rPr>
              <w:t>2</w:t>
            </w:r>
            <w:r>
              <w:rPr>
                <w:rFonts w:hint="default" w:ascii="Times New Roman" w:hAnsi="Times New Roman" w:cs="Times New Roman"/>
                <w:b w:val="0"/>
                <w:bCs w:val="0"/>
                <w:color w:val="auto"/>
                <w:kern w:val="0"/>
                <w:sz w:val="24"/>
                <w:vertAlign w:val="baseline"/>
                <w:lang w:val="en-US" w:eastAsia="zh-CN"/>
              </w:rPr>
              <w:t>。</w:t>
            </w:r>
            <w:r>
              <w:rPr>
                <w:rFonts w:hint="default" w:ascii="Times New Roman" w:hAnsi="Times New Roman" w:cs="Times New Roman"/>
                <w:color w:val="auto"/>
                <w:sz w:val="24"/>
                <w:lang w:eastAsia="zh-CN"/>
              </w:rPr>
              <w:t>项目储罐位置不变，位于项目</w:t>
            </w:r>
            <w:r>
              <w:rPr>
                <w:rFonts w:hint="eastAsia" w:ascii="Times New Roman" w:hAnsi="Times New Roman" w:cs="Times New Roman"/>
                <w:color w:val="auto"/>
                <w:sz w:val="24"/>
                <w:lang w:eastAsia="zh-CN"/>
              </w:rPr>
              <w:t>东</w:t>
            </w:r>
            <w:r>
              <w:rPr>
                <w:rFonts w:hint="default" w:ascii="Times New Roman" w:hAnsi="Times New Roman" w:cs="Times New Roman"/>
                <w:color w:val="auto"/>
                <w:sz w:val="24"/>
                <w:lang w:eastAsia="zh-CN"/>
              </w:rPr>
              <w:t>侧，由原来的</w:t>
            </w:r>
            <w:r>
              <w:rPr>
                <w:rFonts w:hint="default" w:ascii="Times New Roman" w:hAnsi="Times New Roman" w:cs="Times New Roman"/>
                <w:color w:val="auto"/>
                <w:sz w:val="24"/>
                <w:lang w:val="en-US" w:eastAsia="zh-CN"/>
              </w:rPr>
              <w:t>0#柴油</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个单层罐（</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和</w:t>
            </w:r>
            <w:r>
              <w:rPr>
                <w:rFonts w:hint="default" w:ascii="Times New Roman" w:hAnsi="Times New Roman" w:cs="Times New Roman"/>
                <w:color w:val="auto"/>
                <w:sz w:val="24"/>
                <w:lang w:val="en-US" w:eastAsia="zh-CN"/>
              </w:rPr>
              <w:t>92#汽油</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个单层罐（</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）改为0#柴油</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个</w:t>
            </w:r>
            <w:r>
              <w:rPr>
                <w:rFonts w:hint="eastAsia" w:ascii="Times New Roman" w:hAnsi="Times New Roman" w:cs="Times New Roman"/>
                <w:color w:val="auto"/>
                <w:sz w:val="24"/>
                <w:lang w:val="en-US" w:eastAsia="zh-CN"/>
              </w:rPr>
              <w:t>双</w:t>
            </w:r>
            <w:r>
              <w:rPr>
                <w:rFonts w:hint="default" w:ascii="Times New Roman" w:hAnsi="Times New Roman" w:cs="Times New Roman"/>
                <w:color w:val="auto"/>
                <w:sz w:val="24"/>
                <w:lang w:val="en-US" w:eastAsia="zh-CN"/>
              </w:rPr>
              <w:t>层罐（</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和</w:t>
            </w:r>
            <w:r>
              <w:rPr>
                <w:rFonts w:hint="default" w:ascii="Times New Roman" w:hAnsi="Times New Roman" w:cs="Times New Roman"/>
                <w:color w:val="auto"/>
                <w:sz w:val="24"/>
                <w:lang w:val="en-US" w:eastAsia="zh-CN"/>
              </w:rPr>
              <w:t>92#汽油</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个</w:t>
            </w:r>
            <w:r>
              <w:rPr>
                <w:rFonts w:hint="eastAsia" w:ascii="Times New Roman" w:hAnsi="Times New Roman" w:cs="Times New Roman"/>
                <w:color w:val="auto"/>
                <w:sz w:val="24"/>
                <w:lang w:val="en-US" w:eastAsia="zh-CN"/>
              </w:rPr>
              <w:t>双</w:t>
            </w:r>
            <w:r>
              <w:rPr>
                <w:rFonts w:hint="default" w:ascii="Times New Roman" w:hAnsi="Times New Roman" w:cs="Times New Roman"/>
                <w:color w:val="auto"/>
                <w:sz w:val="24"/>
                <w:lang w:val="en-US" w:eastAsia="zh-CN"/>
              </w:rPr>
              <w:t>层罐（</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vertAlign w:val="baseline"/>
                <w:lang w:val="en-US" w:eastAsia="zh-CN"/>
              </w:rPr>
              <w:t>。</w:t>
            </w:r>
            <w:r>
              <w:rPr>
                <w:rFonts w:hint="default" w:ascii="Times New Roman" w:hAnsi="Times New Roman" w:cs="Times New Roman"/>
                <w:color w:val="auto"/>
                <w:sz w:val="24"/>
                <w:lang w:val="en-US" w:eastAsia="zh-CN"/>
              </w:rPr>
              <w:t>加油机位置不变，</w:t>
            </w:r>
            <w:r>
              <w:rPr>
                <w:rFonts w:hint="eastAsia" w:ascii="Times New Roman" w:hAnsi="Times New Roman" w:cs="Times New Roman"/>
                <w:color w:val="auto"/>
                <w:sz w:val="24"/>
                <w:lang w:val="en-US" w:eastAsia="zh-CN"/>
              </w:rPr>
              <w:t>数量不变，改为</w:t>
            </w:r>
            <w:r>
              <w:rPr>
                <w:rFonts w:hint="default" w:ascii="Times New Roman" w:hAnsi="Times New Roman" w:cs="Times New Roman"/>
                <w:color w:val="auto"/>
                <w:sz w:val="24"/>
              </w:rPr>
              <w:t>0</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柴油</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w:t>
            </w:r>
            <w:r>
              <w:rPr>
                <w:rFonts w:hint="eastAsia" w:ascii="Times New Roman" w:hAnsi="Times New Roman" w:cs="Times New Roman"/>
                <w:color w:val="auto"/>
                <w:sz w:val="24"/>
                <w:lang w:eastAsia="zh-CN"/>
              </w:rPr>
              <w:t>（双枪）</w:t>
            </w:r>
            <w:r>
              <w:rPr>
                <w:rFonts w:hint="default" w:ascii="Times New Roman" w:hAnsi="Times New Roman" w:cs="Times New Roman"/>
                <w:color w:val="auto"/>
                <w:sz w:val="24"/>
              </w:rPr>
              <w:t>加油机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台</w:t>
            </w:r>
            <w:r>
              <w:rPr>
                <w:rFonts w:hint="eastAsia" w:ascii="Times New Roman" w:hAnsi="Times New Roman" w:cs="Times New Roman"/>
                <w:color w:val="auto"/>
                <w:sz w:val="24"/>
                <w:lang w:eastAsia="zh-CN"/>
              </w:rPr>
              <w:t>，汽油枪全部改为带油气回收系统</w:t>
            </w:r>
            <w:r>
              <w:rPr>
                <w:rFonts w:hint="default" w:ascii="Times New Roman" w:hAnsi="Times New Roman" w:cs="Times New Roman"/>
                <w:color w:val="auto"/>
                <w:sz w:val="24"/>
                <w:lang w:val="en-US" w:eastAsia="zh-CN"/>
              </w:rPr>
              <w:t>。</w:t>
            </w:r>
          </w:p>
          <w:p>
            <w:pPr>
              <w:numPr>
                <w:ilvl w:val="0"/>
                <w:numId w:val="0"/>
              </w:numPr>
              <w:adjustRightInd w:val="0"/>
              <w:snapToGrid w:val="0"/>
              <w:spacing w:line="360" w:lineRule="auto"/>
              <w:ind w:firstLine="482" w:firstLineChars="200"/>
              <w:rPr>
                <w:rFonts w:hint="default" w:ascii="Times New Roman" w:hAnsi="Times New Roman" w:cs="Times New Roman"/>
                <w:b/>
                <w:bCs/>
                <w:color w:val="auto"/>
                <w:kern w:val="0"/>
                <w:sz w:val="24"/>
                <w:lang w:eastAsia="zh-CN"/>
              </w:rPr>
            </w:pP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bCs/>
                <w:color w:val="auto"/>
                <w:kern w:val="0"/>
                <w:sz w:val="24"/>
                <w:lang w:eastAsia="zh-CN"/>
              </w:rPr>
              <w:t>防渗漏建设方案</w:t>
            </w:r>
          </w:p>
          <w:p>
            <w:pPr>
              <w:numPr>
                <w:ilvl w:val="0"/>
                <w:numId w:val="0"/>
              </w:numPr>
              <w:adjustRightInd w:val="0"/>
              <w:snapToGrid w:val="0"/>
              <w:spacing w:line="360" w:lineRule="auto"/>
              <w:ind w:firstLine="480" w:firstLineChars="200"/>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lang w:eastAsia="zh-CN"/>
              </w:rPr>
              <w:t>根据设计资料，项目拟安装的储油罐为埋地式SF双层油罐（配套安装有渗漏在线检测系统），外层为玻璃纤维增强塑料，内层为Q235B。双层油罐全名为钢制强化玻璃纤维制双层油罐，是在单层钢制油罐外附加一层玻璃纤维增强塑料(即玻璃钢)防渗外套，从而构成的双层结构油罐。钢制内罐与FRP外罐之间具有贯通间隙空间；同时配备渗漏检测装置，能对间隙空间进行24小时全程监控。一旦内罐或外罐发生渗漏，渗漏检测装置的感应器可以监测到间隙空间底部液位时发出警报，保证油罐的安全使用。</w:t>
            </w:r>
          </w:p>
          <w:p>
            <w:pPr>
              <w:numPr>
                <w:ilvl w:val="0"/>
                <w:numId w:val="0"/>
              </w:numPr>
              <w:adjustRightInd w:val="0"/>
              <w:snapToGrid w:val="0"/>
              <w:spacing w:line="360" w:lineRule="auto"/>
              <w:ind w:firstLine="480" w:firstLineChars="200"/>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lang w:eastAsia="zh-CN"/>
              </w:rPr>
              <w:t>双层油罐如果内罐渗漏，双层间隙内带有一定压力的气体或检测液，会进入常压的内罐；双层间隙内的压力或液位会发生变化，触发声光报警器。储液渗漏进双层间隙后，由于外罐完好，储液并不会漏出。因此，储液、土壤和地下水都是安全的。如果外罐渗漏，双层间隙内带有一定压力的气体或检测液，会进入土壤。同理，双层间隙内的压力或液位会发生变化，触发声光报警器。此时，由于内罐是完好的，储液安全；进入土壤的只有气体或检测液，因此，土壤和地下</w:t>
            </w:r>
            <w:r>
              <w:rPr>
                <w:rFonts w:hint="eastAsia" w:ascii="Times New Roman" w:hAnsi="Times New Roman" w:cs="Times New Roman"/>
                <w:color w:val="auto"/>
                <w:kern w:val="0"/>
                <w:sz w:val="24"/>
                <w:lang w:val="en-US" w:eastAsia="zh-CN"/>
              </w:rPr>
              <w:t xml:space="preserve">  </w:t>
            </w:r>
            <w:r>
              <w:rPr>
                <w:rFonts w:hint="default" w:ascii="Times New Roman" w:hAnsi="Times New Roman" w:cs="Times New Roman"/>
                <w:color w:val="auto"/>
                <w:kern w:val="0"/>
                <w:sz w:val="24"/>
                <w:lang w:eastAsia="zh-CN"/>
              </w:rPr>
              <w:t>水也是安全的。由于内罐接触的储液与外罐所接触的土壤、地下水，属于不同介质，对罐体材料腐蚀速率不同，在同一时间发生渗漏的概率几乎为零。因此，可以杜绝储液漏出罐外，做到了生产安全和保护环境。</w:t>
            </w:r>
          </w:p>
          <w:p>
            <w:pPr>
              <w:widowControl/>
              <w:shd w:val="clear" w:color="auto" w:fill="FFFFFF"/>
              <w:adjustRightInd w:val="0"/>
              <w:snapToGrid w:val="0"/>
              <w:spacing w:line="360" w:lineRule="auto"/>
              <w:ind w:firstLine="482"/>
              <w:jc w:val="left"/>
              <w:rPr>
                <w:rFonts w:hint="default" w:ascii="Times New Roman" w:hAnsi="Times New Roman" w:cs="Times New Roman"/>
                <w:color w:val="auto"/>
                <w:sz w:val="24"/>
              </w:rPr>
            </w:pPr>
            <w:r>
              <w:rPr>
                <w:rFonts w:hint="default" w:ascii="Times New Roman" w:hAnsi="Times New Roman" w:cs="Times New Roman"/>
                <w:bCs/>
                <w:color w:val="auto"/>
                <w:sz w:val="24"/>
                <w:szCs w:val="20"/>
                <w:lang w:eastAsia="zh-CN" w:bidi="ar"/>
              </w:rPr>
              <w:t>①</w:t>
            </w:r>
            <w:r>
              <w:rPr>
                <w:rFonts w:hint="default" w:ascii="Times New Roman" w:hAnsi="Times New Roman" w:cs="Times New Roman"/>
                <w:bCs/>
                <w:color w:val="auto"/>
                <w:sz w:val="24"/>
                <w:szCs w:val="20"/>
                <w:lang w:bidi="ar"/>
              </w:rPr>
              <w:t>项目拟安装的埋地式SF双层油罐</w:t>
            </w:r>
            <w:r>
              <w:rPr>
                <w:rFonts w:hint="default" w:ascii="Times New Roman" w:hAnsi="Times New Roman" w:cs="Times New Roman"/>
                <w:color w:val="auto"/>
                <w:sz w:val="24"/>
              </w:rPr>
              <w:t>符合《汽车加油加气站设计与施工规范（2014年版）》（GB50156-2012）及《加油站地下水污染防治技术指南（试行）》中的“防渗要求”及“双层油罐渗漏检测宜采用在线监测系统的要求”。</w:t>
            </w:r>
          </w:p>
          <w:p>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kern w:val="0"/>
                <w:sz w:val="24"/>
              </w:rPr>
              <w:t>②加油站</w:t>
            </w:r>
            <w:r>
              <w:rPr>
                <w:rFonts w:hint="default" w:ascii="Times New Roman" w:hAnsi="Times New Roman" w:cs="Times New Roman"/>
                <w:color w:val="auto"/>
                <w:sz w:val="24"/>
              </w:rPr>
              <w:t>储油罐安装液位仪，共</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套</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vertAlign w:val="baseline"/>
                <w:lang w:val="en-US" w:eastAsia="zh-CN"/>
              </w:rPr>
              <w:t>#</w:t>
            </w:r>
            <w:r>
              <w:rPr>
                <w:rFonts w:hint="default" w:ascii="Times New Roman" w:hAnsi="Times New Roman" w:cs="Times New Roman"/>
                <w:color w:val="auto"/>
                <w:sz w:val="24"/>
                <w:lang w:val="en-US" w:eastAsia="zh-CN"/>
              </w:rPr>
              <w:t>柴油、92</w:t>
            </w:r>
            <w:r>
              <w:rPr>
                <w:rFonts w:hint="default" w:ascii="Times New Roman" w:hAnsi="Times New Roman" w:cs="Times New Roman"/>
                <w:color w:val="auto"/>
                <w:sz w:val="24"/>
                <w:vertAlign w:val="baseline"/>
                <w:lang w:val="en-US" w:eastAsia="zh-CN"/>
              </w:rPr>
              <w:t>#</w:t>
            </w:r>
            <w:r>
              <w:rPr>
                <w:rFonts w:hint="default" w:ascii="Times New Roman" w:hAnsi="Times New Roman" w:cs="Times New Roman"/>
                <w:color w:val="auto"/>
                <w:sz w:val="24"/>
                <w:lang w:val="en-US" w:eastAsia="zh-CN"/>
              </w:rPr>
              <w:t>汽油各一套</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lang w:bidi="ar"/>
              </w:rPr>
              <w:t>用于预防溢油事故，有效保障加油站安全。</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③</w:t>
            </w:r>
            <w:r>
              <w:rPr>
                <w:rFonts w:hint="default" w:ascii="Times New Roman" w:hAnsi="Times New Roman" w:cs="Times New Roman"/>
                <w:color w:val="auto"/>
                <w:sz w:val="24"/>
              </w:rPr>
              <w:t>双层储油罐均配套安装有渗漏在线检测系统。</w:t>
            </w:r>
          </w:p>
          <w:p>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3、油气回收建设方案</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①</w:t>
            </w:r>
            <w:r>
              <w:rPr>
                <w:rFonts w:hint="default" w:ascii="Times New Roman" w:hAnsi="Times New Roman" w:cs="Times New Roman"/>
                <w:color w:val="auto"/>
                <w:kern w:val="0"/>
                <w:sz w:val="24"/>
              </w:rPr>
              <w:t>对汽油储罐及加油机设置油气回收装置，共</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套</w:t>
            </w:r>
            <w:r>
              <w:rPr>
                <w:rFonts w:hint="default" w:ascii="Times New Roman" w:hAnsi="Times New Roman" w:cs="Times New Roman"/>
                <w:color w:val="auto"/>
                <w:kern w:val="0"/>
                <w:sz w:val="24"/>
                <w:lang w:eastAsia="zh-CN"/>
              </w:rPr>
              <w:t>（</w:t>
            </w:r>
            <w:r>
              <w:rPr>
                <w:rFonts w:hint="default" w:ascii="Times New Roman" w:hAnsi="Times New Roman" w:cs="Times New Roman"/>
                <w:color w:val="auto"/>
                <w:sz w:val="24"/>
                <w:lang w:val="en-US" w:eastAsia="zh-CN"/>
              </w:rPr>
              <w:t>92</w:t>
            </w:r>
            <w:r>
              <w:rPr>
                <w:rFonts w:hint="default" w:ascii="Times New Roman" w:hAnsi="Times New Roman" w:cs="Times New Roman"/>
                <w:color w:val="auto"/>
                <w:sz w:val="24"/>
                <w:vertAlign w:val="baseline"/>
                <w:lang w:val="en-US" w:eastAsia="zh-CN"/>
              </w:rPr>
              <w:t>#</w:t>
            </w:r>
            <w:r>
              <w:rPr>
                <w:rFonts w:hint="default" w:ascii="Times New Roman" w:hAnsi="Times New Roman" w:cs="Times New Roman"/>
                <w:color w:val="auto"/>
                <w:sz w:val="24"/>
                <w:lang w:val="en-US" w:eastAsia="zh-CN"/>
              </w:rPr>
              <w:t>汽油</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②</w:t>
            </w:r>
            <w:r>
              <w:rPr>
                <w:rFonts w:hint="default" w:ascii="Times New Roman" w:hAnsi="Times New Roman" w:cs="Times New Roman"/>
                <w:color w:val="auto"/>
                <w:kern w:val="0"/>
                <w:sz w:val="24"/>
              </w:rPr>
              <w:t>对汽油卸油区设置油气回收装置</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套</w:t>
            </w:r>
            <w:r>
              <w:rPr>
                <w:rFonts w:hint="default" w:ascii="Times New Roman" w:hAnsi="Times New Roman" w:cs="Times New Roman"/>
                <w:color w:val="auto"/>
                <w:kern w:val="0"/>
                <w:sz w:val="24"/>
                <w:lang w:eastAsia="zh-CN"/>
              </w:rPr>
              <w:t>（</w:t>
            </w:r>
            <w:r>
              <w:rPr>
                <w:rFonts w:hint="default" w:ascii="Times New Roman" w:hAnsi="Times New Roman" w:cs="Times New Roman"/>
                <w:color w:val="auto"/>
                <w:sz w:val="24"/>
                <w:lang w:val="en-US" w:eastAsia="zh-CN"/>
              </w:rPr>
              <w:t>92</w:t>
            </w:r>
            <w:r>
              <w:rPr>
                <w:rFonts w:hint="default" w:ascii="Times New Roman" w:hAnsi="Times New Roman" w:cs="Times New Roman"/>
                <w:color w:val="auto"/>
                <w:sz w:val="24"/>
                <w:vertAlign w:val="baseline"/>
                <w:lang w:val="en-US" w:eastAsia="zh-CN"/>
              </w:rPr>
              <w:t>#</w:t>
            </w:r>
            <w:r>
              <w:rPr>
                <w:rFonts w:hint="default" w:ascii="Times New Roman" w:hAnsi="Times New Roman" w:cs="Times New Roman"/>
                <w:color w:val="auto"/>
                <w:sz w:val="24"/>
                <w:lang w:val="en-US" w:eastAsia="zh-CN"/>
              </w:rPr>
              <w:t>汽油</w:t>
            </w:r>
            <w:r>
              <w:rPr>
                <w:rFonts w:hint="default" w:ascii="Times New Roman" w:hAnsi="Times New Roman" w:cs="Times New Roman"/>
                <w:color w:val="auto"/>
                <w:kern w:val="0"/>
                <w:sz w:val="24"/>
                <w:lang w:eastAsia="zh-CN"/>
              </w:rPr>
              <w:t>）</w:t>
            </w:r>
            <w:r>
              <w:rPr>
                <w:rFonts w:hint="eastAsia" w:ascii="Times New Roman" w:hAnsi="Times New Roman" w:cs="Times New Roman"/>
                <w:color w:val="auto"/>
                <w:kern w:val="0"/>
                <w:sz w:val="24"/>
                <w:lang w:eastAsia="zh-CN"/>
              </w:rPr>
              <w:t>。</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4、其他设施建设方案</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①</w:t>
            </w:r>
            <w:r>
              <w:rPr>
                <w:rFonts w:hint="default" w:ascii="Times New Roman" w:hAnsi="Times New Roman" w:cs="Times New Roman"/>
                <w:color w:val="auto"/>
                <w:kern w:val="0"/>
                <w:sz w:val="24"/>
              </w:rPr>
              <w:t>在项目</w:t>
            </w:r>
            <w:r>
              <w:rPr>
                <w:rFonts w:hint="eastAsia" w:ascii="Times New Roman" w:hAnsi="Times New Roman" w:cs="Times New Roman"/>
                <w:color w:val="auto"/>
                <w:kern w:val="0"/>
                <w:sz w:val="24"/>
                <w:lang w:eastAsia="zh-CN"/>
              </w:rPr>
              <w:t>东南</w:t>
            </w:r>
            <w:r>
              <w:rPr>
                <w:rFonts w:hint="default" w:ascii="Times New Roman" w:hAnsi="Times New Roman" w:cs="Times New Roman"/>
                <w:color w:val="auto"/>
                <w:kern w:val="0"/>
                <w:sz w:val="24"/>
              </w:rPr>
              <w:t>侧靠</w:t>
            </w:r>
            <w:r>
              <w:rPr>
                <w:rFonts w:hint="eastAsia" w:ascii="Times New Roman" w:hAnsi="Times New Roman" w:cs="Times New Roman"/>
                <w:color w:val="auto"/>
                <w:kern w:val="0"/>
                <w:sz w:val="24"/>
                <w:lang w:eastAsia="zh-CN"/>
              </w:rPr>
              <w:t>乡道者蚌段</w:t>
            </w:r>
            <w:r>
              <w:rPr>
                <w:rFonts w:hint="default" w:ascii="Times New Roman" w:hAnsi="Times New Roman" w:cs="Times New Roman"/>
                <w:color w:val="auto"/>
                <w:kern w:val="0"/>
                <w:sz w:val="24"/>
              </w:rPr>
              <w:t>一侧建设1座水封井；</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②</w:t>
            </w:r>
            <w:r>
              <w:rPr>
                <w:rFonts w:hint="default" w:ascii="Times New Roman" w:hAnsi="Times New Roman" w:cs="Times New Roman"/>
                <w:color w:val="auto"/>
                <w:kern w:val="0"/>
                <w:sz w:val="24"/>
              </w:rPr>
              <w:t>新建加油罩棚内环保沟（含油雨水引流沟）1条，约</w:t>
            </w:r>
            <w:r>
              <w:rPr>
                <w:rFonts w:hint="eastAsia" w:ascii="Times New Roman" w:hAnsi="Times New Roman" w:cs="Times New Roman"/>
                <w:color w:val="auto"/>
                <w:kern w:val="0"/>
                <w:sz w:val="24"/>
                <w:lang w:val="en-US" w:eastAsia="zh-CN"/>
              </w:rPr>
              <w:t>50</w:t>
            </w:r>
            <w:r>
              <w:rPr>
                <w:rFonts w:hint="default" w:ascii="Times New Roman" w:hAnsi="Times New Roman" w:cs="Times New Roman"/>
                <w:color w:val="auto"/>
                <w:kern w:val="0"/>
                <w:sz w:val="24"/>
              </w:rPr>
              <w:t>m长，含油雨水接入水封井</w:t>
            </w:r>
            <w:r>
              <w:rPr>
                <w:rFonts w:hint="default" w:ascii="Times New Roman" w:hAnsi="Times New Roman" w:cs="Times New Roman"/>
                <w:color w:val="auto"/>
                <w:kern w:val="0"/>
                <w:sz w:val="24"/>
                <w:lang w:eastAsia="zh-CN"/>
              </w:rPr>
              <w:t>内</w:t>
            </w:r>
            <w:r>
              <w:rPr>
                <w:rFonts w:hint="default" w:ascii="Times New Roman" w:hAnsi="Times New Roman" w:cs="Times New Roman"/>
                <w:color w:val="auto"/>
                <w:kern w:val="0"/>
                <w:sz w:val="24"/>
              </w:rPr>
              <w:t>；</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③将仓库改建为危废暂存间</w:t>
            </w:r>
            <w:r>
              <w:rPr>
                <w:rFonts w:hint="eastAsia" w:ascii="Times New Roman" w:hAnsi="Times New Roman" w:cs="Times New Roman"/>
                <w:color w:val="auto"/>
                <w:kern w:val="0"/>
                <w:sz w:val="24"/>
                <w:lang w:eastAsia="zh-CN"/>
              </w:rPr>
              <w:t>，将原有仓库隔离一间出来，</w:t>
            </w:r>
            <w:r>
              <w:rPr>
                <w:rFonts w:hint="eastAsia"/>
                <w:color w:val="auto"/>
                <w:sz w:val="24"/>
                <w:lang w:eastAsia="zh-CN"/>
              </w:rPr>
              <w:t>危废暂存间设计符合危废存储规范，防雨、防晒、防渗，有明显标识</w:t>
            </w:r>
            <w:r>
              <w:rPr>
                <w:rFonts w:hint="default" w:ascii="Times New Roman" w:hAnsi="Times New Roman" w:cs="Times New Roman"/>
                <w:color w:val="auto"/>
                <w:kern w:val="0"/>
                <w:sz w:val="24"/>
              </w:rPr>
              <w:t>；</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④</w:t>
            </w:r>
            <w:r>
              <w:rPr>
                <w:rFonts w:hint="default" w:ascii="Times New Roman" w:hAnsi="Times New Roman" w:cs="Times New Roman"/>
                <w:color w:val="auto"/>
                <w:kern w:val="0"/>
                <w:sz w:val="24"/>
              </w:rPr>
              <w:t>其他附属工程建设，如电气线路、应急灯、罩棚灯、标识牌、地面硬化防渗等。</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w:t>
            </w:r>
            <w:r>
              <w:rPr>
                <w:rFonts w:hint="default" w:ascii="Times New Roman" w:hAnsi="Times New Roman" w:cs="Times New Roman"/>
                <w:color w:val="auto"/>
                <w:sz w:val="24"/>
              </w:rPr>
              <w:t>改造完成后</w:t>
            </w:r>
            <w:r>
              <w:rPr>
                <w:rFonts w:hint="default" w:ascii="Times New Roman" w:hAnsi="Times New Roman" w:cs="Times New Roman"/>
                <w:color w:val="auto"/>
                <w:sz w:val="24"/>
                <w:lang w:eastAsia="zh-CN"/>
              </w:rPr>
              <w:t>储罐总容积为</w:t>
            </w:r>
            <w:r>
              <w:rPr>
                <w:rFonts w:hint="eastAsia" w:ascii="Times New Roman" w:hAnsi="Times New Roman" w:cs="Times New Roman"/>
                <w:color w:val="auto"/>
                <w:sz w:val="24"/>
                <w:lang w:val="en-US" w:eastAsia="zh-CN"/>
              </w:rPr>
              <w:t>80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其中92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汽油储油罐</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个（</w:t>
            </w:r>
            <w:r>
              <w:rPr>
                <w:rFonts w:hint="default" w:ascii="Times New Roman" w:hAnsi="Times New Roman" w:cs="Times New Roman"/>
                <w:color w:val="auto"/>
                <w:sz w:val="24"/>
                <w:lang w:eastAsia="zh-CN"/>
              </w:rPr>
              <w:t>容积为</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Cs/>
                <w:color w:val="auto"/>
                <w:sz w:val="24"/>
              </w:rPr>
              <w:t>0</w:t>
            </w:r>
            <w:r>
              <w:rPr>
                <w:rFonts w:hint="default" w:ascii="Times New Roman" w:hAnsi="Times New Roman" w:cs="Times New Roman"/>
                <w:bCs/>
                <w:color w:val="auto"/>
                <w:sz w:val="24"/>
                <w:vertAlign w:val="baseline"/>
              </w:rPr>
              <w:t>#</w:t>
            </w:r>
            <w:r>
              <w:rPr>
                <w:rFonts w:hint="default" w:ascii="Times New Roman" w:hAnsi="Times New Roman" w:cs="Times New Roman"/>
                <w:bCs/>
                <w:color w:val="auto"/>
                <w:sz w:val="24"/>
              </w:rPr>
              <w:t>柴油罐</w:t>
            </w:r>
            <w:r>
              <w:rPr>
                <w:rFonts w:hint="eastAsia" w:ascii="Times New Roman" w:hAnsi="Times New Roman" w:cs="Times New Roman"/>
                <w:bCs/>
                <w:color w:val="auto"/>
                <w:sz w:val="24"/>
                <w:lang w:val="en-US" w:eastAsia="zh-CN"/>
              </w:rPr>
              <w:t>1</w:t>
            </w:r>
            <w:r>
              <w:rPr>
                <w:rFonts w:hint="default" w:ascii="Times New Roman" w:hAnsi="Times New Roman" w:cs="Times New Roman"/>
                <w:bCs/>
                <w:color w:val="auto"/>
                <w:sz w:val="24"/>
              </w:rPr>
              <w:t>个（</w:t>
            </w:r>
            <w:r>
              <w:rPr>
                <w:rFonts w:hint="default" w:ascii="Times New Roman" w:hAnsi="Times New Roman" w:cs="Times New Roman"/>
                <w:bCs/>
                <w:color w:val="auto"/>
                <w:sz w:val="24"/>
                <w:lang w:eastAsia="zh-CN"/>
              </w:rPr>
              <w:t>容积为</w:t>
            </w:r>
            <w:r>
              <w:rPr>
                <w:rFonts w:hint="eastAsia" w:ascii="Times New Roman" w:hAnsi="Times New Roman" w:cs="Times New Roman"/>
                <w:bCs/>
                <w:color w:val="auto"/>
                <w:sz w:val="24"/>
                <w:lang w:val="en-US" w:eastAsia="zh-CN"/>
              </w:rPr>
              <w:t>50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r>
              <w:rPr>
                <w:rFonts w:hint="default" w:ascii="Times New Roman" w:hAnsi="Times New Roman" w:cs="Times New Roman"/>
                <w:color w:val="auto"/>
                <w:sz w:val="24"/>
              </w:rPr>
              <w:t>根据《汽车加油加气站设计与施工规范（2014年版）》（GB50156-2012）规定，三级加油站总容积V≤</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，单罐汽油容积V≤30m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，柴油容积V≤50m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，本站</w:t>
            </w:r>
            <w:r>
              <w:rPr>
                <w:rFonts w:hint="default" w:ascii="Times New Roman" w:hAnsi="Times New Roman" w:cs="Times New Roman"/>
                <w:color w:val="auto"/>
                <w:sz w:val="24"/>
                <w:lang w:eastAsia="zh-CN"/>
              </w:rPr>
              <w:t>计算</w:t>
            </w:r>
            <w:r>
              <w:rPr>
                <w:rFonts w:hint="default" w:ascii="Times New Roman" w:hAnsi="Times New Roman" w:cs="Times New Roman"/>
                <w:color w:val="auto"/>
                <w:sz w:val="24"/>
              </w:rPr>
              <w:t>总容积为</w:t>
            </w:r>
            <w:r>
              <w:rPr>
                <w:rFonts w:hint="eastAsia" w:ascii="Times New Roman" w:hAnsi="Times New Roman" w:cs="Times New Roman"/>
                <w:color w:val="auto"/>
                <w:sz w:val="24"/>
                <w:lang w:val="en-US" w:eastAsia="zh-CN"/>
              </w:rPr>
              <w:t>55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（柴油折半），单罐汽油容积V≤30m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，柴油容积V≤50m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，因此加油站等级</w:t>
            </w:r>
            <w:r>
              <w:rPr>
                <w:rFonts w:hint="default" w:ascii="Times New Roman" w:hAnsi="Times New Roman" w:cs="Times New Roman"/>
                <w:color w:val="auto"/>
                <w:sz w:val="24"/>
                <w:lang w:eastAsia="zh-CN"/>
              </w:rPr>
              <w:t>不变</w:t>
            </w:r>
            <w:r>
              <w:rPr>
                <w:rFonts w:hint="default" w:ascii="Times New Roman" w:hAnsi="Times New Roman" w:cs="Times New Roman"/>
                <w:color w:val="auto"/>
                <w:sz w:val="24"/>
              </w:rPr>
              <w:t>，总占地面积不变</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总建筑面积</w:t>
            </w:r>
            <w:r>
              <w:rPr>
                <w:rFonts w:hint="default" w:ascii="Times New Roman" w:hAnsi="Times New Roman" w:cs="Times New Roman"/>
                <w:color w:val="auto"/>
                <w:sz w:val="24"/>
                <w:lang w:eastAsia="zh-CN"/>
              </w:rPr>
              <w:t>不变</w:t>
            </w:r>
            <w:r>
              <w:rPr>
                <w:rFonts w:hint="default" w:ascii="Times New Roman" w:hAnsi="Times New Roman" w:cs="Times New Roman"/>
                <w:color w:val="auto"/>
                <w:sz w:val="24"/>
              </w:rPr>
              <w:t>，绿化面积不变，0</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柴油年销售量不变，</w:t>
            </w:r>
            <w:r>
              <w:rPr>
                <w:rFonts w:hint="default" w:ascii="Times New Roman" w:hAnsi="Times New Roman" w:cs="Times New Roman"/>
                <w:color w:val="auto"/>
                <w:sz w:val="24"/>
                <w:lang w:eastAsia="zh-CN"/>
              </w:rPr>
              <w:t>约</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t/a，92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汽油年销售总量不变，</w:t>
            </w:r>
            <w:r>
              <w:rPr>
                <w:rFonts w:hint="default" w:ascii="Times New Roman" w:hAnsi="Times New Roman" w:cs="Times New Roman"/>
                <w:color w:val="auto"/>
                <w:sz w:val="24"/>
                <w:lang w:eastAsia="zh-CN"/>
              </w:rPr>
              <w:t>约</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0t/a</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vertAlign w:val="baseline"/>
                <w:lang w:val="en-US" w:eastAsia="zh-CN"/>
              </w:rPr>
              <w:t>合计年销售量约500t</w:t>
            </w:r>
            <w:r>
              <w:rPr>
                <w:rFonts w:hint="default" w:ascii="Times New Roman" w:hAnsi="Times New Roman" w:cs="Times New Roman"/>
                <w:color w:val="auto"/>
                <w:kern w:val="0"/>
                <w:sz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w:t>
            </w:r>
            <w:r>
              <w:rPr>
                <w:rFonts w:hint="default" w:ascii="Times New Roman" w:hAnsi="Times New Roman" w:cs="Times New Roman"/>
                <w:b/>
                <w:color w:val="auto"/>
                <w:sz w:val="24"/>
                <w:lang w:eastAsia="zh-CN"/>
              </w:rPr>
              <w:t>三</w:t>
            </w:r>
            <w:r>
              <w:rPr>
                <w:rFonts w:hint="default" w:ascii="Times New Roman" w:hAnsi="Times New Roman" w:cs="Times New Roman"/>
                <w:b/>
                <w:color w:val="auto"/>
                <w:sz w:val="24"/>
              </w:rPr>
              <w:t>）项目建设内容</w:t>
            </w:r>
          </w:p>
          <w:p>
            <w:pPr>
              <w:spacing w:line="360" w:lineRule="auto"/>
              <w:ind w:firstLine="480" w:firstLineChars="200"/>
              <w:rPr>
                <w:rFonts w:hint="default" w:ascii="Times New Roman" w:hAnsi="Times New Roman" w:cs="Times New Roman"/>
                <w:b/>
                <w:color w:val="auto"/>
                <w:kern w:val="0"/>
                <w:sz w:val="24"/>
              </w:rPr>
            </w:pPr>
            <w:r>
              <w:rPr>
                <w:rFonts w:hint="default" w:ascii="Times New Roman" w:hAnsi="Times New Roman" w:cs="Times New Roman"/>
                <w:color w:val="auto"/>
                <w:sz w:val="24"/>
              </w:rPr>
              <w:t>项目由主体工程、辅助工程、公用工程以及环保工程组成，具体见表1-1。</w:t>
            </w:r>
          </w:p>
          <w:p>
            <w:pPr>
              <w:autoSpaceDE w:val="0"/>
              <w:autoSpaceDN w:val="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表1-1  项目建设内容一览表</w:t>
            </w:r>
          </w:p>
          <w:tbl>
            <w:tblPr>
              <w:tblStyle w:val="23"/>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676"/>
              <w:gridCol w:w="363"/>
              <w:gridCol w:w="6487"/>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088" w:type="dxa"/>
                  <w:gridSpan w:val="2"/>
                  <w:vAlign w:val="center"/>
                </w:tcPr>
                <w:p>
                  <w:pPr>
                    <w:adjustRightInd w:val="0"/>
                    <w:snapToGrid w:val="0"/>
                    <w:spacing w:line="276" w:lineRule="auto"/>
                    <w:ind w:left="-63" w:leftChars="-30" w:right="-63" w:rightChars="-3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工程类别</w:t>
                  </w:r>
                </w:p>
              </w:tc>
              <w:tc>
                <w:tcPr>
                  <w:tcW w:w="6850" w:type="dxa"/>
                  <w:gridSpan w:val="2"/>
                  <w:vAlign w:val="center"/>
                </w:tcPr>
                <w:p>
                  <w:pPr>
                    <w:adjustRightInd w:val="0"/>
                    <w:snapToGrid w:val="0"/>
                    <w:spacing w:line="276" w:lineRule="auto"/>
                    <w:ind w:left="-63" w:leftChars="-30" w:right="-63" w:rightChars="-3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主要内容</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412" w:type="dxa"/>
                  <w:vMerge w:val="restart"/>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主体工程</w:t>
                  </w:r>
                </w:p>
              </w:tc>
              <w:tc>
                <w:tcPr>
                  <w:tcW w:w="676"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加油岛</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0#柴油/92#汽油加油机</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eastAsia="zh-CN"/>
                    </w:rPr>
                    <w:t>台，</w:t>
                  </w:r>
                  <w:r>
                    <w:rPr>
                      <w:rFonts w:hint="eastAsia" w:ascii="Times New Roman" w:hAnsi="Times New Roman" w:cs="Times New Roman"/>
                      <w:color w:val="auto"/>
                      <w:szCs w:val="21"/>
                      <w:lang w:val="en-US" w:eastAsia="zh-CN"/>
                    </w:rPr>
                    <w:t>其中汽油加油机带油气回收系统，位于项目中间位置。</w:t>
                  </w:r>
                </w:p>
              </w:tc>
              <w:tc>
                <w:tcPr>
                  <w:tcW w:w="914" w:type="dxa"/>
                  <w:vAlign w:val="center"/>
                </w:tcPr>
                <w:p>
                  <w:pPr>
                    <w:adjustRightInd w:val="0"/>
                    <w:snapToGrid w:val="0"/>
                    <w:spacing w:line="276" w:lineRule="auto"/>
                    <w:ind w:right="-63" w:rightChars="-30"/>
                    <w:jc w:val="both"/>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在原位置新建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加油</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罩棚</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eastAsia" w:ascii="Times New Roman" w:hAnsi="Times New Roman" w:cs="Times New Roman"/>
                      <w:color w:val="auto"/>
                      <w:szCs w:val="21"/>
                      <w:lang w:eastAsia="zh-CN"/>
                    </w:rPr>
                    <w:t>罩棚</w:t>
                  </w:r>
                  <w:r>
                    <w:rPr>
                      <w:rFonts w:hint="default" w:ascii="Times New Roman" w:hAnsi="Times New Roman" w:cs="Times New Roman"/>
                      <w:color w:val="auto"/>
                      <w:szCs w:val="21"/>
                    </w:rPr>
                    <w:t>建筑面积</w:t>
                  </w:r>
                  <w:r>
                    <w:rPr>
                      <w:rFonts w:hint="eastAsia" w:ascii="Times New Roman" w:hAnsi="Times New Roman" w:cs="Times New Roman"/>
                      <w:color w:val="auto"/>
                      <w:szCs w:val="21"/>
                      <w:lang w:val="en-US" w:eastAsia="zh-CN"/>
                    </w:rPr>
                    <w:t>75.74</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，采用钢架网架结构，立柱为钢结构，外面耐火材料保护。</w:t>
                  </w:r>
                </w:p>
              </w:tc>
              <w:tc>
                <w:tcPr>
                  <w:tcW w:w="914" w:type="dxa"/>
                  <w:vAlign w:val="center"/>
                </w:tcPr>
                <w:p>
                  <w:pPr>
                    <w:adjustRightInd w:val="0"/>
                    <w:snapToGrid w:val="0"/>
                    <w:spacing w:line="276" w:lineRule="auto"/>
                    <w:ind w:right="-63" w:rightChars="-30"/>
                    <w:jc w:val="both"/>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油罐区</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油罐区内设置</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个容积为</w:t>
                  </w:r>
                  <w:r>
                    <w:rPr>
                      <w:rFonts w:hint="eastAsia" w:ascii="Times New Roman" w:hAnsi="Times New Roman" w:cs="Times New Roman"/>
                      <w:color w:val="auto"/>
                      <w:szCs w:val="21"/>
                      <w:lang w:val="en-US" w:eastAsia="zh-CN"/>
                    </w:rPr>
                    <w:t>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的地埋式双层0#柴油罐，</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个容积为</w:t>
                  </w: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的地埋式双层92#汽油罐。双层储油罐均</w:t>
                  </w:r>
                  <w:r>
                    <w:rPr>
                      <w:rFonts w:hint="default" w:ascii="Times New Roman" w:hAnsi="Times New Roman" w:cs="Times New Roman"/>
                      <w:color w:val="auto"/>
                      <w:kern w:val="0"/>
                      <w:szCs w:val="21"/>
                    </w:rPr>
                    <w:t>配套安装有</w:t>
                  </w:r>
                  <w:r>
                    <w:rPr>
                      <w:rFonts w:hint="default" w:ascii="Times New Roman" w:hAnsi="Times New Roman" w:cs="Times New Roman"/>
                      <w:color w:val="auto"/>
                      <w:szCs w:val="21"/>
                    </w:rPr>
                    <w:t>渗漏在线检测系统，安装液位仪</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eastAsia="zh-CN"/>
                    </w:rPr>
                    <w:t>位于项目</w:t>
                  </w:r>
                  <w:r>
                    <w:rPr>
                      <w:rFonts w:hint="eastAsia" w:ascii="Times New Roman" w:hAnsi="Times New Roman" w:cs="Times New Roman"/>
                      <w:color w:val="auto"/>
                      <w:kern w:val="0"/>
                      <w:szCs w:val="21"/>
                      <w:lang w:eastAsia="zh-CN"/>
                    </w:rPr>
                    <w:t>东</w:t>
                  </w:r>
                  <w:r>
                    <w:rPr>
                      <w:rFonts w:hint="default" w:ascii="Times New Roman" w:hAnsi="Times New Roman" w:cs="Times New Roman"/>
                      <w:color w:val="auto"/>
                      <w:kern w:val="0"/>
                      <w:szCs w:val="21"/>
                      <w:lang w:eastAsia="zh-CN"/>
                    </w:rPr>
                    <w:t>侧。</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在原有位置新建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blHeader/>
                <w:jc w:val="center"/>
              </w:trPr>
              <w:tc>
                <w:tcPr>
                  <w:tcW w:w="412" w:type="dxa"/>
                  <w:vMerge w:val="restart"/>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辅助工程</w:t>
                  </w:r>
                </w:p>
              </w:tc>
              <w:tc>
                <w:tcPr>
                  <w:tcW w:w="676" w:type="dxa"/>
                  <w:vMerge w:val="restart"/>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加油</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站房</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项目建有一栋站房，建筑面积为</w:t>
                  </w:r>
                  <w:r>
                    <w:rPr>
                      <w:rFonts w:hint="eastAsia" w:ascii="Times New Roman" w:hAnsi="Times New Roman" w:cs="Times New Roman"/>
                      <w:color w:val="auto"/>
                      <w:sz w:val="21"/>
                      <w:szCs w:val="21"/>
                      <w:lang w:val="en-US" w:eastAsia="zh-CN"/>
                    </w:rPr>
                    <w:t>240.99</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eastAsia="zh-CN"/>
                    </w:rPr>
                    <w:t>2</w:t>
                  </w:r>
                  <w:r>
                    <w:rPr>
                      <w:rFonts w:hint="default" w:ascii="Times New Roman" w:hAnsi="Times New Roman" w:cs="Times New Roman"/>
                      <w:color w:val="auto"/>
                      <w:sz w:val="21"/>
                      <w:szCs w:val="21"/>
                      <w:lang w:eastAsia="zh-CN"/>
                    </w:rPr>
                    <w:t>，一层设置开票区、办公区、</w:t>
                  </w:r>
                  <w:r>
                    <w:rPr>
                      <w:rFonts w:hint="eastAsia" w:ascii="Times New Roman" w:hAnsi="Times New Roman" w:cs="Times New Roman"/>
                      <w:color w:val="auto"/>
                      <w:sz w:val="21"/>
                      <w:szCs w:val="21"/>
                      <w:lang w:eastAsia="zh-CN"/>
                    </w:rPr>
                    <w:t>卫生间、仓库、危废暂存间</w:t>
                  </w:r>
                  <w:r>
                    <w:rPr>
                      <w:rFonts w:hint="default" w:ascii="Times New Roman" w:hAnsi="Times New Roman" w:cs="Times New Roman"/>
                      <w:color w:val="auto"/>
                      <w:sz w:val="21"/>
                      <w:szCs w:val="21"/>
                      <w:lang w:eastAsia="zh-CN"/>
                    </w:rPr>
                    <w:t>，二层设置厨房、餐厅</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住宿区，位于项目</w:t>
                  </w:r>
                  <w:r>
                    <w:rPr>
                      <w:rFonts w:hint="eastAsia" w:ascii="Times New Roman" w:hAnsi="Times New Roman" w:cs="Times New Roman"/>
                      <w:color w:val="auto"/>
                      <w:sz w:val="21"/>
                      <w:szCs w:val="21"/>
                      <w:lang w:eastAsia="zh-CN"/>
                    </w:rPr>
                    <w:t>罩棚东</w:t>
                  </w:r>
                  <w:r>
                    <w:rPr>
                      <w:rFonts w:hint="default" w:ascii="Times New Roman" w:hAnsi="Times New Roman" w:cs="Times New Roman"/>
                      <w:color w:val="auto"/>
                      <w:sz w:val="21"/>
                      <w:szCs w:val="21"/>
                      <w:lang w:eastAsia="zh-CN"/>
                    </w:rPr>
                    <w:t>侧位置</w:t>
                  </w:r>
                  <w:r>
                    <w:rPr>
                      <w:rFonts w:hint="eastAsia" w:ascii="Times New Roman" w:hAnsi="Times New Roman" w:cs="Times New Roman"/>
                      <w:color w:val="auto"/>
                      <w:sz w:val="21"/>
                      <w:szCs w:val="21"/>
                      <w:lang w:eastAsia="zh-CN"/>
                    </w:rPr>
                    <w:t>。</w:t>
                  </w:r>
                </w:p>
              </w:tc>
              <w:tc>
                <w:tcPr>
                  <w:tcW w:w="914" w:type="dxa"/>
                  <w:vAlign w:val="center"/>
                </w:tcPr>
                <w:p>
                  <w:pPr>
                    <w:adjustRightInd w:val="0"/>
                    <w:snapToGrid w:val="0"/>
                    <w:spacing w:line="276" w:lineRule="auto"/>
                    <w:ind w:right="-63" w:rightChars="-30"/>
                    <w:jc w:val="both"/>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危废暂存间</w:t>
                  </w:r>
                  <w:r>
                    <w:rPr>
                      <w:rFonts w:hint="default" w:ascii="Times New Roman" w:hAnsi="Times New Roman" w:cs="Times New Roman"/>
                      <w:color w:val="auto"/>
                      <w:szCs w:val="21"/>
                      <w:lang w:val="en-US" w:eastAsia="zh-CN"/>
                    </w:rPr>
                    <w:t>20m</w:t>
                  </w:r>
                  <w:r>
                    <w:rPr>
                      <w:rFonts w:hint="default"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lang w:val="en-US" w:eastAsia="zh-CN"/>
                    </w:rPr>
                    <w:t>，位于项目</w:t>
                  </w:r>
                  <w:r>
                    <w:rPr>
                      <w:rFonts w:hint="eastAsia" w:ascii="Times New Roman" w:hAnsi="Times New Roman" w:cs="Times New Roman"/>
                      <w:color w:val="auto"/>
                      <w:szCs w:val="21"/>
                      <w:lang w:val="en-US" w:eastAsia="zh-CN"/>
                    </w:rPr>
                    <w:t>站房一层西北侧，将现有仓库隔离出来1间</w:t>
                  </w:r>
                  <w:r>
                    <w:rPr>
                      <w:rFonts w:hint="default" w:ascii="Times New Roman" w:hAnsi="Times New Roman" w:cs="Times New Roman"/>
                      <w:color w:val="auto"/>
                      <w:szCs w:val="21"/>
                      <w:lang w:val="en-US" w:eastAsia="zh-CN"/>
                    </w:rPr>
                    <w:t>。</w:t>
                  </w:r>
                </w:p>
              </w:tc>
              <w:tc>
                <w:tcPr>
                  <w:tcW w:w="914" w:type="dxa"/>
                  <w:vAlign w:val="center"/>
                </w:tcPr>
                <w:p>
                  <w:pPr>
                    <w:adjustRightInd w:val="0"/>
                    <w:snapToGrid w:val="0"/>
                    <w:spacing w:line="276" w:lineRule="auto"/>
                    <w:ind w:right="-63" w:rightChars="-30"/>
                    <w:jc w:val="both"/>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现有仓库改造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850" w:type="dxa"/>
                  <w:gridSpan w:val="2"/>
                  <w:vAlign w:val="center"/>
                </w:tcPr>
                <w:p>
                  <w:pPr>
                    <w:adjustRightInd w:val="0"/>
                    <w:snapToGrid w:val="0"/>
                    <w:spacing w:line="276" w:lineRule="auto"/>
                    <w:ind w:right="-63" w:rightChars="-30"/>
                    <w:jc w:val="left"/>
                    <w:rPr>
                      <w:rFonts w:hint="default" w:ascii="Times New Roman" w:hAnsi="Times New Roman" w:cs="Times New Roman"/>
                      <w:color w:val="auto"/>
                      <w:szCs w:val="21"/>
                      <w:lang w:eastAsia="zh-CN"/>
                    </w:rPr>
                  </w:pPr>
                  <w:r>
                    <w:rPr>
                      <w:rFonts w:hint="eastAsia" w:ascii="Times New Roman" w:hAnsi="Times New Roman" w:cs="Times New Roman"/>
                      <w:color w:val="auto"/>
                      <w:szCs w:val="21"/>
                      <w:lang w:eastAsia="zh-CN"/>
                    </w:rPr>
                    <w:t>仓库项目面积约</w:t>
                  </w:r>
                  <w:r>
                    <w:rPr>
                      <w:rFonts w:hint="eastAsia" w:ascii="Times New Roman" w:hAnsi="Times New Roman" w:cs="Times New Roman"/>
                      <w:color w:val="auto"/>
                      <w:szCs w:val="21"/>
                      <w:lang w:val="en-US" w:eastAsia="zh-CN"/>
                    </w:rPr>
                    <w:t>20m</w:t>
                  </w:r>
                  <w:r>
                    <w:rPr>
                      <w:rFonts w:hint="eastAsia" w:ascii="Times New Roman" w:hAnsi="Times New Roman" w:cs="Times New Roman"/>
                      <w:color w:val="auto"/>
                      <w:szCs w:val="21"/>
                      <w:vertAlign w:val="superscript"/>
                      <w:lang w:val="en-US" w:eastAsia="zh-CN"/>
                    </w:rPr>
                    <w:t>2</w:t>
                  </w:r>
                  <w:r>
                    <w:rPr>
                      <w:rFonts w:hint="eastAsia" w:ascii="Times New Roman" w:hAnsi="Times New Roman" w:cs="Times New Roman"/>
                      <w:color w:val="auto"/>
                      <w:szCs w:val="21"/>
                      <w:lang w:val="en-US" w:eastAsia="zh-CN"/>
                    </w:rPr>
                    <w:t>，位于项目东北侧，彩钢瓦结构。</w:t>
                  </w:r>
                </w:p>
              </w:tc>
              <w:tc>
                <w:tcPr>
                  <w:tcW w:w="914" w:type="dxa"/>
                  <w:vAlign w:val="center"/>
                </w:tcPr>
                <w:p>
                  <w:pPr>
                    <w:adjustRightInd w:val="0"/>
                    <w:snapToGrid w:val="0"/>
                    <w:spacing w:line="276" w:lineRule="auto"/>
                    <w:ind w:right="-63" w:rightChars="-30"/>
                    <w:jc w:val="both"/>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卫生间建筑面积为</w:t>
                  </w:r>
                  <w:r>
                    <w:rPr>
                      <w:rFonts w:hint="eastAsia" w:ascii="Times New Roman" w:hAnsi="Times New Roman" w:cs="Times New Roman"/>
                      <w:color w:val="auto"/>
                      <w:sz w:val="21"/>
                      <w:szCs w:val="21"/>
                      <w:lang w:val="en-US" w:eastAsia="zh-CN"/>
                    </w:rPr>
                    <w:t>15.0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，水冲厕，男女分开，位于项目</w:t>
                  </w:r>
                  <w:r>
                    <w:rPr>
                      <w:rFonts w:hint="eastAsia" w:ascii="Times New Roman" w:hAnsi="Times New Roman" w:cs="Times New Roman"/>
                      <w:color w:val="auto"/>
                      <w:sz w:val="21"/>
                      <w:szCs w:val="21"/>
                      <w:lang w:val="en-US" w:eastAsia="zh-CN"/>
                    </w:rPr>
                    <w:t>站房1层</w:t>
                  </w:r>
                  <w:r>
                    <w:rPr>
                      <w:rFonts w:hint="default" w:ascii="Times New Roman" w:hAnsi="Times New Roman" w:cs="Times New Roman"/>
                      <w:color w:val="auto"/>
                      <w:sz w:val="21"/>
                      <w:szCs w:val="21"/>
                      <w:lang w:val="en-US" w:eastAsia="zh-CN"/>
                    </w:rPr>
                    <w:t>。</w:t>
                  </w:r>
                </w:p>
              </w:tc>
              <w:tc>
                <w:tcPr>
                  <w:tcW w:w="914" w:type="dxa"/>
                  <w:vAlign w:val="center"/>
                </w:tcPr>
                <w:p>
                  <w:pPr>
                    <w:adjustRightInd w:val="0"/>
                    <w:snapToGrid w:val="0"/>
                    <w:spacing w:line="276" w:lineRule="auto"/>
                    <w:ind w:right="-63" w:rightChars="-30"/>
                    <w:jc w:val="both"/>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卸油区</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卸油区占地面积40.0m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，地面做防渗处理。</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412" w:type="dxa"/>
                  <w:vMerge w:val="restart"/>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公用工程</w:t>
                  </w: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供水</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系统</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项目用水全部</w:t>
                  </w:r>
                  <w:r>
                    <w:rPr>
                      <w:rFonts w:hint="default" w:ascii="Times New Roman" w:hAnsi="Times New Roman" w:cs="Times New Roman"/>
                      <w:color w:val="auto"/>
                      <w:szCs w:val="21"/>
                      <w:lang w:eastAsia="zh-CN"/>
                    </w:rPr>
                    <w:t>来自</w:t>
                  </w:r>
                  <w:r>
                    <w:rPr>
                      <w:rFonts w:hint="eastAsia" w:ascii="Times New Roman" w:hAnsi="Times New Roman" w:cs="Times New Roman"/>
                      <w:color w:val="auto"/>
                      <w:szCs w:val="21"/>
                      <w:lang w:eastAsia="zh-CN"/>
                    </w:rPr>
                    <w:t>蚌峨自来水</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通过管线接入</w:t>
                  </w:r>
                  <w:r>
                    <w:rPr>
                      <w:rFonts w:hint="default" w:ascii="Times New Roman" w:hAnsi="Times New Roman" w:cs="Times New Roman"/>
                      <w:color w:val="auto"/>
                      <w:szCs w:val="21"/>
                    </w:rPr>
                    <w:t>，可满足项目</w:t>
                  </w:r>
                  <w:r>
                    <w:rPr>
                      <w:rFonts w:hint="eastAsia" w:ascii="Times New Roman" w:hAnsi="Times New Roman" w:cs="Times New Roman"/>
                      <w:color w:val="auto"/>
                      <w:szCs w:val="21"/>
                      <w:lang w:eastAsia="zh-CN"/>
                    </w:rPr>
                    <w:t>生产和生活</w:t>
                  </w:r>
                  <w:r>
                    <w:rPr>
                      <w:rFonts w:hint="default" w:ascii="Times New Roman" w:hAnsi="Times New Roman" w:cs="Times New Roman"/>
                      <w:color w:val="auto"/>
                      <w:szCs w:val="21"/>
                    </w:rPr>
                    <w:t>用水需求。</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排水</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系统</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项目实行雨污分流。</w:t>
                  </w:r>
                </w:p>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①站内雨水由雨水沟渠收集后汇入</w:t>
                  </w:r>
                  <w:r>
                    <w:rPr>
                      <w:rFonts w:hint="default" w:ascii="Times New Roman" w:hAnsi="Times New Roman" w:cs="Times New Roman"/>
                      <w:color w:val="auto"/>
                      <w:szCs w:val="21"/>
                      <w:lang w:eastAsia="zh-CN"/>
                    </w:rPr>
                    <w:t>水封井</w:t>
                  </w:r>
                  <w:r>
                    <w:rPr>
                      <w:rFonts w:hint="default" w:ascii="Times New Roman" w:hAnsi="Times New Roman" w:cs="Times New Roman"/>
                      <w:color w:val="auto"/>
                      <w:szCs w:val="21"/>
                    </w:rPr>
                    <w:t>内处理后排入附近地表沟渠。</w:t>
                  </w:r>
                </w:p>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②生活污水经化粪池熟化处理后与化粪池污泥一同提供给周边的农户用作农肥，不外排。</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系统</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eastAsia" w:ascii="Times New Roman" w:hAnsi="Times New Roman" w:cs="Times New Roman"/>
                      <w:color w:val="auto"/>
                      <w:szCs w:val="21"/>
                      <w:lang w:val="en-US" w:eastAsia="zh-CN"/>
                    </w:rPr>
                    <w:t>1层</w:t>
                  </w:r>
                  <w:r>
                    <w:rPr>
                      <w:rFonts w:hint="eastAsia" w:ascii="Times New Roman" w:hAnsi="Times New Roman" w:cs="Times New Roman"/>
                      <w:color w:val="auto"/>
                      <w:szCs w:val="21"/>
                      <w:lang w:eastAsia="zh-CN"/>
                    </w:rPr>
                    <w:t>仓库内</w:t>
                  </w:r>
                  <w:r>
                    <w:rPr>
                      <w:rFonts w:hint="default" w:ascii="Times New Roman" w:hAnsi="Times New Roman" w:cs="Times New Roman"/>
                      <w:color w:val="auto"/>
                      <w:szCs w:val="21"/>
                      <w:lang w:eastAsia="zh-CN"/>
                    </w:rPr>
                    <w:t>设有</w:t>
                  </w:r>
                  <w:r>
                    <w:rPr>
                      <w:rFonts w:hint="default" w:ascii="Times New Roman" w:hAnsi="Times New Roman" w:cs="Times New Roman"/>
                      <w:color w:val="auto"/>
                      <w:szCs w:val="21"/>
                    </w:rPr>
                    <w:t>配电</w:t>
                  </w:r>
                  <w:r>
                    <w:rPr>
                      <w:rFonts w:hint="eastAsia" w:ascii="Times New Roman" w:hAnsi="Times New Roman" w:cs="Times New Roman"/>
                      <w:color w:val="auto"/>
                      <w:szCs w:val="21"/>
                      <w:lang w:eastAsia="zh-CN"/>
                    </w:rPr>
                    <w:t>室</w:t>
                  </w:r>
                  <w:r>
                    <w:rPr>
                      <w:rFonts w:hint="default" w:ascii="Times New Roman" w:hAnsi="Times New Roman" w:cs="Times New Roman"/>
                      <w:color w:val="auto"/>
                      <w:szCs w:val="21"/>
                      <w:lang w:val="en-US" w:eastAsia="zh-CN"/>
                    </w:rPr>
                    <w:t>1间</w:t>
                  </w:r>
                  <w:r>
                    <w:rPr>
                      <w:rFonts w:hint="default" w:ascii="Times New Roman" w:hAnsi="Times New Roman" w:cs="Times New Roman"/>
                      <w:color w:val="auto"/>
                      <w:szCs w:val="21"/>
                    </w:rPr>
                    <w:t>，供电电线接自</w:t>
                  </w:r>
                  <w:r>
                    <w:rPr>
                      <w:rFonts w:hint="eastAsia" w:ascii="Times New Roman" w:hAnsi="Times New Roman" w:cs="Times New Roman"/>
                      <w:color w:val="auto"/>
                      <w:szCs w:val="21"/>
                      <w:lang w:eastAsia="zh-CN"/>
                    </w:rPr>
                    <w:t>蚌峨</w:t>
                  </w:r>
                  <w:r>
                    <w:rPr>
                      <w:rFonts w:hint="default" w:ascii="Times New Roman" w:hAnsi="Times New Roman" w:cs="Times New Roman"/>
                      <w:color w:val="auto"/>
                      <w:szCs w:val="21"/>
                    </w:rPr>
                    <w:t>供电线网，为了确保偶尔停电时项目能正常运营，站内自备一台15KW的发电机。</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消防</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系统</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每两台加油机配一具4kg干粉灭火器和一具6L泡沫灭火器，储油罐区设置35kg推车式干粉灭火器一台，石棉灭火毡8块，配备2m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消防沙池一个，消防器材架一个。</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blHeader/>
                <w:jc w:val="center"/>
              </w:trPr>
              <w:tc>
                <w:tcPr>
                  <w:tcW w:w="412" w:type="dxa"/>
                  <w:vMerge w:val="restart"/>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676" w:type="dxa"/>
                  <w:vMerge w:val="restart"/>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油气</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回收</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装置</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分别针对汽油储罐、汽油卸油、汽油加油工艺设置油气回收装置。</w:t>
                  </w:r>
                </w:p>
              </w:tc>
              <w:tc>
                <w:tcPr>
                  <w:tcW w:w="914" w:type="dxa"/>
                  <w:vMerge w:val="restart"/>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363" w:type="dxa"/>
                  <w:vMerge w:val="restart"/>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其中</w:t>
                  </w:r>
                </w:p>
              </w:tc>
              <w:tc>
                <w:tcPr>
                  <w:tcW w:w="6487" w:type="dxa"/>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①92#汽油税控</w:t>
                  </w:r>
                  <w:r>
                    <w:rPr>
                      <w:rFonts w:hint="eastAsia" w:ascii="Times New Roman" w:hAnsi="Times New Roman" w:cs="Times New Roman"/>
                      <w:color w:val="auto"/>
                      <w:szCs w:val="21"/>
                      <w:lang w:eastAsia="zh-CN"/>
                    </w:rPr>
                    <w:t>油枪和</w:t>
                  </w:r>
                  <w:r>
                    <w:rPr>
                      <w:rFonts w:hint="default" w:ascii="Times New Roman" w:hAnsi="Times New Roman" w:cs="Times New Roman"/>
                      <w:color w:val="auto"/>
                      <w:szCs w:val="21"/>
                    </w:rPr>
                    <w:t>容积为</w:t>
                  </w: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的92#汽油储罐</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设置</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套加油储油混合油气回收装置。</w:t>
                  </w:r>
                </w:p>
              </w:tc>
              <w:tc>
                <w:tcPr>
                  <w:tcW w:w="914"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363" w:type="dxa"/>
                  <w:vMerge w:val="continue"/>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p>
              </w:tc>
              <w:tc>
                <w:tcPr>
                  <w:tcW w:w="6487" w:type="dxa"/>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②92#汽油卸油区设置卸油油气回收装置</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套。</w:t>
                  </w:r>
                </w:p>
              </w:tc>
              <w:tc>
                <w:tcPr>
                  <w:tcW w:w="914"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抽油</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烟机</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员工餐厅内厨房设置1套家用式抽油烟机</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防渗设施</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油罐区设地下混凝土防渗罐池，地上部分周围采用混凝土浆砌隔离，将罐区与卸油区隔开。双层储油罐均</w:t>
                  </w:r>
                  <w:r>
                    <w:rPr>
                      <w:rFonts w:hint="default" w:ascii="Times New Roman" w:hAnsi="Times New Roman" w:cs="Times New Roman"/>
                      <w:color w:val="auto"/>
                      <w:kern w:val="0"/>
                      <w:szCs w:val="21"/>
                    </w:rPr>
                    <w:t>配套安装有</w:t>
                  </w:r>
                  <w:r>
                    <w:rPr>
                      <w:rFonts w:hint="default" w:ascii="Times New Roman" w:hAnsi="Times New Roman" w:cs="Times New Roman"/>
                      <w:color w:val="auto"/>
                      <w:szCs w:val="21"/>
                    </w:rPr>
                    <w:t>渗漏在线检测系统，安装液位仪</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eastAsia="zh-CN"/>
                    </w:rPr>
                    <w:t>位于项目</w:t>
                  </w:r>
                  <w:r>
                    <w:rPr>
                      <w:rFonts w:hint="eastAsia" w:ascii="Times New Roman" w:hAnsi="Times New Roman" w:cs="Times New Roman"/>
                      <w:color w:val="auto"/>
                      <w:kern w:val="0"/>
                      <w:szCs w:val="21"/>
                      <w:lang w:eastAsia="zh-CN"/>
                    </w:rPr>
                    <w:t>东</w:t>
                  </w:r>
                  <w:r>
                    <w:rPr>
                      <w:rFonts w:hint="default" w:ascii="Times New Roman" w:hAnsi="Times New Roman" w:cs="Times New Roman"/>
                      <w:color w:val="auto"/>
                      <w:kern w:val="0"/>
                      <w:szCs w:val="21"/>
                      <w:lang w:eastAsia="zh-CN"/>
                    </w:rPr>
                    <w:t>侧。</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雨污</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分流</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管网</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雨水、污水分流管网1套。其中：</w:t>
                  </w:r>
                </w:p>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①新建加油罩棚内环保沟（含油雨水引流沟）1条，约</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rPr>
                    <w:t>0m长，含油雨水接入水封井。</w:t>
                  </w:r>
                </w:p>
                <w:p>
                  <w:pPr>
                    <w:adjustRightInd w:val="0"/>
                    <w:snapToGrid w:val="0"/>
                    <w:spacing w:line="276" w:lineRule="auto"/>
                    <w:ind w:left="-63" w:leftChars="-30" w:right="-63" w:rightChars="-30"/>
                    <w:jc w:val="left"/>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②生活污水经污水管线收集至化粪池内处理。</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 w:val="18"/>
                      <w:szCs w:val="18"/>
                    </w:rPr>
                  </w:pPr>
                  <w:r>
                    <w:rPr>
                      <w:rFonts w:hint="default" w:ascii="Times New Roman" w:hAnsi="Times New Roman" w:cs="Times New Roman"/>
                      <w:color w:val="auto"/>
                      <w:szCs w:val="21"/>
                    </w:rPr>
                    <w:t>水封井</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项目</w:t>
                  </w:r>
                  <w:r>
                    <w:rPr>
                      <w:rFonts w:hint="eastAsia" w:ascii="Times New Roman" w:hAnsi="Times New Roman" w:cs="Times New Roman"/>
                      <w:color w:val="auto"/>
                      <w:szCs w:val="21"/>
                      <w:lang w:eastAsia="zh-CN"/>
                    </w:rPr>
                    <w:t>东南</w:t>
                  </w:r>
                  <w:r>
                    <w:rPr>
                      <w:rFonts w:hint="default" w:ascii="Times New Roman" w:hAnsi="Times New Roman" w:cs="Times New Roman"/>
                      <w:color w:val="auto"/>
                      <w:szCs w:val="21"/>
                    </w:rPr>
                    <w:t>侧建设1座水封井，含油雨水经收集沟收集进入水封井内处理后排入附近地表沟渠。</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化粪池</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化粪池：在项目场区</w:t>
                  </w:r>
                  <w:r>
                    <w:rPr>
                      <w:rFonts w:hint="eastAsia" w:ascii="Times New Roman" w:hAnsi="Times New Roman" w:cs="Times New Roman"/>
                      <w:color w:val="auto"/>
                      <w:szCs w:val="21"/>
                      <w:lang w:eastAsia="zh-CN"/>
                    </w:rPr>
                    <w:t>西北</w:t>
                  </w:r>
                  <w:r>
                    <w:rPr>
                      <w:rFonts w:hint="default" w:ascii="Times New Roman" w:hAnsi="Times New Roman" w:cs="Times New Roman"/>
                      <w:color w:val="auto"/>
                      <w:szCs w:val="21"/>
                    </w:rPr>
                    <w:t>侧修建一座容积为</w:t>
                  </w:r>
                  <w:r>
                    <w:rPr>
                      <w:rFonts w:hint="eastAsia" w:ascii="Times New Roman" w:hAnsi="Times New Roman" w:cs="Times New Roman"/>
                      <w:color w:val="auto"/>
                      <w:szCs w:val="21"/>
                      <w:lang w:val="en-US" w:eastAsia="zh-CN"/>
                    </w:rPr>
                    <w:t>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的化粪池，用来收集水冲厕污水、厨房废水及站房等清洁废水，处理后的污水提供给周边的农户用作农肥。</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垃圾</w:t>
                  </w:r>
                </w:p>
                <w:p>
                  <w:pPr>
                    <w:adjustRightInd w:val="0"/>
                    <w:snapToGrid w:val="0"/>
                    <w:spacing w:line="276" w:lineRule="auto"/>
                    <w:ind w:left="-63" w:leftChars="-30" w:right="-63" w:rightChars="-3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收集桶</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站房外设置了3个垃圾收集桶，生活垃圾集中收集</w:t>
                  </w:r>
                  <w:r>
                    <w:rPr>
                      <w:rFonts w:hint="default" w:ascii="Times New Roman" w:hAnsi="Times New Roman" w:cs="Times New Roman"/>
                      <w:color w:val="auto"/>
                      <w:szCs w:val="21"/>
                      <w:lang w:eastAsia="zh-CN"/>
                    </w:rPr>
                    <w:t>后运至</w:t>
                  </w:r>
                  <w:r>
                    <w:rPr>
                      <w:rFonts w:hint="eastAsia" w:ascii="Times New Roman" w:hAnsi="Times New Roman" w:cs="Times New Roman"/>
                      <w:color w:val="auto"/>
                      <w:szCs w:val="21"/>
                      <w:lang w:eastAsia="zh-CN"/>
                    </w:rPr>
                    <w:t>蚌峨垃圾处置点</w:t>
                  </w:r>
                  <w:r>
                    <w:rPr>
                      <w:rFonts w:hint="default" w:ascii="Times New Roman" w:hAnsi="Times New Roman" w:cs="Times New Roman"/>
                      <w:color w:val="auto"/>
                      <w:szCs w:val="21"/>
                    </w:rPr>
                    <w:t>。</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危废</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暂存间</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将现有</w:t>
                  </w:r>
                  <w:r>
                    <w:rPr>
                      <w:rFonts w:hint="default" w:ascii="Times New Roman" w:hAnsi="Times New Roman" w:cs="Times New Roman"/>
                      <w:color w:val="auto"/>
                      <w:szCs w:val="21"/>
                      <w:lang w:val="en-US" w:eastAsia="zh-CN"/>
                    </w:rPr>
                    <w:t>仓库改造为</w:t>
                  </w:r>
                  <w:r>
                    <w:rPr>
                      <w:rFonts w:hint="default" w:ascii="Times New Roman" w:hAnsi="Times New Roman" w:cs="Times New Roman"/>
                      <w:color w:val="auto"/>
                      <w:szCs w:val="21"/>
                    </w:rPr>
                    <w:t>危废暂存间，</w:t>
                  </w:r>
                  <w:r>
                    <w:rPr>
                      <w:rFonts w:hint="default" w:ascii="Times New Roman" w:hAnsi="Times New Roman" w:cs="Times New Roman"/>
                      <w:color w:val="auto"/>
                      <w:szCs w:val="21"/>
                      <w:lang w:eastAsia="zh-CN"/>
                    </w:rPr>
                    <w:t>建筑</w:t>
                  </w:r>
                  <w:r>
                    <w:rPr>
                      <w:rFonts w:hint="default" w:ascii="Times New Roman" w:hAnsi="Times New Roman" w:cs="Times New Roman"/>
                      <w:color w:val="auto"/>
                      <w:szCs w:val="21"/>
                    </w:rPr>
                    <w:t>面积</w:t>
                  </w:r>
                  <w:r>
                    <w:rPr>
                      <w:rFonts w:hint="default" w:ascii="Times New Roman" w:hAnsi="Times New Roman" w:cs="Times New Roman"/>
                      <w:color w:val="auto"/>
                      <w:szCs w:val="21"/>
                      <w:lang w:val="en-US" w:eastAsia="zh-CN"/>
                    </w:rPr>
                    <w:t>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，用于临时存放运营期间产生的含油固废；危废暂存间进行防渗处理，并设置明显标识。</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现有仓库改造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危废</w:t>
                  </w:r>
                </w:p>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收集桶</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危废收集桶2个，收集容积为100L/个，桶外壁设置有明显标识，用于分类收集含油消防沙等，收集后临时存放于危废暂存间内。</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2" w:type="dxa"/>
                  <w:vMerge w:val="continue"/>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p>
              </w:tc>
              <w:tc>
                <w:tcPr>
                  <w:tcW w:w="676" w:type="dxa"/>
                  <w:vAlign w:val="center"/>
                </w:tcPr>
                <w:p>
                  <w:pPr>
                    <w:adjustRightInd w:val="0"/>
                    <w:snapToGrid w:val="0"/>
                    <w:spacing w:line="276" w:lineRule="auto"/>
                    <w:ind w:left="-63" w:leftChars="-30" w:right="-63" w:rightChars="-30"/>
                    <w:jc w:val="center"/>
                    <w:rPr>
                      <w:rFonts w:hint="default" w:ascii="Times New Roman" w:hAnsi="Times New Roman" w:cs="Times New Roman"/>
                      <w:color w:val="auto"/>
                      <w:szCs w:val="21"/>
                    </w:rPr>
                  </w:pPr>
                  <w:r>
                    <w:rPr>
                      <w:rFonts w:hint="default" w:ascii="Times New Roman" w:hAnsi="Times New Roman" w:cs="Times New Roman"/>
                      <w:color w:val="auto"/>
                      <w:szCs w:val="21"/>
                    </w:rPr>
                    <w:t>绿化</w:t>
                  </w:r>
                </w:p>
              </w:tc>
              <w:tc>
                <w:tcPr>
                  <w:tcW w:w="6850" w:type="dxa"/>
                  <w:gridSpan w:val="2"/>
                  <w:vAlign w:val="center"/>
                </w:tcPr>
                <w:p>
                  <w:pPr>
                    <w:adjustRightInd w:val="0"/>
                    <w:snapToGrid w:val="0"/>
                    <w:spacing w:line="276" w:lineRule="auto"/>
                    <w:ind w:left="-63" w:leftChars="-30" w:right="-63" w:rightChars="-30"/>
                    <w:jc w:val="left"/>
                    <w:rPr>
                      <w:rFonts w:hint="default" w:ascii="Times New Roman" w:hAnsi="Times New Roman" w:cs="Times New Roman"/>
                      <w:color w:val="auto"/>
                      <w:szCs w:val="21"/>
                    </w:rPr>
                  </w:pPr>
                  <w:r>
                    <w:rPr>
                      <w:rFonts w:hint="default" w:ascii="Times New Roman" w:hAnsi="Times New Roman" w:cs="Times New Roman"/>
                      <w:color w:val="auto"/>
                      <w:szCs w:val="21"/>
                    </w:rPr>
                    <w:t>绿化面积</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914" w:type="dxa"/>
                  <w:vAlign w:val="center"/>
                </w:tcPr>
                <w:p>
                  <w:pPr>
                    <w:adjustRightInd w:val="0"/>
                    <w:snapToGrid w:val="0"/>
                    <w:spacing w:line="276" w:lineRule="auto"/>
                    <w:ind w:left="-63" w:leftChars="-30" w:right="-63" w:rightChars="-3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新建</w:t>
                  </w:r>
                </w:p>
              </w:tc>
            </w:tr>
          </w:tbl>
          <w:p>
            <w:pPr>
              <w:numPr>
                <w:ilvl w:val="0"/>
                <w:numId w:val="2"/>
              </w:numPr>
              <w:autoSpaceDE w:val="0"/>
              <w:autoSpaceDN w:val="0"/>
              <w:adjustRightInd w:val="0"/>
              <w:spacing w:line="46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建设规模</w:t>
            </w:r>
          </w:p>
          <w:p>
            <w:pPr>
              <w:spacing w:line="360" w:lineRule="auto"/>
              <w:ind w:firstLine="480" w:firstLineChars="200"/>
              <w:rPr>
                <w:rFonts w:hint="default" w:ascii="Times New Roman" w:hAnsi="Times New Roman" w:cs="Times New Roman"/>
                <w:b/>
                <w:color w:val="auto"/>
                <w:sz w:val="24"/>
                <w:lang w:eastAsia="zh-CN"/>
              </w:rPr>
            </w:pPr>
            <w:r>
              <w:rPr>
                <w:rFonts w:hint="default" w:ascii="Times New Roman" w:hAnsi="Times New Roman" w:cs="Times New Roman"/>
                <w:color w:val="auto"/>
                <w:sz w:val="24"/>
              </w:rPr>
              <w:t>项目总占地面积为</w:t>
            </w:r>
            <w:r>
              <w:rPr>
                <w:rFonts w:hint="eastAsia" w:ascii="Times New Roman" w:hAnsi="Times New Roman" w:cs="Times New Roman"/>
                <w:color w:val="auto"/>
                <w:sz w:val="24"/>
                <w:lang w:val="en-US" w:eastAsia="zh-CN"/>
              </w:rPr>
              <w:t>1148.0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其中构筑物占地面积为</w:t>
            </w:r>
            <w:r>
              <w:rPr>
                <w:rFonts w:hint="eastAsia" w:ascii="Times New Roman" w:hAnsi="Times New Roman" w:cs="Times New Roman"/>
                <w:color w:val="auto"/>
                <w:sz w:val="24"/>
                <w:lang w:val="en-US" w:eastAsia="zh-CN"/>
              </w:rPr>
              <w:t>410.59</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卸油区占地面积</w:t>
            </w:r>
            <w:r>
              <w:rPr>
                <w:rFonts w:hint="eastAsia" w:ascii="Times New Roman" w:hAnsi="Times New Roman" w:cs="Times New Roman"/>
                <w:color w:val="auto"/>
                <w:sz w:val="24"/>
                <w:lang w:val="en-US" w:eastAsia="zh-CN"/>
              </w:rPr>
              <w:t>40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，绿化面积</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 xml:space="preserve"> 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加油罩棚占地面积</w:t>
            </w:r>
            <w:r>
              <w:rPr>
                <w:rFonts w:hint="eastAsia" w:ascii="Times New Roman" w:hAnsi="Times New Roman" w:cs="Times New Roman"/>
                <w:color w:val="auto"/>
                <w:sz w:val="24"/>
                <w:lang w:val="en-US" w:eastAsia="zh-CN"/>
              </w:rPr>
              <w:t>75.74m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其它储油罐、管线、道路等</w:t>
            </w:r>
            <w:r>
              <w:rPr>
                <w:rFonts w:hint="eastAsia" w:ascii="Times New Roman" w:hAnsi="Times New Roman" w:cs="Times New Roman"/>
                <w:color w:val="auto"/>
                <w:sz w:val="24"/>
                <w:lang w:val="en-US" w:eastAsia="zh-CN"/>
              </w:rPr>
              <w:t>601.67</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。总建筑面积</w:t>
            </w:r>
            <w:r>
              <w:rPr>
                <w:rFonts w:hint="eastAsia" w:ascii="Times New Roman" w:hAnsi="Times New Roman" w:cs="Times New Roman"/>
                <w:color w:val="auto"/>
                <w:sz w:val="24"/>
                <w:lang w:val="en-US" w:eastAsia="zh-CN"/>
              </w:rPr>
              <w:t>240.99</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项目建有一栋站房</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层，</w:t>
            </w:r>
            <w:r>
              <w:rPr>
                <w:rFonts w:hint="eastAsia" w:cs="Times New Roman"/>
                <w:color w:val="auto"/>
                <w:sz w:val="24"/>
                <w:lang w:val="en-US" w:eastAsia="zh-CN"/>
              </w:rPr>
              <w:t>混凝土</w:t>
            </w:r>
            <w:r>
              <w:rPr>
                <w:rFonts w:hint="default" w:ascii="Times New Roman" w:hAnsi="Times New Roman" w:cs="Times New Roman"/>
                <w:color w:val="auto"/>
                <w:sz w:val="24"/>
                <w:lang w:val="en-US" w:eastAsia="zh-CN"/>
              </w:rPr>
              <w:t>结构，</w:t>
            </w:r>
            <w:r>
              <w:rPr>
                <w:rFonts w:hint="eastAsia" w:ascii="Times New Roman" w:hAnsi="Times New Roman" w:cs="Times New Roman"/>
                <w:color w:val="auto"/>
                <w:sz w:val="24"/>
                <w:lang w:val="en-US" w:eastAsia="zh-CN"/>
              </w:rPr>
              <w:t>其中1层</w:t>
            </w:r>
            <w:r>
              <w:rPr>
                <w:rFonts w:hint="default" w:ascii="Times New Roman" w:hAnsi="Times New Roman" w:cs="Times New Roman"/>
                <w:color w:val="auto"/>
                <w:sz w:val="24"/>
                <w:lang w:val="en-US" w:eastAsia="zh-CN"/>
              </w:rPr>
              <w:t>设置开票区、办公区</w:t>
            </w:r>
            <w:r>
              <w:rPr>
                <w:rFonts w:hint="eastAsia" w:ascii="Times New Roman" w:hAnsi="Times New Roman" w:cs="Times New Roman"/>
                <w:color w:val="auto"/>
                <w:sz w:val="24"/>
                <w:lang w:val="en-US" w:eastAsia="zh-CN"/>
              </w:rPr>
              <w:t>、卫生间（水冲厕，男女分开）、仓库、危废暂存间，二层设置厨房、食堂、住宿区。</w:t>
            </w:r>
          </w:p>
          <w:p>
            <w:pPr>
              <w:autoSpaceDE w:val="0"/>
              <w:autoSpaceDN w:val="0"/>
              <w:adjustRightInd w:val="0"/>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产品方案：</w:t>
            </w:r>
            <w:r>
              <w:rPr>
                <w:rFonts w:hint="default" w:ascii="Times New Roman" w:hAnsi="Times New Roman" w:cs="Times New Roman"/>
                <w:color w:val="auto"/>
                <w:sz w:val="24"/>
                <w:lang w:eastAsia="zh-CN"/>
              </w:rPr>
              <w:t>项目改建后</w:t>
            </w:r>
            <w:r>
              <w:rPr>
                <w:rFonts w:hint="eastAsia" w:ascii="Times New Roman" w:hAnsi="Times New Roman" w:cs="Times New Roman"/>
                <w:color w:val="auto"/>
                <w:sz w:val="24"/>
                <w:lang w:eastAsia="zh-CN"/>
              </w:rPr>
              <w:t>，油品种类不变，</w:t>
            </w:r>
            <w:r>
              <w:rPr>
                <w:rFonts w:hint="default" w:ascii="Times New Roman" w:hAnsi="Times New Roman" w:cs="Times New Roman"/>
                <w:color w:val="auto"/>
                <w:sz w:val="24"/>
                <w:lang w:eastAsia="zh-CN"/>
              </w:rPr>
              <w:t>预计</w:t>
            </w:r>
            <w:r>
              <w:rPr>
                <w:rFonts w:hint="default" w:ascii="Times New Roman" w:hAnsi="Times New Roman" w:cs="Times New Roman"/>
                <w:color w:val="auto"/>
                <w:sz w:val="24"/>
              </w:rPr>
              <w:t>0</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柴油年销售量不变，为</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t/a，92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汽油年销售总量不变，为</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0t/</w:t>
            </w:r>
            <w:r>
              <w:rPr>
                <w:rFonts w:hint="eastAsia" w:ascii="Times New Roman" w:hAnsi="Times New Roman" w:cs="Times New Roman"/>
                <w:color w:val="auto"/>
                <w:sz w:val="24"/>
                <w:lang w:val="en-US" w:eastAsia="zh-CN"/>
              </w:rPr>
              <w:t>a，</w:t>
            </w:r>
            <w:r>
              <w:rPr>
                <w:rFonts w:hint="default" w:ascii="Times New Roman" w:hAnsi="Times New Roman" w:cs="Times New Roman"/>
                <w:color w:val="auto"/>
                <w:sz w:val="24"/>
              </w:rPr>
              <w:t>合计约</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rPr>
              <w:t>0t/a。</w:t>
            </w:r>
          </w:p>
          <w:p>
            <w:pPr>
              <w:pStyle w:val="4"/>
              <w:adjustRightInd w:val="0"/>
              <w:snapToGrid w:val="0"/>
              <w:spacing w:before="0" w:after="0"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三、项目主要设备</w:t>
            </w:r>
          </w:p>
          <w:p>
            <w:pPr>
              <w:spacing w:line="360" w:lineRule="auto"/>
              <w:ind w:firstLine="420"/>
              <w:rPr>
                <w:rFonts w:hint="default" w:ascii="Times New Roman" w:hAnsi="Times New Roman" w:cs="Times New Roman"/>
                <w:color w:val="auto"/>
                <w:sz w:val="24"/>
              </w:rPr>
            </w:pPr>
            <w:r>
              <w:rPr>
                <w:rFonts w:hint="default" w:ascii="Times New Roman" w:hAnsi="Times New Roman" w:cs="Times New Roman"/>
                <w:color w:val="auto"/>
                <w:sz w:val="24"/>
              </w:rPr>
              <w:t>项目主要设备情况见表1-</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p>
            <w:pPr>
              <w:spacing w:line="360" w:lineRule="auto"/>
              <w:ind w:firstLine="435"/>
              <w:jc w:val="center"/>
              <w:rPr>
                <w:rFonts w:hint="default" w:ascii="Times New Roman" w:hAnsi="Times New Roman" w:cs="Times New Roman"/>
                <w:color w:val="auto"/>
                <w:sz w:val="24"/>
              </w:rPr>
            </w:pPr>
            <w:r>
              <w:rPr>
                <w:rFonts w:hint="default" w:ascii="Times New Roman" w:hAnsi="Times New Roman" w:cs="Times New Roman"/>
                <w:b/>
                <w:color w:val="auto"/>
                <w:sz w:val="24"/>
              </w:rPr>
              <w:t>表1-</w:t>
            </w:r>
            <w:r>
              <w:rPr>
                <w:rFonts w:hint="default" w:ascii="Times New Roman" w:hAnsi="Times New Roman" w:cs="Times New Roman"/>
                <w:b/>
                <w:color w:val="auto"/>
                <w:sz w:val="24"/>
                <w:lang w:val="en-US" w:eastAsia="zh-CN"/>
              </w:rPr>
              <w:t>2</w:t>
            </w:r>
            <w:r>
              <w:rPr>
                <w:rFonts w:hint="default" w:ascii="Times New Roman" w:hAnsi="Times New Roman" w:cs="Times New Roman"/>
                <w:b/>
                <w:color w:val="auto"/>
                <w:sz w:val="24"/>
              </w:rPr>
              <w:t xml:space="preserve"> 项目主要设备一览表</w:t>
            </w:r>
          </w:p>
          <w:tbl>
            <w:tblPr>
              <w:tblStyle w:val="23"/>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1720"/>
              <w:gridCol w:w="2552"/>
              <w:gridCol w:w="1084"/>
              <w:gridCol w:w="1190"/>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Align w:val="center"/>
                </w:tcPr>
                <w:p>
                  <w:pPr>
                    <w:spacing w:line="276" w:lineRule="auto"/>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1720" w:type="dxa"/>
                  <w:vAlign w:val="center"/>
                </w:tcPr>
                <w:p>
                  <w:pPr>
                    <w:spacing w:line="276" w:lineRule="auto"/>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设备名称</w:t>
                  </w:r>
                </w:p>
              </w:tc>
              <w:tc>
                <w:tcPr>
                  <w:tcW w:w="2552" w:type="dxa"/>
                  <w:vAlign w:val="center"/>
                </w:tcPr>
                <w:p>
                  <w:pPr>
                    <w:spacing w:line="276" w:lineRule="auto"/>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型号/规格</w:t>
                  </w:r>
                </w:p>
              </w:tc>
              <w:tc>
                <w:tcPr>
                  <w:tcW w:w="1084" w:type="dxa"/>
                  <w:vAlign w:val="center"/>
                </w:tcPr>
                <w:p>
                  <w:pPr>
                    <w:spacing w:line="276" w:lineRule="auto"/>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1190" w:type="dxa"/>
                  <w:vAlign w:val="center"/>
                </w:tcPr>
                <w:p>
                  <w:pPr>
                    <w:spacing w:line="276" w:lineRule="auto"/>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数量</w:t>
                  </w:r>
                </w:p>
              </w:tc>
              <w:tc>
                <w:tcPr>
                  <w:tcW w:w="1544" w:type="dxa"/>
                  <w:vAlign w:val="center"/>
                </w:tcPr>
                <w:p>
                  <w:pPr>
                    <w:spacing w:line="276" w:lineRule="auto"/>
                    <w:ind w:left="-105" w:leftChars="-50" w:right="-105" w:rightChar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72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加油机</w:t>
                  </w:r>
                </w:p>
              </w:tc>
              <w:tc>
                <w:tcPr>
                  <w:tcW w:w="2552" w:type="dxa"/>
                  <w:vMerge w:val="restart"/>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Q=5~50L/min</w:t>
                  </w:r>
                </w:p>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AC220V</w:t>
                  </w: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190" w:type="dxa"/>
                  <w:vAlign w:val="center"/>
                </w:tcPr>
                <w:p>
                  <w:pPr>
                    <w:spacing w:line="276" w:lineRule="auto"/>
                    <w:ind w:left="-105" w:leftChars="-50" w:right="-105" w:rightChars="-5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w:t>
                  </w:r>
                </w:p>
              </w:tc>
              <w:tc>
                <w:tcPr>
                  <w:tcW w:w="1544" w:type="dxa"/>
                  <w:vAlign w:val="center"/>
                </w:tcPr>
                <w:p>
                  <w:pPr>
                    <w:spacing w:line="276" w:lineRule="auto"/>
                    <w:ind w:right="-105" w:rightChar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其中</w:t>
                  </w:r>
                </w:p>
              </w:tc>
              <w:tc>
                <w:tcPr>
                  <w:tcW w:w="172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0#号柴油/9</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#汽油加油机</w:t>
                  </w:r>
                </w:p>
              </w:tc>
              <w:tc>
                <w:tcPr>
                  <w:tcW w:w="2552" w:type="dxa"/>
                  <w:vMerge w:val="continue"/>
                  <w:vAlign w:val="center"/>
                </w:tcPr>
                <w:p>
                  <w:pPr>
                    <w:spacing w:line="276" w:lineRule="auto"/>
                    <w:ind w:left="-105" w:leftChars="-50" w:right="-105" w:rightChars="-50"/>
                    <w:jc w:val="center"/>
                    <w:rPr>
                      <w:rFonts w:hint="default" w:ascii="Times New Roman" w:hAnsi="Times New Roman" w:cs="Times New Roman"/>
                      <w:color w:val="auto"/>
                      <w:szCs w:val="21"/>
                    </w:rPr>
                  </w:pP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190" w:type="dxa"/>
                  <w:vAlign w:val="center"/>
                </w:tcPr>
                <w:p>
                  <w:pPr>
                    <w:spacing w:line="276" w:lineRule="auto"/>
                    <w:ind w:left="-105" w:leftChars="-50" w:right="-105" w:rightChars="-5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w:t>
                  </w:r>
                </w:p>
              </w:tc>
              <w:tc>
                <w:tcPr>
                  <w:tcW w:w="154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汽油加油枪</w:t>
                  </w:r>
                  <w:r>
                    <w:rPr>
                      <w:rFonts w:hint="default" w:ascii="Times New Roman" w:hAnsi="Times New Roman" w:cs="Times New Roman"/>
                      <w:color w:val="auto"/>
                      <w:szCs w:val="21"/>
                    </w:rPr>
                    <w:t>设置油气回收系统</w:t>
                  </w:r>
                </w:p>
                <w:p>
                  <w:pPr>
                    <w:spacing w:line="276" w:lineRule="auto"/>
                    <w:ind w:left="-105" w:leftChars="-50" w:right="-105" w:rightChars="-5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72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储油罐</w:t>
                  </w:r>
                </w:p>
              </w:tc>
              <w:tc>
                <w:tcPr>
                  <w:tcW w:w="2552"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地埋式SF双层油罐</w:t>
                  </w: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个</w:t>
                  </w:r>
                </w:p>
              </w:tc>
              <w:tc>
                <w:tcPr>
                  <w:tcW w:w="1190" w:type="dxa"/>
                  <w:vAlign w:val="center"/>
                </w:tcPr>
                <w:p>
                  <w:pPr>
                    <w:spacing w:line="276" w:lineRule="auto"/>
                    <w:ind w:left="-105" w:leftChars="-50" w:right="-105" w:rightChars="-5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w:t>
                  </w:r>
                </w:p>
              </w:tc>
              <w:tc>
                <w:tcPr>
                  <w:tcW w:w="1544" w:type="dxa"/>
                  <w:vAlign w:val="center"/>
                </w:tcPr>
                <w:p>
                  <w:pPr>
                    <w:spacing w:line="276" w:lineRule="auto"/>
                    <w:ind w:right="-105" w:rightChar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Merge w:val="restart"/>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其中</w:t>
                  </w:r>
                </w:p>
              </w:tc>
              <w:tc>
                <w:tcPr>
                  <w:tcW w:w="172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0#柴油储罐</w:t>
                  </w:r>
                </w:p>
              </w:tc>
              <w:tc>
                <w:tcPr>
                  <w:tcW w:w="2552" w:type="dxa"/>
                  <w:vMerge w:val="restart"/>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内层为Q235B；外层为玻璃纤维增强塑料；均</w:t>
                  </w:r>
                  <w:r>
                    <w:rPr>
                      <w:rFonts w:hint="default" w:ascii="Times New Roman" w:hAnsi="Times New Roman" w:cs="Times New Roman"/>
                      <w:color w:val="auto"/>
                      <w:kern w:val="0"/>
                      <w:szCs w:val="21"/>
                    </w:rPr>
                    <w:t>配套安装有</w:t>
                  </w:r>
                  <w:r>
                    <w:rPr>
                      <w:rFonts w:hint="default" w:ascii="Times New Roman" w:hAnsi="Times New Roman" w:cs="Times New Roman"/>
                      <w:color w:val="auto"/>
                      <w:szCs w:val="21"/>
                    </w:rPr>
                    <w:t>渗漏在线检测系统</w:t>
                  </w: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个</w:t>
                  </w:r>
                </w:p>
              </w:tc>
              <w:tc>
                <w:tcPr>
                  <w:tcW w:w="1190" w:type="dxa"/>
                  <w:vAlign w:val="center"/>
                </w:tcPr>
                <w:p>
                  <w:pPr>
                    <w:spacing w:line="276" w:lineRule="auto"/>
                    <w:ind w:left="-105" w:leftChars="-50" w:right="-105" w:rightChars="-5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1</w:t>
                  </w:r>
                </w:p>
              </w:tc>
              <w:tc>
                <w:tcPr>
                  <w:tcW w:w="154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双层罐</w:t>
                  </w:r>
                  <w:r>
                    <w:rPr>
                      <w:rFonts w:hint="eastAsia" w:ascii="Times New Roman" w:hAnsi="Times New Roman"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Merge w:val="continue"/>
                  <w:vAlign w:val="center"/>
                </w:tcPr>
                <w:p>
                  <w:pPr>
                    <w:spacing w:line="276" w:lineRule="auto"/>
                    <w:ind w:left="-105" w:leftChars="-50" w:right="-105" w:rightChars="-50"/>
                    <w:jc w:val="center"/>
                    <w:rPr>
                      <w:rFonts w:hint="default" w:ascii="Times New Roman" w:hAnsi="Times New Roman" w:cs="Times New Roman"/>
                      <w:color w:val="auto"/>
                      <w:szCs w:val="21"/>
                    </w:rPr>
                  </w:pPr>
                </w:p>
              </w:tc>
              <w:tc>
                <w:tcPr>
                  <w:tcW w:w="1720" w:type="dxa"/>
                  <w:vAlign w:val="center"/>
                </w:tcPr>
                <w:p>
                  <w:pPr>
                    <w:spacing w:line="276" w:lineRule="auto"/>
                    <w:ind w:left="-105" w:leftChars="-50" w:right="-105" w:rightChars="-5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92#汽油储罐</w:t>
                  </w:r>
                </w:p>
              </w:tc>
              <w:tc>
                <w:tcPr>
                  <w:tcW w:w="2552" w:type="dxa"/>
                  <w:vMerge w:val="continue"/>
                  <w:vAlign w:val="center"/>
                </w:tcPr>
                <w:p>
                  <w:pPr>
                    <w:spacing w:line="276" w:lineRule="auto"/>
                    <w:ind w:left="-105" w:leftChars="-50" w:right="-105" w:rightChars="-50"/>
                    <w:jc w:val="center"/>
                    <w:rPr>
                      <w:rFonts w:hint="default" w:ascii="Times New Roman" w:hAnsi="Times New Roman" w:cs="Times New Roman"/>
                      <w:color w:val="auto"/>
                      <w:szCs w:val="21"/>
                    </w:rPr>
                  </w:pP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个</w:t>
                  </w:r>
                </w:p>
              </w:tc>
              <w:tc>
                <w:tcPr>
                  <w:tcW w:w="1190" w:type="dxa"/>
                  <w:vAlign w:val="center"/>
                </w:tcPr>
                <w:p>
                  <w:pPr>
                    <w:spacing w:line="276" w:lineRule="auto"/>
                    <w:ind w:left="-105" w:leftChars="-50" w:right="-105" w:rightChars="-5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154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双层罐，设有油气回收装置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72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油气回收装置</w:t>
                  </w:r>
                </w:p>
              </w:tc>
              <w:tc>
                <w:tcPr>
                  <w:tcW w:w="2552"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回收效率</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90%</w:t>
                  </w: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1190" w:type="dxa"/>
                  <w:vAlign w:val="center"/>
                </w:tcPr>
                <w:p>
                  <w:pPr>
                    <w:spacing w:line="276" w:lineRule="auto"/>
                    <w:ind w:left="-105" w:leftChars="-50" w:right="-105" w:rightChars="-5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w:t>
                  </w:r>
                </w:p>
              </w:tc>
              <w:tc>
                <w:tcPr>
                  <w:tcW w:w="1544" w:type="dxa"/>
                  <w:vAlign w:val="center"/>
                </w:tcPr>
                <w:p>
                  <w:pPr>
                    <w:spacing w:line="276" w:lineRule="auto"/>
                    <w:ind w:left="-105" w:leftChars="-50" w:right="-105" w:rightChars="-5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汽油加油</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lang w:val="en-US" w:eastAsia="zh-CN"/>
                    </w:rPr>
                    <w:t>套、卸油</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72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液位仪</w:t>
                  </w:r>
                </w:p>
              </w:tc>
              <w:tc>
                <w:tcPr>
                  <w:tcW w:w="2552"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1190" w:type="dxa"/>
                  <w:vAlign w:val="center"/>
                </w:tcPr>
                <w:p>
                  <w:pPr>
                    <w:spacing w:line="276" w:lineRule="auto"/>
                    <w:ind w:left="-105" w:leftChars="-50" w:right="-105" w:rightChars="-5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1544" w:type="dxa"/>
                  <w:vAlign w:val="center"/>
                </w:tcPr>
                <w:p>
                  <w:pPr>
                    <w:spacing w:line="276" w:lineRule="auto"/>
                    <w:ind w:left="-105" w:leftChars="-50" w:right="-105" w:rightChar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72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集液管</w:t>
                  </w:r>
                </w:p>
              </w:tc>
              <w:tc>
                <w:tcPr>
                  <w:tcW w:w="2552"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Q=240L/min；N=1.5HP；AC220V</w:t>
                  </w: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119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544" w:type="dxa"/>
                  <w:vAlign w:val="center"/>
                </w:tcPr>
                <w:p>
                  <w:pPr>
                    <w:spacing w:line="276" w:lineRule="auto"/>
                    <w:ind w:left="-105" w:leftChars="-50" w:right="-105" w:rightChar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9"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72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潜油泵</w:t>
                  </w:r>
                </w:p>
              </w:tc>
              <w:tc>
                <w:tcPr>
                  <w:tcW w:w="2552"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DN300</w:t>
                  </w: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190" w:type="dxa"/>
                  <w:vAlign w:val="center"/>
                </w:tcPr>
                <w:p>
                  <w:pPr>
                    <w:spacing w:line="276" w:lineRule="auto"/>
                    <w:ind w:left="-105" w:leftChars="-50" w:right="-105" w:rightChars="-5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w:t>
                  </w:r>
                </w:p>
              </w:tc>
              <w:tc>
                <w:tcPr>
                  <w:tcW w:w="1544" w:type="dxa"/>
                  <w:vAlign w:val="center"/>
                </w:tcPr>
                <w:p>
                  <w:pPr>
                    <w:spacing w:line="276" w:lineRule="auto"/>
                    <w:ind w:left="-105" w:leftChars="-50" w:right="-105" w:rightChar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9"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72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备用发电机</w:t>
                  </w:r>
                </w:p>
              </w:tc>
              <w:tc>
                <w:tcPr>
                  <w:tcW w:w="2552"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8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190"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544" w:type="dxa"/>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15</w:t>
                  </w:r>
                  <w:r>
                    <w:rPr>
                      <w:rFonts w:hint="default" w:ascii="Times New Roman" w:hAnsi="Times New Roman" w:cs="Times New Roman"/>
                      <w:color w:val="auto"/>
                      <w:szCs w:val="21"/>
                    </w:rPr>
                    <w:t>kw</w:t>
                  </w:r>
                </w:p>
              </w:tc>
            </w:tr>
          </w:tbl>
          <w:p>
            <w:pPr>
              <w:pStyle w:val="4"/>
              <w:adjustRightInd w:val="0"/>
              <w:snapToGrid w:val="0"/>
              <w:spacing w:before="0" w:after="0"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四、主要技术经济指标</w:t>
            </w:r>
          </w:p>
          <w:p>
            <w:pPr>
              <w:autoSpaceDE w:val="0"/>
              <w:autoSpaceDN w:val="0"/>
              <w:adjustRightIn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项目主要技术经济指标见表1-</w:t>
            </w:r>
            <w:r>
              <w:rPr>
                <w:rFonts w:hint="default" w:ascii="Times New Roman" w:hAnsi="Times New Roman" w:cs="Times New Roman"/>
                <w:snapToGrid w:val="0"/>
                <w:color w:val="auto"/>
                <w:kern w:val="0"/>
                <w:sz w:val="24"/>
                <w:lang w:val="en-US" w:eastAsia="zh-CN"/>
              </w:rPr>
              <w:t>3</w:t>
            </w:r>
            <w:r>
              <w:rPr>
                <w:rFonts w:hint="default" w:ascii="Times New Roman" w:hAnsi="Times New Roman" w:cs="Times New Roman"/>
                <w:snapToGrid w:val="0"/>
                <w:color w:val="auto"/>
                <w:kern w:val="0"/>
                <w:sz w:val="24"/>
              </w:rPr>
              <w:t>。</w:t>
            </w:r>
          </w:p>
          <w:p>
            <w:pPr>
              <w:autoSpaceDE w:val="0"/>
              <w:autoSpaceDN w:val="0"/>
              <w:adjustRightInd w:val="0"/>
              <w:spacing w:line="360" w:lineRule="auto"/>
              <w:ind w:firstLine="482" w:firstLineChars="200"/>
              <w:jc w:val="center"/>
              <w:rPr>
                <w:rFonts w:hint="default" w:ascii="Times New Roman" w:hAnsi="Times New Roman" w:cs="Times New Roman"/>
                <w:b/>
                <w:snapToGrid w:val="0"/>
                <w:color w:val="auto"/>
                <w:kern w:val="0"/>
                <w:sz w:val="24"/>
                <w:szCs w:val="24"/>
              </w:rPr>
            </w:pPr>
            <w:r>
              <w:rPr>
                <w:rFonts w:hint="default" w:ascii="Times New Roman" w:hAnsi="Times New Roman" w:cs="Times New Roman"/>
                <w:b/>
                <w:snapToGrid w:val="0"/>
                <w:color w:val="auto"/>
                <w:kern w:val="0"/>
                <w:sz w:val="24"/>
                <w:szCs w:val="24"/>
              </w:rPr>
              <w:t>表1-</w:t>
            </w:r>
            <w:r>
              <w:rPr>
                <w:rFonts w:hint="default" w:ascii="Times New Roman" w:hAnsi="Times New Roman" w:cs="Times New Roman"/>
                <w:b/>
                <w:snapToGrid w:val="0"/>
                <w:color w:val="auto"/>
                <w:kern w:val="0"/>
                <w:sz w:val="24"/>
                <w:szCs w:val="24"/>
                <w:lang w:val="en-US" w:eastAsia="zh-CN"/>
              </w:rPr>
              <w:t>3</w:t>
            </w:r>
            <w:r>
              <w:rPr>
                <w:rFonts w:hint="default" w:ascii="Times New Roman" w:hAnsi="Times New Roman" w:cs="Times New Roman"/>
                <w:b/>
                <w:snapToGrid w:val="0"/>
                <w:color w:val="auto"/>
                <w:kern w:val="0"/>
                <w:sz w:val="24"/>
                <w:szCs w:val="24"/>
              </w:rPr>
              <w:t xml:space="preserve"> 项目主要技术经济指标</w:t>
            </w:r>
          </w:p>
          <w:tbl>
            <w:tblPr>
              <w:tblStyle w:val="23"/>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802"/>
              <w:gridCol w:w="1605"/>
              <w:gridCol w:w="1470"/>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8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指标名称</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18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85"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8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总用地面积</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1148.0</w:t>
                  </w:r>
                </w:p>
              </w:tc>
              <w:tc>
                <w:tcPr>
                  <w:tcW w:w="1896" w:type="dxa"/>
                  <w:vAlign w:val="top"/>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85"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1802" w:type="dxa"/>
                  <w:vAlign w:val="center"/>
                </w:tcPr>
                <w:p>
                  <w:pPr>
                    <w:ind w:firstLine="210" w:firstLineChars="10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构筑物</w:t>
                  </w:r>
                  <w:r>
                    <w:rPr>
                      <w:rFonts w:hint="default" w:ascii="Times New Roman" w:hAnsi="Times New Roman" w:cs="Times New Roman"/>
                      <w:color w:val="auto"/>
                      <w:szCs w:val="21"/>
                    </w:rPr>
                    <w:t>用地</w:t>
                  </w:r>
                </w:p>
              </w:tc>
              <w:tc>
                <w:tcPr>
                  <w:tcW w:w="1605"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410.59</w:t>
                  </w:r>
                </w:p>
              </w:tc>
              <w:tc>
                <w:tcPr>
                  <w:tcW w:w="1896" w:type="dxa"/>
                  <w:vAlign w:val="top"/>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85"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802"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卸油区</w:t>
                  </w:r>
                </w:p>
              </w:tc>
              <w:tc>
                <w:tcPr>
                  <w:tcW w:w="1605"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40</w:t>
                  </w:r>
                  <w:r>
                    <w:rPr>
                      <w:rFonts w:hint="eastAsia" w:ascii="Times New Roman" w:hAnsi="Times New Roman" w:cs="Times New Roman"/>
                      <w:color w:val="auto"/>
                      <w:szCs w:val="21"/>
                      <w:lang w:val="en-US" w:eastAsia="zh-CN"/>
                    </w:rPr>
                    <w:t>.0</w:t>
                  </w:r>
                </w:p>
              </w:tc>
              <w:tc>
                <w:tcPr>
                  <w:tcW w:w="1896" w:type="dxa"/>
                  <w:vAlign w:val="top"/>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85"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1802"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绿化面积</w:t>
                  </w:r>
                </w:p>
              </w:tc>
              <w:tc>
                <w:tcPr>
                  <w:tcW w:w="1605"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20</w:t>
                  </w:r>
                  <w:r>
                    <w:rPr>
                      <w:rFonts w:hint="eastAsia" w:ascii="Times New Roman" w:hAnsi="Times New Roman" w:cs="Times New Roman"/>
                      <w:color w:val="auto"/>
                      <w:szCs w:val="21"/>
                      <w:lang w:val="en-US" w:eastAsia="zh-CN"/>
                    </w:rPr>
                    <w:t>.0</w:t>
                  </w:r>
                </w:p>
              </w:tc>
              <w:tc>
                <w:tcPr>
                  <w:tcW w:w="1896" w:type="dxa"/>
                  <w:vAlign w:val="top"/>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85" w:type="dxa"/>
                  <w:vAlign w:val="top"/>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1.4</w:t>
                  </w:r>
                </w:p>
              </w:tc>
              <w:tc>
                <w:tcPr>
                  <w:tcW w:w="1802"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罩棚</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75.74</w:t>
                  </w:r>
                </w:p>
              </w:tc>
              <w:tc>
                <w:tcPr>
                  <w:tcW w:w="189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485"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lang w:val="en-US" w:eastAsia="zh-CN"/>
                    </w:rPr>
                    <w:t>5</w:t>
                  </w:r>
                </w:p>
              </w:tc>
              <w:tc>
                <w:tcPr>
                  <w:tcW w:w="18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储油罐坑</w:t>
                  </w:r>
                  <w:r>
                    <w:rPr>
                      <w:rFonts w:hint="default" w:ascii="Times New Roman" w:hAnsi="Times New Roman" w:cs="Times New Roman"/>
                      <w:color w:val="auto"/>
                      <w:szCs w:val="21"/>
                      <w:lang w:eastAsia="zh-CN"/>
                    </w:rPr>
                    <w:t>、管线、道路等</w:t>
                  </w:r>
                </w:p>
              </w:tc>
              <w:tc>
                <w:tcPr>
                  <w:tcW w:w="1605"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601.67</w:t>
                  </w:r>
                </w:p>
              </w:tc>
              <w:tc>
                <w:tcPr>
                  <w:tcW w:w="1896" w:type="dxa"/>
                  <w:vAlign w:val="top"/>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5"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8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总建筑面积</w:t>
                  </w:r>
                </w:p>
              </w:tc>
              <w:tc>
                <w:tcPr>
                  <w:tcW w:w="1605"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240.99</w:t>
                  </w:r>
                </w:p>
              </w:tc>
              <w:tc>
                <w:tcPr>
                  <w:tcW w:w="1896" w:type="dxa"/>
                  <w:vAlign w:val="top"/>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一栋站房，</w:t>
                  </w:r>
                  <w:r>
                    <w:rPr>
                      <w:rFonts w:hint="default" w:ascii="Times New Roman" w:hAnsi="Times New Roman" w:cs="Times New Roman"/>
                      <w:color w:val="auto"/>
                      <w:szCs w:val="21"/>
                      <w:lang w:val="en-US" w:eastAsia="zh-CN"/>
                    </w:rPr>
                    <w:t>砖混</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5"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1802"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办公区</w:t>
                  </w:r>
                </w:p>
              </w:tc>
              <w:tc>
                <w:tcPr>
                  <w:tcW w:w="1605"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55</w:t>
                  </w:r>
                </w:p>
              </w:tc>
              <w:tc>
                <w:tcPr>
                  <w:tcW w:w="1896" w:type="dxa"/>
                  <w:vAlign w:val="top"/>
                </w:tcPr>
                <w:p>
                  <w:pPr>
                    <w:jc w:val="center"/>
                    <w:rPr>
                      <w:rFonts w:hint="default" w:ascii="Times New Roman" w:hAnsi="Times New Roman" w:eastAsia="宋体" w:cs="Times New Roman"/>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5" w:type="dxa"/>
                  <w:vAlign w:val="top"/>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2.2</w:t>
                  </w:r>
                </w:p>
              </w:tc>
              <w:tc>
                <w:tcPr>
                  <w:tcW w:w="1802"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卫生间</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w:t>
                  </w:r>
                </w:p>
              </w:tc>
              <w:tc>
                <w:tcPr>
                  <w:tcW w:w="189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5" w:type="dxa"/>
                  <w:vAlign w:val="top"/>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1802" w:type="dxa"/>
                  <w:vAlign w:val="center"/>
                </w:tcPr>
                <w:p>
                  <w:pPr>
                    <w:jc w:val="center"/>
                    <w:rPr>
                      <w:rFonts w:hint="eastAsia" w:ascii="Times New Roman" w:hAnsi="Times New Roman" w:cs="Times New Roman"/>
                      <w:color w:val="auto"/>
                      <w:szCs w:val="21"/>
                      <w:lang w:eastAsia="zh-CN"/>
                    </w:rPr>
                  </w:pPr>
                  <w:r>
                    <w:rPr>
                      <w:rFonts w:hint="eastAsia" w:ascii="Times New Roman" w:hAnsi="Times New Roman" w:eastAsia="宋体" w:cs="Times New Roman"/>
                      <w:color w:val="auto"/>
                      <w:szCs w:val="21"/>
                      <w:lang w:val="en-US" w:eastAsia="zh-CN"/>
                    </w:rPr>
                    <w:t>仓库</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w:t>
                  </w:r>
                </w:p>
              </w:tc>
              <w:tc>
                <w:tcPr>
                  <w:tcW w:w="1896" w:type="dxa"/>
                  <w:vAlign w:val="top"/>
                </w:tcPr>
                <w:p>
                  <w:pPr>
                    <w:jc w:val="both"/>
                    <w:rPr>
                      <w:rFonts w:hint="default" w:ascii="Times New Roman" w:hAnsi="Times New Roman"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5" w:type="dxa"/>
                  <w:vAlign w:val="top"/>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2.4</w:t>
                  </w:r>
                </w:p>
              </w:tc>
              <w:tc>
                <w:tcPr>
                  <w:tcW w:w="1802" w:type="dxa"/>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危废暂存间</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w:t>
                  </w:r>
                </w:p>
              </w:tc>
              <w:tc>
                <w:tcPr>
                  <w:tcW w:w="1896" w:type="dxa"/>
                  <w:vAlign w:val="top"/>
                </w:tcPr>
                <w:p>
                  <w:pPr>
                    <w:jc w:val="both"/>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将仓库隔开改建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5" w:type="dxa"/>
                  <w:vAlign w:val="top"/>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2.5</w:t>
                  </w:r>
                </w:p>
              </w:tc>
              <w:tc>
                <w:tcPr>
                  <w:tcW w:w="1802" w:type="dxa"/>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配电室</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w:t>
                  </w:r>
                </w:p>
              </w:tc>
              <w:tc>
                <w:tcPr>
                  <w:tcW w:w="1896" w:type="dxa"/>
                  <w:vAlign w:val="top"/>
                </w:tcPr>
                <w:p>
                  <w:pPr>
                    <w:jc w:val="center"/>
                    <w:rPr>
                      <w:rFonts w:hint="eastAsia"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5" w:type="dxa"/>
                  <w:vAlign w:val="top"/>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2.6</w:t>
                  </w:r>
                </w:p>
              </w:tc>
              <w:tc>
                <w:tcPr>
                  <w:tcW w:w="1802" w:type="dxa"/>
                  <w:vAlign w:val="center"/>
                </w:tcPr>
                <w:p>
                  <w:pPr>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生活区</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470"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120.99</w:t>
                  </w:r>
                </w:p>
              </w:tc>
              <w:tc>
                <w:tcPr>
                  <w:tcW w:w="1896" w:type="dxa"/>
                  <w:vAlign w:val="top"/>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85" w:type="dxa"/>
                  <w:vAlign w:val="top"/>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3</w:t>
                  </w:r>
                </w:p>
              </w:tc>
              <w:tc>
                <w:tcPr>
                  <w:tcW w:w="1802"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储罐</w:t>
                  </w:r>
                </w:p>
              </w:tc>
              <w:tc>
                <w:tcPr>
                  <w:tcW w:w="1605"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个</w:t>
                  </w:r>
                </w:p>
              </w:tc>
              <w:tc>
                <w:tcPr>
                  <w:tcW w:w="1470" w:type="dxa"/>
                  <w:vAlign w:val="center"/>
                </w:tcPr>
                <w:p>
                  <w:pPr>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w:t>
                  </w:r>
                </w:p>
              </w:tc>
              <w:tc>
                <w:tcPr>
                  <w:tcW w:w="1896" w:type="dxa"/>
                  <w:vAlign w:val="top"/>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92#汽油</w:t>
                  </w: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，0#柴油容积为</w:t>
                  </w:r>
                  <w:r>
                    <w:rPr>
                      <w:rFonts w:hint="eastAsia" w:ascii="Times New Roman" w:hAnsi="Times New Roman" w:cs="Times New Roman"/>
                      <w:color w:val="auto"/>
                      <w:szCs w:val="21"/>
                      <w:lang w:val="en-US" w:eastAsia="zh-CN"/>
                    </w:rPr>
                    <w:t>50</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r>
                    <w:rPr>
                      <w:rFonts w:hint="eastAsia" w:ascii="Times New Roman" w:hAnsi="Times New Roman" w:cs="Times New Roman"/>
                      <w:color w:val="auto"/>
                      <w:szCs w:val="21"/>
                      <w:lang w:val="en-US" w:eastAsia="zh-CN"/>
                    </w:rPr>
                    <w:t>。</w:t>
                  </w:r>
                </w:p>
              </w:tc>
            </w:tr>
          </w:tbl>
          <w:p>
            <w:pPr>
              <w:pStyle w:val="4"/>
              <w:adjustRightInd w:val="0"/>
              <w:snapToGrid w:val="0"/>
              <w:spacing w:before="156" w:beforeLines="50" w:after="0"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五、总平面布置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项目位于</w:t>
            </w:r>
            <w:r>
              <w:rPr>
                <w:rFonts w:hint="eastAsia" w:ascii="Times New Roman" w:hAnsi="Times New Roman" w:cs="Times New Roman"/>
                <w:color w:val="auto"/>
                <w:sz w:val="24"/>
                <w:lang w:eastAsia="zh-CN"/>
              </w:rPr>
              <w:t>砚山县蚌峨乡蚌峨新寨</w:t>
            </w:r>
            <w:r>
              <w:rPr>
                <w:rFonts w:hint="default" w:ascii="Times New Roman" w:hAnsi="Times New Roman" w:cs="Times New Roman"/>
                <w:color w:val="auto"/>
                <w:sz w:val="24"/>
              </w:rPr>
              <w:t>，站内共有</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个单元，分别为加油区、储油罐区、</w:t>
            </w:r>
            <w:r>
              <w:rPr>
                <w:rFonts w:hint="default" w:ascii="Times New Roman" w:hAnsi="Times New Roman" w:cs="Times New Roman"/>
                <w:color w:val="auto"/>
                <w:sz w:val="24"/>
                <w:lang w:eastAsia="zh-CN"/>
              </w:rPr>
              <w:t>办公生活区</w:t>
            </w:r>
            <w:r>
              <w:rPr>
                <w:rFonts w:hint="default" w:ascii="Times New Roman" w:hAnsi="Times New Roman" w:cs="Times New Roman"/>
                <w:color w:val="auto"/>
                <w:sz w:val="24"/>
              </w:rPr>
              <w:t>，其中加油区位于项目场区中间位置，地埋油罐位于项目场区</w:t>
            </w:r>
            <w:r>
              <w:rPr>
                <w:rFonts w:hint="eastAsia" w:ascii="Times New Roman" w:hAnsi="Times New Roman" w:cs="Times New Roman"/>
                <w:color w:val="auto"/>
                <w:sz w:val="24"/>
                <w:lang w:eastAsia="zh-CN"/>
              </w:rPr>
              <w:t>东</w:t>
            </w:r>
            <w:r>
              <w:rPr>
                <w:rFonts w:hint="default" w:ascii="Times New Roman" w:hAnsi="Times New Roman" w:cs="Times New Roman"/>
                <w:color w:val="auto"/>
                <w:sz w:val="24"/>
                <w:lang w:eastAsia="zh-CN"/>
              </w:rPr>
              <w:t>侧</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站房位于</w:t>
            </w:r>
            <w:r>
              <w:rPr>
                <w:rFonts w:hint="eastAsia" w:ascii="Times New Roman" w:hAnsi="Times New Roman" w:cs="Times New Roman"/>
                <w:color w:val="auto"/>
                <w:sz w:val="24"/>
                <w:lang w:eastAsia="zh-CN"/>
              </w:rPr>
              <w:t>场区罩棚东</w:t>
            </w:r>
            <w:r>
              <w:rPr>
                <w:rFonts w:hint="default" w:ascii="Times New Roman" w:hAnsi="Times New Roman" w:cs="Times New Roman"/>
                <w:color w:val="auto"/>
                <w:sz w:val="24"/>
                <w:lang w:eastAsia="zh-CN"/>
              </w:rPr>
              <w:t>侧，</w:t>
            </w:r>
            <w:r>
              <w:rPr>
                <w:rFonts w:hint="default" w:ascii="Times New Roman" w:hAnsi="Times New Roman" w:cs="Times New Roman"/>
                <w:color w:val="auto"/>
                <w:sz w:val="24"/>
              </w:rPr>
              <w:t>各功能单元位置图详见图</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：项目平面布置</w:t>
            </w:r>
            <w:r>
              <w:rPr>
                <w:rFonts w:hint="eastAsia" w:ascii="Times New Roman" w:hAnsi="Times New Roman" w:cs="Times New Roman"/>
                <w:color w:val="auto"/>
                <w:sz w:val="24"/>
                <w:lang w:eastAsia="zh-CN"/>
              </w:rPr>
              <w:t>及环保设施布设</w:t>
            </w:r>
            <w:r>
              <w:rPr>
                <w:rFonts w:hint="default" w:ascii="Times New Roman" w:hAnsi="Times New Roman" w:cs="Times New Roman"/>
                <w:color w:val="auto"/>
                <w:sz w:val="24"/>
              </w:rPr>
              <w:t>图。</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六、项目施工及预投产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项目工程建设工期为201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月～201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月，总施工期为</w:t>
            </w:r>
            <w:r>
              <w:rPr>
                <w:rFonts w:hint="default" w:ascii="Times New Roman" w:hAnsi="Times New Roman" w:cs="Times New Roman"/>
                <w:color w:val="auto"/>
                <w:sz w:val="24"/>
                <w:lang w:val="en-US" w:eastAsia="zh-CN"/>
              </w:rPr>
              <w:t>90</w:t>
            </w:r>
            <w:r>
              <w:rPr>
                <w:rFonts w:hint="default" w:ascii="Times New Roman" w:hAnsi="Times New Roman" w:cs="Times New Roman"/>
                <w:color w:val="auto"/>
                <w:sz w:val="24"/>
              </w:rPr>
              <w:t>d，预计于201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月</w:t>
            </w:r>
            <w:r>
              <w:rPr>
                <w:rFonts w:hint="default" w:ascii="Times New Roman" w:hAnsi="Times New Roman" w:cs="Times New Roman"/>
                <w:color w:val="auto"/>
                <w:sz w:val="24"/>
                <w:lang w:eastAsia="zh-CN"/>
              </w:rPr>
              <w:t>底</w:t>
            </w:r>
            <w:r>
              <w:rPr>
                <w:rFonts w:hint="default" w:ascii="Times New Roman" w:hAnsi="Times New Roman" w:cs="Times New Roman"/>
                <w:color w:val="auto"/>
                <w:sz w:val="24"/>
              </w:rPr>
              <w:t>投入使用。</w:t>
            </w:r>
          </w:p>
          <w:p>
            <w:pPr>
              <w:pStyle w:val="4"/>
              <w:adjustRightInd w:val="0"/>
              <w:snapToGrid w:val="0"/>
              <w:spacing w:before="0" w:after="0"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七、项目劳动定员和工作制度</w:t>
            </w:r>
          </w:p>
          <w:p>
            <w:pPr>
              <w:autoSpaceDE w:val="0"/>
              <w:autoSpaceDN w:val="0"/>
              <w:adjustRightInd w:val="0"/>
              <w:spacing w:line="360" w:lineRule="auto"/>
              <w:ind w:firstLine="472" w:firstLineChars="197"/>
              <w:rPr>
                <w:snapToGrid w:val="0"/>
                <w:color w:val="auto"/>
                <w:kern w:val="0"/>
                <w:sz w:val="24"/>
              </w:rPr>
            </w:pPr>
            <w:r>
              <w:rPr>
                <w:snapToGrid w:val="0"/>
                <w:color w:val="auto"/>
                <w:kern w:val="0"/>
                <w:sz w:val="24"/>
              </w:rPr>
              <w:t>项目投产运营期，共有</w:t>
            </w:r>
            <w:r>
              <w:rPr>
                <w:rFonts w:hint="eastAsia"/>
                <w:snapToGrid w:val="0"/>
                <w:color w:val="auto"/>
                <w:kern w:val="0"/>
                <w:sz w:val="24"/>
                <w:lang w:val="en-US" w:eastAsia="zh-CN"/>
              </w:rPr>
              <w:t>7</w:t>
            </w:r>
            <w:r>
              <w:rPr>
                <w:snapToGrid w:val="0"/>
                <w:color w:val="auto"/>
                <w:kern w:val="0"/>
                <w:sz w:val="24"/>
              </w:rPr>
              <w:t>个工作人员，管理岗1人，工人</w:t>
            </w:r>
            <w:r>
              <w:rPr>
                <w:rFonts w:hint="eastAsia"/>
                <w:snapToGrid w:val="0"/>
                <w:color w:val="auto"/>
                <w:kern w:val="0"/>
                <w:sz w:val="24"/>
                <w:lang w:val="en-US" w:eastAsia="zh-CN"/>
              </w:rPr>
              <w:t>6</w:t>
            </w:r>
            <w:r>
              <w:rPr>
                <w:snapToGrid w:val="0"/>
                <w:color w:val="auto"/>
                <w:kern w:val="0"/>
                <w:sz w:val="24"/>
              </w:rPr>
              <w:t>人，工作制度实行</w:t>
            </w:r>
            <w:r>
              <w:rPr>
                <w:rFonts w:hint="eastAsia"/>
                <w:snapToGrid w:val="0"/>
                <w:color w:val="auto"/>
                <w:kern w:val="0"/>
                <w:sz w:val="24"/>
                <w:lang w:eastAsia="zh-CN"/>
              </w:rPr>
              <w:t>两</w:t>
            </w:r>
            <w:r>
              <w:rPr>
                <w:snapToGrid w:val="0"/>
                <w:color w:val="auto"/>
                <w:kern w:val="0"/>
                <w:sz w:val="24"/>
              </w:rPr>
              <w:t>班倒，每班人员</w:t>
            </w:r>
            <w:r>
              <w:rPr>
                <w:rFonts w:hint="eastAsia"/>
                <w:snapToGrid w:val="0"/>
                <w:color w:val="auto"/>
                <w:kern w:val="0"/>
                <w:sz w:val="24"/>
                <w:lang w:val="en-US" w:eastAsia="zh-CN"/>
              </w:rPr>
              <w:t>4</w:t>
            </w:r>
            <w:r>
              <w:rPr>
                <w:snapToGrid w:val="0"/>
                <w:color w:val="auto"/>
                <w:kern w:val="0"/>
                <w:sz w:val="24"/>
              </w:rPr>
              <w:t>人，年工作时间36</w:t>
            </w:r>
            <w:r>
              <w:rPr>
                <w:rFonts w:hint="eastAsia"/>
                <w:snapToGrid w:val="0"/>
                <w:color w:val="auto"/>
                <w:kern w:val="0"/>
                <w:sz w:val="24"/>
                <w:lang w:val="en-US" w:eastAsia="zh-CN"/>
              </w:rPr>
              <w:t>5</w:t>
            </w:r>
            <w:r>
              <w:rPr>
                <w:snapToGrid w:val="0"/>
                <w:color w:val="auto"/>
                <w:kern w:val="0"/>
                <w:sz w:val="24"/>
              </w:rPr>
              <w:t>天。</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八、项目环保投资</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改建</w:t>
            </w:r>
            <w:r>
              <w:rPr>
                <w:rFonts w:hint="default" w:ascii="Times New Roman" w:hAnsi="Times New Roman" w:cs="Times New Roman"/>
                <w:color w:val="auto"/>
                <w:sz w:val="24"/>
              </w:rPr>
              <w:t>总投资</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00万元，经预测计算分析，项目环保建设投资</w:t>
            </w:r>
            <w:r>
              <w:rPr>
                <w:rFonts w:hint="eastAsia" w:ascii="Times New Roman" w:hAnsi="Times New Roman" w:cs="Times New Roman"/>
                <w:color w:val="auto"/>
                <w:sz w:val="24"/>
                <w:lang w:val="en-US" w:eastAsia="zh-CN"/>
              </w:rPr>
              <w:t>44.3</w:t>
            </w:r>
            <w:r>
              <w:rPr>
                <w:rFonts w:hint="default" w:ascii="Times New Roman" w:hAnsi="Times New Roman" w:cs="Times New Roman"/>
                <w:color w:val="auto"/>
                <w:sz w:val="24"/>
              </w:rPr>
              <w:t>万元，占工程总投资的</w:t>
            </w:r>
            <w:r>
              <w:rPr>
                <w:rFonts w:hint="eastAsia" w:ascii="Times New Roman" w:hAnsi="Times New Roman" w:cs="Times New Roman"/>
                <w:color w:val="auto"/>
                <w:sz w:val="24"/>
                <w:lang w:val="en-US" w:eastAsia="zh-CN"/>
              </w:rPr>
              <w:t>44.3</w:t>
            </w:r>
            <w:r>
              <w:rPr>
                <w:rFonts w:hint="default" w:ascii="Times New Roman" w:hAnsi="Times New Roman" w:cs="Times New Roman"/>
                <w:color w:val="auto"/>
                <w:sz w:val="24"/>
              </w:rPr>
              <w:t>%，需投入的环保设施及投资见表1-</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，具体布置见图</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项目平面布置</w:t>
            </w:r>
            <w:r>
              <w:rPr>
                <w:rFonts w:hint="eastAsia" w:ascii="Times New Roman" w:hAnsi="Times New Roman" w:cs="Times New Roman"/>
                <w:color w:val="auto"/>
                <w:sz w:val="24"/>
                <w:lang w:eastAsia="zh-CN"/>
              </w:rPr>
              <w:t>及环保设施布设</w:t>
            </w:r>
            <w:r>
              <w:rPr>
                <w:rFonts w:hint="default" w:ascii="Times New Roman" w:hAnsi="Times New Roman" w:cs="Times New Roman"/>
                <w:color w:val="auto"/>
                <w:sz w:val="24"/>
              </w:rPr>
              <w:t>图。</w:t>
            </w:r>
          </w:p>
          <w:tbl>
            <w:tblPr>
              <w:tblStyle w:val="23"/>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2208"/>
              <w:gridCol w:w="855"/>
              <w:gridCol w:w="1540"/>
              <w:gridCol w:w="1198"/>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760" w:type="dxa"/>
                  <w:gridSpan w:val="6"/>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w:t>
                  </w:r>
                  <w:r>
                    <w:rPr>
                      <w:rFonts w:hint="eastAsia"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 xml:space="preserve">  项目环保投资一览表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9" w:type="dxa"/>
                  <w:vAlign w:val="center"/>
                </w:tcPr>
                <w:p>
                  <w:pPr>
                    <w:pStyle w:val="62"/>
                    <w:spacing w:line="240" w:lineRule="auto"/>
                    <w:ind w:left="0" w:right="-178" w:firstLine="210" w:firstLineChars="1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投资分项</w:t>
                  </w: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内容</w:t>
                  </w: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单位</w:t>
                  </w:r>
                </w:p>
              </w:tc>
              <w:tc>
                <w:tcPr>
                  <w:tcW w:w="154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数量</w:t>
                  </w:r>
                </w:p>
              </w:tc>
              <w:tc>
                <w:tcPr>
                  <w:tcW w:w="1198" w:type="dxa"/>
                  <w:vAlign w:val="center"/>
                </w:tcPr>
                <w:p>
                  <w:pPr>
                    <w:pStyle w:val="62"/>
                    <w:spacing w:line="240" w:lineRule="auto"/>
                    <w:ind w:left="-15" w:leftChars="-7"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投资</w:t>
                  </w:r>
                </w:p>
                <w:p>
                  <w:pPr>
                    <w:pStyle w:val="62"/>
                    <w:spacing w:line="240" w:lineRule="auto"/>
                    <w:ind w:left="-48" w:leftChars="-23" w:right="-154"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（万元）</w:t>
                  </w:r>
                </w:p>
              </w:tc>
              <w:tc>
                <w:tcPr>
                  <w:tcW w:w="165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309" w:type="dxa"/>
                  <w:vMerge w:val="restart"/>
                  <w:vAlign w:val="center"/>
                </w:tcPr>
                <w:p>
                  <w:pPr>
                    <w:pStyle w:val="62"/>
                    <w:spacing w:line="240" w:lineRule="auto"/>
                    <w:ind w:left="0" w:right="6" w:firstLine="420" w:firstLineChars="200"/>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施</w:t>
                  </w:r>
                </w:p>
                <w:p>
                  <w:pPr>
                    <w:pStyle w:val="62"/>
                    <w:spacing w:line="240" w:lineRule="auto"/>
                    <w:ind w:left="0" w:right="6" w:firstLine="420" w:firstLineChars="200"/>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工</w:t>
                  </w:r>
                </w:p>
                <w:p>
                  <w:pPr>
                    <w:pStyle w:val="62"/>
                    <w:spacing w:line="240" w:lineRule="auto"/>
                    <w:ind w:left="0" w:right="6" w:firstLine="420" w:firstLineChars="200"/>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期</w:t>
                  </w: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废水收集池</w:t>
                  </w: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snapToGrid w:val="0"/>
                      <w:color w:val="auto"/>
                      <w:sz w:val="21"/>
                      <w:szCs w:val="21"/>
                    </w:rPr>
                    <w:t>m</w:t>
                  </w:r>
                  <w:r>
                    <w:rPr>
                      <w:rFonts w:hint="default" w:ascii="Times New Roman" w:hAnsi="Times New Roman" w:cs="Times New Roman"/>
                      <w:snapToGrid w:val="0"/>
                      <w:color w:val="auto"/>
                      <w:sz w:val="21"/>
                      <w:szCs w:val="21"/>
                      <w:vertAlign w:val="superscript"/>
                    </w:rPr>
                    <w:t>3</w:t>
                  </w:r>
                </w:p>
              </w:tc>
              <w:tc>
                <w:tcPr>
                  <w:tcW w:w="1540" w:type="dxa"/>
                  <w:vAlign w:val="center"/>
                </w:tcPr>
                <w:p>
                  <w:pPr>
                    <w:pStyle w:val="62"/>
                    <w:spacing w:line="240" w:lineRule="auto"/>
                    <w:ind w:left="105" w:leftChars="50" w:right="6" w:firstLine="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snapToGrid w:val="0"/>
                      <w:color w:val="auto"/>
                      <w:sz w:val="21"/>
                      <w:szCs w:val="21"/>
                      <w:lang w:val="en-US" w:eastAsia="zh-CN"/>
                    </w:rPr>
                    <w:t>1</w:t>
                  </w:r>
                </w:p>
              </w:tc>
              <w:tc>
                <w:tcPr>
                  <w:tcW w:w="119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w:t>
                  </w:r>
                </w:p>
              </w:tc>
              <w:tc>
                <w:tcPr>
                  <w:tcW w:w="1650"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环评要求增设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0" w:right="-100"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水土流失防治措施</w:t>
                  </w: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0.1</w:t>
                  </w:r>
                </w:p>
              </w:tc>
              <w:tc>
                <w:tcPr>
                  <w:tcW w:w="1650" w:type="dxa"/>
                  <w:vAlign w:val="center"/>
                </w:tcPr>
                <w:p>
                  <w:pPr>
                    <w:pStyle w:val="62"/>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委托方拟设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防尘措施</w:t>
                  </w:r>
                </w:p>
              </w:tc>
              <w:tc>
                <w:tcPr>
                  <w:tcW w:w="855" w:type="dxa"/>
                  <w:vAlign w:val="center"/>
                </w:tcPr>
                <w:p>
                  <w:pPr>
                    <w:pStyle w:val="62"/>
                    <w:spacing w:line="240" w:lineRule="auto"/>
                    <w:ind w:left="0" w:right="6" w:firstLine="315" w:firstLineChars="15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0" w:right="6" w:firstLine="315" w:firstLineChars="15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w:t>
                  </w:r>
                </w:p>
              </w:tc>
              <w:tc>
                <w:tcPr>
                  <w:tcW w:w="1650"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委托方拟设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噪声防治措施</w:t>
                  </w:r>
                </w:p>
              </w:tc>
              <w:tc>
                <w:tcPr>
                  <w:tcW w:w="855" w:type="dxa"/>
                  <w:vAlign w:val="center"/>
                </w:tcPr>
                <w:p>
                  <w:pPr>
                    <w:pStyle w:val="62"/>
                    <w:spacing w:line="240" w:lineRule="auto"/>
                    <w:ind w:left="0" w:right="6" w:firstLine="315" w:firstLineChars="15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0" w:right="6" w:firstLine="315" w:firstLineChars="15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w:t>
                  </w:r>
                </w:p>
              </w:tc>
              <w:tc>
                <w:tcPr>
                  <w:tcW w:w="1650"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环评要求增设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0" w:right="-8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施工期固废</w:t>
                  </w:r>
                  <w:r>
                    <w:rPr>
                      <w:rFonts w:hint="eastAsia" w:ascii="Times New Roman" w:hAnsi="Times New Roman" w:cs="Times New Roman"/>
                      <w:bCs/>
                      <w:color w:val="auto"/>
                      <w:sz w:val="21"/>
                      <w:szCs w:val="21"/>
                      <w:lang w:eastAsia="zh-CN"/>
                    </w:rPr>
                    <w:t>处置费用</w:t>
                  </w: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1.0</w:t>
                  </w:r>
                </w:p>
              </w:tc>
              <w:tc>
                <w:tcPr>
                  <w:tcW w:w="1650" w:type="dxa"/>
                  <w:vAlign w:val="center"/>
                </w:tcPr>
                <w:p>
                  <w:pPr>
                    <w:pStyle w:val="62"/>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委托方拟设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309" w:type="dxa"/>
                  <w:vMerge w:val="restart"/>
                  <w:vAlign w:val="center"/>
                </w:tcPr>
                <w:p>
                  <w:pPr>
                    <w:pStyle w:val="62"/>
                    <w:spacing w:line="240" w:lineRule="auto"/>
                    <w:ind w:left="420" w:leftChars="150" w:right="6" w:hanging="105" w:hangingChars="5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 xml:space="preserve"> 运                 营</w:t>
                  </w:r>
                </w:p>
                <w:p>
                  <w:pPr>
                    <w:pStyle w:val="62"/>
                    <w:spacing w:line="240" w:lineRule="auto"/>
                    <w:ind w:left="0" w:right="6" w:firstLine="420" w:firstLineChars="2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w:t>
                  </w:r>
                </w:p>
              </w:tc>
              <w:tc>
                <w:tcPr>
                  <w:tcW w:w="2208" w:type="dxa"/>
                  <w:vAlign w:val="center"/>
                </w:tcPr>
                <w:p>
                  <w:pPr>
                    <w:pStyle w:val="62"/>
                    <w:spacing w:line="240" w:lineRule="auto"/>
                    <w:ind w:left="0" w:right="-130" w:firstLine="735" w:firstLineChars="35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化粪池</w:t>
                  </w:r>
                </w:p>
              </w:tc>
              <w:tc>
                <w:tcPr>
                  <w:tcW w:w="855"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p>
              </w:tc>
              <w:tc>
                <w:tcPr>
                  <w:tcW w:w="1540" w:type="dxa"/>
                  <w:vAlign w:val="center"/>
                </w:tcPr>
                <w:p>
                  <w:pPr>
                    <w:pStyle w:val="62"/>
                    <w:spacing w:line="240" w:lineRule="auto"/>
                    <w:ind w:left="0" w:right="6" w:firstLine="0"/>
                    <w:jc w:val="center"/>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20</w:t>
                  </w: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650" w:type="dxa"/>
                  <w:vAlign w:val="center"/>
                </w:tcPr>
                <w:p>
                  <w:pPr>
                    <w:pStyle w:val="62"/>
                    <w:spacing w:line="240" w:lineRule="auto"/>
                    <w:ind w:left="0" w:right="6" w:firstLine="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污水管网</w:t>
                  </w: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1.0</w:t>
                  </w:r>
                </w:p>
              </w:tc>
              <w:tc>
                <w:tcPr>
                  <w:tcW w:w="1650" w:type="dxa"/>
                  <w:vAlign w:val="center"/>
                </w:tcPr>
                <w:p>
                  <w:pPr>
                    <w:pStyle w:val="62"/>
                    <w:spacing w:line="240" w:lineRule="auto"/>
                    <w:ind w:left="0" w:leftChars="0" w:right="6" w:firstLine="210" w:firstLineChars="100"/>
                    <w:jc w:val="both"/>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委托方拟设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雨水管网</w:t>
                  </w: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1.0</w:t>
                  </w:r>
                </w:p>
              </w:tc>
              <w:tc>
                <w:tcPr>
                  <w:tcW w:w="1650" w:type="dxa"/>
                  <w:vAlign w:val="center"/>
                </w:tcPr>
                <w:p>
                  <w:pPr>
                    <w:pStyle w:val="62"/>
                    <w:spacing w:line="240" w:lineRule="auto"/>
                    <w:ind w:left="0" w:right="6" w:firstLine="0"/>
                    <w:jc w:val="center"/>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委托方拟设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0" w:right="-130"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水封井</w:t>
                  </w:r>
                </w:p>
              </w:tc>
              <w:tc>
                <w:tcPr>
                  <w:tcW w:w="855"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个</w:t>
                  </w:r>
                </w:p>
              </w:tc>
              <w:tc>
                <w:tcPr>
                  <w:tcW w:w="1540"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1198" w:type="dxa"/>
                  <w:vAlign w:val="center"/>
                </w:tcPr>
                <w:p>
                  <w:pPr>
                    <w:pStyle w:val="62"/>
                    <w:spacing w:line="240" w:lineRule="auto"/>
                    <w:ind w:left="0" w:leftChars="0" w:right="6"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p>
              </w:tc>
              <w:tc>
                <w:tcPr>
                  <w:tcW w:w="1650" w:type="dxa"/>
                  <w:vAlign w:val="center"/>
                </w:tcPr>
                <w:p>
                  <w:pPr>
                    <w:pStyle w:val="62"/>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委托方拟设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0" w:right="-130"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双层罐</w:t>
                  </w:r>
                </w:p>
              </w:tc>
              <w:tc>
                <w:tcPr>
                  <w:tcW w:w="855"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20</w:t>
                  </w:r>
                </w:p>
              </w:tc>
              <w:tc>
                <w:tcPr>
                  <w:tcW w:w="1650" w:type="dxa"/>
                  <w:vAlign w:val="center"/>
                </w:tcPr>
                <w:p>
                  <w:pPr>
                    <w:pStyle w:val="62"/>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委托方拟设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0" w:leftChars="0" w:right="-130" w:rightChars="0" w:firstLine="0" w:firstLineChars="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eastAsia="zh-CN"/>
                    </w:rPr>
                    <w:t>防渗罐坑</w:t>
                  </w:r>
                </w:p>
              </w:tc>
              <w:tc>
                <w:tcPr>
                  <w:tcW w:w="855" w:type="dxa"/>
                  <w:vAlign w:val="center"/>
                </w:tcPr>
                <w:p>
                  <w:pPr>
                    <w:pStyle w:val="62"/>
                    <w:spacing w:line="240" w:lineRule="auto"/>
                    <w:ind w:left="0" w:leftChars="0" w:right="6" w:rightChars="0" w:firstLine="0" w:firstLineChars="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0" w:leftChars="0" w:right="6" w:rightChars="0" w:firstLine="0" w:firstLineChars="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rightChars="0" w:firstLine="0" w:firstLine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5</w:t>
                  </w:r>
                </w:p>
              </w:tc>
              <w:tc>
                <w:tcPr>
                  <w:tcW w:w="1650" w:type="dxa"/>
                  <w:vAlign w:val="center"/>
                </w:tcPr>
                <w:p>
                  <w:pPr>
                    <w:pStyle w:val="62"/>
                    <w:ind w:left="0" w:leftChars="0" w:right="6" w:rightChars="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委托方拟设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0" w:right="-100"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油气回收系统装置</w:t>
                  </w:r>
                </w:p>
              </w:tc>
              <w:tc>
                <w:tcPr>
                  <w:tcW w:w="855"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套</w:t>
                  </w:r>
                </w:p>
              </w:tc>
              <w:tc>
                <w:tcPr>
                  <w:tcW w:w="1540" w:type="dxa"/>
                  <w:vAlign w:val="center"/>
                </w:tcPr>
                <w:p>
                  <w:pPr>
                    <w:pStyle w:val="62"/>
                    <w:spacing w:line="240" w:lineRule="auto"/>
                    <w:ind w:left="0" w:right="6" w:firstLine="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2</w:t>
                  </w: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10</w:t>
                  </w:r>
                </w:p>
              </w:tc>
              <w:tc>
                <w:tcPr>
                  <w:tcW w:w="1650" w:type="dxa"/>
                  <w:vAlign w:val="center"/>
                </w:tcPr>
                <w:p>
                  <w:pPr>
                    <w:pStyle w:val="62"/>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委托方拟设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0" w:right="-100"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危废收集桶</w:t>
                  </w:r>
                </w:p>
              </w:tc>
              <w:tc>
                <w:tcPr>
                  <w:tcW w:w="855" w:type="dxa"/>
                  <w:vAlign w:val="center"/>
                </w:tcPr>
                <w:p>
                  <w:pPr>
                    <w:pStyle w:val="62"/>
                    <w:spacing w:line="240" w:lineRule="auto"/>
                    <w:ind w:left="0" w:right="6" w:firstLine="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个</w:t>
                  </w:r>
                </w:p>
              </w:tc>
              <w:tc>
                <w:tcPr>
                  <w:tcW w:w="1540" w:type="dxa"/>
                  <w:vAlign w:val="center"/>
                </w:tcPr>
                <w:p>
                  <w:pPr>
                    <w:pStyle w:val="62"/>
                    <w:spacing w:line="240" w:lineRule="auto"/>
                    <w:ind w:left="0" w:right="6" w:firstLine="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2</w:t>
                  </w: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0.1</w:t>
                  </w:r>
                </w:p>
              </w:tc>
              <w:tc>
                <w:tcPr>
                  <w:tcW w:w="1650" w:type="dxa"/>
                  <w:vAlign w:val="center"/>
                </w:tcPr>
                <w:p>
                  <w:pPr>
                    <w:pStyle w:val="62"/>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环评要求增设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垃圾收集装置</w:t>
                  </w: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个</w:t>
                  </w:r>
                </w:p>
              </w:tc>
              <w:tc>
                <w:tcPr>
                  <w:tcW w:w="154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w:t>
                  </w:r>
                </w:p>
              </w:tc>
              <w:tc>
                <w:tcPr>
                  <w:tcW w:w="1650" w:type="dxa"/>
                  <w:vAlign w:val="center"/>
                </w:tcPr>
                <w:p>
                  <w:pPr>
                    <w:pStyle w:val="62"/>
                    <w:spacing w:line="240" w:lineRule="auto"/>
                    <w:ind w:left="0" w:right="6" w:firstLine="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危废暂存间</w:t>
                  </w: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2</w:t>
                  </w:r>
                </w:p>
              </w:tc>
              <w:tc>
                <w:tcPr>
                  <w:tcW w:w="1540" w:type="dxa"/>
                  <w:vAlign w:val="center"/>
                </w:tcPr>
                <w:p>
                  <w:pPr>
                    <w:pStyle w:val="62"/>
                    <w:spacing w:line="240" w:lineRule="auto"/>
                    <w:ind w:left="105" w:leftChars="50" w:right="6" w:firstLine="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w:t>
                  </w: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p>
              </w:tc>
              <w:tc>
                <w:tcPr>
                  <w:tcW w:w="1650"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环评要求增设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309" w:type="dxa"/>
                  <w:vMerge w:val="continue"/>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绿化</w:t>
                  </w:r>
                </w:p>
              </w:tc>
              <w:tc>
                <w:tcPr>
                  <w:tcW w:w="855"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2</w:t>
                  </w:r>
                </w:p>
              </w:tc>
              <w:tc>
                <w:tcPr>
                  <w:tcW w:w="1540" w:type="dxa"/>
                  <w:vAlign w:val="center"/>
                </w:tcPr>
                <w:p>
                  <w:pPr>
                    <w:pStyle w:val="62"/>
                    <w:spacing w:line="240" w:lineRule="auto"/>
                    <w:ind w:left="0" w:right="6" w:firstLine="0"/>
                    <w:jc w:val="center"/>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20.0</w:t>
                  </w:r>
                </w:p>
              </w:tc>
              <w:tc>
                <w:tcPr>
                  <w:tcW w:w="1198" w:type="dxa"/>
                  <w:vAlign w:val="center"/>
                </w:tcPr>
                <w:p>
                  <w:pPr>
                    <w:pStyle w:val="62"/>
                    <w:spacing w:line="240" w:lineRule="auto"/>
                    <w:ind w:left="105" w:leftChars="50" w:right="6" w:firstLine="0"/>
                    <w:jc w:val="center"/>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w:t>
                  </w:r>
                </w:p>
              </w:tc>
              <w:tc>
                <w:tcPr>
                  <w:tcW w:w="1650" w:type="dxa"/>
                  <w:vAlign w:val="center"/>
                </w:tcPr>
                <w:p>
                  <w:pPr>
                    <w:pStyle w:val="62"/>
                    <w:ind w:left="0" w:leftChars="0" w:right="6" w:firstLine="210" w:firstLineChars="100"/>
                    <w:jc w:val="both"/>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309" w:type="dxa"/>
                  <w:vAlign w:val="center"/>
                </w:tcPr>
                <w:p>
                  <w:pPr>
                    <w:pStyle w:val="62"/>
                    <w:spacing w:line="240" w:lineRule="auto"/>
                    <w:ind w:left="0" w:right="-118" w:firstLine="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环境影响评价费</w:t>
                  </w: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1.4</w:t>
                  </w:r>
                </w:p>
              </w:tc>
              <w:tc>
                <w:tcPr>
                  <w:tcW w:w="165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委托方提供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309" w:type="dxa"/>
                  <w:vAlign w:val="center"/>
                </w:tcPr>
                <w:p>
                  <w:pPr>
                    <w:pStyle w:val="62"/>
                    <w:spacing w:line="240" w:lineRule="auto"/>
                    <w:ind w:left="0" w:right="-118" w:firstLine="0"/>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项目竣工验收费</w:t>
                  </w: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19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2.4</w:t>
                  </w:r>
                </w:p>
              </w:tc>
              <w:tc>
                <w:tcPr>
                  <w:tcW w:w="1650" w:type="dxa"/>
                  <w:vAlign w:val="center"/>
                </w:tcPr>
                <w:p>
                  <w:pPr>
                    <w:pStyle w:val="62"/>
                    <w:spacing w:line="240" w:lineRule="auto"/>
                    <w:ind w:left="0" w:right="6"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环评建议预留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309" w:type="dxa"/>
                  <w:vAlign w:val="center"/>
                </w:tcPr>
                <w:p>
                  <w:pPr>
                    <w:pStyle w:val="62"/>
                    <w:spacing w:line="240" w:lineRule="auto"/>
                    <w:ind w:left="105" w:leftChars="50" w:right="6"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合计</w:t>
                  </w:r>
                </w:p>
              </w:tc>
              <w:tc>
                <w:tcPr>
                  <w:tcW w:w="2208"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855"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54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c>
                <w:tcPr>
                  <w:tcW w:w="1198" w:type="dxa"/>
                  <w:vAlign w:val="center"/>
                </w:tcPr>
                <w:p>
                  <w:pPr>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44.3</w:t>
                  </w:r>
                </w:p>
              </w:tc>
              <w:tc>
                <w:tcPr>
                  <w:tcW w:w="1650" w:type="dxa"/>
                  <w:vAlign w:val="center"/>
                </w:tcPr>
                <w:p>
                  <w:pPr>
                    <w:pStyle w:val="62"/>
                    <w:spacing w:line="240" w:lineRule="auto"/>
                    <w:ind w:left="105" w:leftChars="50" w:right="6" w:firstLine="0"/>
                    <w:jc w:val="center"/>
                    <w:rPr>
                      <w:rFonts w:hint="default" w:ascii="Times New Roman" w:hAnsi="Times New Roman" w:cs="Times New Roman"/>
                      <w:bCs/>
                      <w:color w:val="auto"/>
                      <w:sz w:val="21"/>
                      <w:szCs w:val="21"/>
                    </w:rPr>
                  </w:pPr>
                </w:p>
              </w:tc>
            </w:tr>
          </w:tbl>
          <w:p>
            <w:pPr>
              <w:autoSpaceDE w:val="0"/>
              <w:autoSpaceDN w:val="0"/>
              <w:adjustRightInd w:val="0"/>
              <w:spacing w:line="360" w:lineRule="auto"/>
              <w:ind w:firstLine="482" w:firstLineChars="200"/>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项目环保设施设置点位及其作用：</w:t>
            </w:r>
          </w:p>
          <w:p>
            <w:pPr>
              <w:autoSpaceDE w:val="0"/>
              <w:autoSpaceDN w:val="0"/>
              <w:adjustRightIn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1）施工期：①废水收集池，项目施工期在场区侧修建一个容积为</w:t>
            </w:r>
            <w:r>
              <w:rPr>
                <w:rFonts w:hint="eastAsia" w:ascii="Times New Roman" w:hAnsi="Times New Roman" w:cs="Times New Roman"/>
                <w:snapToGrid w:val="0"/>
                <w:color w:val="auto"/>
                <w:kern w:val="0"/>
                <w:sz w:val="24"/>
                <w:lang w:val="en-US" w:eastAsia="zh-CN"/>
              </w:rPr>
              <w:t>1</w:t>
            </w:r>
            <w:r>
              <w:rPr>
                <w:rFonts w:hint="default" w:ascii="Times New Roman" w:hAnsi="Times New Roman" w:cs="Times New Roman"/>
                <w:snapToGrid w:val="0"/>
                <w:color w:val="auto"/>
                <w:kern w:val="0"/>
                <w:sz w:val="24"/>
              </w:rPr>
              <w:t>m</w:t>
            </w:r>
            <w:r>
              <w:rPr>
                <w:rFonts w:hint="default" w:ascii="Times New Roman" w:hAnsi="Times New Roman" w:cs="Times New Roman"/>
                <w:snapToGrid w:val="0"/>
                <w:color w:val="auto"/>
                <w:kern w:val="0"/>
                <w:sz w:val="24"/>
                <w:vertAlign w:val="superscript"/>
              </w:rPr>
              <w:t>3</w:t>
            </w:r>
            <w:r>
              <w:rPr>
                <w:rFonts w:hint="default" w:ascii="Times New Roman" w:hAnsi="Times New Roman" w:cs="Times New Roman"/>
                <w:snapToGrid w:val="0"/>
                <w:color w:val="auto"/>
                <w:kern w:val="0"/>
                <w:sz w:val="24"/>
              </w:rPr>
              <w:t>废水收集池，用来收集施工废水和场区雨水，澄清后回用；</w:t>
            </w:r>
            <w:r>
              <w:rPr>
                <w:rFonts w:hint="default" w:ascii="Times New Roman" w:hAnsi="Times New Roman" w:cs="Times New Roman"/>
                <w:snapToGrid w:val="0"/>
                <w:color w:val="auto"/>
                <w:kern w:val="0"/>
                <w:sz w:val="24"/>
                <w:lang w:eastAsia="zh-CN"/>
              </w:rPr>
              <w:t>②</w:t>
            </w:r>
            <w:r>
              <w:rPr>
                <w:rFonts w:hint="default" w:ascii="Times New Roman" w:hAnsi="Times New Roman" w:cs="Times New Roman"/>
                <w:snapToGrid w:val="0"/>
                <w:color w:val="auto"/>
                <w:kern w:val="0"/>
                <w:sz w:val="24"/>
              </w:rPr>
              <w:t>水土流失防治措施：</w:t>
            </w:r>
            <w:r>
              <w:rPr>
                <w:rFonts w:hint="default" w:ascii="Times New Roman" w:hAnsi="Times New Roman" w:cs="Times New Roman"/>
                <w:snapToGrid w:val="0"/>
                <w:color w:val="auto"/>
                <w:kern w:val="0"/>
                <w:sz w:val="24"/>
                <w:lang w:eastAsia="zh-CN"/>
              </w:rPr>
              <w:t>项目新建构筑物和储罐需要开挖地基，需要修建截洪沟等</w:t>
            </w:r>
            <w:r>
              <w:rPr>
                <w:rFonts w:hint="default" w:ascii="Times New Roman" w:hAnsi="Times New Roman" w:cs="Times New Roman"/>
                <w:snapToGrid w:val="0"/>
                <w:color w:val="auto"/>
                <w:kern w:val="0"/>
                <w:sz w:val="24"/>
              </w:rPr>
              <w:t>；</w:t>
            </w:r>
            <w:r>
              <w:rPr>
                <w:rFonts w:hint="default" w:ascii="Times New Roman" w:hAnsi="Times New Roman" w:cs="Times New Roman"/>
                <w:snapToGrid w:val="0"/>
                <w:color w:val="auto"/>
                <w:kern w:val="0"/>
                <w:sz w:val="24"/>
                <w:lang w:eastAsia="zh-CN"/>
              </w:rPr>
              <w:t>③</w:t>
            </w:r>
            <w:r>
              <w:rPr>
                <w:rFonts w:hint="default" w:ascii="Times New Roman" w:hAnsi="Times New Roman" w:cs="Times New Roman"/>
                <w:snapToGrid w:val="0"/>
                <w:color w:val="auto"/>
                <w:kern w:val="0"/>
                <w:sz w:val="24"/>
              </w:rPr>
              <w:t>防尘措施：施工场地周围设围障，如挡墙、防护网等；</w:t>
            </w:r>
            <w:r>
              <w:rPr>
                <w:rFonts w:hint="default" w:ascii="Times New Roman" w:hAnsi="Times New Roman" w:cs="Times New Roman"/>
                <w:snapToGrid w:val="0"/>
                <w:color w:val="auto"/>
                <w:kern w:val="0"/>
                <w:sz w:val="24"/>
                <w:lang w:eastAsia="zh-CN"/>
              </w:rPr>
              <w:t>④</w:t>
            </w:r>
            <w:r>
              <w:rPr>
                <w:rFonts w:hint="default" w:ascii="Times New Roman" w:hAnsi="Times New Roman" w:cs="Times New Roman"/>
                <w:snapToGrid w:val="0"/>
                <w:color w:val="auto"/>
                <w:kern w:val="0"/>
                <w:sz w:val="24"/>
              </w:rPr>
              <w:t>噪声</w:t>
            </w:r>
            <w:r>
              <w:rPr>
                <w:rFonts w:hint="eastAsia" w:ascii="Times New Roman" w:hAnsi="Times New Roman" w:cs="Times New Roman"/>
                <w:snapToGrid w:val="0"/>
                <w:color w:val="auto"/>
                <w:kern w:val="0"/>
                <w:sz w:val="24"/>
                <w:lang w:eastAsia="zh-CN"/>
              </w:rPr>
              <w:t>防治</w:t>
            </w:r>
            <w:r>
              <w:rPr>
                <w:rFonts w:hint="default" w:ascii="Times New Roman" w:hAnsi="Times New Roman" w:cs="Times New Roman"/>
                <w:snapToGrid w:val="0"/>
                <w:color w:val="auto"/>
                <w:kern w:val="0"/>
                <w:sz w:val="24"/>
              </w:rPr>
              <w:t>措施， 大功率设备使用消声减振装置；</w:t>
            </w:r>
            <w:r>
              <w:rPr>
                <w:rFonts w:hint="default" w:ascii="Times New Roman" w:hAnsi="Times New Roman" w:cs="Times New Roman"/>
                <w:snapToGrid w:val="0"/>
                <w:color w:val="auto"/>
                <w:kern w:val="0"/>
                <w:sz w:val="24"/>
                <w:lang w:eastAsia="zh-CN"/>
              </w:rPr>
              <w:t>⑤</w:t>
            </w:r>
            <w:r>
              <w:rPr>
                <w:rFonts w:hint="default" w:ascii="Times New Roman" w:hAnsi="Times New Roman" w:cs="Times New Roman"/>
                <w:snapToGrid w:val="0"/>
                <w:color w:val="auto"/>
                <w:kern w:val="0"/>
                <w:sz w:val="24"/>
              </w:rPr>
              <w:t>固废收集装置：设置一个垃圾收集桶，用来收集生活垃圾，设置一个建筑垃圾临时存放点，用来存放建筑固废，施工结束后按照市政要求处置建筑垃圾。</w:t>
            </w:r>
          </w:p>
          <w:p>
            <w:pPr>
              <w:numPr>
                <w:ilvl w:val="0"/>
                <w:numId w:val="0"/>
              </w:numPr>
              <w:autoSpaceDE w:val="0"/>
              <w:autoSpaceDN w:val="0"/>
              <w:adjustRightInd w:val="0"/>
              <w:spacing w:line="360" w:lineRule="auto"/>
              <w:ind w:firstLine="240" w:firstLineChars="1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2）运营期</w:t>
            </w:r>
            <w:r>
              <w:rPr>
                <w:rFonts w:hint="default" w:ascii="Times New Roman" w:hAnsi="Times New Roman" w:cs="Times New Roman"/>
                <w:snapToGrid w:val="0"/>
                <w:color w:val="auto"/>
                <w:kern w:val="0"/>
                <w:sz w:val="24"/>
                <w:lang w:eastAsia="zh-CN"/>
              </w:rPr>
              <w:t>：①</w:t>
            </w:r>
            <w:r>
              <w:rPr>
                <w:rFonts w:hint="default" w:ascii="Times New Roman" w:hAnsi="Times New Roman" w:cs="Times New Roman"/>
                <w:snapToGrid w:val="0"/>
                <w:color w:val="auto"/>
                <w:kern w:val="0"/>
                <w:sz w:val="24"/>
              </w:rPr>
              <w:t>化粪池：</w:t>
            </w:r>
            <w:r>
              <w:rPr>
                <w:rFonts w:hint="eastAsia" w:ascii="Times New Roman" w:hAnsi="Times New Roman" w:cs="Times New Roman"/>
                <w:snapToGrid w:val="0"/>
                <w:color w:val="auto"/>
                <w:kern w:val="0"/>
                <w:sz w:val="24"/>
                <w:lang w:eastAsia="zh-CN"/>
              </w:rPr>
              <w:t>原</w:t>
            </w:r>
            <w:r>
              <w:rPr>
                <w:rFonts w:hint="default" w:ascii="Times New Roman" w:hAnsi="Times New Roman" w:cs="Times New Roman"/>
                <w:snapToGrid w:val="0"/>
                <w:color w:val="auto"/>
                <w:kern w:val="0"/>
                <w:sz w:val="24"/>
              </w:rPr>
              <w:t>项目</w:t>
            </w:r>
            <w:r>
              <w:rPr>
                <w:rFonts w:hint="eastAsia" w:ascii="Times New Roman" w:hAnsi="Times New Roman" w:cs="Times New Roman"/>
                <w:snapToGrid w:val="0"/>
                <w:color w:val="auto"/>
                <w:kern w:val="0"/>
                <w:sz w:val="24"/>
                <w:lang w:eastAsia="zh-CN"/>
              </w:rPr>
              <w:t>西北</w:t>
            </w:r>
            <w:r>
              <w:rPr>
                <w:rFonts w:hint="default" w:ascii="Times New Roman" w:hAnsi="Times New Roman" w:cs="Times New Roman"/>
                <w:snapToGrid w:val="0"/>
                <w:color w:val="auto"/>
                <w:kern w:val="0"/>
                <w:sz w:val="24"/>
              </w:rPr>
              <w:t>侧</w:t>
            </w:r>
            <w:r>
              <w:rPr>
                <w:rFonts w:hint="eastAsia" w:ascii="Times New Roman" w:hAnsi="Times New Roman" w:cs="Times New Roman"/>
                <w:snapToGrid w:val="0"/>
                <w:color w:val="auto"/>
                <w:kern w:val="0"/>
                <w:sz w:val="24"/>
                <w:lang w:eastAsia="zh-CN"/>
              </w:rPr>
              <w:t>有</w:t>
            </w:r>
            <w:r>
              <w:rPr>
                <w:rFonts w:hint="default" w:ascii="Times New Roman" w:hAnsi="Times New Roman" w:cs="Times New Roman"/>
                <w:snapToGrid w:val="0"/>
                <w:color w:val="auto"/>
                <w:kern w:val="0"/>
                <w:sz w:val="24"/>
              </w:rPr>
              <w:t>一座容积为</w:t>
            </w:r>
            <w:r>
              <w:rPr>
                <w:rFonts w:hint="eastAsia" w:ascii="Times New Roman" w:hAnsi="Times New Roman" w:cs="Times New Roman"/>
                <w:snapToGrid w:val="0"/>
                <w:color w:val="auto"/>
                <w:kern w:val="0"/>
                <w:sz w:val="24"/>
                <w:lang w:val="en-US" w:eastAsia="zh-CN"/>
              </w:rPr>
              <w:t>20</w:t>
            </w:r>
            <w:r>
              <w:rPr>
                <w:rFonts w:hint="default" w:ascii="Times New Roman" w:hAnsi="Times New Roman" w:cs="Times New Roman"/>
                <w:snapToGrid w:val="0"/>
                <w:color w:val="auto"/>
                <w:kern w:val="0"/>
                <w:sz w:val="24"/>
              </w:rPr>
              <w:t>m</w:t>
            </w:r>
            <w:r>
              <w:rPr>
                <w:rFonts w:hint="default" w:ascii="Times New Roman" w:hAnsi="Times New Roman" w:cs="Times New Roman"/>
                <w:snapToGrid w:val="0"/>
                <w:color w:val="auto"/>
                <w:kern w:val="0"/>
                <w:sz w:val="24"/>
                <w:vertAlign w:val="superscript"/>
              </w:rPr>
              <w:t>3</w:t>
            </w:r>
            <w:r>
              <w:rPr>
                <w:rFonts w:hint="default" w:ascii="Times New Roman" w:hAnsi="Times New Roman" w:cs="Times New Roman"/>
                <w:snapToGrid w:val="0"/>
                <w:color w:val="auto"/>
                <w:kern w:val="0"/>
                <w:sz w:val="24"/>
              </w:rPr>
              <w:t>的化粪池，用来收集水冲厕污水、厨房废水及清洁废水，处理后的污水提供给周边的农户用作农肥；</w:t>
            </w:r>
            <w:r>
              <w:rPr>
                <w:rFonts w:hint="default" w:ascii="Times New Roman" w:hAnsi="Times New Roman" w:cs="Times New Roman"/>
                <w:snapToGrid w:val="0"/>
                <w:color w:val="auto"/>
                <w:kern w:val="0"/>
                <w:sz w:val="24"/>
                <w:lang w:eastAsia="zh-CN"/>
              </w:rPr>
              <w:t>②</w:t>
            </w:r>
            <w:r>
              <w:rPr>
                <w:rFonts w:hint="default" w:ascii="Times New Roman" w:hAnsi="Times New Roman" w:cs="Times New Roman"/>
                <w:snapToGrid w:val="0"/>
                <w:color w:val="auto"/>
                <w:kern w:val="0"/>
                <w:sz w:val="24"/>
              </w:rPr>
              <w:t>污水管网，收集站内</w:t>
            </w:r>
            <w:r>
              <w:rPr>
                <w:rFonts w:hint="default" w:ascii="Times New Roman" w:hAnsi="Times New Roman" w:cs="Times New Roman"/>
                <w:snapToGrid w:val="0"/>
                <w:color w:val="auto"/>
                <w:kern w:val="0"/>
                <w:sz w:val="24"/>
                <w:lang w:eastAsia="zh-CN"/>
              </w:rPr>
              <w:t>生活</w:t>
            </w:r>
            <w:r>
              <w:rPr>
                <w:rFonts w:hint="default" w:ascii="Times New Roman" w:hAnsi="Times New Roman" w:cs="Times New Roman"/>
                <w:snapToGrid w:val="0"/>
                <w:color w:val="auto"/>
                <w:kern w:val="0"/>
                <w:sz w:val="24"/>
              </w:rPr>
              <w:t>污水等；</w:t>
            </w:r>
            <w:r>
              <w:rPr>
                <w:rFonts w:hint="eastAsia" w:ascii="Times New Roman" w:hAnsi="Times New Roman" w:cs="Times New Roman"/>
                <w:snapToGrid w:val="0"/>
                <w:color w:val="auto"/>
                <w:kern w:val="0"/>
                <w:sz w:val="24"/>
                <w:szCs w:val="24"/>
                <w:lang w:eastAsia="zh-CN"/>
              </w:rPr>
              <w:t>③</w:t>
            </w:r>
            <w:r>
              <w:rPr>
                <w:rFonts w:hint="default" w:ascii="Times New Roman" w:hAnsi="Times New Roman" w:cs="Times New Roman"/>
                <w:snapToGrid w:val="0"/>
                <w:color w:val="auto"/>
                <w:kern w:val="0"/>
                <w:sz w:val="24"/>
              </w:rPr>
              <w:t>雨水管网：收集</w:t>
            </w:r>
            <w:r>
              <w:rPr>
                <w:rFonts w:hint="default" w:ascii="Times New Roman" w:hAnsi="Times New Roman" w:cs="Times New Roman"/>
                <w:snapToGrid w:val="0"/>
                <w:color w:val="auto"/>
                <w:kern w:val="0"/>
                <w:sz w:val="24"/>
                <w:lang w:eastAsia="zh-CN"/>
              </w:rPr>
              <w:t>引排</w:t>
            </w:r>
            <w:r>
              <w:rPr>
                <w:rFonts w:hint="default" w:ascii="Times New Roman" w:hAnsi="Times New Roman" w:cs="Times New Roman"/>
                <w:snapToGrid w:val="0"/>
                <w:color w:val="auto"/>
                <w:kern w:val="0"/>
                <w:sz w:val="24"/>
              </w:rPr>
              <w:t>场区雨水；</w:t>
            </w:r>
            <w:r>
              <w:rPr>
                <w:rFonts w:hint="eastAsia" w:ascii="Times New Roman" w:hAnsi="Times New Roman" w:cs="Times New Roman"/>
                <w:snapToGrid w:val="0"/>
                <w:color w:val="auto"/>
                <w:kern w:val="0"/>
                <w:sz w:val="24"/>
                <w:lang w:eastAsia="zh-CN"/>
              </w:rPr>
              <w:t>④</w:t>
            </w:r>
            <w:r>
              <w:rPr>
                <w:rFonts w:hint="default" w:ascii="Times New Roman" w:hAnsi="Times New Roman" w:cs="Times New Roman"/>
                <w:snapToGrid w:val="0"/>
                <w:color w:val="auto"/>
                <w:kern w:val="0"/>
                <w:sz w:val="24"/>
              </w:rPr>
              <w:t>水封井：在项目</w:t>
            </w:r>
            <w:r>
              <w:rPr>
                <w:rFonts w:hint="eastAsia" w:ascii="Times New Roman" w:hAnsi="Times New Roman" w:cs="Times New Roman"/>
                <w:snapToGrid w:val="0"/>
                <w:color w:val="auto"/>
                <w:kern w:val="0"/>
                <w:sz w:val="24"/>
                <w:lang w:eastAsia="zh-CN"/>
              </w:rPr>
              <w:t>西南</w:t>
            </w:r>
            <w:r>
              <w:rPr>
                <w:rFonts w:hint="default" w:ascii="Times New Roman" w:hAnsi="Times New Roman" w:cs="Times New Roman"/>
                <w:snapToGrid w:val="0"/>
                <w:color w:val="auto"/>
                <w:kern w:val="0"/>
                <w:sz w:val="24"/>
              </w:rPr>
              <w:t>侧</w:t>
            </w:r>
            <w:r>
              <w:rPr>
                <w:rFonts w:hint="eastAsia" w:ascii="Times New Roman" w:hAnsi="Times New Roman" w:cs="Times New Roman"/>
                <w:snapToGrid w:val="0"/>
                <w:color w:val="auto"/>
                <w:kern w:val="0"/>
                <w:sz w:val="24"/>
                <w:lang w:eastAsia="zh-CN"/>
              </w:rPr>
              <w:t>新</w:t>
            </w:r>
            <w:r>
              <w:rPr>
                <w:rFonts w:hint="default" w:ascii="Times New Roman" w:hAnsi="Times New Roman" w:cs="Times New Roman"/>
                <w:snapToGrid w:val="0"/>
                <w:color w:val="auto"/>
                <w:kern w:val="0"/>
                <w:sz w:val="24"/>
              </w:rPr>
              <w:t>建1个水封井，用来处理场区雨水；</w:t>
            </w:r>
            <w:r>
              <w:rPr>
                <w:rFonts w:hint="eastAsia" w:ascii="Times New Roman" w:hAnsi="Times New Roman" w:cs="Times New Roman"/>
                <w:snapToGrid w:val="0"/>
                <w:color w:val="auto"/>
                <w:kern w:val="0"/>
                <w:sz w:val="24"/>
                <w:lang w:eastAsia="zh-CN"/>
              </w:rPr>
              <w:t>⑤</w:t>
            </w:r>
            <w:r>
              <w:rPr>
                <w:rFonts w:hint="default" w:ascii="Times New Roman" w:hAnsi="Times New Roman" w:cs="Times New Roman"/>
                <w:snapToGrid w:val="0"/>
                <w:color w:val="auto"/>
                <w:kern w:val="0"/>
                <w:sz w:val="24"/>
              </w:rPr>
              <w:t>防渗措施：设置双层罐，采取</w:t>
            </w:r>
            <w:r>
              <w:rPr>
                <w:rFonts w:hint="eastAsia" w:cs="Times New Roman"/>
                <w:snapToGrid w:val="0"/>
                <w:color w:val="auto"/>
                <w:kern w:val="0"/>
                <w:sz w:val="24"/>
                <w:lang w:eastAsia="zh-CN"/>
              </w:rPr>
              <w:t>混凝土</w:t>
            </w:r>
            <w:r>
              <w:rPr>
                <w:rFonts w:hint="default" w:ascii="Times New Roman" w:hAnsi="Times New Roman" w:cs="Times New Roman"/>
                <w:snapToGrid w:val="0"/>
                <w:color w:val="auto"/>
                <w:kern w:val="0"/>
                <w:sz w:val="24"/>
              </w:rPr>
              <w:t>垫层进行防渗处理；</w:t>
            </w:r>
            <w:r>
              <w:rPr>
                <w:rFonts w:hint="eastAsia" w:ascii="Times New Roman" w:hAnsi="Times New Roman" w:cs="Times New Roman"/>
                <w:snapToGrid w:val="0"/>
                <w:color w:val="auto"/>
                <w:kern w:val="0"/>
                <w:sz w:val="24"/>
                <w:lang w:eastAsia="zh-CN"/>
              </w:rPr>
              <w:t>⑥</w:t>
            </w:r>
            <w:r>
              <w:rPr>
                <w:rFonts w:hint="default" w:ascii="Times New Roman" w:hAnsi="Times New Roman" w:cs="Times New Roman"/>
                <w:snapToGrid w:val="0"/>
                <w:color w:val="auto"/>
                <w:kern w:val="0"/>
                <w:sz w:val="24"/>
              </w:rPr>
              <w:t>油气回收系统装置：项目在</w:t>
            </w:r>
            <w:r>
              <w:rPr>
                <w:rFonts w:hint="eastAsia" w:ascii="Times New Roman" w:hAnsi="Times New Roman" w:cs="Times New Roman"/>
                <w:snapToGrid w:val="0"/>
                <w:color w:val="auto"/>
                <w:kern w:val="0"/>
                <w:sz w:val="24"/>
                <w:lang w:eastAsia="zh-CN"/>
              </w:rPr>
              <w:t>汽油</w:t>
            </w:r>
            <w:r>
              <w:rPr>
                <w:rFonts w:hint="default" w:ascii="Times New Roman" w:hAnsi="Times New Roman" w:cs="Times New Roman"/>
                <w:snapToGrid w:val="0"/>
                <w:color w:val="auto"/>
                <w:kern w:val="0"/>
                <w:sz w:val="24"/>
              </w:rPr>
              <w:t>储罐区、卸油区、加油区安设油气回收系统装置，收集处理项目产生的混合油气，使非甲烷总烃达标排放；</w:t>
            </w:r>
            <w:r>
              <w:rPr>
                <w:rFonts w:hint="eastAsia" w:ascii="Times New Roman" w:hAnsi="Times New Roman" w:cs="Times New Roman"/>
                <w:snapToGrid w:val="0"/>
                <w:color w:val="auto"/>
                <w:kern w:val="0"/>
                <w:sz w:val="24"/>
                <w:lang w:eastAsia="zh-CN"/>
              </w:rPr>
              <w:t>⑦</w:t>
            </w:r>
            <w:r>
              <w:rPr>
                <w:rFonts w:hint="default" w:ascii="Times New Roman" w:hAnsi="Times New Roman" w:cs="Times New Roman"/>
                <w:snapToGrid w:val="0"/>
                <w:color w:val="auto"/>
                <w:kern w:val="0"/>
                <w:sz w:val="24"/>
              </w:rPr>
              <w:t>危废收集桶：收集含油消防沙；</w:t>
            </w:r>
            <w:r>
              <w:rPr>
                <w:rFonts w:hint="eastAsia" w:ascii="Times New Roman" w:hAnsi="Times New Roman" w:eastAsia="宋体" w:cs="Times New Roman"/>
                <w:snapToGrid w:val="0"/>
                <w:color w:val="auto"/>
                <w:kern w:val="0"/>
                <w:sz w:val="24"/>
                <w:lang w:eastAsia="zh-CN"/>
              </w:rPr>
              <w:t>⑧</w:t>
            </w:r>
            <w:r>
              <w:rPr>
                <w:rFonts w:hint="default" w:ascii="Times New Roman" w:hAnsi="Times New Roman" w:cs="Times New Roman"/>
                <w:snapToGrid w:val="0"/>
                <w:color w:val="auto"/>
                <w:kern w:val="0"/>
                <w:sz w:val="24"/>
              </w:rPr>
              <w:t>垃圾收集装置：在场区进出口和站房附近设置多个垃圾桶，收集生活垃圾；</w:t>
            </w:r>
            <w:r>
              <w:rPr>
                <w:rFonts w:hint="eastAsia" w:ascii="Times New Roman" w:hAnsi="Times New Roman" w:cs="Times New Roman"/>
                <w:snapToGrid w:val="0"/>
                <w:color w:val="auto"/>
                <w:kern w:val="0"/>
                <w:sz w:val="24"/>
                <w:lang w:eastAsia="zh-CN"/>
              </w:rPr>
              <w:t>⑨</w:t>
            </w:r>
            <w:r>
              <w:rPr>
                <w:rFonts w:hint="default" w:ascii="Times New Roman" w:hAnsi="Times New Roman" w:cs="Times New Roman"/>
                <w:snapToGrid w:val="0"/>
                <w:color w:val="auto"/>
                <w:kern w:val="0"/>
                <w:sz w:val="24"/>
              </w:rPr>
              <w:t>危废暂存间：用来存放危废收集桶，贴有明显标识；</w:t>
            </w:r>
            <w:r>
              <w:rPr>
                <w:rFonts w:hint="eastAsia" w:ascii="Times New Roman" w:hAnsi="Times New Roman" w:cs="Times New Roman"/>
                <w:snapToGrid w:val="0"/>
                <w:color w:val="auto"/>
                <w:kern w:val="0"/>
                <w:sz w:val="24"/>
                <w:lang w:val="en-US" w:eastAsia="zh-CN"/>
              </w:rPr>
              <w:t>⑩</w:t>
            </w:r>
            <w:r>
              <w:rPr>
                <w:rFonts w:hint="default" w:ascii="Times New Roman" w:hAnsi="Times New Roman" w:cs="Times New Roman"/>
                <w:snapToGrid w:val="0"/>
                <w:color w:val="auto"/>
                <w:kern w:val="0"/>
                <w:sz w:val="24"/>
              </w:rPr>
              <w:t>绿化：项目绿化面积为</w:t>
            </w:r>
            <w:r>
              <w:rPr>
                <w:rFonts w:hint="eastAsia" w:ascii="Times New Roman" w:hAnsi="Times New Roman" w:cs="Times New Roman"/>
                <w:snapToGrid w:val="0"/>
                <w:color w:val="auto"/>
                <w:kern w:val="0"/>
                <w:sz w:val="24"/>
                <w:lang w:val="en-US" w:eastAsia="zh-CN"/>
              </w:rPr>
              <w:t>20m</w:t>
            </w:r>
            <w:r>
              <w:rPr>
                <w:rFonts w:hint="eastAsia" w:ascii="Times New Roman" w:hAnsi="Times New Roman" w:cs="Times New Roman"/>
                <w:snapToGrid w:val="0"/>
                <w:color w:val="auto"/>
                <w:kern w:val="0"/>
                <w:sz w:val="24"/>
                <w:vertAlign w:val="superscript"/>
                <w:lang w:val="en-US" w:eastAsia="zh-CN"/>
              </w:rPr>
              <w:t>2</w:t>
            </w:r>
            <w:r>
              <w:rPr>
                <w:rFonts w:hint="default" w:ascii="Times New Roman" w:hAnsi="Times New Roman" w:cs="Times New Roman"/>
                <w:snapToGrid w:val="0"/>
                <w:color w:val="auto"/>
                <w:kern w:val="0"/>
                <w:sz w:val="24"/>
              </w:rPr>
              <w:t>，可起到吸尘降噪、美化环境的效果。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9587" w:type="dxa"/>
            <w:gridSpan w:val="9"/>
            <w:tcMar>
              <w:top w:w="85" w:type="dxa"/>
              <w:bottom w:w="85" w:type="dxa"/>
            </w:tcMar>
            <w:vAlign w:val="top"/>
          </w:tcPr>
          <w:p>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与本项目有关的原有污染情况及主要环境问题：</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一、原项目建设情况</w:t>
            </w:r>
          </w:p>
          <w:p>
            <w:pPr>
              <w:spacing w:line="360" w:lineRule="auto"/>
              <w:ind w:firstLine="480" w:firstLineChars="200"/>
              <w:rPr>
                <w:rFonts w:hint="default" w:ascii="Times New Roman" w:hAnsi="Times New Roman" w:cs="Times New Roman"/>
                <w:b/>
                <w:color w:val="auto"/>
                <w:sz w:val="24"/>
                <w:lang w:eastAsia="zh-CN"/>
              </w:rPr>
            </w:pPr>
            <w:r>
              <w:rPr>
                <w:rFonts w:hint="default" w:ascii="Times New Roman" w:hAnsi="Times New Roman" w:cs="Times New Roman"/>
                <w:color w:val="auto"/>
                <w:sz w:val="24"/>
              </w:rPr>
              <w:t>项目总占地面积为</w:t>
            </w:r>
            <w:r>
              <w:rPr>
                <w:rFonts w:hint="eastAsia" w:ascii="Times New Roman" w:hAnsi="Times New Roman" w:cs="Times New Roman"/>
                <w:color w:val="auto"/>
                <w:sz w:val="24"/>
                <w:lang w:val="en-US" w:eastAsia="zh-CN"/>
              </w:rPr>
              <w:t>1148.00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其中构筑物占地面积为</w:t>
            </w:r>
            <w:r>
              <w:rPr>
                <w:rFonts w:hint="eastAsia" w:ascii="Times New Roman" w:hAnsi="Times New Roman" w:cs="Times New Roman"/>
                <w:color w:val="auto"/>
                <w:sz w:val="24"/>
                <w:lang w:val="en-US" w:eastAsia="zh-CN"/>
              </w:rPr>
              <w:t>410.59</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卸油区占地面积</w:t>
            </w:r>
            <w:r>
              <w:rPr>
                <w:rFonts w:hint="eastAsia" w:ascii="Times New Roman" w:hAnsi="Times New Roman" w:cs="Times New Roman"/>
                <w:color w:val="auto"/>
                <w:sz w:val="24"/>
                <w:lang w:val="en-US" w:eastAsia="zh-CN"/>
              </w:rPr>
              <w:t>40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，绿化面积</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 xml:space="preserve"> 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加油罩棚占地面积</w:t>
            </w:r>
            <w:r>
              <w:rPr>
                <w:rFonts w:hint="eastAsia" w:ascii="Times New Roman" w:hAnsi="Times New Roman" w:cs="Times New Roman"/>
                <w:color w:val="auto"/>
                <w:sz w:val="24"/>
                <w:lang w:val="en-US" w:eastAsia="zh-CN"/>
              </w:rPr>
              <w:t>75.74m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其它储油罐、管线、道路等</w:t>
            </w:r>
            <w:r>
              <w:rPr>
                <w:rFonts w:hint="eastAsia" w:ascii="Times New Roman" w:hAnsi="Times New Roman" w:cs="Times New Roman"/>
                <w:color w:val="auto"/>
                <w:sz w:val="24"/>
                <w:lang w:val="en-US" w:eastAsia="zh-CN"/>
              </w:rPr>
              <w:t>601.67</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。总建筑面积</w:t>
            </w:r>
            <w:r>
              <w:rPr>
                <w:rFonts w:hint="eastAsia" w:ascii="Times New Roman" w:hAnsi="Times New Roman" w:cs="Times New Roman"/>
                <w:color w:val="auto"/>
                <w:sz w:val="24"/>
                <w:lang w:val="en-US" w:eastAsia="zh-CN"/>
              </w:rPr>
              <w:t>240.99</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项目建有一栋站房</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层，</w:t>
            </w:r>
            <w:r>
              <w:rPr>
                <w:rFonts w:hint="eastAsia" w:cs="Times New Roman"/>
                <w:color w:val="auto"/>
                <w:sz w:val="24"/>
                <w:lang w:val="en-US" w:eastAsia="zh-CN"/>
              </w:rPr>
              <w:t>混凝土</w:t>
            </w:r>
            <w:r>
              <w:rPr>
                <w:rFonts w:hint="default" w:ascii="Times New Roman" w:hAnsi="Times New Roman" w:cs="Times New Roman"/>
                <w:color w:val="auto"/>
                <w:sz w:val="24"/>
                <w:lang w:val="en-US" w:eastAsia="zh-CN"/>
              </w:rPr>
              <w:t>结构，</w:t>
            </w:r>
            <w:r>
              <w:rPr>
                <w:rFonts w:hint="eastAsia" w:ascii="Times New Roman" w:hAnsi="Times New Roman" w:cs="Times New Roman"/>
                <w:color w:val="auto"/>
                <w:sz w:val="24"/>
                <w:lang w:val="en-US" w:eastAsia="zh-CN"/>
              </w:rPr>
              <w:t>其中1层</w:t>
            </w:r>
            <w:r>
              <w:rPr>
                <w:rFonts w:hint="default" w:ascii="Times New Roman" w:hAnsi="Times New Roman" w:cs="Times New Roman"/>
                <w:color w:val="auto"/>
                <w:sz w:val="24"/>
                <w:lang w:val="en-US" w:eastAsia="zh-CN"/>
              </w:rPr>
              <w:t>设置开票区、办公区</w:t>
            </w:r>
            <w:r>
              <w:rPr>
                <w:rFonts w:hint="eastAsia" w:ascii="Times New Roman" w:hAnsi="Times New Roman" w:cs="Times New Roman"/>
                <w:color w:val="auto"/>
                <w:sz w:val="24"/>
                <w:lang w:val="en-US" w:eastAsia="zh-CN"/>
              </w:rPr>
              <w:t>、卫生间（水冲厕，男女分开）、仓库，二层设置厨房、食堂、住宿区，位于项目西侧。</w:t>
            </w:r>
          </w:p>
          <w:p>
            <w:pPr>
              <w:autoSpaceDE w:val="0"/>
              <w:autoSpaceDN w:val="0"/>
              <w:adjustRightIn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lang w:val="en-US" w:eastAsia="zh-CN"/>
              </w:rPr>
              <w:t xml:space="preserve"> </w:t>
            </w:r>
            <w:r>
              <w:rPr>
                <w:rFonts w:hint="default" w:ascii="Times New Roman" w:hAnsi="Times New Roman" w:cs="Times New Roman"/>
                <w:bCs/>
                <w:color w:val="auto"/>
                <w:sz w:val="24"/>
              </w:rPr>
              <w:t>原项目建设内容包括站房、</w:t>
            </w:r>
            <w:r>
              <w:rPr>
                <w:rFonts w:hint="default" w:ascii="Times New Roman" w:hAnsi="Times New Roman" w:cs="Times New Roman"/>
                <w:color w:val="auto"/>
                <w:sz w:val="24"/>
              </w:rPr>
              <w:t>罩棚、地下油罐区、绿化区及其相关配套设施。配有双枪加油机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台</w:t>
            </w:r>
            <w:r>
              <w:rPr>
                <w:rFonts w:hint="eastAsia" w:ascii="Times New Roman" w:hAnsi="Times New Roman" w:cs="Times New Roman"/>
                <w:color w:val="auto"/>
                <w:sz w:val="24"/>
                <w:lang w:eastAsia="zh-CN"/>
              </w:rPr>
              <w:t>（未设置油气回收系统）</w:t>
            </w:r>
            <w:r>
              <w:rPr>
                <w:rFonts w:hint="default" w:ascii="Times New Roman" w:hAnsi="Times New Roman" w:cs="Times New Roman"/>
                <w:color w:val="auto"/>
                <w:sz w:val="24"/>
              </w:rPr>
              <w:t>，其中0</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柴油</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汽油加油机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台。建有地下</w:t>
            </w:r>
            <w:r>
              <w:rPr>
                <w:rFonts w:hint="eastAsia" w:ascii="Times New Roman" w:hAnsi="Times New Roman" w:cs="Times New Roman"/>
                <w:color w:val="auto"/>
                <w:sz w:val="24"/>
                <w:lang w:eastAsia="zh-CN"/>
              </w:rPr>
              <w:t>单层</w:t>
            </w:r>
            <w:r>
              <w:rPr>
                <w:rFonts w:hint="default" w:ascii="Times New Roman" w:hAnsi="Times New Roman" w:cs="Times New Roman"/>
                <w:color w:val="auto"/>
                <w:sz w:val="24"/>
              </w:rPr>
              <w:t>储油罐</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个，总容积为</w:t>
            </w:r>
            <w:r>
              <w:rPr>
                <w:rFonts w:hint="eastAsia" w:ascii="Times New Roman" w:hAnsi="Times New Roman" w:cs="Times New Roman"/>
                <w:color w:val="auto"/>
                <w:sz w:val="24"/>
                <w:lang w:val="en-US" w:eastAsia="zh-CN"/>
              </w:rPr>
              <w:t>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，其中</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汽油储油罐</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个（</w:t>
            </w:r>
            <w:r>
              <w:rPr>
                <w:rFonts w:hint="default" w:ascii="Times New Roman" w:hAnsi="Times New Roman" w:cs="Times New Roman"/>
                <w:color w:val="auto"/>
                <w:sz w:val="24"/>
                <w:lang w:eastAsia="zh-CN"/>
              </w:rPr>
              <w:t>容积</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eastAsia" w:ascii="Times New Roman" w:hAnsi="Times New Roman" w:cs="Times New Roman"/>
                <w:color w:val="auto"/>
                <w:sz w:val="24"/>
                <w:vertAlign w:val="baseline"/>
                <w:lang w:eastAsia="zh-CN"/>
              </w:rPr>
              <w:t>），</w:t>
            </w:r>
            <w:r>
              <w:rPr>
                <w:rFonts w:hint="default" w:ascii="Times New Roman" w:hAnsi="Times New Roman" w:cs="Times New Roman"/>
                <w:color w:val="auto"/>
                <w:sz w:val="24"/>
              </w:rPr>
              <w:t>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汽油储油罐</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个（</w:t>
            </w:r>
            <w:r>
              <w:rPr>
                <w:rFonts w:hint="default" w:ascii="Times New Roman" w:hAnsi="Times New Roman" w:cs="Times New Roman"/>
                <w:color w:val="auto"/>
                <w:sz w:val="24"/>
                <w:lang w:eastAsia="zh-CN"/>
              </w:rPr>
              <w:t>容积</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vertAlign w:val="baseline"/>
                <w:lang w:eastAsia="zh-CN"/>
              </w:rPr>
              <w:t>。</w:t>
            </w:r>
            <w:r>
              <w:rPr>
                <w:rFonts w:hint="default" w:ascii="Times New Roman" w:hAnsi="Times New Roman" w:cs="Times New Roman"/>
                <w:bCs/>
                <w:color w:val="auto"/>
                <w:sz w:val="24"/>
                <w:lang w:eastAsia="zh-CN"/>
              </w:rPr>
              <w:t>油品年销售量</w:t>
            </w:r>
            <w:r>
              <w:rPr>
                <w:rFonts w:hint="eastAsia" w:ascii="Times New Roman" w:hAnsi="Times New Roman" w:cs="Times New Roman"/>
                <w:bCs/>
                <w:color w:val="auto"/>
                <w:sz w:val="24"/>
                <w:lang w:eastAsia="zh-CN"/>
              </w:rPr>
              <w:t>约</w:t>
            </w:r>
            <w:r>
              <w:rPr>
                <w:rFonts w:hint="default" w:ascii="Times New Roman" w:hAnsi="Times New Roman" w:cs="Times New Roman"/>
                <w:bCs/>
                <w:color w:val="auto"/>
                <w:sz w:val="24"/>
                <w:lang w:eastAsia="zh-CN"/>
              </w:rPr>
              <w:t>为</w:t>
            </w:r>
            <w:r>
              <w:rPr>
                <w:rFonts w:hint="eastAsia" w:ascii="Times New Roman" w:hAnsi="Times New Roman" w:cs="Times New Roman"/>
                <w:bCs/>
                <w:color w:val="auto"/>
                <w:sz w:val="24"/>
                <w:lang w:val="en-US" w:eastAsia="zh-CN"/>
              </w:rPr>
              <w:t>50</w:t>
            </w:r>
            <w:r>
              <w:rPr>
                <w:rFonts w:hint="default" w:ascii="Times New Roman" w:hAnsi="Times New Roman" w:cs="Times New Roman"/>
                <w:bCs/>
                <w:color w:val="auto"/>
                <w:sz w:val="24"/>
                <w:lang w:val="en-US" w:eastAsia="zh-CN"/>
              </w:rPr>
              <w:t>0t，其中，</w:t>
            </w:r>
            <w:r>
              <w:rPr>
                <w:rFonts w:hint="default" w:ascii="Times New Roman" w:hAnsi="Times New Roman" w:cs="Times New Roman"/>
                <w:color w:val="auto"/>
                <w:sz w:val="24"/>
              </w:rPr>
              <w:t>0</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柴油年销售量</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0t/a、92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汽油年销售量</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0t/a。</w:t>
            </w:r>
          </w:p>
          <w:p>
            <w:pPr>
              <w:autoSpaceDE w:val="0"/>
              <w:autoSpaceDN w:val="0"/>
              <w:adjustRightInd w:val="0"/>
              <w:spacing w:line="360" w:lineRule="auto"/>
              <w:ind w:firstLine="472" w:firstLineChars="197"/>
              <w:rPr>
                <w:snapToGrid w:val="0"/>
                <w:color w:val="auto"/>
                <w:kern w:val="0"/>
                <w:sz w:val="24"/>
              </w:rPr>
            </w:pPr>
            <w:r>
              <w:rPr>
                <w:snapToGrid w:val="0"/>
                <w:color w:val="auto"/>
                <w:kern w:val="0"/>
                <w:sz w:val="24"/>
              </w:rPr>
              <w:t>项目投产运营期，共有</w:t>
            </w:r>
            <w:r>
              <w:rPr>
                <w:rFonts w:hint="eastAsia"/>
                <w:snapToGrid w:val="0"/>
                <w:color w:val="auto"/>
                <w:kern w:val="0"/>
                <w:sz w:val="24"/>
                <w:lang w:val="en-US" w:eastAsia="zh-CN"/>
              </w:rPr>
              <w:t>7</w:t>
            </w:r>
            <w:r>
              <w:rPr>
                <w:snapToGrid w:val="0"/>
                <w:color w:val="auto"/>
                <w:kern w:val="0"/>
                <w:sz w:val="24"/>
              </w:rPr>
              <w:t>个工作人员，管理岗1人，工人</w:t>
            </w:r>
            <w:r>
              <w:rPr>
                <w:rFonts w:hint="eastAsia"/>
                <w:snapToGrid w:val="0"/>
                <w:color w:val="auto"/>
                <w:kern w:val="0"/>
                <w:sz w:val="24"/>
                <w:lang w:val="en-US" w:eastAsia="zh-CN"/>
              </w:rPr>
              <w:t>6</w:t>
            </w:r>
            <w:r>
              <w:rPr>
                <w:snapToGrid w:val="0"/>
                <w:color w:val="auto"/>
                <w:kern w:val="0"/>
                <w:sz w:val="24"/>
              </w:rPr>
              <w:t>人，工作制度实行</w:t>
            </w:r>
            <w:r>
              <w:rPr>
                <w:rFonts w:hint="eastAsia"/>
                <w:snapToGrid w:val="0"/>
                <w:color w:val="auto"/>
                <w:kern w:val="0"/>
                <w:sz w:val="24"/>
                <w:lang w:eastAsia="zh-CN"/>
              </w:rPr>
              <w:t>两</w:t>
            </w:r>
            <w:r>
              <w:rPr>
                <w:snapToGrid w:val="0"/>
                <w:color w:val="auto"/>
                <w:kern w:val="0"/>
                <w:sz w:val="24"/>
              </w:rPr>
              <w:t>班倒，每班人员</w:t>
            </w:r>
            <w:r>
              <w:rPr>
                <w:rFonts w:hint="eastAsia"/>
                <w:snapToGrid w:val="0"/>
                <w:color w:val="auto"/>
                <w:kern w:val="0"/>
                <w:sz w:val="24"/>
                <w:lang w:val="en-US" w:eastAsia="zh-CN"/>
              </w:rPr>
              <w:t>4</w:t>
            </w:r>
            <w:r>
              <w:rPr>
                <w:snapToGrid w:val="0"/>
                <w:color w:val="auto"/>
                <w:kern w:val="0"/>
                <w:sz w:val="24"/>
              </w:rPr>
              <w:t>人，年工作时间36</w:t>
            </w:r>
            <w:r>
              <w:rPr>
                <w:rFonts w:hint="eastAsia"/>
                <w:snapToGrid w:val="0"/>
                <w:color w:val="auto"/>
                <w:kern w:val="0"/>
                <w:sz w:val="24"/>
                <w:lang w:val="en-US" w:eastAsia="zh-CN"/>
              </w:rPr>
              <w:t>5</w:t>
            </w:r>
            <w:r>
              <w:rPr>
                <w:snapToGrid w:val="0"/>
                <w:color w:val="auto"/>
                <w:kern w:val="0"/>
                <w:sz w:val="24"/>
              </w:rPr>
              <w:t>天。</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原项目采用自流密闭卸油方式卸油，储油罐均未设置液位仪，未设置汽油加油油气回收系统，未设置卸油油气回收装置，单层罐。</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二、原有污染物产生及排放情况</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（一）废水</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1、生活污水</w:t>
            </w:r>
          </w:p>
          <w:p>
            <w:pPr>
              <w:spacing w:line="353"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原</w:t>
            </w:r>
            <w:r>
              <w:rPr>
                <w:rFonts w:hint="default" w:ascii="Times New Roman" w:hAnsi="Times New Roman" w:cs="Times New Roman"/>
                <w:color w:val="auto"/>
                <w:sz w:val="24"/>
              </w:rPr>
              <w:t>项目生活污水主要由公厕冲洗废水、厨房废水、洗漱废水等组成，主要含有机物、悬浮物等。</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1、生活污水</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①员工生活污水</w:t>
            </w:r>
          </w:p>
          <w:p>
            <w:pPr>
              <w:spacing w:line="353"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原</w:t>
            </w:r>
            <w:r>
              <w:rPr>
                <w:rFonts w:hint="default" w:ascii="Times New Roman" w:hAnsi="Times New Roman" w:cs="Times New Roman"/>
                <w:color w:val="auto"/>
                <w:sz w:val="24"/>
              </w:rPr>
              <w:t>项目加油站</w:t>
            </w:r>
            <w:r>
              <w:rPr>
                <w:rFonts w:hint="eastAsia" w:ascii="Times New Roman" w:hAnsi="Times New Roman" w:cs="Times New Roman"/>
                <w:color w:val="auto"/>
                <w:sz w:val="24"/>
                <w:lang w:eastAsia="zh-CN"/>
              </w:rPr>
              <w:t>有</w:t>
            </w:r>
            <w:r>
              <w:rPr>
                <w:rFonts w:hint="default" w:ascii="Times New Roman" w:hAnsi="Times New Roman" w:cs="Times New Roman"/>
                <w:color w:val="auto"/>
                <w:sz w:val="24"/>
              </w:rPr>
              <w:t>工作人员</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人，</w:t>
            </w:r>
            <w:r>
              <w:rPr>
                <w:rFonts w:hint="eastAsia" w:ascii="Times New Roman" w:hAnsi="Times New Roman" w:cs="Times New Roman"/>
                <w:color w:val="auto"/>
                <w:sz w:val="24"/>
                <w:lang w:eastAsia="zh-CN"/>
              </w:rPr>
              <w:t>两班倒，每日在岗人数为</w:t>
            </w:r>
            <w:r>
              <w:rPr>
                <w:rFonts w:hint="eastAsia" w:ascii="Times New Roman" w:hAnsi="Times New Roman" w:cs="Times New Roman"/>
                <w:color w:val="auto"/>
                <w:sz w:val="24"/>
                <w:lang w:val="en-US" w:eastAsia="zh-CN"/>
              </w:rPr>
              <w:t>4人，</w:t>
            </w:r>
            <w:r>
              <w:rPr>
                <w:rFonts w:hint="default" w:ascii="Times New Roman" w:hAnsi="Times New Roman" w:cs="Times New Roman"/>
                <w:color w:val="auto"/>
                <w:sz w:val="24"/>
              </w:rPr>
              <w:t>年工作时间为36</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天，根据《云南省用水定额标准— 居民生活用水定额》（DB53.T168-2013）规定核算，在加油站内食宿的工作人员生活用水量按100L/人·d计，则项目生活用水量为</w:t>
            </w:r>
            <w:r>
              <w:rPr>
                <w:rFonts w:hint="eastAsia" w:ascii="Times New Roman" w:hAnsi="Times New Roman" w:cs="Times New Roman"/>
                <w:color w:val="auto"/>
                <w:sz w:val="24"/>
                <w:lang w:val="en-US" w:eastAsia="zh-CN"/>
              </w:rPr>
              <w:t>0.4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146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/a，生活污水产生量按用水量的0.8计算，则项目员工生活污水产生量为</w:t>
            </w:r>
            <w:r>
              <w:rPr>
                <w:rFonts w:hint="default" w:ascii="Times New Roman" w:hAnsi="Times New Roman" w:cs="Times New Roman"/>
                <w:color w:val="auto"/>
                <w:sz w:val="24"/>
                <w:lang w:val="en-US" w:eastAsia="zh-CN"/>
              </w:rPr>
              <w:t>0.</w:t>
            </w:r>
            <w:r>
              <w:rPr>
                <w:rFonts w:hint="eastAsia" w:ascii="Times New Roman" w:hAnsi="Times New Roman" w:cs="Times New Roman"/>
                <w:color w:val="auto"/>
                <w:sz w:val="24"/>
                <w:lang w:val="en-US" w:eastAsia="zh-CN"/>
              </w:rPr>
              <w:t>32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116.8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②顾客污水</w:t>
            </w:r>
          </w:p>
          <w:p>
            <w:pPr>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原</w:t>
            </w:r>
            <w:r>
              <w:rPr>
                <w:rFonts w:hint="default" w:ascii="Times New Roman" w:hAnsi="Times New Roman" w:cs="Times New Roman"/>
                <w:color w:val="auto"/>
                <w:sz w:val="24"/>
              </w:rPr>
              <w:t>项目年加油量</w:t>
            </w:r>
            <w:r>
              <w:rPr>
                <w:rFonts w:hint="default" w:ascii="Times New Roman" w:hAnsi="Times New Roman" w:cs="Times New Roman"/>
                <w:color w:val="auto"/>
                <w:sz w:val="24"/>
                <w:lang w:eastAsia="zh-CN"/>
              </w:rPr>
              <w:t>约</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500</w:t>
            </w:r>
            <w:r>
              <w:rPr>
                <w:rFonts w:hint="default" w:ascii="Times New Roman" w:hAnsi="Times New Roman" w:cs="Times New Roman"/>
                <w:color w:val="auto"/>
                <w:sz w:val="24"/>
              </w:rPr>
              <w:t>t，其中汽油约</w:t>
            </w:r>
            <w:r>
              <w:rPr>
                <w:rFonts w:hint="eastAsia" w:ascii="Times New Roman" w:hAnsi="Times New Roman" w:cs="Times New Roman"/>
                <w:color w:val="auto"/>
                <w:sz w:val="24"/>
                <w:lang w:val="en-US" w:eastAsia="zh-CN"/>
              </w:rPr>
              <w:t>200</w:t>
            </w:r>
            <w:r>
              <w:rPr>
                <w:rFonts w:hint="default" w:ascii="Times New Roman" w:hAnsi="Times New Roman" w:cs="Times New Roman"/>
                <w:color w:val="auto"/>
                <w:sz w:val="24"/>
              </w:rPr>
              <w:t>t（约</w:t>
            </w:r>
            <w:r>
              <w:rPr>
                <w:rFonts w:hint="eastAsia" w:ascii="Times New Roman" w:hAnsi="Times New Roman" w:cs="Times New Roman"/>
                <w:color w:val="auto"/>
                <w:sz w:val="24"/>
                <w:lang w:val="en-US" w:eastAsia="zh-CN"/>
              </w:rPr>
              <w:t>273973</w:t>
            </w:r>
            <w:r>
              <w:rPr>
                <w:rFonts w:hint="default" w:ascii="Times New Roman" w:hAnsi="Times New Roman" w:cs="Times New Roman"/>
                <w:color w:val="auto"/>
                <w:sz w:val="24"/>
              </w:rPr>
              <w:t>L），柴油约</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t（约</w:t>
            </w:r>
            <w:r>
              <w:rPr>
                <w:rFonts w:hint="eastAsia" w:ascii="Times New Roman" w:hAnsi="Times New Roman" w:cs="Times New Roman"/>
                <w:color w:val="auto"/>
                <w:sz w:val="24"/>
                <w:lang w:val="en-US" w:eastAsia="zh-CN"/>
              </w:rPr>
              <w:t>361446</w:t>
            </w:r>
            <w:r>
              <w:rPr>
                <w:rFonts w:hint="default" w:ascii="Times New Roman" w:hAnsi="Times New Roman" w:cs="Times New Roman"/>
                <w:color w:val="auto"/>
                <w:sz w:val="24"/>
              </w:rPr>
              <w:t>L），则汽油日销售量约</w:t>
            </w:r>
            <w:r>
              <w:rPr>
                <w:rFonts w:hint="eastAsia" w:ascii="Times New Roman" w:hAnsi="Times New Roman" w:cs="Times New Roman"/>
                <w:color w:val="auto"/>
                <w:sz w:val="24"/>
                <w:lang w:val="en-US" w:eastAsia="zh-CN"/>
              </w:rPr>
              <w:t>751</w:t>
            </w:r>
            <w:r>
              <w:rPr>
                <w:rFonts w:hint="default" w:ascii="Times New Roman" w:hAnsi="Times New Roman" w:cs="Times New Roman"/>
                <w:color w:val="auto"/>
                <w:sz w:val="24"/>
              </w:rPr>
              <w:t>L，柴油每天销售量约</w:t>
            </w:r>
            <w:r>
              <w:rPr>
                <w:rFonts w:hint="eastAsia" w:ascii="Times New Roman" w:hAnsi="Times New Roman" w:cs="Times New Roman"/>
                <w:color w:val="auto"/>
                <w:sz w:val="24"/>
                <w:lang w:val="en-US" w:eastAsia="zh-CN"/>
              </w:rPr>
              <w:t>990</w:t>
            </w:r>
            <w:r>
              <w:rPr>
                <w:rFonts w:hint="default" w:ascii="Times New Roman" w:hAnsi="Times New Roman" w:cs="Times New Roman"/>
                <w:color w:val="auto"/>
                <w:sz w:val="24"/>
              </w:rPr>
              <w:t>L，以汽油每辆车平均加油</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0L计算，</w:t>
            </w:r>
            <w:r>
              <w:rPr>
                <w:rFonts w:hint="default" w:ascii="Times New Roman" w:hAnsi="Times New Roman" w:cs="Times New Roman"/>
                <w:color w:val="auto"/>
                <w:sz w:val="24"/>
                <w:lang w:eastAsia="zh-CN"/>
              </w:rPr>
              <w:t>则</w:t>
            </w:r>
            <w:r>
              <w:rPr>
                <w:rFonts w:hint="default" w:ascii="Times New Roman" w:hAnsi="Times New Roman" w:cs="Times New Roman"/>
                <w:color w:val="auto"/>
                <w:sz w:val="24"/>
              </w:rPr>
              <w:t>每天加油的车辆数约为</w:t>
            </w:r>
            <w:r>
              <w:rPr>
                <w:rFonts w:hint="eastAsia" w:ascii="Times New Roman" w:hAnsi="Times New Roman" w:cs="Times New Roman"/>
                <w:color w:val="auto"/>
                <w:sz w:val="24"/>
                <w:lang w:val="en-US" w:eastAsia="zh-CN"/>
              </w:rPr>
              <w:t>25</w:t>
            </w:r>
            <w:r>
              <w:rPr>
                <w:rFonts w:hint="default" w:ascii="Times New Roman" w:hAnsi="Times New Roman" w:cs="Times New Roman"/>
                <w:color w:val="auto"/>
                <w:sz w:val="24"/>
              </w:rPr>
              <w:t>辆，柴油每辆加油量约</w:t>
            </w:r>
            <w:r>
              <w:rPr>
                <w:rFonts w:hint="default" w:ascii="Times New Roman" w:hAnsi="Times New Roman" w:cs="Times New Roman"/>
                <w:color w:val="auto"/>
                <w:sz w:val="24"/>
                <w:lang w:val="en-US" w:eastAsia="zh-CN"/>
              </w:rPr>
              <w:t>80</w:t>
            </w:r>
            <w:r>
              <w:rPr>
                <w:rFonts w:hint="default" w:ascii="Times New Roman" w:hAnsi="Times New Roman" w:cs="Times New Roman"/>
                <w:color w:val="auto"/>
                <w:sz w:val="24"/>
              </w:rPr>
              <w:t>L核算，</w:t>
            </w:r>
            <w:r>
              <w:rPr>
                <w:rFonts w:hint="default" w:ascii="Times New Roman" w:hAnsi="Times New Roman" w:cs="Times New Roman"/>
                <w:color w:val="auto"/>
                <w:sz w:val="24"/>
                <w:lang w:eastAsia="zh-CN"/>
              </w:rPr>
              <w:t>则</w:t>
            </w:r>
            <w:r>
              <w:rPr>
                <w:rFonts w:hint="default" w:ascii="Times New Roman" w:hAnsi="Times New Roman" w:cs="Times New Roman"/>
                <w:color w:val="auto"/>
                <w:sz w:val="24"/>
              </w:rPr>
              <w:t>每天加油的车辆数约</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rPr>
              <w:t>辆，合计</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辆，以每辆车2人，50%的顾客使用公厕计算，每天使用卫生间的顾客人数为</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人次，用水量按2L/人次·d计，则加油站公厕用水量为0.</w:t>
            </w:r>
            <w:r>
              <w:rPr>
                <w:rFonts w:hint="default" w:ascii="Times New Roman" w:hAnsi="Times New Roman" w:cs="Times New Roman"/>
                <w:color w:val="auto"/>
                <w:sz w:val="24"/>
                <w:lang w:val="en-US" w:eastAsia="zh-CN"/>
              </w:rPr>
              <w:t>0</w:t>
            </w:r>
            <w:r>
              <w:rPr>
                <w:rFonts w:hint="eastAsia" w:ascii="Times New Roman" w:hAnsi="Times New Roman" w:cs="Times New Roman"/>
                <w:color w:val="auto"/>
                <w:sz w:val="24"/>
                <w:lang w:val="en-US" w:eastAsia="zh-CN"/>
              </w:rPr>
              <w:t>74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27.01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污水排放量按其用水量的0.8计，则项目运营期顾客生活污水排放量为0.0</w:t>
            </w:r>
            <w:r>
              <w:rPr>
                <w:rFonts w:hint="eastAsia" w:ascii="Times New Roman" w:hAnsi="Times New Roman" w:cs="Times New Roman"/>
                <w:color w:val="auto"/>
                <w:sz w:val="24"/>
                <w:lang w:val="en-US" w:eastAsia="zh-CN"/>
              </w:rPr>
              <w:t>592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21.61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项目员工</w:t>
            </w:r>
            <w:r>
              <w:rPr>
                <w:rFonts w:hint="eastAsia" w:ascii="Times New Roman" w:hAnsi="Times New Roman" w:cs="Times New Roman"/>
                <w:color w:val="auto"/>
                <w:sz w:val="24"/>
                <w:lang w:eastAsia="zh-CN"/>
              </w:rPr>
              <w:t>及顾客</w:t>
            </w:r>
            <w:r>
              <w:rPr>
                <w:rFonts w:hint="default" w:ascii="Times New Roman" w:hAnsi="Times New Roman" w:cs="Times New Roman"/>
                <w:color w:val="auto"/>
                <w:sz w:val="24"/>
              </w:rPr>
              <w:t>产生的生活污水主要成分COD、BOD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-N、动植物油类等，各类废水经污水管网排至化粪池，经化粪池处理后</w:t>
            </w:r>
            <w:r>
              <w:rPr>
                <w:rFonts w:hint="default" w:ascii="Times New Roman" w:hAnsi="Times New Roman" w:cs="Times New Roman"/>
                <w:color w:val="auto"/>
                <w:sz w:val="24"/>
                <w:lang w:eastAsia="zh-CN"/>
              </w:rPr>
              <w:t>提供给周边的农户用作农肥</w:t>
            </w:r>
            <w:r>
              <w:rPr>
                <w:rFonts w:hint="default" w:ascii="Times New Roman" w:hAnsi="Times New Roman" w:cs="Times New Roman"/>
                <w:color w:val="auto"/>
                <w:sz w:val="24"/>
              </w:rPr>
              <w:t>。</w:t>
            </w:r>
          </w:p>
          <w:p>
            <w:pPr>
              <w:pStyle w:val="57"/>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kern w:val="2"/>
                <w:sz w:val="24"/>
                <w:szCs w:val="24"/>
                <w:lang w:val="en-US" w:eastAsia="zh-CN" w:bidi="ar-SA"/>
              </w:rPr>
              <w:t>办</w:t>
            </w:r>
            <w:r>
              <w:rPr>
                <w:rFonts w:hint="default" w:ascii="Times New Roman" w:hAnsi="Times New Roman" w:eastAsia="宋体" w:cs="Times New Roman"/>
                <w:color w:val="auto"/>
                <w:kern w:val="2"/>
                <w:sz w:val="24"/>
                <w:szCs w:val="24"/>
                <w:lang w:val="en-US" w:eastAsia="zh-CN" w:bidi="ar-SA"/>
              </w:rPr>
              <w:t>公生</w:t>
            </w:r>
            <w:r>
              <w:rPr>
                <w:rFonts w:hint="default" w:ascii="Times New Roman" w:hAnsi="Times New Roman" w:eastAsia="宋体" w:cs="Times New Roman"/>
                <w:color w:val="auto"/>
              </w:rPr>
              <w:t>活区地面清洗废水</w:t>
            </w:r>
          </w:p>
          <w:p>
            <w:pPr>
              <w:pStyle w:val="57"/>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办公生活区</w:t>
            </w:r>
            <w:r>
              <w:rPr>
                <w:rFonts w:hint="default" w:ascii="Times New Roman" w:hAnsi="Times New Roman" w:eastAsia="宋体" w:cs="Times New Roman"/>
                <w:color w:val="auto"/>
              </w:rPr>
              <w:t>等室内需要清洁，其面积共为</w:t>
            </w:r>
            <w:r>
              <w:rPr>
                <w:rFonts w:hint="eastAsia" w:ascii="Times New Roman" w:hAnsi="Times New Roman" w:eastAsia="宋体" w:cs="Times New Roman"/>
                <w:color w:val="auto"/>
                <w:lang w:val="en-US" w:eastAsia="zh-CN"/>
              </w:rPr>
              <w:t>240.99</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，清洁用水量以2L/m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•次计，则办公生活区清洁用水量为</w:t>
            </w: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48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/次，加油站每5天清洁一次，则</w:t>
            </w:r>
            <w:r>
              <w:rPr>
                <w:rFonts w:hint="default" w:ascii="Times New Roman" w:hAnsi="Times New Roman" w:eastAsia="宋体" w:cs="Times New Roman"/>
                <w:color w:val="auto"/>
                <w:lang w:eastAsia="zh-CN"/>
              </w:rPr>
              <w:t>年清洁次数为</w:t>
            </w:r>
            <w:r>
              <w:rPr>
                <w:rFonts w:hint="default" w:ascii="Times New Roman" w:hAnsi="Times New Roman" w:eastAsia="宋体" w:cs="Times New Roman"/>
                <w:color w:val="auto"/>
                <w:lang w:val="en-US" w:eastAsia="zh-CN"/>
              </w:rPr>
              <w:t>7</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次（年工作36</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天），</w:t>
            </w:r>
            <w:r>
              <w:rPr>
                <w:rFonts w:hint="default" w:ascii="Times New Roman" w:hAnsi="Times New Roman" w:eastAsia="宋体" w:cs="Times New Roman"/>
                <w:color w:val="auto"/>
              </w:rPr>
              <w:t>年清洁用水量为</w:t>
            </w:r>
            <w:r>
              <w:rPr>
                <w:rFonts w:hint="eastAsia" w:ascii="Times New Roman" w:hAnsi="Times New Roman" w:eastAsia="宋体" w:cs="Times New Roman"/>
                <w:color w:val="auto"/>
                <w:lang w:val="en-US" w:eastAsia="zh-CN"/>
              </w:rPr>
              <w:t>35.04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/a，污水排放量按其用水量的0.8计，废水排放量</w:t>
            </w: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38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hAnsi="Times New Roman" w:eastAsia="宋体" w:cs="Times New Roman"/>
                <w:color w:val="auto"/>
                <w:lang w:val="en-US" w:eastAsia="zh-CN"/>
              </w:rPr>
              <w:t>28.03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/a。主要成分是SS等。</w:t>
            </w:r>
          </w:p>
          <w:p>
            <w:pPr>
              <w:pStyle w:val="57"/>
              <w:rPr>
                <w:rFonts w:hint="default"/>
                <w:color w:val="auto"/>
                <w:lang w:val="en-US" w:eastAsia="zh-CN"/>
              </w:rPr>
            </w:pPr>
            <w:r>
              <w:rPr>
                <w:rFonts w:hint="eastAsia" w:ascii="Times New Roman" w:hAnsi="Times New Roman" w:eastAsia="宋体" w:cs="Times New Roman"/>
                <w:color w:val="auto"/>
                <w:lang w:eastAsia="zh-CN"/>
              </w:rPr>
              <w:t>办公生活区地面清洗废水，</w:t>
            </w:r>
            <w:r>
              <w:rPr>
                <w:rFonts w:hint="default" w:ascii="Times New Roman" w:hAnsi="Times New Roman" w:eastAsia="宋体" w:cs="Times New Roman"/>
                <w:color w:val="auto"/>
              </w:rPr>
              <w:t>主要成分是SS等</w:t>
            </w:r>
            <w:r>
              <w:rPr>
                <w:rFonts w:hint="eastAsia" w:ascii="Times New Roman" w:hAnsi="Times New Roman" w:eastAsia="宋体" w:cs="Times New Roman"/>
                <w:color w:val="auto"/>
                <w:lang w:eastAsia="zh-CN"/>
              </w:rPr>
              <w:t>，经污水管网排至化粪池经化粪池处理后提供给周边的农户用作农肥</w:t>
            </w:r>
            <w:r>
              <w:rPr>
                <w:rFonts w:hint="default" w:ascii="Times New Roman" w:hAnsi="Times New Roman" w:eastAsia="宋体" w:cs="Times New Roman"/>
                <w:color w:val="auto"/>
              </w:rPr>
              <w:t>。</w:t>
            </w:r>
          </w:p>
          <w:p>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原</w:t>
            </w:r>
            <w:r>
              <w:rPr>
                <w:rFonts w:hint="default" w:ascii="Times New Roman" w:hAnsi="Times New Roman" w:cs="Times New Roman"/>
                <w:color w:val="auto"/>
                <w:sz w:val="24"/>
              </w:rPr>
              <w:t>项目</w:t>
            </w:r>
            <w:r>
              <w:rPr>
                <w:rFonts w:hint="eastAsia" w:ascii="Times New Roman" w:hAnsi="Times New Roman" w:cs="Times New Roman"/>
                <w:color w:val="auto"/>
                <w:sz w:val="24"/>
                <w:lang w:eastAsia="zh-CN"/>
              </w:rPr>
              <w:t>产生</w:t>
            </w:r>
            <w:r>
              <w:rPr>
                <w:rFonts w:hint="eastAsia" w:ascii="Times New Roman" w:hAnsi="Times New Roman" w:cs="Times New Roman"/>
                <w:color w:val="auto"/>
                <w:sz w:val="24"/>
                <w:lang w:val="en-US" w:eastAsia="zh-CN"/>
              </w:rPr>
              <w:t>166.44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cs="Times New Roman"/>
                <w:color w:val="auto"/>
                <w:sz w:val="24"/>
              </w:rPr>
              <w:t>生活污水</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经污水管网排至化粪池，提供给周边的农户用作农肥，不外排</w:t>
            </w:r>
            <w:r>
              <w:rPr>
                <w:rFonts w:hint="eastAsia" w:ascii="Times New Roman" w:hAnsi="Times New Roman" w:cs="Times New Roman"/>
                <w:color w:val="auto"/>
                <w:sz w:val="24"/>
                <w:lang w:eastAsia="zh-CN"/>
              </w:rPr>
              <w:t>。</w:t>
            </w:r>
          </w:p>
          <w:p>
            <w:pPr>
              <w:adjustRightInd w:val="0"/>
              <w:snapToGrid w:val="0"/>
              <w:spacing w:line="360" w:lineRule="auto"/>
              <w:ind w:firstLine="482" w:firstLineChars="200"/>
              <w:rPr>
                <w:rFonts w:hint="default" w:ascii="Times New Roman" w:hAnsi="Times New Roman" w:cs="Times New Roman"/>
                <w:color w:val="auto"/>
                <w:sz w:val="24"/>
                <w:lang w:eastAsia="zh-CN"/>
              </w:rPr>
            </w:pPr>
            <w:r>
              <w:rPr>
                <w:rFonts w:hint="eastAsia" w:ascii="Times New Roman" w:hAnsi="Times New Roman" w:cs="Times New Roman"/>
                <w:b/>
                <w:color w:val="auto"/>
                <w:sz w:val="24"/>
                <w:lang w:eastAsia="zh-CN"/>
              </w:rPr>
              <w:t>（二）废气</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1、非甲烷总烃</w:t>
            </w:r>
          </w:p>
          <w:p>
            <w:pPr>
              <w:spacing w:line="336"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原项目非甲烷总烃（油气）主要为油罐车卸油损失、储油罐呼吸损失、加油机作业损失、加油机作业跑冒滴漏损失。</w:t>
            </w:r>
          </w:p>
          <w:p>
            <w:pPr>
              <w:tabs>
                <w:tab w:val="left" w:pos="8400"/>
              </w:tabs>
              <w:spacing w:line="336" w:lineRule="auto"/>
              <w:ind w:firstLine="360" w:firstLineChars="150"/>
              <w:rPr>
                <w:rFonts w:hint="default" w:ascii="Times New Roman" w:hAnsi="Times New Roman" w:cs="Times New Roman"/>
                <w:color w:val="auto"/>
                <w:sz w:val="24"/>
              </w:rPr>
            </w:pPr>
            <w:r>
              <w:rPr>
                <w:rFonts w:hint="eastAsia" w:ascii="Times New Roman" w:hAnsi="Times New Roman" w:cs="Times New Roman"/>
                <w:color w:val="auto"/>
                <w:sz w:val="24"/>
                <w:lang w:eastAsia="zh-CN"/>
              </w:rPr>
              <w:t>原项目</w:t>
            </w:r>
            <w:r>
              <w:rPr>
                <w:rFonts w:hint="default" w:ascii="Times New Roman" w:hAnsi="Times New Roman" w:cs="Times New Roman"/>
                <w:color w:val="auto"/>
                <w:sz w:val="24"/>
              </w:rPr>
              <w:t>油罐车卸油损失</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储油罐呼吸损失</w:t>
            </w:r>
            <w:r>
              <w:rPr>
                <w:rFonts w:hint="eastAsia" w:ascii="Times New Roman" w:hAnsi="Times New Roman" w:cs="Times New Roman"/>
                <w:color w:val="auto"/>
                <w:sz w:val="24"/>
                <w:lang w:eastAsia="zh-CN"/>
              </w:rPr>
              <w:t>及</w:t>
            </w:r>
            <w:r>
              <w:rPr>
                <w:rFonts w:hint="default" w:ascii="Times New Roman" w:hAnsi="Times New Roman" w:cs="Times New Roman"/>
                <w:color w:val="auto"/>
                <w:sz w:val="24"/>
              </w:rPr>
              <w:t>加油机作业损失根据</w:t>
            </w:r>
            <w:r>
              <w:rPr>
                <w:rFonts w:ascii="Times New Roman" w:hAnsi="Times New Roman"/>
                <w:color w:val="auto"/>
                <w:sz w:val="24"/>
                <w:szCs w:val="24"/>
              </w:rPr>
              <w:t>《散装液态石油产品损耗标准》（GB11085-89）</w:t>
            </w:r>
            <w:r>
              <w:rPr>
                <w:rFonts w:hint="default" w:ascii="Times New Roman" w:hAnsi="Times New Roman" w:cs="Times New Roman"/>
                <w:color w:val="auto"/>
                <w:sz w:val="24"/>
              </w:rPr>
              <w:t>中相关计算方法进行计算。根据项目业主提供的资料，原项目柴油年销售量</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0t/a、汽油年销售量</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0t/a。则可以计算出该加油站非甲烷总烃排放量，具体见下表</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p>
          <w:p>
            <w:pPr>
              <w:spacing w:line="20" w:lineRule="exact"/>
              <w:ind w:firstLine="547" w:firstLineChars="228"/>
              <w:rPr>
                <w:rFonts w:hint="default" w:ascii="Times New Roman" w:hAnsi="Times New Roman" w:cs="Times New Roman"/>
                <w:color w:val="auto"/>
                <w:sz w:val="24"/>
              </w:rPr>
            </w:pPr>
          </w:p>
          <w:p>
            <w:pPr>
              <w:spacing w:line="20" w:lineRule="exact"/>
              <w:ind w:firstLine="480" w:firstLineChars="200"/>
              <w:rPr>
                <w:rFonts w:hint="default" w:ascii="Times New Roman" w:hAnsi="Times New Roman" w:cs="Times New Roman"/>
                <w:color w:val="auto"/>
                <w:sz w:val="24"/>
              </w:rPr>
            </w:pPr>
          </w:p>
          <w:tbl>
            <w:tblPr>
              <w:tblStyle w:val="23"/>
              <w:tblW w:w="7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2585"/>
              <w:gridCol w:w="1697"/>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540" w:type="dxa"/>
                  <w:gridSpan w:val="4"/>
                  <w:tcBorders>
                    <w:top w:val="nil"/>
                    <w:left w:val="nil"/>
                    <w:right w:val="single" w:color="auto" w:sz="4" w:space="0"/>
                  </w:tcBorders>
                  <w:vAlign w:val="center"/>
                </w:tcPr>
                <w:p>
                  <w:pPr>
                    <w:spacing w:line="360" w:lineRule="auto"/>
                    <w:ind w:firstLine="2165" w:firstLineChars="1027"/>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eastAsia" w:ascii="Times New Roman" w:hAnsi="Times New Roman" w:cs="Times New Roman"/>
                      <w:b/>
                      <w:color w:val="auto"/>
                      <w:szCs w:val="21"/>
                      <w:lang w:val="en-US" w:eastAsia="zh-CN"/>
                    </w:rPr>
                    <w:t>1</w:t>
                  </w:r>
                  <w:r>
                    <w:rPr>
                      <w:rFonts w:hint="default" w:ascii="Times New Roman" w:hAnsi="Times New Roman" w:cs="Times New Roman"/>
                      <w:b/>
                      <w:color w:val="auto"/>
                      <w:szCs w:val="21"/>
                    </w:rPr>
                    <w:t>-</w:t>
                  </w:r>
                  <w:r>
                    <w:rPr>
                      <w:rFonts w:hint="eastAsia" w:ascii="Times New Roman" w:hAnsi="Times New Roman" w:cs="Times New Roman"/>
                      <w:b/>
                      <w:color w:val="auto"/>
                      <w:szCs w:val="21"/>
                      <w:lang w:val="en-US" w:eastAsia="zh-CN"/>
                    </w:rPr>
                    <w:t xml:space="preserve">5 </w:t>
                  </w:r>
                  <w:r>
                    <w:rPr>
                      <w:rFonts w:hint="default" w:ascii="Times New Roman" w:hAnsi="Times New Roman" w:cs="Times New Roman"/>
                      <w:b/>
                      <w:color w:val="auto"/>
                      <w:szCs w:val="21"/>
                    </w:rPr>
                    <w:t xml:space="preserve"> 非甲烷总烃排放量一览表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17" w:type="dxa"/>
                  <w:vMerge w:val="restart"/>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油品种类</w:t>
                  </w:r>
                </w:p>
              </w:tc>
              <w:tc>
                <w:tcPr>
                  <w:tcW w:w="2585" w:type="dxa"/>
                  <w:vMerge w:val="restart"/>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活动过程</w:t>
                  </w:r>
                </w:p>
              </w:tc>
              <w:tc>
                <w:tcPr>
                  <w:tcW w:w="1697" w:type="dxa"/>
                  <w:vMerge w:val="restart"/>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排放因子</w:t>
                  </w:r>
                </w:p>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（kg/t）</w:t>
                  </w:r>
                </w:p>
              </w:tc>
              <w:tc>
                <w:tcPr>
                  <w:tcW w:w="1941" w:type="dxa"/>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317" w:type="dxa"/>
                  <w:vMerge w:val="continue"/>
                  <w:vAlign w:val="center"/>
                </w:tcPr>
                <w:p>
                  <w:pPr>
                    <w:spacing w:line="260" w:lineRule="exact"/>
                    <w:jc w:val="center"/>
                    <w:rPr>
                      <w:rFonts w:hint="default" w:ascii="Times New Roman" w:hAnsi="Times New Roman" w:cs="Times New Roman"/>
                      <w:color w:val="auto"/>
                      <w:szCs w:val="21"/>
                    </w:rPr>
                  </w:pPr>
                </w:p>
              </w:tc>
              <w:tc>
                <w:tcPr>
                  <w:tcW w:w="2585" w:type="dxa"/>
                  <w:vMerge w:val="continue"/>
                  <w:vAlign w:val="center"/>
                </w:tcPr>
                <w:p>
                  <w:pPr>
                    <w:spacing w:line="240" w:lineRule="exact"/>
                    <w:jc w:val="center"/>
                    <w:rPr>
                      <w:rFonts w:hint="default" w:ascii="Times New Roman" w:hAnsi="Times New Roman" w:cs="Times New Roman"/>
                      <w:color w:val="auto"/>
                      <w:szCs w:val="21"/>
                    </w:rPr>
                  </w:pPr>
                </w:p>
              </w:tc>
              <w:tc>
                <w:tcPr>
                  <w:tcW w:w="1697" w:type="dxa"/>
                  <w:vMerge w:val="continue"/>
                  <w:vAlign w:val="center"/>
                </w:tcPr>
                <w:p>
                  <w:pPr>
                    <w:spacing w:line="240" w:lineRule="exact"/>
                    <w:jc w:val="center"/>
                    <w:rPr>
                      <w:rFonts w:hint="default" w:ascii="Times New Roman" w:hAnsi="Times New Roman" w:cs="Times New Roman"/>
                      <w:color w:val="auto"/>
                      <w:szCs w:val="21"/>
                    </w:rPr>
                  </w:pPr>
                </w:p>
              </w:tc>
              <w:tc>
                <w:tcPr>
                  <w:tcW w:w="1941" w:type="dxa"/>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17" w:type="dxa"/>
                  <w:vMerge w:val="restart"/>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汽油</w:t>
                  </w: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油罐车卸油损失</w:t>
                  </w:r>
                </w:p>
              </w:tc>
              <w:tc>
                <w:tcPr>
                  <w:tcW w:w="1697"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2.3</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7" w:type="dxa"/>
                  <w:vMerge w:val="continue"/>
                  <w:vAlign w:val="center"/>
                </w:tcPr>
                <w:p>
                  <w:pPr>
                    <w:spacing w:line="260" w:lineRule="exact"/>
                    <w:jc w:val="center"/>
                    <w:rPr>
                      <w:rFonts w:hint="default" w:ascii="Times New Roman" w:hAnsi="Times New Roman" w:cs="Times New Roman"/>
                      <w:color w:val="auto"/>
                      <w:szCs w:val="21"/>
                    </w:rPr>
                  </w:pP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储油罐呼吸损失</w:t>
                  </w:r>
                </w:p>
              </w:tc>
              <w:tc>
                <w:tcPr>
                  <w:tcW w:w="1697"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0.1</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7" w:type="dxa"/>
                  <w:vMerge w:val="continue"/>
                  <w:vAlign w:val="center"/>
                </w:tcPr>
                <w:p>
                  <w:pPr>
                    <w:spacing w:line="260" w:lineRule="exact"/>
                    <w:jc w:val="center"/>
                    <w:rPr>
                      <w:rFonts w:hint="default" w:ascii="Times New Roman" w:hAnsi="Times New Roman" w:cs="Times New Roman"/>
                      <w:color w:val="auto"/>
                      <w:szCs w:val="21"/>
                    </w:rPr>
                  </w:pP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加油机作业损失</w:t>
                  </w:r>
                </w:p>
              </w:tc>
              <w:tc>
                <w:tcPr>
                  <w:tcW w:w="1697"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2.9</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17" w:type="dxa"/>
                  <w:vMerge w:val="continue"/>
                  <w:vAlign w:val="center"/>
                </w:tcPr>
                <w:p>
                  <w:pPr>
                    <w:spacing w:line="260" w:lineRule="exact"/>
                    <w:jc w:val="center"/>
                    <w:rPr>
                      <w:rFonts w:hint="default" w:ascii="Times New Roman" w:hAnsi="Times New Roman" w:cs="Times New Roman"/>
                      <w:color w:val="auto"/>
                      <w:szCs w:val="21"/>
                    </w:rPr>
                  </w:pP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加油机作业跑冒滴漏损失</w:t>
                  </w:r>
                </w:p>
              </w:tc>
              <w:tc>
                <w:tcPr>
                  <w:tcW w:w="1697"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0.115</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17" w:type="dxa"/>
                  <w:vMerge w:val="continue"/>
                  <w:vAlign w:val="center"/>
                </w:tcPr>
                <w:p>
                  <w:pPr>
                    <w:spacing w:line="260" w:lineRule="exact"/>
                    <w:jc w:val="center"/>
                    <w:rPr>
                      <w:rFonts w:hint="default" w:ascii="Times New Roman" w:hAnsi="Times New Roman" w:cs="Times New Roman"/>
                      <w:color w:val="auto"/>
                      <w:szCs w:val="21"/>
                    </w:rPr>
                  </w:pP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小计</w:t>
                  </w:r>
                </w:p>
              </w:tc>
              <w:tc>
                <w:tcPr>
                  <w:tcW w:w="1697"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5.415</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17" w:type="dxa"/>
                  <w:vMerge w:val="restart"/>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柴油</w:t>
                  </w: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油罐车卸油损失</w:t>
                  </w:r>
                </w:p>
              </w:tc>
              <w:tc>
                <w:tcPr>
                  <w:tcW w:w="1697"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0.5</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17" w:type="dxa"/>
                  <w:vMerge w:val="continue"/>
                  <w:vAlign w:val="center"/>
                </w:tcPr>
                <w:p>
                  <w:pPr>
                    <w:spacing w:line="260" w:lineRule="exact"/>
                    <w:jc w:val="center"/>
                    <w:rPr>
                      <w:rFonts w:hint="default" w:ascii="Times New Roman" w:hAnsi="Times New Roman" w:cs="Times New Roman"/>
                      <w:color w:val="auto"/>
                      <w:szCs w:val="21"/>
                    </w:rPr>
                  </w:pP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储油罐呼吸损失</w:t>
                  </w:r>
                </w:p>
              </w:tc>
              <w:tc>
                <w:tcPr>
                  <w:tcW w:w="1697"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0.1</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17" w:type="dxa"/>
                  <w:vMerge w:val="continue"/>
                  <w:vAlign w:val="center"/>
                </w:tcPr>
                <w:p>
                  <w:pPr>
                    <w:spacing w:line="260" w:lineRule="exact"/>
                    <w:jc w:val="center"/>
                    <w:rPr>
                      <w:rFonts w:hint="default" w:ascii="Times New Roman" w:hAnsi="Times New Roman" w:cs="Times New Roman"/>
                      <w:color w:val="auto"/>
                      <w:szCs w:val="21"/>
                    </w:rPr>
                  </w:pP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加油机作业损失</w:t>
                  </w:r>
                </w:p>
              </w:tc>
              <w:tc>
                <w:tcPr>
                  <w:tcW w:w="1697"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0.8</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17" w:type="dxa"/>
                  <w:vMerge w:val="continue"/>
                  <w:vAlign w:val="center"/>
                </w:tcPr>
                <w:p>
                  <w:pPr>
                    <w:spacing w:line="260" w:lineRule="exact"/>
                    <w:jc w:val="center"/>
                    <w:rPr>
                      <w:rFonts w:hint="default" w:ascii="Times New Roman" w:hAnsi="Times New Roman" w:cs="Times New Roman"/>
                      <w:color w:val="auto"/>
                      <w:szCs w:val="21"/>
                    </w:rPr>
                  </w:pP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加油机作业跑冒滴漏损失</w:t>
                  </w:r>
                </w:p>
              </w:tc>
              <w:tc>
                <w:tcPr>
                  <w:tcW w:w="1697"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0.02</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17" w:type="dxa"/>
                  <w:vMerge w:val="continue"/>
                  <w:vAlign w:val="center"/>
                </w:tcPr>
                <w:p>
                  <w:pPr>
                    <w:spacing w:line="260" w:lineRule="exact"/>
                    <w:jc w:val="center"/>
                    <w:rPr>
                      <w:rFonts w:hint="default" w:ascii="Times New Roman" w:hAnsi="Times New Roman" w:cs="Times New Roman"/>
                      <w:color w:val="auto"/>
                      <w:szCs w:val="21"/>
                    </w:rPr>
                  </w:pP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小计</w:t>
                  </w:r>
                </w:p>
              </w:tc>
              <w:tc>
                <w:tcPr>
                  <w:tcW w:w="1697"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1.42</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17"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2585"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97"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941" w:type="dxa"/>
                  <w:vAlign w:val="center"/>
                </w:tcPr>
                <w:p>
                  <w:pPr>
                    <w:spacing w:line="2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1509</w:t>
                  </w:r>
                </w:p>
              </w:tc>
            </w:tr>
          </w:tbl>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油罐车卸油、储油罐呼吸损</w:t>
            </w:r>
            <w:r>
              <w:rPr>
                <w:rFonts w:hint="default" w:ascii="Times New Roman" w:hAnsi="Times New Roman" w:cs="Times New Roman"/>
                <w:color w:val="auto"/>
                <w:sz w:val="24"/>
                <w:lang w:val="en-US" w:eastAsia="zh-CN"/>
              </w:rPr>
              <w:t>失环节非甲烷总烃排放总量为</w:t>
            </w:r>
            <w:r>
              <w:rPr>
                <w:rFonts w:hint="eastAsia" w:ascii="Times New Roman" w:hAnsi="Times New Roman" w:cs="Times New Roman"/>
                <w:color w:val="auto"/>
                <w:sz w:val="24"/>
                <w:lang w:val="en-US" w:eastAsia="zh-CN"/>
              </w:rPr>
              <w:t>660.0</w:t>
            </w:r>
            <w:r>
              <w:rPr>
                <w:rFonts w:hint="default" w:ascii="Times New Roman" w:hAnsi="Times New Roman" w:cs="Times New Roman"/>
                <w:color w:val="auto"/>
                <w:sz w:val="24"/>
                <w:lang w:val="en-US" w:eastAsia="zh-CN"/>
              </w:rPr>
              <w:t>kg/a（其中汽油</w:t>
            </w:r>
            <w:r>
              <w:rPr>
                <w:rFonts w:hint="eastAsia" w:ascii="Times New Roman" w:hAnsi="Times New Roman" w:cs="Times New Roman"/>
                <w:color w:val="auto"/>
                <w:sz w:val="24"/>
                <w:lang w:val="en-US" w:eastAsia="zh-CN"/>
              </w:rPr>
              <w:t>480</w:t>
            </w:r>
            <w:r>
              <w:rPr>
                <w:rFonts w:hint="default" w:ascii="Times New Roman" w:hAnsi="Times New Roman" w:cs="Times New Roman"/>
                <w:color w:val="auto"/>
                <w:sz w:val="24"/>
                <w:lang w:val="en-US" w:eastAsia="zh-CN"/>
              </w:rPr>
              <w:t>kg/a、柴油</w:t>
            </w:r>
            <w:r>
              <w:rPr>
                <w:rFonts w:hint="eastAsia" w:ascii="Times New Roman" w:hAnsi="Times New Roman" w:cs="Times New Roman"/>
                <w:color w:val="auto"/>
                <w:sz w:val="24"/>
                <w:lang w:val="en-US" w:eastAsia="zh-CN"/>
              </w:rPr>
              <w:t>180.0</w:t>
            </w:r>
            <w:r>
              <w:rPr>
                <w:rFonts w:hint="default" w:ascii="Times New Roman" w:hAnsi="Times New Roman" w:cs="Times New Roman"/>
                <w:color w:val="auto"/>
                <w:sz w:val="24"/>
                <w:lang w:val="en-US" w:eastAsia="zh-CN"/>
              </w:rPr>
              <w:t>kg/a）；加油机作业损失环节非甲烷总烃排放总量为</w:t>
            </w:r>
            <w:r>
              <w:rPr>
                <w:rFonts w:hint="eastAsia" w:ascii="Times New Roman" w:hAnsi="Times New Roman" w:cs="Times New Roman"/>
                <w:color w:val="auto"/>
                <w:sz w:val="24"/>
                <w:lang w:val="en-US" w:eastAsia="zh-CN"/>
              </w:rPr>
              <w:t>820.0</w:t>
            </w:r>
            <w:r>
              <w:rPr>
                <w:rFonts w:hint="default" w:ascii="Times New Roman" w:hAnsi="Times New Roman" w:cs="Times New Roman"/>
                <w:color w:val="auto"/>
                <w:sz w:val="24"/>
                <w:lang w:val="en-US" w:eastAsia="zh-CN"/>
              </w:rPr>
              <w:t>kg/a（其中汽油</w:t>
            </w:r>
            <w:r>
              <w:rPr>
                <w:rFonts w:hint="eastAsia" w:ascii="Times New Roman" w:hAnsi="Times New Roman" w:cs="Times New Roman"/>
                <w:color w:val="auto"/>
                <w:sz w:val="24"/>
                <w:lang w:val="en-US" w:eastAsia="zh-CN"/>
              </w:rPr>
              <w:t>580</w:t>
            </w:r>
            <w:r>
              <w:rPr>
                <w:rFonts w:hint="default" w:ascii="Times New Roman" w:hAnsi="Times New Roman" w:cs="Times New Roman"/>
                <w:color w:val="auto"/>
                <w:sz w:val="24"/>
                <w:lang w:val="en-US" w:eastAsia="zh-CN"/>
              </w:rPr>
              <w:t>kg/a、柴油</w:t>
            </w:r>
            <w:r>
              <w:rPr>
                <w:rFonts w:hint="eastAsia" w:ascii="Times New Roman" w:hAnsi="Times New Roman" w:cs="Times New Roman"/>
                <w:color w:val="auto"/>
                <w:sz w:val="24"/>
                <w:lang w:val="en-US" w:eastAsia="zh-CN"/>
              </w:rPr>
              <w:t>240.0</w:t>
            </w:r>
            <w:r>
              <w:rPr>
                <w:rFonts w:hint="default" w:ascii="Times New Roman" w:hAnsi="Times New Roman" w:cs="Times New Roman"/>
                <w:color w:val="auto"/>
                <w:sz w:val="24"/>
                <w:lang w:val="en-US" w:eastAsia="zh-CN"/>
              </w:rPr>
              <w:t>kg/a），加油机作业跑冒滴漏损失环节非甲烷总烃排放总量约为</w:t>
            </w:r>
            <w:r>
              <w:rPr>
                <w:rFonts w:hint="eastAsia" w:ascii="Times New Roman" w:hAnsi="Times New Roman" w:cs="Times New Roman"/>
                <w:color w:val="auto"/>
                <w:sz w:val="24"/>
                <w:lang w:val="en-US" w:eastAsia="zh-CN"/>
              </w:rPr>
              <w:t>29</w:t>
            </w:r>
            <w:r>
              <w:rPr>
                <w:rFonts w:hint="default" w:ascii="Times New Roman" w:hAnsi="Times New Roman" w:cs="Times New Roman"/>
                <w:color w:val="auto"/>
                <w:sz w:val="24"/>
              </w:rPr>
              <w:t>kg/a（其中汽油</w:t>
            </w:r>
            <w:r>
              <w:rPr>
                <w:rFonts w:hint="eastAsia" w:ascii="Times New Roman" w:hAnsi="Times New Roman" w:cs="Times New Roman"/>
                <w:color w:val="auto"/>
                <w:sz w:val="24"/>
                <w:lang w:val="en-US" w:eastAsia="zh-CN"/>
              </w:rPr>
              <w:t>23</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kg/a）。</w:t>
            </w:r>
          </w:p>
          <w:p>
            <w:pPr>
              <w:spacing w:line="353"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则</w:t>
            </w:r>
            <w:r>
              <w:rPr>
                <w:rFonts w:hint="default" w:ascii="Times New Roman" w:hAnsi="Times New Roman" w:cs="Times New Roman"/>
                <w:color w:val="auto"/>
                <w:sz w:val="24"/>
              </w:rPr>
              <w:t>非甲烷总烃排放总量为</w:t>
            </w:r>
            <w:r>
              <w:rPr>
                <w:rFonts w:hint="eastAsia" w:ascii="Times New Roman" w:hAnsi="Times New Roman" w:cs="Times New Roman"/>
                <w:color w:val="auto"/>
                <w:sz w:val="24"/>
                <w:lang w:val="en-US" w:eastAsia="zh-CN"/>
              </w:rPr>
              <w:t>1509</w:t>
            </w:r>
            <w:r>
              <w:rPr>
                <w:rFonts w:hint="default" w:ascii="Times New Roman" w:hAnsi="Times New Roman" w:cs="Times New Roman"/>
                <w:color w:val="auto"/>
                <w:sz w:val="24"/>
              </w:rPr>
              <w:t>kg/a，其中汽油</w:t>
            </w:r>
            <w:r>
              <w:rPr>
                <w:rFonts w:hint="eastAsia" w:ascii="Times New Roman" w:hAnsi="Times New Roman" w:cs="Times New Roman"/>
                <w:color w:val="auto"/>
                <w:sz w:val="24"/>
                <w:lang w:val="en-US" w:eastAsia="zh-CN"/>
              </w:rPr>
              <w:t>1083</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426</w:t>
            </w:r>
            <w:r>
              <w:rPr>
                <w:rFonts w:hint="default" w:ascii="Times New Roman" w:hAnsi="Times New Roman" w:cs="Times New Roman"/>
                <w:color w:val="auto"/>
                <w:sz w:val="24"/>
              </w:rPr>
              <w:t>kg/a。</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原项目采用自流密闭卸油方式卸油，未设置卸油油气回收装置，储油罐均未设置液位仪，加油机未设置油气回收系统。</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2、汽车尾气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根据项目统计数据</w:t>
            </w:r>
            <w:r>
              <w:rPr>
                <w:rFonts w:hint="eastAsia" w:ascii="Times New Roman" w:hAnsi="Times New Roman" w:cs="Times New Roman"/>
                <w:color w:val="auto"/>
                <w:sz w:val="24"/>
                <w:lang w:eastAsia="zh-CN"/>
              </w:rPr>
              <w:t>原</w:t>
            </w:r>
            <w:r>
              <w:rPr>
                <w:rFonts w:hint="default" w:ascii="Times New Roman" w:hAnsi="Times New Roman" w:cs="Times New Roman"/>
                <w:color w:val="auto"/>
                <w:sz w:val="24"/>
              </w:rPr>
              <w:t>项目每天加油车数约为</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辆，根据相关资料分析，本项目汽车尾气可按行驶距离排放系数法进行计算，计算公式如下：</w:t>
            </w:r>
          </w:p>
          <w:p>
            <w:pPr>
              <w:spacing w:line="120" w:lineRule="exact"/>
              <w:ind w:firstLine="480" w:firstLineChars="200"/>
              <w:rPr>
                <w:rFonts w:hint="default" w:ascii="Times New Roman" w:hAnsi="Times New Roman" w:cs="Times New Roman"/>
                <w:color w:val="auto"/>
                <w:sz w:val="24"/>
              </w:rPr>
            </w:pPr>
          </w:p>
          <w:p>
            <w:pPr>
              <w:spacing w:line="400" w:lineRule="exact"/>
              <w:ind w:firstLine="3556" w:firstLineChars="1482"/>
              <w:rPr>
                <w:rFonts w:hint="default" w:ascii="Times New Roman" w:hAnsi="Times New Roman" w:cs="Times New Roman"/>
                <w:color w:val="auto"/>
                <w:sz w:val="24"/>
              </w:rPr>
            </w:pPr>
            <w:r>
              <w:rPr>
                <w:rFonts w:hint="default" w:ascii="Times New Roman" w:hAnsi="Times New Roman" w:cs="Times New Roman"/>
                <w:color w:val="auto"/>
                <w:sz w:val="24"/>
              </w:rPr>
              <w:object>
                <v:shape id="_x0000_i1025" o:spt="75" type="#_x0000_t75" style="height:19pt;width:109pt;" o:ole="t" filled="f" o:preferrelative="t" stroked="f" coordsize="21600,21600">
                  <v:path/>
                  <v:fill on="f" focussize="0,0"/>
                  <v:stroke on="f"/>
                  <v:imagedata r:id="rId7" o:title=""/>
                  <o:lock v:ext="edit" grouping="f" rotation="f" text="f" aspectratio="t"/>
                  <w10:wrap type="none"/>
                  <w10:anchorlock/>
                </v:shape>
                <o:OLEObject Type="Embed" ProgID="Equation.3" ShapeID="_x0000_i1025" DrawAspect="Content" ObjectID="_1468075725" r:id="rId6">
                  <o:LockedField>false</o:LockedField>
                </o:OLEObject>
              </w:object>
            </w:r>
          </w:p>
          <w:p>
            <w:pPr>
              <w:spacing w:line="160" w:lineRule="exact"/>
              <w:ind w:firstLine="3556" w:firstLineChars="1482"/>
              <w:rPr>
                <w:rFonts w:hint="default" w:ascii="Times New Roman" w:hAnsi="Times New Roman" w:cs="Times New Roman"/>
                <w:color w:val="auto"/>
                <w:sz w:val="24"/>
              </w:rPr>
            </w:pPr>
          </w:p>
          <w:p>
            <w:pPr>
              <w:spacing w:line="360" w:lineRule="auto"/>
              <w:ind w:firstLine="556" w:firstLineChars="232"/>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sz w:val="24"/>
              </w:rPr>
              <w:object>
                <v:shape id="_x0000_i1026" o:spt="75" type="#_x0000_t75" style="height:18pt;width:13.95pt;" o:ole="t" filled="f" o:preferrelative="t" stroked="f" coordsize="21600,21600">
                  <v:path/>
                  <v:fill on="f" focussize="0,0"/>
                  <v:stroke on="f"/>
                  <v:imagedata r:id="rId9" o:title=""/>
                  <o:lock v:ext="edit" grouping="f" rotation="f" text="f" aspectratio="t"/>
                  <w10:wrap type="none"/>
                  <w10:anchorlock/>
                </v:shape>
                <o:OLEObject Type="Embed" ProgID="Equation.3" ShapeID="_x0000_i1026" DrawAspect="Content" ObjectID="_1468075726" r:id="rId8">
                  <o:LockedField>false</o:LockedField>
                </o:OLEObject>
              </w:object>
            </w:r>
            <w:r>
              <w:rPr>
                <w:rFonts w:hint="default" w:ascii="Times New Roman" w:hAnsi="Times New Roman" w:cs="Times New Roman"/>
                <w:color w:val="auto"/>
                <w:sz w:val="24"/>
              </w:rPr>
              <w:t>——第i种（THC、CO或NOx）污染物排放量（kg/d）；</w:t>
            </w:r>
          </w:p>
          <w:p>
            <w:pPr>
              <w:spacing w:line="360" w:lineRule="auto"/>
              <w:ind w:firstLine="200"/>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object>
                <v:shape id="_x0000_i1027" o:spt="75" type="#_x0000_t75" style="height:18pt;width:13.95pt;" o:ole="t" filled="f" o:preferrelative="t" stroked="f" coordsize="21600,21600">
                  <v:path/>
                  <v:fill on="f" focussize="0,0"/>
                  <v:stroke on="f"/>
                  <v:imagedata r:id="rId11" o:title=""/>
                  <o:lock v:ext="edit" grouping="f" rotation="f" text="f" aspectratio="t"/>
                  <w10:wrap type="none"/>
                  <w10:anchorlock/>
                </v:shape>
                <o:OLEObject Type="Embed" ProgID="Equation.3" ShapeID="_x0000_i1027" DrawAspect="Content" ObjectID="_1468075727" r:id="rId10">
                  <o:LockedField>false</o:LockedField>
                </o:OLEObject>
              </w:object>
            </w:r>
            <w:r>
              <w:rPr>
                <w:rFonts w:hint="default" w:ascii="Times New Roman" w:hAnsi="Times New Roman" w:cs="Times New Roman"/>
                <w:color w:val="auto"/>
                <w:sz w:val="24"/>
              </w:rPr>
              <w:t>——第i种污染物单车辆平均排放系数（g/km），按表1-</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取值；</w:t>
            </w:r>
          </w:p>
          <w:p>
            <w:pPr>
              <w:spacing w:line="360" w:lineRule="auto"/>
              <w:ind w:firstLine="2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K——单车辆行驶距离（km），本项目取0.02；</w:t>
            </w:r>
          </w:p>
          <w:p>
            <w:pPr>
              <w:spacing w:line="360" w:lineRule="auto"/>
              <w:ind w:firstLine="2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object>
                <v:shape id="_x0000_i1028" o:spt="75" type="#_x0000_t75" style="height:13.95pt;width:13pt;" o:ole="t" filled="f" o:preferrelative="t" stroked="f" coordsize="21600,21600">
                  <v:path/>
                  <v:fill on="f" focussize="0,0"/>
                  <v:stroke on="f"/>
                  <v:imagedata r:id="rId13" o:title=""/>
                  <o:lock v:ext="edit" grouping="f" rotation="f" text="f" aspectratio="t"/>
                  <w10:wrap type="none"/>
                  <w10:anchorlock/>
                </v:shape>
                <o:OLEObject Type="Embed" ProgID="Equation.3" ShapeID="_x0000_i1028" DrawAspect="Content" ObjectID="_1468075728" r:id="rId12">
                  <o:LockedField>false</o:LockedField>
                </o:OLEObject>
              </w:object>
            </w:r>
            <w:r>
              <w:rPr>
                <w:rFonts w:hint="default" w:ascii="Times New Roman" w:hAnsi="Times New Roman" w:cs="Times New Roman"/>
                <w:color w:val="auto"/>
                <w:sz w:val="24"/>
              </w:rPr>
              <w:t>——车流量（辆次/d），本项目取</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w:t>
            </w:r>
          </w:p>
          <w:p>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w:t>
            </w:r>
            <w:r>
              <w:rPr>
                <w:rFonts w:hint="eastAsia" w:ascii="Times New Roman" w:hAnsi="Times New Roman" w:cs="Times New Roman"/>
                <w:b/>
                <w:color w:val="auto"/>
                <w:szCs w:val="21"/>
                <w:lang w:val="en-US" w:eastAsia="zh-CN"/>
              </w:rPr>
              <w:t>6</w:t>
            </w:r>
            <w:r>
              <w:rPr>
                <w:rFonts w:hint="default" w:ascii="Times New Roman" w:hAnsi="Times New Roman" w:cs="Times New Roman"/>
                <w:b/>
                <w:color w:val="auto"/>
                <w:szCs w:val="21"/>
              </w:rPr>
              <w:t xml:space="preserve">   单车辆汽车尾气排放系数（按行驶距离）</w:t>
            </w:r>
          </w:p>
          <w:tbl>
            <w:tblPr>
              <w:tblStyle w:val="23"/>
              <w:tblW w:w="7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1668"/>
              <w:gridCol w:w="1633"/>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07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16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THC</w:t>
                  </w:r>
                </w:p>
              </w:tc>
              <w:tc>
                <w:tcPr>
                  <w:tcW w:w="16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167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07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排放强度（g/km）</w:t>
                  </w:r>
                </w:p>
              </w:tc>
              <w:tc>
                <w:tcPr>
                  <w:tcW w:w="16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1.66</w:t>
                  </w:r>
                </w:p>
              </w:tc>
              <w:tc>
                <w:tcPr>
                  <w:tcW w:w="16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8.23</w:t>
                  </w:r>
                </w:p>
              </w:tc>
              <w:tc>
                <w:tcPr>
                  <w:tcW w:w="167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07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w:t>
                  </w:r>
                  <w:r>
                    <w:rPr>
                      <w:rFonts w:hint="default" w:ascii="Times New Roman" w:hAnsi="Times New Roman" w:cs="Times New Roman"/>
                      <w:color w:val="auto"/>
                      <w:sz w:val="24"/>
                    </w:rPr>
                    <w:t>kg/a</w:t>
                  </w:r>
                </w:p>
              </w:tc>
              <w:tc>
                <w:tcPr>
                  <w:tcW w:w="166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0.45 </w:t>
                  </w:r>
                </w:p>
              </w:tc>
              <w:tc>
                <w:tcPr>
                  <w:tcW w:w="1633"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2.22 </w:t>
                  </w:r>
                </w:p>
              </w:tc>
              <w:tc>
                <w:tcPr>
                  <w:tcW w:w="1671"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0.22 </w:t>
                  </w:r>
                </w:p>
              </w:tc>
            </w:tr>
          </w:tbl>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项目场区位置开阔，尾气自然扩散和稀释，对周边环境影响不大。</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3、厨房油烟</w:t>
            </w:r>
          </w:p>
          <w:p>
            <w:pPr>
              <w:spacing w:line="353"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原项目劳动定员共</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人，全部在站内就餐，食堂内设置</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个灶头，项目使用电作为热源，不产生燃料废气，食堂厨房安装油烟抽排装置，烹饪时，油烟经抽排装置抽排至屋顶排放。</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4、恶臭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（1）化粪池和公厕恶臭：</w:t>
            </w:r>
            <w:r>
              <w:rPr>
                <w:rFonts w:hint="default" w:ascii="Times New Roman" w:hAnsi="Times New Roman" w:cs="Times New Roman"/>
                <w:color w:val="auto"/>
                <w:sz w:val="24"/>
                <w:lang w:eastAsia="zh-CN"/>
              </w:rPr>
              <w:t>原</w:t>
            </w: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建有</w:t>
            </w:r>
            <w:r>
              <w:rPr>
                <w:rFonts w:hint="default" w:ascii="Times New Roman" w:hAnsi="Times New Roman" w:cs="Times New Roman"/>
                <w:color w:val="auto"/>
                <w:sz w:val="24"/>
              </w:rPr>
              <w:t>一个水冲厕（男女分开）在使用过程中和化粪池清掏时，将产生恶臭，恶臭气体的浓度更高，使人的嗅觉有不舒服感。业主委托周边农户及时清掏，加强绿化，恶臭对周边的影响可以接受。</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（2）生活垃圾恶臭：项目运营期，生活垃圾集中收集，长时间不清运，也会产生恶臭。</w:t>
            </w:r>
            <w:r>
              <w:rPr>
                <w:rFonts w:hint="default" w:ascii="Times New Roman" w:hAnsi="Times New Roman" w:cs="Times New Roman"/>
                <w:color w:val="auto"/>
                <w:sz w:val="24"/>
                <w:lang w:eastAsia="zh-CN"/>
              </w:rPr>
              <w:t>集中收集后</w:t>
            </w:r>
            <w:r>
              <w:rPr>
                <w:rFonts w:hint="default" w:ascii="Times New Roman" w:hAnsi="Times New Roman" w:cs="Times New Roman"/>
                <w:color w:val="auto"/>
                <w:sz w:val="24"/>
              </w:rPr>
              <w:t>及时清理，对周边环境影响不大。</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（三）噪声</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原项目运营期噪声主要来自于潜油泵、备用发电机产生的设备噪声及油罐车、加油车辆产生的交通噪声等。</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（1）设备噪声</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原项目设备噪声为潜油泵、备用发电机启用时所产生的噪声，为间断性排放，其噪声源强约为65~85dB（A）。</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（2）车辆噪声</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原项目车辆噪声主要是汽车行驶产生的噪声，产生区域为加油区和卸油区，为间断排放，其持续时间短，其噪声源强65～85dB（A）。</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原项目已针对噪声采取了一定的防治措施，具体如下：主要辅助设施设备已置于设备房内；站内</w:t>
            </w:r>
            <w:r>
              <w:rPr>
                <w:rFonts w:hint="eastAsia" w:ascii="Times New Roman" w:hAnsi="Times New Roman" w:cs="Times New Roman"/>
                <w:color w:val="auto"/>
                <w:sz w:val="24"/>
                <w:lang w:eastAsia="zh-CN"/>
              </w:rPr>
              <w:t>进行了一定程度的</w:t>
            </w:r>
            <w:r>
              <w:rPr>
                <w:rFonts w:hint="default" w:ascii="Times New Roman" w:hAnsi="Times New Roman" w:cs="Times New Roman"/>
                <w:color w:val="auto"/>
                <w:sz w:val="24"/>
              </w:rPr>
              <w:t>绿化，起到一定的隔声降噪作用；车辆出入项目内时做到限速、禁止鸣笛，并张贴标识，员工对车辆进行引导，且车辆在进入站内后需熄火进行加油，加油车辆在站内停留时间不长。在严格落实上述防治措施并加强管理后，原项目厂界噪声可达GB12348-2008《工业企业厂界环境噪声排放标准》2类、4类标准要求。</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（四）固废</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原项目产生的固废包括一般固废及危险废物。其中：一般固废包括生活垃圾、化粪池污泥，危险废物包括</w:t>
            </w:r>
            <w:r>
              <w:rPr>
                <w:rFonts w:hint="default" w:ascii="Times New Roman" w:hAnsi="Times New Roman" w:cs="Times New Roman"/>
                <w:color w:val="auto"/>
                <w:sz w:val="24"/>
                <w:lang w:eastAsia="zh-CN"/>
              </w:rPr>
              <w:t>储罐油渣、含油消防沙</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（1）一般固废</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①生活垃圾</w:t>
            </w:r>
          </w:p>
          <w:p>
            <w:pPr>
              <w:adjustRightInd w:val="0"/>
              <w:snapToGrid w:val="0"/>
              <w:spacing w:line="360" w:lineRule="auto"/>
              <w:ind w:firstLine="480" w:firstLineChars="200"/>
              <w:rPr>
                <w:rFonts w:hint="eastAsia" w:ascii="Times New Roman" w:hAnsi="Times New Roman" w:cs="Times New Roman"/>
                <w:color w:val="auto"/>
                <w:sz w:val="24"/>
                <w:lang w:val="en-US" w:eastAsia="zh-CN"/>
              </w:rPr>
            </w:pPr>
            <w:r>
              <w:rPr>
                <w:rFonts w:hint="default" w:ascii="Times New Roman" w:hAnsi="Times New Roman" w:cs="Times New Roman"/>
                <w:color w:val="auto"/>
                <w:sz w:val="24"/>
              </w:rPr>
              <w:t>项目生活垃圾主要指项目工作人员和加油顾客产生的生活垃圾，主要为废纸、废食品袋、废包装物，餐饮垃圾等</w:t>
            </w:r>
            <w:r>
              <w:rPr>
                <w:rFonts w:hint="eastAsia" w:ascii="Times New Roman" w:hAnsi="Times New Roman" w:cs="Times New Roman"/>
                <w:color w:val="auto"/>
                <w:sz w:val="24"/>
                <w:lang w:val="en-US" w:eastAsia="zh-CN"/>
              </w:rPr>
              <w:t>.</w:t>
            </w:r>
          </w:p>
          <w:p>
            <w:pPr>
              <w:spacing w:line="360" w:lineRule="auto"/>
              <w:ind w:firstLine="360" w:firstLineChars="150"/>
              <w:rPr>
                <w:rFonts w:hint="default" w:ascii="Times New Roman" w:hAnsi="Times New Roman" w:cs="Times New Roman"/>
                <w:color w:val="auto"/>
                <w:sz w:val="24"/>
              </w:rPr>
            </w:pPr>
            <w:r>
              <w:rPr>
                <w:rFonts w:hint="eastAsia" w:ascii="Times New Roman" w:hAnsi="Times New Roman" w:cs="Times New Roman"/>
                <w:color w:val="auto"/>
                <w:sz w:val="24"/>
                <w:lang w:eastAsia="zh-CN"/>
              </w:rPr>
              <w:t>原</w:t>
            </w:r>
            <w:r>
              <w:rPr>
                <w:rFonts w:hint="default" w:ascii="Times New Roman" w:hAnsi="Times New Roman" w:cs="Times New Roman"/>
                <w:color w:val="auto"/>
                <w:sz w:val="24"/>
              </w:rPr>
              <w:t>项目站内每天在岗工作人员为</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人，计算生活垃圾产生量时，预定每人每天产生的生活垃圾量以1.0kg计，则产生的生活垃圾量为</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.0kg/d，</w:t>
            </w:r>
            <w:r>
              <w:rPr>
                <w:rFonts w:hint="eastAsia" w:ascii="Times New Roman" w:hAnsi="Times New Roman" w:cs="Times New Roman"/>
                <w:color w:val="auto"/>
                <w:sz w:val="24"/>
                <w:lang w:val="en-US" w:eastAsia="zh-CN"/>
              </w:rPr>
              <w:t>1.46</w:t>
            </w:r>
            <w:r>
              <w:rPr>
                <w:rFonts w:hint="default" w:ascii="Times New Roman" w:hAnsi="Times New Roman" w:cs="Times New Roman"/>
                <w:color w:val="auto"/>
                <w:sz w:val="24"/>
              </w:rPr>
              <w:t>t/a（年工作日按36</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d计）；每天进站加油的车辆</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辆，平均2人次/辆计，按总进站人次的30%核算，则垃圾产生人次为</w:t>
            </w:r>
            <w:r>
              <w:rPr>
                <w:rFonts w:hint="eastAsia" w:ascii="Times New Roman" w:hAnsi="Times New Roman" w:cs="Times New Roman"/>
                <w:color w:val="auto"/>
                <w:sz w:val="24"/>
                <w:lang w:val="en-US" w:eastAsia="zh-CN"/>
              </w:rPr>
              <w:t>22</w:t>
            </w:r>
            <w:r>
              <w:rPr>
                <w:rFonts w:hint="default" w:ascii="Times New Roman" w:hAnsi="Times New Roman" w:cs="Times New Roman"/>
                <w:color w:val="auto"/>
                <w:sz w:val="24"/>
              </w:rPr>
              <w:t>人次生活垃圾量按0.025kg/人次计，则生活垃圾的产生量为0.</w:t>
            </w:r>
            <w:r>
              <w:rPr>
                <w:rFonts w:hint="eastAsia" w:ascii="Times New Roman" w:hAnsi="Times New Roman" w:cs="Times New Roman"/>
                <w:color w:val="auto"/>
                <w:sz w:val="24"/>
                <w:lang w:val="en-US" w:eastAsia="zh-CN"/>
              </w:rPr>
              <w:t>55</w:t>
            </w:r>
            <w:r>
              <w:rPr>
                <w:rFonts w:hint="default" w:ascii="Times New Roman" w:hAnsi="Times New Roman" w:cs="Times New Roman"/>
                <w:color w:val="auto"/>
                <w:sz w:val="24"/>
              </w:rPr>
              <w:t>kg/d、0.</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t/a（按36</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d计）。项目运营期垃圾产生量为</w:t>
            </w:r>
            <w:r>
              <w:rPr>
                <w:rFonts w:hint="eastAsia" w:ascii="Times New Roman" w:hAnsi="Times New Roman" w:cs="Times New Roman"/>
                <w:color w:val="auto"/>
                <w:sz w:val="24"/>
                <w:lang w:val="en-US" w:eastAsia="zh-CN"/>
              </w:rPr>
              <w:t>1.66</w:t>
            </w:r>
            <w:r>
              <w:rPr>
                <w:rFonts w:hint="default" w:ascii="Times New Roman" w:hAnsi="Times New Roman" w:cs="Times New Roman"/>
                <w:color w:val="auto"/>
                <w:sz w:val="24"/>
              </w:rPr>
              <w:t>t/a。垃圾集中收集后</w:t>
            </w:r>
            <w:r>
              <w:rPr>
                <w:rFonts w:hint="default" w:ascii="Times New Roman" w:hAnsi="Times New Roman" w:cs="Times New Roman"/>
                <w:color w:val="auto"/>
                <w:sz w:val="24"/>
                <w:lang w:eastAsia="zh-CN"/>
              </w:rPr>
              <w:t>运至</w:t>
            </w:r>
            <w:r>
              <w:rPr>
                <w:rFonts w:hint="eastAsia" w:ascii="Times New Roman" w:hAnsi="Times New Roman" w:cs="Times New Roman"/>
                <w:color w:val="auto"/>
                <w:sz w:val="24"/>
                <w:lang w:eastAsia="zh-CN"/>
              </w:rPr>
              <w:t>蚌峨垃圾处置点处理</w:t>
            </w:r>
            <w:r>
              <w:rPr>
                <w:rFonts w:hint="default" w:ascii="Times New Roman" w:hAnsi="Times New Roman" w:cs="Times New Roman"/>
                <w:color w:val="auto"/>
                <w:sz w:val="24"/>
              </w:rPr>
              <w: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②化粪池污泥</w:t>
            </w:r>
          </w:p>
          <w:p>
            <w:pPr>
              <w:tabs>
                <w:tab w:val="left" w:pos="957"/>
                <w:tab w:val="left" w:pos="1362"/>
              </w:tabs>
              <w:spacing w:line="360" w:lineRule="auto"/>
              <w:ind w:firstLine="561"/>
              <w:rPr>
                <w:rFonts w:hint="default" w:ascii="Times New Roman" w:hAnsi="Times New Roman" w:cs="Times New Roman"/>
                <w:color w:val="auto"/>
                <w:sz w:val="24"/>
              </w:rPr>
            </w:pPr>
            <w:r>
              <w:rPr>
                <w:rFonts w:hint="default" w:ascii="Times New Roman" w:hAnsi="Times New Roman" w:cs="Times New Roman"/>
                <w:color w:val="auto"/>
                <w:sz w:val="24"/>
              </w:rPr>
              <w:t>原项目建设一个容积为</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的化粪池，</w:t>
            </w:r>
            <w:r>
              <w:rPr>
                <w:rFonts w:hint="eastAsia" w:ascii="Times New Roman" w:hAnsi="Times New Roman" w:cs="Times New Roman"/>
                <w:color w:val="auto"/>
                <w:sz w:val="24"/>
                <w:lang w:eastAsia="zh-CN"/>
              </w:rPr>
              <w:t>项目生活污水</w:t>
            </w:r>
            <w:r>
              <w:rPr>
                <w:rFonts w:hint="default" w:ascii="Times New Roman" w:hAnsi="Times New Roman" w:cs="Times New Roman"/>
                <w:color w:val="auto"/>
                <w:sz w:val="24"/>
              </w:rPr>
              <w:t>通过废水收集管道收集至化粪池，运营过程中化粪池会产生一定的污泥。</w:t>
            </w:r>
            <w:r>
              <w:rPr>
                <w:rFonts w:hint="eastAsia" w:ascii="Times New Roman" w:hAnsi="Times New Roman" w:cs="Times New Roman"/>
                <w:color w:val="auto"/>
                <w:sz w:val="24"/>
                <w:lang w:eastAsia="zh-CN"/>
              </w:rPr>
              <w:t>废水产生量为</w:t>
            </w:r>
            <w:r>
              <w:rPr>
                <w:rFonts w:hint="default" w:ascii="Times New Roman" w:hAnsi="Times New Roman" w:cs="Times New Roman"/>
                <w:color w:val="auto"/>
                <w:sz w:val="24"/>
              </w:rPr>
              <w:t>共</w:t>
            </w:r>
            <w:r>
              <w:rPr>
                <w:rFonts w:hint="eastAsia" w:ascii="Times New Roman" w:hAnsi="Times New Roman" w:cs="Times New Roman"/>
                <w:color w:val="auto"/>
                <w:sz w:val="24"/>
                <w:lang w:val="en-US" w:eastAsia="zh-CN"/>
              </w:rPr>
              <w:t>166.44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类比同类项目，去除污泥产生量按照COD、SS去除量（约200mg/L）进行计算，本项目化粪池污泥产生量约为0.0</w:t>
            </w:r>
            <w:r>
              <w:rPr>
                <w:rFonts w:hint="eastAsia" w:ascii="Times New Roman" w:hAnsi="Times New Roman" w:cs="Times New Roman"/>
                <w:color w:val="auto"/>
                <w:sz w:val="24"/>
                <w:lang w:val="en-US" w:eastAsia="zh-CN"/>
              </w:rPr>
              <w:t>33</w:t>
            </w:r>
            <w:r>
              <w:rPr>
                <w:rFonts w:hint="default" w:ascii="Times New Roman" w:hAnsi="Times New Roman" w:cs="Times New Roman"/>
                <w:color w:val="auto"/>
                <w:sz w:val="24"/>
              </w:rPr>
              <w:t>t/a，委托周边的农户定期清掏。</w:t>
            </w:r>
          </w:p>
          <w:p>
            <w:pPr>
              <w:numPr>
                <w:ilvl w:val="0"/>
                <w:numId w:val="3"/>
              </w:num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危废</w:t>
            </w:r>
          </w:p>
          <w:p>
            <w:pPr>
              <w:numPr>
                <w:ilvl w:val="0"/>
                <w:numId w:val="0"/>
              </w:num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①储罐油渣</w:t>
            </w:r>
          </w:p>
          <w:p>
            <w:pPr>
              <w:numPr>
                <w:ilvl w:val="0"/>
                <w:numId w:val="0"/>
              </w:num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eastAsia="zh-CN"/>
              </w:rPr>
              <w:t>原</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lang w:eastAsia="zh-CN"/>
              </w:rPr>
              <w:t>共有储罐</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个，其中</w:t>
            </w:r>
            <w:r>
              <w:rPr>
                <w:rFonts w:hint="default" w:ascii="Times New Roman" w:hAnsi="Times New Roman" w:cs="Times New Roman"/>
                <w:color w:val="auto"/>
                <w:sz w:val="24"/>
              </w:rPr>
              <w:t>92</w:t>
            </w:r>
            <w:r>
              <w:rPr>
                <w:rFonts w:hint="default" w:ascii="Times New Roman" w:hAnsi="Times New Roman" w:cs="Times New Roman"/>
                <w:color w:val="auto"/>
                <w:sz w:val="24"/>
                <w:vertAlign w:val="baseline"/>
              </w:rPr>
              <w:t>#</w:t>
            </w:r>
            <w:r>
              <w:rPr>
                <w:rFonts w:hint="default" w:ascii="Times New Roman" w:hAnsi="Times New Roman" w:cs="Times New Roman"/>
                <w:color w:val="auto"/>
                <w:sz w:val="24"/>
              </w:rPr>
              <w:t>汽油储油罐</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个（</w:t>
            </w:r>
            <w:r>
              <w:rPr>
                <w:rFonts w:hint="default" w:ascii="Times New Roman" w:hAnsi="Times New Roman" w:cs="Times New Roman"/>
                <w:color w:val="auto"/>
                <w:sz w:val="24"/>
                <w:lang w:eastAsia="zh-CN"/>
              </w:rPr>
              <w:t>容积</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25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Cs/>
                <w:color w:val="auto"/>
                <w:sz w:val="24"/>
              </w:rPr>
              <w:t>0</w:t>
            </w:r>
            <w:r>
              <w:rPr>
                <w:rFonts w:hint="default" w:ascii="Times New Roman" w:hAnsi="Times New Roman" w:cs="Times New Roman"/>
                <w:bCs/>
                <w:color w:val="auto"/>
                <w:sz w:val="24"/>
                <w:vertAlign w:val="baseline"/>
              </w:rPr>
              <w:t>#</w:t>
            </w:r>
            <w:r>
              <w:rPr>
                <w:rFonts w:hint="default" w:ascii="Times New Roman" w:hAnsi="Times New Roman" w:cs="Times New Roman"/>
                <w:bCs/>
                <w:color w:val="auto"/>
                <w:sz w:val="24"/>
              </w:rPr>
              <w:t>柴油罐</w:t>
            </w:r>
            <w:r>
              <w:rPr>
                <w:rFonts w:hint="eastAsia" w:ascii="Times New Roman" w:hAnsi="Times New Roman" w:cs="Times New Roman"/>
                <w:bCs/>
                <w:color w:val="auto"/>
                <w:sz w:val="24"/>
                <w:lang w:val="en-US" w:eastAsia="zh-CN"/>
              </w:rPr>
              <w:t>1</w:t>
            </w:r>
            <w:r>
              <w:rPr>
                <w:rFonts w:hint="default" w:ascii="Times New Roman" w:hAnsi="Times New Roman" w:cs="Times New Roman"/>
                <w:bCs/>
                <w:color w:val="auto"/>
                <w:sz w:val="24"/>
              </w:rPr>
              <w:t>个（</w:t>
            </w:r>
            <w:r>
              <w:rPr>
                <w:rFonts w:hint="eastAsia" w:ascii="Times New Roman" w:hAnsi="Times New Roman" w:cs="Times New Roman"/>
                <w:bCs/>
                <w:color w:val="auto"/>
                <w:sz w:val="24"/>
                <w:lang w:eastAsia="zh-CN"/>
              </w:rPr>
              <w:t>容</w:t>
            </w:r>
            <w:r>
              <w:rPr>
                <w:rFonts w:hint="default" w:ascii="Times New Roman" w:hAnsi="Times New Roman" w:cs="Times New Roman"/>
                <w:color w:val="auto"/>
                <w:sz w:val="24"/>
                <w:lang w:eastAsia="zh-CN"/>
              </w:rPr>
              <w:t>积</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25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bCs/>
                <w:color w:val="auto"/>
                <w:sz w:val="24"/>
              </w:rPr>
              <w:t>）</w:t>
            </w:r>
            <w:r>
              <w:rPr>
                <w:rFonts w:hint="default" w:ascii="Times New Roman" w:hAnsi="Times New Roman" w:cs="Times New Roman"/>
                <w:color w:val="auto"/>
                <w:sz w:val="24"/>
                <w:szCs w:val="24"/>
              </w:rPr>
              <w:t>，产生量约为</w:t>
            </w:r>
            <w:r>
              <w:rPr>
                <w:rFonts w:hint="default" w:ascii="Times New Roman" w:hAnsi="Times New Roman" w:cs="Times New Roman"/>
                <w:color w:val="auto"/>
                <w:sz w:val="24"/>
                <w:szCs w:val="24"/>
                <w:lang w:val="en-US" w:eastAsia="zh-CN"/>
              </w:rPr>
              <w:t>4kg</w:t>
            </w:r>
            <w:r>
              <w:rPr>
                <w:rFonts w:hint="default" w:ascii="Times New Roman" w:hAnsi="Times New Roman" w:cs="Times New Roman"/>
                <w:color w:val="auto"/>
                <w:sz w:val="24"/>
                <w:szCs w:val="24"/>
              </w:rPr>
              <w:t>/次</w:t>
            </w:r>
            <w:r>
              <w:rPr>
                <w:rFonts w:hint="default" w:ascii="Times New Roman" w:hAnsi="Times New Roman" w:cs="Times New Roman"/>
                <w:color w:val="auto"/>
                <w:sz w:val="24"/>
                <w:szCs w:val="24"/>
                <w:lang w:eastAsia="zh-CN"/>
              </w:rPr>
              <w:t>（每</w:t>
            </w:r>
            <w:r>
              <w:rPr>
                <w:rFonts w:hint="default" w:ascii="Times New Roman" w:hAnsi="Times New Roman" w:cs="Times New Roman"/>
                <w:color w:val="auto"/>
                <w:sz w:val="24"/>
                <w:szCs w:val="24"/>
                <w:lang w:val="en-US" w:eastAsia="zh-CN"/>
              </w:rPr>
              <w:t>3年清掏1次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油渣</w:t>
            </w:r>
            <w:r>
              <w:rPr>
                <w:rFonts w:hint="default" w:ascii="Times New Roman" w:hAnsi="Times New Roman" w:cs="Times New Roman"/>
                <w:color w:val="auto"/>
                <w:sz w:val="24"/>
                <w:szCs w:val="24"/>
              </w:rPr>
              <w:t>委托有资质的单位</w:t>
            </w:r>
            <w:r>
              <w:rPr>
                <w:rFonts w:hint="default" w:ascii="Times New Roman" w:hAnsi="Times New Roman" w:cs="Times New Roman"/>
                <w:color w:val="auto"/>
                <w:sz w:val="24"/>
                <w:szCs w:val="24"/>
                <w:lang w:eastAsia="zh-CN"/>
              </w:rPr>
              <w:t>清掏</w:t>
            </w:r>
            <w:r>
              <w:rPr>
                <w:rFonts w:hint="default" w:ascii="Times New Roman" w:hAnsi="Times New Roman" w:cs="Times New Roman"/>
                <w:color w:val="auto"/>
                <w:sz w:val="24"/>
                <w:szCs w:val="24"/>
              </w:rPr>
              <w:t>处理</w:t>
            </w:r>
            <w:r>
              <w:rPr>
                <w:rFonts w:hint="default" w:ascii="Times New Roman" w:hAnsi="Times New Roman" w:cs="Times New Roman"/>
                <w:color w:val="auto"/>
                <w:sz w:val="24"/>
              </w:rPr>
              <w:t>。根据《国家危险废物名录》（2016版）的相关规定，</w:t>
            </w:r>
            <w:r>
              <w:rPr>
                <w:rFonts w:hint="eastAsia" w:ascii="Times New Roman" w:hAnsi="Times New Roman" w:cs="Times New Roman"/>
                <w:color w:val="auto"/>
                <w:sz w:val="24"/>
                <w:lang w:eastAsia="zh-CN"/>
              </w:rPr>
              <w:t>储罐油渣</w:t>
            </w:r>
            <w:r>
              <w:rPr>
                <w:rFonts w:hint="default" w:ascii="Times New Roman" w:hAnsi="Times New Roman" w:cs="Times New Roman"/>
                <w:color w:val="auto"/>
                <w:sz w:val="24"/>
              </w:rPr>
              <w:t>属于“HW08废矿物油与含矿油废物”（废物类别代码900-249-08）中“其他生产、销售、使用过程中产生的废矿物油及含矿物油废物”</w:t>
            </w:r>
            <w:r>
              <w:rPr>
                <w:rFonts w:hint="eastAsia" w:ascii="Times New Roman" w:hAnsi="Times New Roman" w:cs="Times New Roman"/>
                <w:color w:val="auto"/>
                <w:sz w:val="24"/>
                <w:lang w:eastAsia="zh-CN"/>
              </w:rPr>
              <w:t>，危险特性为“</w:t>
            </w:r>
            <w:r>
              <w:rPr>
                <w:rFonts w:hint="eastAsia" w:ascii="Times New Roman" w:hAnsi="Times New Roman" w:cs="Times New Roman"/>
                <w:color w:val="auto"/>
                <w:sz w:val="24"/>
                <w:lang w:val="en-US" w:eastAsia="zh-CN"/>
              </w:rPr>
              <w:t>T，I</w:t>
            </w:r>
            <w:r>
              <w:rPr>
                <w:rFonts w:hint="eastAsia" w:ascii="Times New Roman" w:hAnsi="Times New Roman" w:cs="Times New Roman"/>
                <w:color w:val="auto"/>
                <w:sz w:val="24"/>
                <w:lang w:eastAsia="zh-CN"/>
              </w:rPr>
              <w:t>”。</w:t>
            </w:r>
          </w:p>
          <w:p>
            <w:pPr>
              <w:numPr>
                <w:ilvl w:val="0"/>
                <w:numId w:val="0"/>
              </w:num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②</w:t>
            </w:r>
            <w:r>
              <w:rPr>
                <w:rFonts w:hint="default" w:ascii="Times New Roman" w:hAnsi="Times New Roman" w:cs="Times New Roman"/>
                <w:color w:val="auto"/>
                <w:sz w:val="24"/>
              </w:rPr>
              <w:t>含油消防沙及吸油毡</w:t>
            </w:r>
          </w:p>
          <w:p>
            <w:pPr>
              <w:spacing w:line="440" w:lineRule="exact"/>
              <w:ind w:firstLine="561"/>
              <w:rPr>
                <w:rFonts w:hint="default" w:ascii="Times New Roman" w:hAnsi="Times New Roman" w:cs="Times New Roman"/>
                <w:color w:val="auto"/>
                <w:sz w:val="24"/>
              </w:rPr>
            </w:pPr>
            <w:r>
              <w:rPr>
                <w:rFonts w:hint="default" w:ascii="Times New Roman" w:hAnsi="Times New Roman" w:cs="Times New Roman"/>
                <w:color w:val="auto"/>
                <w:sz w:val="24"/>
              </w:rPr>
              <w:t>原项目运营过程中当有油品洒、漏到加油区地面上时，需用消防沙及吸油毡将油品吸收，这部分用于地面清洁的消防沙含有汽油或柴油，年产生量约为0.2t/a，吸油毡约</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张。</w:t>
            </w:r>
            <w:r>
              <w:rPr>
                <w:rFonts w:hint="default" w:ascii="Times New Roman" w:hAnsi="Times New Roman" w:cs="Times New Roman"/>
                <w:color w:val="auto"/>
                <w:sz w:val="24"/>
                <w:szCs w:val="24"/>
                <w:lang w:eastAsia="zh-CN"/>
              </w:rPr>
              <w:t>含油消防沙委托有资质的</w:t>
            </w:r>
            <w:r>
              <w:rPr>
                <w:rFonts w:hint="default" w:ascii="Times New Roman" w:hAnsi="Times New Roman" w:cs="Times New Roman"/>
                <w:color w:val="auto"/>
                <w:sz w:val="24"/>
                <w:szCs w:val="24"/>
              </w:rPr>
              <w:t>单位</w:t>
            </w:r>
            <w:r>
              <w:rPr>
                <w:rFonts w:hint="default" w:ascii="Times New Roman" w:hAnsi="Times New Roman" w:cs="Times New Roman"/>
                <w:color w:val="auto"/>
                <w:sz w:val="24"/>
                <w:szCs w:val="24"/>
                <w:lang w:eastAsia="zh-CN"/>
              </w:rPr>
              <w:t>处置</w:t>
            </w:r>
            <w:r>
              <w:rPr>
                <w:rFonts w:hint="default" w:ascii="Times New Roman" w:hAnsi="Times New Roman" w:cs="Times New Roman"/>
                <w:color w:val="auto"/>
                <w:sz w:val="24"/>
              </w:rPr>
              <w:t>。</w:t>
            </w:r>
          </w:p>
          <w:p>
            <w:pPr>
              <w:spacing w:line="440" w:lineRule="exact"/>
              <w:ind w:firstLine="561"/>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eastAsia="zh-CN"/>
              </w:rPr>
              <w:t>综上，原项目储罐油渣委托有资质单位清理处置，含油消防沙及吸油毡长时间随意存放，处置不规范，项目危废管理存在一定的问题，无固定存放场所和专门的收集装置。</w:t>
            </w:r>
          </w:p>
          <w:p>
            <w:pPr>
              <w:spacing w:line="440" w:lineRule="exact"/>
              <w:ind w:firstLine="561"/>
              <w:rPr>
                <w:rFonts w:hint="default" w:ascii="Times New Roman" w:hAnsi="Times New Roman" w:cs="Times New Roman"/>
                <w:color w:val="auto"/>
                <w:sz w:val="24"/>
              </w:rPr>
            </w:pPr>
            <w:r>
              <w:rPr>
                <w:rFonts w:hint="default" w:ascii="Times New Roman" w:hAnsi="Times New Roman" w:cs="Times New Roman"/>
                <w:color w:val="auto"/>
                <w:sz w:val="24"/>
              </w:rPr>
              <w:t>根据《国家危险废物名录》（2016版）的相关规定，含油消防沙及吸油毡属于“HW08废矿物油与含矿油废物”（废物类别代码900-249-08）中“其他生产、销售、使用过程中产生的废矿物油及含矿物油废物”</w:t>
            </w:r>
            <w:r>
              <w:rPr>
                <w:rFonts w:hint="eastAsia" w:ascii="Times New Roman" w:hAnsi="Times New Roman" w:cs="Times New Roman"/>
                <w:color w:val="auto"/>
                <w:sz w:val="24"/>
                <w:lang w:eastAsia="zh-CN"/>
              </w:rPr>
              <w:t>，危险特性为“</w:t>
            </w:r>
            <w:r>
              <w:rPr>
                <w:rFonts w:hint="eastAsia" w:ascii="Times New Roman" w:hAnsi="Times New Roman" w:cs="Times New Roman"/>
                <w:color w:val="auto"/>
                <w:sz w:val="24"/>
                <w:lang w:val="en-US" w:eastAsia="zh-CN"/>
              </w:rPr>
              <w:t>T，I</w:t>
            </w:r>
            <w:r>
              <w:rPr>
                <w:rFonts w:hint="eastAsia" w:ascii="Times New Roman" w:hAnsi="Times New Roman" w:cs="Times New Roman"/>
                <w:color w:val="auto"/>
                <w:sz w:val="24"/>
                <w:lang w:eastAsia="zh-CN"/>
              </w:rPr>
              <w:t>”。</w:t>
            </w:r>
          </w:p>
          <w:p>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表1-</w:t>
            </w:r>
            <w:r>
              <w:rPr>
                <w:rFonts w:hint="eastAsia" w:ascii="Times New Roman" w:hAnsi="Times New Roman" w:cs="Times New Roman"/>
                <w:b/>
                <w:color w:val="auto"/>
                <w:sz w:val="21"/>
                <w:szCs w:val="21"/>
                <w:lang w:val="en-US" w:eastAsia="zh-CN"/>
              </w:rPr>
              <w:t>7</w:t>
            </w:r>
            <w:r>
              <w:rPr>
                <w:rFonts w:hint="default" w:ascii="Times New Roman" w:hAnsi="Times New Roman" w:cs="Times New Roman"/>
                <w:b/>
                <w:color w:val="auto"/>
                <w:sz w:val="21"/>
                <w:szCs w:val="21"/>
              </w:rPr>
              <w:t xml:space="preserve">    原有项目各污染物产生及排放情况</w:t>
            </w:r>
          </w:p>
          <w:tbl>
            <w:tblPr>
              <w:tblStyle w:val="23"/>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760"/>
              <w:gridCol w:w="1873"/>
              <w:gridCol w:w="2150"/>
              <w:gridCol w:w="2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tcBorders>
                    <w:tl2br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right"/>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内容</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left"/>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类型</w:t>
                  </w:r>
                </w:p>
              </w:tc>
              <w:tc>
                <w:tcPr>
                  <w:tcW w:w="17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排放源</w:t>
                  </w:r>
                </w:p>
              </w:tc>
              <w:tc>
                <w:tcPr>
                  <w:tcW w:w="18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21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产生量</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7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工作人员及顾客</w:t>
                  </w:r>
                </w:p>
              </w:tc>
              <w:tc>
                <w:tcPr>
                  <w:tcW w:w="18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21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138.41</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p>
              </w:tc>
              <w:tc>
                <w:tcPr>
                  <w:tcW w:w="17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办公生活区</w:t>
                  </w:r>
                </w:p>
              </w:tc>
              <w:tc>
                <w:tcPr>
                  <w:tcW w:w="18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清洗废水</w:t>
                  </w:r>
                </w:p>
              </w:tc>
              <w:tc>
                <w:tcPr>
                  <w:tcW w:w="21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28.03</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大气</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7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加油区、储罐区</w:t>
                  </w:r>
                </w:p>
              </w:tc>
              <w:tc>
                <w:tcPr>
                  <w:tcW w:w="18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21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1509</w:t>
                  </w:r>
                  <w:r>
                    <w:rPr>
                      <w:rFonts w:hint="default" w:ascii="Times New Roman" w:hAnsi="Times New Roman" w:cs="Times New Roman"/>
                      <w:color w:val="auto"/>
                      <w:szCs w:val="21"/>
                    </w:rPr>
                    <w:t>kg/a</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1509</w:t>
                  </w:r>
                  <w:r>
                    <w:rPr>
                      <w:rFonts w:hint="default" w:ascii="Times New Roman" w:hAnsi="Times New Roman" w:cs="Times New Roman"/>
                      <w:color w:val="auto"/>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p>
              </w:tc>
              <w:tc>
                <w:tcPr>
                  <w:tcW w:w="17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厨房</w:t>
                  </w:r>
                </w:p>
              </w:tc>
              <w:tc>
                <w:tcPr>
                  <w:tcW w:w="18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油烟废气</w:t>
                  </w:r>
                </w:p>
              </w:tc>
              <w:tc>
                <w:tcPr>
                  <w:tcW w:w="21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少量</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p>
              </w:tc>
              <w:tc>
                <w:tcPr>
                  <w:tcW w:w="17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车辆尾气</w:t>
                  </w:r>
                </w:p>
              </w:tc>
              <w:tc>
                <w:tcPr>
                  <w:tcW w:w="18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kern w:val="0"/>
                      <w:szCs w:val="21"/>
                    </w:rPr>
                    <w:t>TCH、CO、NO</w:t>
                  </w:r>
                  <w:r>
                    <w:rPr>
                      <w:rFonts w:hint="eastAsia" w:ascii="Times New Roman" w:hAnsi="Times New Roman" w:cs="Times New Roman"/>
                      <w:color w:val="auto"/>
                      <w:kern w:val="0"/>
                      <w:szCs w:val="21"/>
                      <w:lang w:val="en-US" w:eastAsia="zh-CN"/>
                    </w:rPr>
                    <w:t>x</w:t>
                  </w:r>
                </w:p>
              </w:tc>
              <w:tc>
                <w:tcPr>
                  <w:tcW w:w="21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少量</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p>
              </w:tc>
              <w:tc>
                <w:tcPr>
                  <w:tcW w:w="17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化粪池</w:t>
                  </w:r>
                </w:p>
              </w:tc>
              <w:tc>
                <w:tcPr>
                  <w:tcW w:w="18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异味</w:t>
                  </w:r>
                </w:p>
              </w:tc>
              <w:tc>
                <w:tcPr>
                  <w:tcW w:w="21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少量</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噪</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声</w:t>
                  </w:r>
                </w:p>
              </w:tc>
              <w:tc>
                <w:tcPr>
                  <w:tcW w:w="17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油泵、备用发电机设备运转、出入车辆</w:t>
                  </w:r>
                </w:p>
              </w:tc>
              <w:tc>
                <w:tcPr>
                  <w:tcW w:w="18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1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65~85dB（A）</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达GB12348-2008《工</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业企业厂界环境噪声排放标准》2类、4类标准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固体</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废物</w:t>
                  </w:r>
                </w:p>
              </w:tc>
              <w:tc>
                <w:tcPr>
                  <w:tcW w:w="1760"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工作人员及加油顾客</w:t>
                  </w:r>
                </w:p>
              </w:tc>
              <w:tc>
                <w:tcPr>
                  <w:tcW w:w="1873"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2150"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1.66</w:t>
                  </w:r>
                  <w:r>
                    <w:rPr>
                      <w:rFonts w:hint="default" w:ascii="Times New Roman" w:hAnsi="Times New Roman" w:cs="Times New Roman"/>
                      <w:color w:val="auto"/>
                      <w:szCs w:val="21"/>
                    </w:rPr>
                    <w:t>t/a</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p>
              </w:tc>
              <w:tc>
                <w:tcPr>
                  <w:tcW w:w="1760"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化粪池</w:t>
                  </w:r>
                </w:p>
              </w:tc>
              <w:tc>
                <w:tcPr>
                  <w:tcW w:w="1873"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污泥</w:t>
                  </w:r>
                </w:p>
              </w:tc>
              <w:tc>
                <w:tcPr>
                  <w:tcW w:w="2150"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0.0</w:t>
                  </w:r>
                  <w:r>
                    <w:rPr>
                      <w:rFonts w:hint="eastAsia" w:ascii="Times New Roman" w:hAnsi="Times New Roman" w:cs="Times New Roman"/>
                      <w:color w:val="auto"/>
                      <w:szCs w:val="21"/>
                      <w:lang w:val="en-US" w:eastAsia="zh-CN"/>
                    </w:rPr>
                    <w:t>33</w:t>
                  </w:r>
                  <w:r>
                    <w:rPr>
                      <w:rFonts w:hint="default" w:ascii="Times New Roman" w:hAnsi="Times New Roman" w:cs="Times New Roman"/>
                      <w:color w:val="auto"/>
                      <w:szCs w:val="21"/>
                    </w:rPr>
                    <w:t>t/a</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p>
              </w:tc>
              <w:tc>
                <w:tcPr>
                  <w:tcW w:w="1760"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储罐</w:t>
                  </w:r>
                </w:p>
              </w:tc>
              <w:tc>
                <w:tcPr>
                  <w:tcW w:w="1873"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eastAsia="zh-CN"/>
                    </w:rPr>
                    <w:t>油渣</w:t>
                  </w:r>
                </w:p>
              </w:tc>
              <w:tc>
                <w:tcPr>
                  <w:tcW w:w="2150"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4kg/a</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p>
              </w:tc>
              <w:tc>
                <w:tcPr>
                  <w:tcW w:w="1760"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加油区</w:t>
                  </w:r>
                </w:p>
              </w:tc>
              <w:tc>
                <w:tcPr>
                  <w:tcW w:w="1873"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废弃含油消防沙</w:t>
                  </w:r>
                </w:p>
              </w:tc>
              <w:tc>
                <w:tcPr>
                  <w:tcW w:w="2150" w:type="dxa"/>
                  <w:vAlign w:val="center"/>
                </w:tcPr>
                <w:p>
                  <w:pPr>
                    <w:keepNext w:val="0"/>
                    <w:keepLines w:val="0"/>
                    <w:pageBreakBefore w:val="0"/>
                    <w:widowControl w:val="0"/>
                    <w:kinsoku/>
                    <w:wordWrap/>
                    <w:overflowPunct/>
                    <w:topLinePunct w:val="0"/>
                    <w:autoSpaceDE/>
                    <w:autoSpaceDN/>
                    <w:bidi w:val="0"/>
                    <w:spacing w:line="240" w:lineRule="auto"/>
                    <w:ind w:left="-111" w:leftChars="-53" w:right="-86" w:rightChars="-4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0.2t/a</w:t>
                  </w:r>
                </w:p>
              </w:tc>
              <w:tc>
                <w:tcPr>
                  <w:tcW w:w="24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0</w:t>
                  </w:r>
                </w:p>
              </w:tc>
            </w:tr>
          </w:tbl>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eastAsia="zh-CN"/>
              </w:rPr>
              <w:t>三、原</w:t>
            </w:r>
            <w:r>
              <w:rPr>
                <w:rFonts w:hint="default" w:ascii="Times New Roman" w:hAnsi="Times New Roman" w:cs="Times New Roman"/>
                <w:b/>
                <w:color w:val="auto"/>
                <w:sz w:val="24"/>
              </w:rPr>
              <w:t>项目</w:t>
            </w:r>
            <w:r>
              <w:rPr>
                <w:rFonts w:hint="default" w:ascii="Times New Roman" w:hAnsi="Times New Roman" w:cs="Times New Roman"/>
                <w:b/>
                <w:color w:val="auto"/>
                <w:sz w:val="24"/>
                <w:lang w:eastAsia="zh-CN"/>
              </w:rPr>
              <w:t>存在的环境问题</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对照《汽车加油加气站设计与施工规范（2014年版）》（GB50156-2012）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《加油站地下水污染防治技术指南（试行）》</w:t>
            </w:r>
            <w:r>
              <w:rPr>
                <w:rFonts w:hint="default" w:ascii="Times New Roman" w:hAnsi="Times New Roman" w:cs="Times New Roman"/>
                <w:color w:val="auto"/>
                <w:sz w:val="24"/>
                <w:lang w:eastAsia="zh-CN"/>
              </w:rPr>
              <w:t>及</w:t>
            </w:r>
            <w:r>
              <w:rPr>
                <w:rFonts w:hint="default" w:ascii="Times New Roman" w:hAnsi="Times New Roman" w:cs="Times New Roman"/>
                <w:color w:val="auto"/>
                <w:sz w:val="24"/>
              </w:rPr>
              <w:t>《云南省大气污染防治行动实施方案》（云政发〔2014〕9号）中的相关规定，目前，项目存在安全隐患及环境风险，具体如下：</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加油站</w:t>
            </w:r>
            <w:r>
              <w:rPr>
                <w:rFonts w:hint="default" w:ascii="Times New Roman" w:hAnsi="Times New Roman" w:cs="Times New Roman"/>
                <w:color w:val="auto"/>
                <w:sz w:val="24"/>
              </w:rPr>
              <w:t>储油罐为单层罐虽已建防渗罐池，但防渗罐池建设时间较长，防渗能力已不符合《汽车加油加气站设计与施工规范（2014年版）》（GB50156-2012）及《加油站地下水污染防治技术指南（试行）》中的“防渗要求”，存在一定的安全隐患及环境风险；</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加油站</w:t>
            </w:r>
            <w:r>
              <w:rPr>
                <w:rFonts w:hint="default" w:ascii="Times New Roman" w:hAnsi="Times New Roman" w:cs="Times New Roman"/>
                <w:color w:val="auto"/>
                <w:sz w:val="24"/>
              </w:rPr>
              <w:t>储油罐未安装液位仪，不符合《汽车加油加气站设计与施工规范（2014年版）》（GB50156-2012）中的“油罐应采取卸油时的防满溢措施”要求，存在一定的安全隐患及环境风险；</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加油站</w:t>
            </w:r>
            <w:r>
              <w:rPr>
                <w:rFonts w:hint="default" w:ascii="Times New Roman" w:hAnsi="Times New Roman" w:cs="Times New Roman"/>
                <w:color w:val="auto"/>
                <w:sz w:val="24"/>
              </w:rPr>
              <w:t>储油罐为单层罐且已建防渗罐池，未配套安装渗漏在线检测系统，不符合《汽车加油加气站设计与施工规范（2014年版）》（GB50156-2012）及《加油站地下水污染防治技术指南（试行）》中的“双层油罐、防渗池的渗漏检测宜采用在线监测系统的要求”，存在一定的安全隐患及环境风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汽油加油及卸油均未设置油气回收系统。不符合</w:t>
            </w:r>
            <w:r>
              <w:rPr>
                <w:rFonts w:hint="default" w:ascii="Times New Roman" w:hAnsi="Times New Roman" w:cs="Times New Roman"/>
                <w:color w:val="auto"/>
                <w:sz w:val="24"/>
              </w:rPr>
              <w:t>《云南省大气污染防治行动实施方案》（云政发〔2014〕9号）中明确要求“推进挥发性有机物污染治理。制定加油站、储油库、油罐车油气回收治理计划；开展有机化工、表面涂装、包装印刷等行业挥发性有机物的综合整治”。</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5、加油站初期雨水</w:t>
            </w:r>
            <w:r>
              <w:rPr>
                <w:rFonts w:hint="eastAsia" w:ascii="Times New Roman" w:hAnsi="Times New Roman" w:cs="Times New Roman"/>
                <w:color w:val="auto"/>
                <w:sz w:val="24"/>
                <w:lang w:val="en-US" w:eastAsia="zh-CN"/>
              </w:rPr>
              <w:t>未经水封井预处理直接排放，含油消防沙及吸油毡随意存放，</w:t>
            </w:r>
            <w:r>
              <w:rPr>
                <w:rFonts w:hint="eastAsia" w:ascii="Times New Roman" w:hAnsi="Times New Roman" w:cs="Times New Roman"/>
                <w:color w:val="auto"/>
                <w:sz w:val="24"/>
                <w:lang w:eastAsia="zh-CN"/>
              </w:rPr>
              <w:t>无固定存放场所和专门的收集装置，</w:t>
            </w:r>
            <w:r>
              <w:rPr>
                <w:rFonts w:hint="eastAsia" w:ascii="Times New Roman" w:hAnsi="Times New Roman" w:cs="Times New Roman"/>
                <w:color w:val="auto"/>
                <w:sz w:val="24"/>
                <w:lang w:val="en-US" w:eastAsia="zh-CN"/>
              </w:rPr>
              <w:t>管理</w:t>
            </w:r>
            <w:r>
              <w:rPr>
                <w:rFonts w:hint="default" w:ascii="Times New Roman" w:hAnsi="Times New Roman" w:cs="Times New Roman"/>
                <w:color w:val="auto"/>
                <w:sz w:val="24"/>
                <w:lang w:val="en-US" w:eastAsia="zh-CN"/>
              </w:rPr>
              <w:t>不规范。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41" w:firstLineChars="100"/>
              <w:jc w:val="both"/>
              <w:textAlignment w:val="auto"/>
              <w:outlineLvl w:val="9"/>
              <w:rPr>
                <w:rFonts w:hint="default" w:ascii="Times New Roman" w:hAnsi="Times New Roman" w:cs="Times New Roman"/>
                <w:b/>
                <w:color w:val="auto"/>
                <w:sz w:val="24"/>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cs="Times New Roman"/>
                <w:color w:val="auto"/>
                <w:sz w:val="24"/>
                <w:lang w:val="en-US" w:eastAsia="zh-CN"/>
              </w:rPr>
            </w:pPr>
          </w:p>
          <w:p>
            <w:pPr>
              <w:spacing w:line="360" w:lineRule="auto"/>
              <w:rPr>
                <w:rFonts w:hint="default" w:ascii="Times New Roman" w:hAnsi="Times New Roman" w:eastAsia="宋体" w:cs="Times New Roman"/>
                <w:color w:val="auto"/>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9"/>
            <w:tcBorders>
              <w:top w:val="nil"/>
              <w:left w:val="nil"/>
              <w:bottom w:val="single" w:color="auto" w:sz="4" w:space="0"/>
              <w:right w:val="nil"/>
            </w:tcBorders>
            <w:vAlign w:val="top"/>
          </w:tcPr>
          <w:p>
            <w:pP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表二、建设项目所在地自然环境社会环境简况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9"/>
            <w:tcBorders>
              <w:top w:val="single" w:color="auto" w:sz="4" w:space="0"/>
            </w:tcBorders>
            <w:vAlign w:val="top"/>
          </w:tcPr>
          <w:p>
            <w:pPr>
              <w:spacing w:line="440" w:lineRule="exact"/>
              <w:jc w:val="left"/>
              <w:rPr>
                <w:rFonts w:hint="default" w:ascii="Times New Roman" w:hAnsi="Times New Roman" w:cs="Times New Roman"/>
                <w:b/>
                <w:color w:val="auto"/>
                <w:sz w:val="28"/>
              </w:rPr>
            </w:pPr>
            <w:r>
              <w:rPr>
                <w:rFonts w:hint="default" w:ascii="Times New Roman" w:hAnsi="Times New Roman" w:cs="Times New Roman"/>
                <w:b/>
                <w:color w:val="auto"/>
                <w:sz w:val="28"/>
              </w:rPr>
              <w:t>自然环境简况(地形、地貌、地质、气候、气象、水文、植被、生物等)：</w:t>
            </w:r>
          </w:p>
          <w:p>
            <w:pPr>
              <w:spacing w:line="360" w:lineRule="auto"/>
              <w:ind w:firstLine="482" w:firstLineChars="200"/>
              <w:jc w:val="left"/>
              <w:rPr>
                <w:b/>
                <w:color w:val="auto"/>
                <w:sz w:val="24"/>
                <w:szCs w:val="24"/>
              </w:rPr>
            </w:pPr>
            <w:r>
              <w:rPr>
                <w:b/>
                <w:color w:val="auto"/>
                <w:sz w:val="24"/>
                <w:szCs w:val="24"/>
              </w:rPr>
              <w:t>一、地理位置和交通</w:t>
            </w:r>
          </w:p>
          <w:p>
            <w:pPr>
              <w:spacing w:line="360" w:lineRule="auto"/>
              <w:ind w:firstLine="480" w:firstLineChars="200"/>
              <w:jc w:val="left"/>
              <w:rPr>
                <w:rFonts w:hint="eastAsia"/>
                <w:color w:val="auto"/>
                <w:sz w:val="24"/>
                <w:szCs w:val="24"/>
                <w:lang w:eastAsia="zh-CN"/>
              </w:rPr>
            </w:pPr>
            <w:r>
              <w:rPr>
                <w:rFonts w:hint="eastAsia"/>
                <w:color w:val="auto"/>
                <w:sz w:val="24"/>
                <w:szCs w:val="24"/>
                <w:lang w:eastAsia="zh-CN"/>
              </w:rPr>
              <w:t>项目位于砚山县蚌峨乡蚌峨新寨，中心地理坐标为东经104°</w:t>
            </w:r>
            <w:r>
              <w:rPr>
                <w:rFonts w:hint="eastAsia"/>
                <w:color w:val="auto"/>
                <w:sz w:val="24"/>
                <w:szCs w:val="24"/>
                <w:lang w:val="en-US" w:eastAsia="zh-CN"/>
              </w:rPr>
              <w:t>38</w:t>
            </w:r>
            <w:r>
              <w:rPr>
                <w:rFonts w:hint="eastAsia"/>
                <w:color w:val="auto"/>
                <w:sz w:val="24"/>
                <w:szCs w:val="24"/>
                <w:lang w:eastAsia="zh-CN"/>
              </w:rPr>
              <w:t>′</w:t>
            </w:r>
            <w:r>
              <w:rPr>
                <w:rFonts w:hint="eastAsia"/>
                <w:color w:val="auto"/>
                <w:sz w:val="24"/>
                <w:szCs w:val="24"/>
                <w:lang w:val="en-US" w:eastAsia="zh-CN"/>
              </w:rPr>
              <w:t>21</w:t>
            </w:r>
            <w:r>
              <w:rPr>
                <w:rFonts w:hint="eastAsia"/>
                <w:color w:val="auto"/>
                <w:sz w:val="24"/>
                <w:szCs w:val="24"/>
                <w:lang w:eastAsia="zh-CN"/>
              </w:rPr>
              <w:t>″，北纬23°3</w:t>
            </w:r>
            <w:r>
              <w:rPr>
                <w:rFonts w:hint="eastAsia"/>
                <w:color w:val="auto"/>
                <w:sz w:val="24"/>
                <w:szCs w:val="24"/>
                <w:lang w:val="en-US" w:eastAsia="zh-CN"/>
              </w:rPr>
              <w:t>6</w:t>
            </w:r>
            <w:r>
              <w:rPr>
                <w:rFonts w:hint="eastAsia"/>
                <w:color w:val="auto"/>
                <w:sz w:val="24"/>
                <w:szCs w:val="24"/>
                <w:lang w:eastAsia="zh-CN"/>
              </w:rPr>
              <w:t>′17″，行政区属于蚌峨乡管辖，项目东侧靠近县道者蚌段，交通方便。</w:t>
            </w:r>
          </w:p>
          <w:p>
            <w:pPr>
              <w:spacing w:line="360" w:lineRule="auto"/>
              <w:ind w:firstLine="480" w:firstLineChars="200"/>
              <w:jc w:val="left"/>
              <w:rPr>
                <w:color w:val="auto"/>
                <w:sz w:val="24"/>
                <w:szCs w:val="24"/>
              </w:rPr>
            </w:pPr>
            <w:r>
              <w:rPr>
                <w:rFonts w:hint="eastAsia"/>
                <w:color w:val="auto"/>
                <w:sz w:val="24"/>
                <w:szCs w:val="24"/>
                <w:lang w:eastAsia="zh-CN"/>
              </w:rPr>
              <w:t>蚌峨乡地处砚山县东南部，东与广南县那洒镇和西畴县鸡街乡相邻，南接本县的八嘎乡，西接者腊乡，北邻阿猛镇。距县城38公里，蚌（峨）西（畴）公路穿境而过，东行40公里抵西畴县城。</w:t>
            </w:r>
            <w:r>
              <w:rPr>
                <w:color w:val="auto"/>
                <w:sz w:val="24"/>
                <w:szCs w:val="24"/>
              </w:rPr>
              <w:t>具体见图2：项目地理位置示意图。</w:t>
            </w:r>
          </w:p>
          <w:p>
            <w:pPr>
              <w:autoSpaceDE w:val="0"/>
              <w:autoSpaceDN w:val="0"/>
              <w:adjustRightInd w:val="0"/>
              <w:spacing w:line="360" w:lineRule="auto"/>
              <w:ind w:firstLine="561"/>
              <w:jc w:val="left"/>
              <w:rPr>
                <w:rFonts w:hint="eastAsia" w:hAnsi="宋体"/>
                <w:b/>
                <w:color w:val="auto"/>
                <w:sz w:val="24"/>
              </w:rPr>
            </w:pPr>
            <w:r>
              <w:rPr>
                <w:rFonts w:hint="eastAsia" w:hAnsi="宋体"/>
                <w:b/>
                <w:color w:val="auto"/>
                <w:sz w:val="24"/>
              </w:rPr>
              <w:t>二</w:t>
            </w:r>
            <w:r>
              <w:rPr>
                <w:rFonts w:hAnsi="宋体"/>
                <w:b/>
                <w:color w:val="auto"/>
                <w:sz w:val="24"/>
              </w:rPr>
              <w:t>、地形、地貌</w:t>
            </w:r>
            <w:r>
              <w:rPr>
                <w:rFonts w:hint="eastAsia" w:hAnsi="宋体"/>
                <w:b/>
                <w:color w:val="auto"/>
                <w:sz w:val="24"/>
              </w:rPr>
              <w:t>、</w:t>
            </w:r>
            <w:r>
              <w:rPr>
                <w:rFonts w:hAnsi="宋体"/>
                <w:b/>
                <w:color w:val="auto"/>
                <w:sz w:val="24"/>
              </w:rPr>
              <w:t>地质</w:t>
            </w:r>
          </w:p>
          <w:p>
            <w:pPr>
              <w:spacing w:line="360" w:lineRule="auto"/>
              <w:ind w:firstLine="480" w:firstLineChars="200"/>
              <w:rPr>
                <w:rFonts w:hint="eastAsia" w:ascii="宋体" w:hAnsi="宋体"/>
                <w:color w:val="auto"/>
                <w:sz w:val="24"/>
              </w:rPr>
            </w:pPr>
            <w:r>
              <w:rPr>
                <w:rFonts w:hint="eastAsia" w:ascii="宋体" w:hAnsi="宋体"/>
                <w:color w:val="auto"/>
                <w:sz w:val="24"/>
              </w:rPr>
              <w:t>境内地形起伏不平，200多座岩溶石山散布其间，有海拔1500 m左右的岩溶石山70余座；有标高1800m左右的山峰100多座；有海拔2000m以上的中高山3座。整个地貌复杂多样，西部阿舍乡的阿基、地者恩、鲁都克一带，以中高山地貌为主；南面和北面，西北面和东北面则以典型的喀斯特地貌为主；南面则为突出的中山河谷地貌。山地类型323.18万亩，占全县总土地面积的55.90％，并以中山山地，中山河谷为主要特征。</w:t>
            </w:r>
          </w:p>
          <w:p>
            <w:pPr>
              <w:spacing w:line="360" w:lineRule="auto"/>
              <w:ind w:firstLine="480" w:firstLineChars="200"/>
              <w:rPr>
                <w:rFonts w:hint="eastAsia" w:ascii="宋体" w:hAnsi="宋体"/>
                <w:color w:val="auto"/>
                <w:sz w:val="24"/>
              </w:rPr>
            </w:pPr>
            <w:r>
              <w:rPr>
                <w:rFonts w:hint="eastAsia" w:ascii="宋体" w:hAnsi="宋体"/>
                <w:color w:val="auto"/>
                <w:sz w:val="24"/>
              </w:rPr>
              <w:t>全境以岩溶盆地为主要地貌特征，有1</w:t>
            </w:r>
            <w:r>
              <w:rPr>
                <w:rFonts w:hint="eastAsia"/>
                <w:color w:val="auto"/>
              </w:rPr>
              <w:t xml:space="preserve"> km</w:t>
            </w:r>
            <w:r>
              <w:rPr>
                <w:rFonts w:hint="eastAsia"/>
                <w:color w:val="auto"/>
                <w:vertAlign w:val="superscript"/>
              </w:rPr>
              <w:t>2</w:t>
            </w:r>
            <w:r>
              <w:rPr>
                <w:rFonts w:hint="eastAsia" w:ascii="宋体" w:hAnsi="宋体"/>
                <w:color w:val="auto"/>
                <w:sz w:val="24"/>
              </w:rPr>
              <w:t>以上的岩溶坝子35个（106.49万亩，占全县总土地面积的27％），以平远、稼依坝子为大（61万亩）；其次为砚山坝子（12.64万亩），红舍克坝子（5.99万亩）。</w:t>
            </w:r>
          </w:p>
          <w:p>
            <w:pPr>
              <w:spacing w:line="360" w:lineRule="auto"/>
              <w:ind w:firstLine="480" w:firstLineChars="200"/>
              <w:rPr>
                <w:rFonts w:hint="eastAsia" w:ascii="宋体" w:hAnsi="宋体"/>
                <w:color w:val="auto"/>
                <w:sz w:val="24"/>
              </w:rPr>
            </w:pPr>
            <w:r>
              <w:rPr>
                <w:rFonts w:hint="eastAsia" w:ascii="宋体" w:hAnsi="宋体"/>
                <w:color w:val="auto"/>
                <w:sz w:val="24"/>
              </w:rPr>
              <w:t>境内岩溶丘陵共167.71万亩，占全县总土地面积的29.10％，并以丘陵坝子为主要特征。其地形起伏不平，峰林谷地和山地密布，谷坝镶嵌，溶洞和洼地较多。地层的溶蚀强烈，水土流失严重。</w:t>
            </w:r>
          </w:p>
          <w:p>
            <w:pPr>
              <w:autoSpaceDE w:val="0"/>
              <w:autoSpaceDN w:val="0"/>
              <w:adjustRightInd w:val="0"/>
              <w:spacing w:line="360" w:lineRule="auto"/>
              <w:ind w:firstLine="482" w:firstLineChars="200"/>
              <w:jc w:val="left"/>
              <w:rPr>
                <w:b/>
                <w:color w:val="auto"/>
                <w:sz w:val="24"/>
              </w:rPr>
            </w:pPr>
            <w:r>
              <w:rPr>
                <w:rFonts w:hint="eastAsia" w:hAnsi="宋体"/>
                <w:b/>
                <w:color w:val="auto"/>
                <w:sz w:val="24"/>
              </w:rPr>
              <w:t>三</w:t>
            </w:r>
            <w:r>
              <w:rPr>
                <w:rFonts w:hAnsi="宋体"/>
                <w:b/>
                <w:color w:val="auto"/>
                <w:sz w:val="24"/>
              </w:rPr>
              <w:t>、气候、气象</w:t>
            </w:r>
          </w:p>
          <w:p>
            <w:pPr>
              <w:spacing w:line="360" w:lineRule="auto"/>
              <w:ind w:firstLine="480" w:firstLineChars="200"/>
              <w:rPr>
                <w:rFonts w:hint="eastAsia" w:ascii="宋体" w:hAnsi="宋体"/>
                <w:color w:val="auto"/>
                <w:sz w:val="24"/>
              </w:rPr>
            </w:pPr>
            <w:r>
              <w:rPr>
                <w:rFonts w:hint="eastAsia" w:ascii="宋体" w:hAnsi="宋体"/>
                <w:color w:val="auto"/>
                <w:sz w:val="24"/>
              </w:rPr>
              <w:t>砚山县属低纬高原季风气候，四季不明显，干雨季分明，立体气候特征较明显。热量资源丰富，≥10℃的活动积温2500℃～6500℃,年温差小，全年平均气温12.50℃～19℃，最冷月（1月）平均气温6.60℃～10℃，最热月（7月）平均气温16.50℃～25℃，极端最高气温33.20℃（1958年6月1日），极端最低气温-7.8℃（1968年2月14日）。年无霜期250～320天，年日照时数1400～2100小时，年降雨量840～1400mm。境内海拔高低相差1183m，形成河谷、平坝、山地3种不动气候类型。干季（11月～次年4月），主要受西部干暖气流影响，空气干燥，降雨稀少，干季雨量仅161mm，占全年总雨量的17％。雨季（5～10月），主要受西南和东南海洋暖湿气流的影响，湿度大，降雨较多，雨季雨量834.90mm，占全年总雨量的83％左右。</w:t>
            </w:r>
          </w:p>
          <w:p>
            <w:pPr>
              <w:spacing w:line="360" w:lineRule="auto"/>
              <w:ind w:firstLine="480" w:firstLineChars="200"/>
              <w:rPr>
                <w:rFonts w:hint="eastAsia" w:ascii="宋体" w:hAnsi="宋体"/>
                <w:color w:val="auto"/>
                <w:sz w:val="24"/>
                <w:lang w:eastAsia="zh-CN"/>
              </w:rPr>
            </w:pPr>
            <w:r>
              <w:rPr>
                <w:rFonts w:hint="eastAsia" w:ascii="宋体" w:hAnsi="宋体"/>
                <w:color w:val="auto"/>
                <w:sz w:val="24"/>
                <w:lang w:eastAsia="zh-CN"/>
              </w:rPr>
              <w:t>蚌峨乡属中山河谷地形，地势主要以山冲为主，海拔为1220—1400米之间。相对高差400—500米，属中亚热带气候类型，年平均温度17—18℃，无霜期为312天，年降雨量1190毫米，年平均相对湿度81%，属湿润地区。</w:t>
            </w:r>
          </w:p>
          <w:p>
            <w:pPr>
              <w:spacing w:line="360" w:lineRule="auto"/>
              <w:ind w:firstLine="480" w:firstLineChars="200"/>
              <w:rPr>
                <w:color w:val="auto"/>
                <w:sz w:val="24"/>
              </w:rPr>
            </w:pPr>
            <w:r>
              <w:rPr>
                <w:rFonts w:hint="eastAsia" w:ascii="宋体" w:hAnsi="宋体"/>
                <w:color w:val="auto"/>
                <w:sz w:val="24"/>
              </w:rPr>
              <w:t>砚山县属低纬高原季风气候，四季不明显，干雨季分明，立体气候特征较明显</w:t>
            </w:r>
            <w:r>
              <w:rPr>
                <w:color w:val="auto"/>
                <w:sz w:val="24"/>
              </w:rPr>
              <w:t>。由于项目区内无专业气象站，气温、风速、降水等气象资料采用</w:t>
            </w:r>
            <w:r>
              <w:rPr>
                <w:rFonts w:hint="eastAsia"/>
                <w:color w:val="auto"/>
                <w:sz w:val="24"/>
                <w:lang w:eastAsia="zh-CN"/>
              </w:rPr>
              <w:t>砚山</w:t>
            </w:r>
            <w:r>
              <w:rPr>
                <w:color w:val="auto"/>
                <w:sz w:val="24"/>
              </w:rPr>
              <w:t>县气象站观测资料，详见表</w:t>
            </w:r>
            <w:r>
              <w:rPr>
                <w:rFonts w:hint="eastAsia"/>
                <w:color w:val="auto"/>
                <w:sz w:val="24"/>
              </w:rPr>
              <w:t>2</w:t>
            </w:r>
            <w:r>
              <w:rPr>
                <w:color w:val="auto"/>
                <w:sz w:val="24"/>
              </w:rPr>
              <w:t>-1。</w:t>
            </w:r>
          </w:p>
          <w:p>
            <w:pPr>
              <w:spacing w:line="360" w:lineRule="auto"/>
              <w:jc w:val="center"/>
              <w:rPr>
                <w:b/>
                <w:color w:val="auto"/>
                <w:sz w:val="21"/>
                <w:szCs w:val="21"/>
              </w:rPr>
            </w:pPr>
            <w:r>
              <w:rPr>
                <w:b/>
                <w:color w:val="auto"/>
                <w:kern w:val="0"/>
                <w:sz w:val="21"/>
                <w:szCs w:val="21"/>
              </w:rPr>
              <w:t>表2-1</w:t>
            </w:r>
            <w:r>
              <w:rPr>
                <w:rFonts w:hint="eastAsia"/>
                <w:b/>
                <w:color w:val="auto"/>
                <w:kern w:val="0"/>
                <w:sz w:val="21"/>
                <w:szCs w:val="21"/>
                <w:lang w:eastAsia="zh-CN"/>
              </w:rPr>
              <w:t>砚山县</w:t>
            </w:r>
            <w:r>
              <w:rPr>
                <w:b/>
                <w:color w:val="auto"/>
                <w:kern w:val="0"/>
                <w:sz w:val="21"/>
                <w:szCs w:val="21"/>
              </w:rPr>
              <w:t>主要气象资料特征值表</w:t>
            </w:r>
          </w:p>
          <w:tbl>
            <w:tblPr>
              <w:tblStyle w:val="23"/>
              <w:tblW w:w="884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7"/>
              <w:gridCol w:w="4538"/>
              <w:gridCol w:w="1027"/>
              <w:gridCol w:w="17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5" w:type="dxa"/>
                  <w:gridSpan w:val="2"/>
                  <w:vAlign w:val="center"/>
                </w:tcPr>
                <w:p>
                  <w:pPr>
                    <w:widowControl/>
                    <w:jc w:val="center"/>
                    <w:rPr>
                      <w:b/>
                      <w:color w:val="auto"/>
                      <w:kern w:val="0"/>
                      <w:sz w:val="21"/>
                      <w:szCs w:val="21"/>
                    </w:rPr>
                  </w:pPr>
                  <w:r>
                    <w:rPr>
                      <w:b/>
                      <w:color w:val="auto"/>
                      <w:kern w:val="0"/>
                      <w:sz w:val="21"/>
                      <w:szCs w:val="21"/>
                    </w:rPr>
                    <w:t>项目</w:t>
                  </w:r>
                </w:p>
              </w:tc>
              <w:tc>
                <w:tcPr>
                  <w:tcW w:w="1027" w:type="dxa"/>
                  <w:vAlign w:val="center"/>
                </w:tcPr>
                <w:p>
                  <w:pPr>
                    <w:widowControl/>
                    <w:jc w:val="center"/>
                    <w:rPr>
                      <w:b/>
                      <w:color w:val="auto"/>
                      <w:kern w:val="0"/>
                      <w:sz w:val="21"/>
                      <w:szCs w:val="21"/>
                    </w:rPr>
                  </w:pPr>
                  <w:r>
                    <w:rPr>
                      <w:b/>
                      <w:color w:val="auto"/>
                      <w:kern w:val="0"/>
                      <w:sz w:val="21"/>
                      <w:szCs w:val="21"/>
                    </w:rPr>
                    <w:t>单位</w:t>
                  </w:r>
                </w:p>
              </w:tc>
              <w:tc>
                <w:tcPr>
                  <w:tcW w:w="1798" w:type="dxa"/>
                  <w:vAlign w:val="center"/>
                </w:tcPr>
                <w:p>
                  <w:pPr>
                    <w:widowControl/>
                    <w:jc w:val="center"/>
                    <w:rPr>
                      <w:b/>
                      <w:color w:val="auto"/>
                      <w:kern w:val="0"/>
                      <w:sz w:val="21"/>
                      <w:szCs w:val="21"/>
                    </w:rPr>
                  </w:pPr>
                  <w:r>
                    <w:rPr>
                      <w:b/>
                      <w:color w:val="auto"/>
                      <w:kern w:val="0"/>
                      <w:sz w:val="21"/>
                      <w:szCs w:val="21"/>
                    </w:rPr>
                    <w:t>数值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7" w:type="dxa"/>
                  <w:vMerge w:val="restart"/>
                  <w:vAlign w:val="center"/>
                </w:tcPr>
                <w:p>
                  <w:pPr>
                    <w:widowControl/>
                    <w:jc w:val="center"/>
                    <w:rPr>
                      <w:color w:val="auto"/>
                      <w:kern w:val="0"/>
                      <w:sz w:val="21"/>
                      <w:szCs w:val="21"/>
                    </w:rPr>
                  </w:pPr>
                  <w:r>
                    <w:rPr>
                      <w:color w:val="auto"/>
                      <w:kern w:val="0"/>
                      <w:sz w:val="21"/>
                      <w:szCs w:val="21"/>
                    </w:rPr>
                    <w:t>降水量</w:t>
                  </w:r>
                </w:p>
              </w:tc>
              <w:tc>
                <w:tcPr>
                  <w:tcW w:w="4538" w:type="dxa"/>
                  <w:vAlign w:val="center"/>
                </w:tcPr>
                <w:p>
                  <w:pPr>
                    <w:widowControl/>
                    <w:jc w:val="center"/>
                    <w:rPr>
                      <w:color w:val="auto"/>
                      <w:kern w:val="0"/>
                      <w:sz w:val="21"/>
                      <w:szCs w:val="21"/>
                    </w:rPr>
                  </w:pPr>
                  <w:r>
                    <w:rPr>
                      <w:color w:val="auto"/>
                      <w:kern w:val="0"/>
                      <w:sz w:val="21"/>
                      <w:szCs w:val="21"/>
                    </w:rPr>
                    <w:t>多年平均</w:t>
                  </w:r>
                </w:p>
              </w:tc>
              <w:tc>
                <w:tcPr>
                  <w:tcW w:w="1027" w:type="dxa"/>
                  <w:vAlign w:val="center"/>
                </w:tcPr>
                <w:p>
                  <w:pPr>
                    <w:widowControl/>
                    <w:jc w:val="center"/>
                    <w:rPr>
                      <w:color w:val="auto"/>
                      <w:kern w:val="0"/>
                      <w:sz w:val="21"/>
                      <w:szCs w:val="21"/>
                    </w:rPr>
                  </w:pPr>
                  <w:r>
                    <w:rPr>
                      <w:color w:val="auto"/>
                      <w:kern w:val="0"/>
                      <w:sz w:val="21"/>
                      <w:szCs w:val="21"/>
                    </w:rPr>
                    <w:t>mm</w:t>
                  </w:r>
                </w:p>
              </w:tc>
              <w:tc>
                <w:tcPr>
                  <w:tcW w:w="1798" w:type="dxa"/>
                  <w:vAlign w:val="center"/>
                </w:tcPr>
                <w:p>
                  <w:pPr>
                    <w:widowControl/>
                    <w:jc w:val="center"/>
                    <w:rPr>
                      <w:rFonts w:hint="eastAsia" w:eastAsia="宋体"/>
                      <w:color w:val="auto"/>
                      <w:kern w:val="0"/>
                      <w:sz w:val="21"/>
                      <w:szCs w:val="21"/>
                      <w:lang w:eastAsia="zh-CN"/>
                    </w:rPr>
                  </w:pPr>
                  <w:r>
                    <w:rPr>
                      <w:rFonts w:hint="eastAsia"/>
                      <w:color w:val="auto"/>
                      <w:kern w:val="0"/>
                      <w:sz w:val="21"/>
                      <w:szCs w:val="21"/>
                      <w:lang w:val="en-US" w:eastAsia="zh-CN"/>
                    </w:rPr>
                    <w:t>1008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7" w:type="dxa"/>
                  <w:vMerge w:val="continue"/>
                  <w:vAlign w:val="center"/>
                </w:tcPr>
                <w:p>
                  <w:pPr>
                    <w:widowControl/>
                    <w:jc w:val="left"/>
                    <w:rPr>
                      <w:color w:val="auto"/>
                      <w:kern w:val="0"/>
                      <w:sz w:val="21"/>
                      <w:szCs w:val="21"/>
                    </w:rPr>
                  </w:pPr>
                </w:p>
              </w:tc>
              <w:tc>
                <w:tcPr>
                  <w:tcW w:w="4538" w:type="dxa"/>
                  <w:vAlign w:val="center"/>
                </w:tcPr>
                <w:p>
                  <w:pPr>
                    <w:widowControl/>
                    <w:jc w:val="center"/>
                    <w:rPr>
                      <w:rFonts w:hint="eastAsia" w:eastAsia="宋体"/>
                      <w:color w:val="auto"/>
                      <w:kern w:val="0"/>
                      <w:sz w:val="21"/>
                      <w:szCs w:val="21"/>
                      <w:lang w:eastAsia="zh-CN"/>
                    </w:rPr>
                  </w:pPr>
                  <w:r>
                    <w:rPr>
                      <w:rFonts w:hint="eastAsia"/>
                      <w:color w:val="auto"/>
                      <w:kern w:val="0"/>
                      <w:sz w:val="21"/>
                      <w:szCs w:val="21"/>
                      <w:lang w:eastAsia="zh-CN"/>
                    </w:rPr>
                    <w:t>相对湿度</w:t>
                  </w:r>
                </w:p>
              </w:tc>
              <w:tc>
                <w:tcPr>
                  <w:tcW w:w="1027" w:type="dxa"/>
                  <w:vAlign w:val="center"/>
                </w:tcPr>
                <w:p>
                  <w:pPr>
                    <w:widowControl/>
                    <w:jc w:val="center"/>
                    <w:rPr>
                      <w:rFonts w:hint="eastAsia" w:eastAsia="宋体"/>
                      <w:color w:val="auto"/>
                      <w:kern w:val="0"/>
                      <w:sz w:val="21"/>
                      <w:szCs w:val="21"/>
                      <w:lang w:eastAsia="zh-CN"/>
                    </w:rPr>
                  </w:pPr>
                  <w:r>
                    <w:rPr>
                      <w:rFonts w:hint="eastAsia"/>
                      <w:color w:val="auto"/>
                      <w:kern w:val="0"/>
                      <w:sz w:val="21"/>
                      <w:szCs w:val="21"/>
                      <w:lang w:val="en-US" w:eastAsia="zh-CN"/>
                    </w:rPr>
                    <w:t>%</w:t>
                  </w:r>
                </w:p>
              </w:tc>
              <w:tc>
                <w:tcPr>
                  <w:tcW w:w="1798" w:type="dxa"/>
                  <w:vAlign w:val="center"/>
                </w:tcPr>
                <w:p>
                  <w:pPr>
                    <w:widowControl/>
                    <w:jc w:val="center"/>
                    <w:rPr>
                      <w:rFonts w:hint="eastAsia" w:eastAsia="宋体"/>
                      <w:color w:val="auto"/>
                      <w:kern w:val="0"/>
                      <w:sz w:val="21"/>
                      <w:szCs w:val="21"/>
                      <w:lang w:eastAsia="zh-CN"/>
                    </w:rPr>
                  </w:pPr>
                  <w:r>
                    <w:rPr>
                      <w:rFonts w:hint="eastAsia"/>
                      <w:color w:val="auto"/>
                      <w:kern w:val="0"/>
                      <w:sz w:val="21"/>
                      <w:szCs w:val="21"/>
                      <w:lang w:val="en-US" w:eastAsia="zh-CN"/>
                    </w:rPr>
                    <w:t>70%-80%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7" w:type="dxa"/>
                  <w:vMerge w:val="restart"/>
                  <w:vAlign w:val="center"/>
                </w:tcPr>
                <w:p>
                  <w:pPr>
                    <w:widowControl/>
                    <w:jc w:val="center"/>
                    <w:rPr>
                      <w:color w:val="auto"/>
                      <w:kern w:val="0"/>
                      <w:sz w:val="21"/>
                      <w:szCs w:val="21"/>
                    </w:rPr>
                  </w:pPr>
                  <w:r>
                    <w:rPr>
                      <w:color w:val="auto"/>
                      <w:kern w:val="0"/>
                      <w:sz w:val="21"/>
                      <w:szCs w:val="21"/>
                    </w:rPr>
                    <w:t>气温</w:t>
                  </w:r>
                </w:p>
              </w:tc>
              <w:tc>
                <w:tcPr>
                  <w:tcW w:w="4538" w:type="dxa"/>
                  <w:vAlign w:val="center"/>
                </w:tcPr>
                <w:p>
                  <w:pPr>
                    <w:widowControl/>
                    <w:jc w:val="center"/>
                    <w:rPr>
                      <w:color w:val="auto"/>
                      <w:kern w:val="0"/>
                      <w:sz w:val="21"/>
                      <w:szCs w:val="21"/>
                    </w:rPr>
                  </w:pPr>
                  <w:r>
                    <w:rPr>
                      <w:color w:val="auto"/>
                      <w:kern w:val="0"/>
                      <w:sz w:val="21"/>
                      <w:szCs w:val="21"/>
                    </w:rPr>
                    <w:t>年平均</w:t>
                  </w:r>
                </w:p>
              </w:tc>
              <w:tc>
                <w:tcPr>
                  <w:tcW w:w="1027" w:type="dxa"/>
                  <w:vAlign w:val="center"/>
                </w:tcPr>
                <w:p>
                  <w:pPr>
                    <w:widowControl/>
                    <w:jc w:val="center"/>
                    <w:rPr>
                      <w:color w:val="auto"/>
                      <w:kern w:val="0"/>
                      <w:sz w:val="21"/>
                      <w:szCs w:val="21"/>
                    </w:rPr>
                  </w:pPr>
                  <w:r>
                    <w:rPr>
                      <w:rFonts w:hint="eastAsia" w:ascii="宋体" w:hAnsi="宋体" w:cs="宋体"/>
                      <w:color w:val="auto"/>
                      <w:kern w:val="0"/>
                      <w:sz w:val="21"/>
                      <w:szCs w:val="21"/>
                    </w:rPr>
                    <w:t>℃</w:t>
                  </w:r>
                </w:p>
              </w:tc>
              <w:tc>
                <w:tcPr>
                  <w:tcW w:w="1798" w:type="dxa"/>
                  <w:vAlign w:val="center"/>
                </w:tcPr>
                <w:p>
                  <w:pPr>
                    <w:widowControl/>
                    <w:jc w:val="center"/>
                    <w:rPr>
                      <w:rFonts w:hint="eastAsia" w:eastAsia="宋体"/>
                      <w:color w:val="auto"/>
                      <w:kern w:val="0"/>
                      <w:sz w:val="21"/>
                      <w:szCs w:val="21"/>
                      <w:lang w:eastAsia="zh-CN"/>
                    </w:rPr>
                  </w:pPr>
                  <w:r>
                    <w:rPr>
                      <w:rFonts w:hint="eastAsia"/>
                      <w:color w:val="auto"/>
                      <w:kern w:val="0"/>
                      <w:sz w:val="21"/>
                      <w:szCs w:val="21"/>
                      <w:lang w:val="en-US" w:eastAsia="zh-CN"/>
                    </w:rPr>
                    <w:t>16.1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7" w:type="dxa"/>
                  <w:vMerge w:val="continue"/>
                  <w:vAlign w:val="center"/>
                </w:tcPr>
                <w:p>
                  <w:pPr>
                    <w:widowControl/>
                    <w:jc w:val="left"/>
                    <w:rPr>
                      <w:color w:val="auto"/>
                      <w:kern w:val="0"/>
                      <w:sz w:val="21"/>
                      <w:szCs w:val="21"/>
                    </w:rPr>
                  </w:pPr>
                </w:p>
              </w:tc>
              <w:tc>
                <w:tcPr>
                  <w:tcW w:w="4538" w:type="dxa"/>
                  <w:vAlign w:val="center"/>
                </w:tcPr>
                <w:p>
                  <w:pPr>
                    <w:widowControl/>
                    <w:jc w:val="center"/>
                    <w:rPr>
                      <w:color w:val="auto"/>
                      <w:kern w:val="0"/>
                      <w:sz w:val="21"/>
                      <w:szCs w:val="21"/>
                    </w:rPr>
                  </w:pPr>
                  <w:r>
                    <w:rPr>
                      <w:color w:val="auto"/>
                      <w:kern w:val="0"/>
                      <w:sz w:val="21"/>
                      <w:szCs w:val="21"/>
                    </w:rPr>
                    <w:t>日极端最高</w:t>
                  </w:r>
                </w:p>
              </w:tc>
              <w:tc>
                <w:tcPr>
                  <w:tcW w:w="1027" w:type="dxa"/>
                  <w:vAlign w:val="center"/>
                </w:tcPr>
                <w:p>
                  <w:pPr>
                    <w:widowControl/>
                    <w:jc w:val="center"/>
                    <w:rPr>
                      <w:color w:val="auto"/>
                      <w:kern w:val="0"/>
                      <w:sz w:val="21"/>
                      <w:szCs w:val="21"/>
                    </w:rPr>
                  </w:pPr>
                  <w:r>
                    <w:rPr>
                      <w:rFonts w:hint="eastAsia" w:ascii="宋体" w:hAnsi="宋体" w:cs="宋体"/>
                      <w:color w:val="auto"/>
                      <w:kern w:val="0"/>
                      <w:sz w:val="21"/>
                      <w:szCs w:val="21"/>
                    </w:rPr>
                    <w:t>℃</w:t>
                  </w:r>
                </w:p>
              </w:tc>
              <w:tc>
                <w:tcPr>
                  <w:tcW w:w="1798" w:type="dxa"/>
                  <w:vAlign w:val="center"/>
                </w:tcPr>
                <w:p>
                  <w:pPr>
                    <w:widowControl/>
                    <w:jc w:val="center"/>
                    <w:rPr>
                      <w:rFonts w:hint="eastAsia" w:eastAsia="宋体"/>
                      <w:color w:val="auto"/>
                      <w:kern w:val="0"/>
                      <w:sz w:val="21"/>
                      <w:szCs w:val="21"/>
                      <w:lang w:eastAsia="zh-CN"/>
                    </w:rPr>
                  </w:pPr>
                  <w:r>
                    <w:rPr>
                      <w:rFonts w:hint="eastAsia"/>
                      <w:color w:val="auto"/>
                      <w:kern w:val="0"/>
                      <w:sz w:val="21"/>
                      <w:szCs w:val="21"/>
                      <w:lang w:val="en-US" w:eastAsia="zh-CN"/>
                    </w:rPr>
                    <w:t>33.4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7" w:type="dxa"/>
                  <w:vMerge w:val="continue"/>
                  <w:vAlign w:val="center"/>
                </w:tcPr>
                <w:p>
                  <w:pPr>
                    <w:widowControl/>
                    <w:jc w:val="left"/>
                    <w:rPr>
                      <w:color w:val="auto"/>
                      <w:kern w:val="0"/>
                      <w:sz w:val="21"/>
                      <w:szCs w:val="21"/>
                    </w:rPr>
                  </w:pPr>
                </w:p>
              </w:tc>
              <w:tc>
                <w:tcPr>
                  <w:tcW w:w="4538" w:type="dxa"/>
                  <w:vAlign w:val="center"/>
                </w:tcPr>
                <w:p>
                  <w:pPr>
                    <w:widowControl/>
                    <w:jc w:val="center"/>
                    <w:rPr>
                      <w:color w:val="auto"/>
                      <w:kern w:val="0"/>
                      <w:sz w:val="21"/>
                      <w:szCs w:val="21"/>
                    </w:rPr>
                  </w:pPr>
                  <w:r>
                    <w:rPr>
                      <w:color w:val="auto"/>
                      <w:kern w:val="0"/>
                      <w:sz w:val="21"/>
                      <w:szCs w:val="21"/>
                    </w:rPr>
                    <w:t>日极端最低</w:t>
                  </w:r>
                </w:p>
              </w:tc>
              <w:tc>
                <w:tcPr>
                  <w:tcW w:w="1027" w:type="dxa"/>
                  <w:vAlign w:val="center"/>
                </w:tcPr>
                <w:p>
                  <w:pPr>
                    <w:widowControl/>
                    <w:jc w:val="center"/>
                    <w:rPr>
                      <w:color w:val="auto"/>
                      <w:kern w:val="0"/>
                      <w:sz w:val="21"/>
                      <w:szCs w:val="21"/>
                    </w:rPr>
                  </w:pPr>
                  <w:r>
                    <w:rPr>
                      <w:rFonts w:hint="eastAsia" w:ascii="宋体" w:hAnsi="宋体" w:cs="宋体"/>
                      <w:color w:val="auto"/>
                      <w:kern w:val="0"/>
                      <w:sz w:val="21"/>
                      <w:szCs w:val="21"/>
                    </w:rPr>
                    <w:t>℃</w:t>
                  </w:r>
                </w:p>
              </w:tc>
              <w:tc>
                <w:tcPr>
                  <w:tcW w:w="1798" w:type="dxa"/>
                  <w:vAlign w:val="center"/>
                </w:tcPr>
                <w:p>
                  <w:pPr>
                    <w:widowControl/>
                    <w:jc w:val="center"/>
                    <w:rPr>
                      <w:color w:val="auto"/>
                      <w:kern w:val="0"/>
                      <w:sz w:val="21"/>
                      <w:szCs w:val="21"/>
                    </w:rPr>
                  </w:pPr>
                  <w:r>
                    <w:rPr>
                      <w:color w:val="auto"/>
                      <w:kern w:val="0"/>
                      <w:sz w:val="21"/>
                      <w:szCs w:val="21"/>
                    </w:rPr>
                    <w:t>-</w:t>
                  </w:r>
                  <w:r>
                    <w:rPr>
                      <w:rFonts w:hint="eastAsia"/>
                      <w:color w:val="auto"/>
                      <w:kern w:val="0"/>
                      <w:sz w:val="21"/>
                      <w:szCs w:val="21"/>
                      <w:lang w:val="en-US" w:eastAsia="zh-CN"/>
                    </w:rPr>
                    <w:t>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5" w:type="dxa"/>
                  <w:gridSpan w:val="2"/>
                  <w:vAlign w:val="center"/>
                </w:tcPr>
                <w:p>
                  <w:pPr>
                    <w:widowControl/>
                    <w:jc w:val="center"/>
                    <w:rPr>
                      <w:rFonts w:hint="eastAsia" w:eastAsia="宋体"/>
                      <w:color w:val="auto"/>
                      <w:kern w:val="0"/>
                      <w:sz w:val="21"/>
                      <w:szCs w:val="21"/>
                      <w:lang w:eastAsia="zh-CN"/>
                    </w:rPr>
                  </w:pPr>
                  <w:r>
                    <w:rPr>
                      <w:rFonts w:hint="eastAsia"/>
                      <w:color w:val="auto"/>
                      <w:kern w:val="0"/>
                      <w:sz w:val="21"/>
                      <w:szCs w:val="21"/>
                      <w:lang w:eastAsia="zh-CN"/>
                    </w:rPr>
                    <w:t>多年平均蒸发量</w:t>
                  </w:r>
                </w:p>
              </w:tc>
              <w:tc>
                <w:tcPr>
                  <w:tcW w:w="1027" w:type="dxa"/>
                  <w:vAlign w:val="center"/>
                </w:tcPr>
                <w:p>
                  <w:pPr>
                    <w:widowControl/>
                    <w:jc w:val="center"/>
                    <w:rPr>
                      <w:rFonts w:hint="eastAsia" w:ascii="宋体" w:hAnsi="宋体" w:cs="宋体"/>
                      <w:color w:val="auto"/>
                      <w:kern w:val="0"/>
                      <w:sz w:val="21"/>
                      <w:szCs w:val="21"/>
                    </w:rPr>
                  </w:pPr>
                  <w:r>
                    <w:rPr>
                      <w:color w:val="auto"/>
                      <w:kern w:val="0"/>
                      <w:sz w:val="21"/>
                      <w:szCs w:val="21"/>
                    </w:rPr>
                    <w:t>mm</w:t>
                  </w:r>
                </w:p>
              </w:tc>
              <w:tc>
                <w:tcPr>
                  <w:tcW w:w="1798" w:type="dxa"/>
                  <w:vAlign w:val="center"/>
                </w:tcPr>
                <w:p>
                  <w:pPr>
                    <w:widowControl/>
                    <w:jc w:val="center"/>
                    <w:rPr>
                      <w:rFonts w:hint="eastAsia"/>
                      <w:color w:val="auto"/>
                      <w:kern w:val="0"/>
                      <w:sz w:val="21"/>
                      <w:szCs w:val="21"/>
                      <w:lang w:val="en-US" w:eastAsia="zh-CN"/>
                    </w:rPr>
                  </w:pPr>
                  <w:r>
                    <w:rPr>
                      <w:rFonts w:hint="eastAsia"/>
                      <w:color w:val="auto"/>
                      <w:kern w:val="0"/>
                      <w:sz w:val="21"/>
                      <w:szCs w:val="21"/>
                      <w:lang w:val="en-US" w:eastAsia="zh-CN"/>
                    </w:rPr>
                    <w:t>1948.50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5" w:type="dxa"/>
                  <w:gridSpan w:val="2"/>
                  <w:vAlign w:val="center"/>
                </w:tcPr>
                <w:p>
                  <w:pPr>
                    <w:widowControl/>
                    <w:jc w:val="center"/>
                    <w:rPr>
                      <w:color w:val="auto"/>
                      <w:kern w:val="0"/>
                      <w:sz w:val="21"/>
                      <w:szCs w:val="21"/>
                    </w:rPr>
                  </w:pPr>
                  <w:r>
                    <w:rPr>
                      <w:color w:val="auto"/>
                      <w:kern w:val="0"/>
                      <w:sz w:val="21"/>
                      <w:szCs w:val="21"/>
                    </w:rPr>
                    <w:t>≥10</w:t>
                  </w:r>
                  <w:r>
                    <w:rPr>
                      <w:rFonts w:hint="eastAsia" w:ascii="宋体" w:hAnsi="宋体" w:cs="宋体"/>
                      <w:color w:val="auto"/>
                      <w:kern w:val="0"/>
                      <w:sz w:val="21"/>
                      <w:szCs w:val="21"/>
                    </w:rPr>
                    <w:t>℃</w:t>
                  </w:r>
                  <w:r>
                    <w:rPr>
                      <w:color w:val="auto"/>
                      <w:kern w:val="0"/>
                      <w:sz w:val="21"/>
                      <w:szCs w:val="21"/>
                    </w:rPr>
                    <w:t>有效积温</w:t>
                  </w:r>
                </w:p>
              </w:tc>
              <w:tc>
                <w:tcPr>
                  <w:tcW w:w="1027" w:type="dxa"/>
                  <w:vAlign w:val="center"/>
                </w:tcPr>
                <w:p>
                  <w:pPr>
                    <w:widowControl/>
                    <w:jc w:val="center"/>
                    <w:rPr>
                      <w:color w:val="auto"/>
                      <w:kern w:val="0"/>
                      <w:sz w:val="21"/>
                      <w:szCs w:val="21"/>
                    </w:rPr>
                  </w:pPr>
                  <w:r>
                    <w:rPr>
                      <w:rFonts w:hint="eastAsia" w:ascii="宋体" w:hAnsi="宋体" w:cs="宋体"/>
                      <w:color w:val="auto"/>
                      <w:kern w:val="0"/>
                      <w:sz w:val="21"/>
                      <w:szCs w:val="21"/>
                    </w:rPr>
                    <w:t>℃</w:t>
                  </w:r>
                </w:p>
              </w:tc>
              <w:tc>
                <w:tcPr>
                  <w:tcW w:w="1798" w:type="dxa"/>
                  <w:vAlign w:val="center"/>
                </w:tcPr>
                <w:p>
                  <w:pPr>
                    <w:widowControl/>
                    <w:jc w:val="center"/>
                    <w:rPr>
                      <w:rFonts w:hint="eastAsia" w:eastAsia="宋体"/>
                      <w:color w:val="auto"/>
                      <w:kern w:val="0"/>
                      <w:sz w:val="21"/>
                      <w:szCs w:val="21"/>
                      <w:lang w:eastAsia="zh-CN"/>
                    </w:rPr>
                  </w:pPr>
                  <w:r>
                    <w:rPr>
                      <w:rFonts w:hint="eastAsia"/>
                      <w:color w:val="auto"/>
                      <w:kern w:val="0"/>
                      <w:sz w:val="21"/>
                      <w:szCs w:val="21"/>
                      <w:lang w:val="en-US" w:eastAsia="zh-CN"/>
                    </w:rPr>
                    <w:t>2500-6500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5" w:type="dxa"/>
                  <w:gridSpan w:val="2"/>
                  <w:vAlign w:val="center"/>
                </w:tcPr>
                <w:p>
                  <w:pPr>
                    <w:widowControl/>
                    <w:jc w:val="center"/>
                    <w:rPr>
                      <w:color w:val="auto"/>
                      <w:kern w:val="0"/>
                      <w:sz w:val="21"/>
                      <w:szCs w:val="21"/>
                    </w:rPr>
                  </w:pPr>
                  <w:r>
                    <w:rPr>
                      <w:color w:val="auto"/>
                      <w:kern w:val="0"/>
                      <w:sz w:val="21"/>
                      <w:szCs w:val="21"/>
                    </w:rPr>
                    <w:t>无霜期</w:t>
                  </w:r>
                </w:p>
              </w:tc>
              <w:tc>
                <w:tcPr>
                  <w:tcW w:w="1027" w:type="dxa"/>
                  <w:vAlign w:val="center"/>
                </w:tcPr>
                <w:p>
                  <w:pPr>
                    <w:widowControl/>
                    <w:jc w:val="center"/>
                    <w:rPr>
                      <w:color w:val="auto"/>
                      <w:kern w:val="0"/>
                      <w:sz w:val="21"/>
                      <w:szCs w:val="21"/>
                    </w:rPr>
                  </w:pPr>
                  <w:r>
                    <w:rPr>
                      <w:color w:val="auto"/>
                      <w:kern w:val="0"/>
                      <w:sz w:val="21"/>
                      <w:szCs w:val="21"/>
                    </w:rPr>
                    <w:t>天</w:t>
                  </w:r>
                </w:p>
              </w:tc>
              <w:tc>
                <w:tcPr>
                  <w:tcW w:w="1798" w:type="dxa"/>
                  <w:vAlign w:val="center"/>
                </w:tcPr>
                <w:p>
                  <w:pPr>
                    <w:widowControl/>
                    <w:jc w:val="center"/>
                    <w:rPr>
                      <w:rFonts w:hint="eastAsia" w:eastAsia="宋体"/>
                      <w:color w:val="auto"/>
                      <w:kern w:val="0"/>
                      <w:sz w:val="21"/>
                      <w:szCs w:val="21"/>
                      <w:lang w:eastAsia="zh-CN"/>
                    </w:rPr>
                  </w:pPr>
                  <w:r>
                    <w:rPr>
                      <w:rFonts w:hint="eastAsia"/>
                      <w:color w:val="auto"/>
                      <w:kern w:val="0"/>
                      <w:sz w:val="21"/>
                      <w:szCs w:val="21"/>
                      <w:lang w:val="en-US" w:eastAsia="zh-CN"/>
                    </w:rPr>
                    <w:t>250-320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5" w:type="dxa"/>
                  <w:gridSpan w:val="2"/>
                  <w:vAlign w:val="center"/>
                </w:tcPr>
                <w:p>
                  <w:pPr>
                    <w:widowControl/>
                    <w:jc w:val="center"/>
                    <w:rPr>
                      <w:color w:val="auto"/>
                      <w:kern w:val="0"/>
                      <w:sz w:val="21"/>
                      <w:szCs w:val="21"/>
                    </w:rPr>
                  </w:pPr>
                  <w:r>
                    <w:rPr>
                      <w:color w:val="auto"/>
                      <w:kern w:val="0"/>
                      <w:sz w:val="21"/>
                      <w:szCs w:val="21"/>
                    </w:rPr>
                    <w:t>多年平均风速</w:t>
                  </w:r>
                </w:p>
              </w:tc>
              <w:tc>
                <w:tcPr>
                  <w:tcW w:w="1027" w:type="dxa"/>
                  <w:vAlign w:val="center"/>
                </w:tcPr>
                <w:p>
                  <w:pPr>
                    <w:widowControl/>
                    <w:jc w:val="center"/>
                    <w:rPr>
                      <w:color w:val="auto"/>
                      <w:kern w:val="0"/>
                      <w:sz w:val="21"/>
                      <w:szCs w:val="21"/>
                    </w:rPr>
                  </w:pPr>
                  <w:r>
                    <w:rPr>
                      <w:color w:val="auto"/>
                      <w:kern w:val="0"/>
                      <w:sz w:val="21"/>
                      <w:szCs w:val="21"/>
                    </w:rPr>
                    <w:t>m/s</w:t>
                  </w:r>
                </w:p>
              </w:tc>
              <w:tc>
                <w:tcPr>
                  <w:tcW w:w="1798" w:type="dxa"/>
                  <w:vAlign w:val="center"/>
                </w:tcPr>
                <w:p>
                  <w:pPr>
                    <w:widowControl/>
                    <w:jc w:val="center"/>
                    <w:rPr>
                      <w:rFonts w:hint="eastAsia" w:eastAsia="宋体"/>
                      <w:color w:val="auto"/>
                      <w:kern w:val="0"/>
                      <w:sz w:val="21"/>
                      <w:szCs w:val="21"/>
                      <w:lang w:eastAsia="zh-CN"/>
                    </w:rPr>
                  </w:pPr>
                  <w:r>
                    <w:rPr>
                      <w:rFonts w:hint="eastAsia"/>
                      <w:color w:val="auto"/>
                      <w:kern w:val="0"/>
                      <w:sz w:val="21"/>
                      <w:szCs w:val="21"/>
                      <w:lang w:val="en-US" w:eastAsia="zh-CN"/>
                    </w:rPr>
                    <w:t>3.10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5" w:type="dxa"/>
                  <w:gridSpan w:val="2"/>
                  <w:vAlign w:val="center"/>
                </w:tcPr>
                <w:p>
                  <w:pPr>
                    <w:widowControl/>
                    <w:jc w:val="center"/>
                    <w:rPr>
                      <w:color w:val="auto"/>
                      <w:kern w:val="0"/>
                      <w:sz w:val="21"/>
                      <w:szCs w:val="21"/>
                    </w:rPr>
                  </w:pPr>
                  <w:r>
                    <w:rPr>
                      <w:color w:val="auto"/>
                      <w:kern w:val="0"/>
                      <w:sz w:val="21"/>
                      <w:szCs w:val="21"/>
                    </w:rPr>
                    <w:t>最大风速</w:t>
                  </w:r>
                </w:p>
              </w:tc>
              <w:tc>
                <w:tcPr>
                  <w:tcW w:w="1027" w:type="dxa"/>
                  <w:vAlign w:val="center"/>
                </w:tcPr>
                <w:p>
                  <w:pPr>
                    <w:widowControl/>
                    <w:jc w:val="center"/>
                    <w:rPr>
                      <w:color w:val="auto"/>
                      <w:kern w:val="0"/>
                      <w:sz w:val="21"/>
                      <w:szCs w:val="21"/>
                    </w:rPr>
                  </w:pPr>
                  <w:r>
                    <w:rPr>
                      <w:color w:val="auto"/>
                      <w:kern w:val="0"/>
                      <w:sz w:val="21"/>
                      <w:szCs w:val="21"/>
                    </w:rPr>
                    <w:t>m/s</w:t>
                  </w:r>
                </w:p>
              </w:tc>
              <w:tc>
                <w:tcPr>
                  <w:tcW w:w="1798" w:type="dxa"/>
                  <w:vAlign w:val="center"/>
                </w:tcPr>
                <w:p>
                  <w:pPr>
                    <w:widowControl/>
                    <w:jc w:val="center"/>
                    <w:rPr>
                      <w:color w:val="auto"/>
                      <w:kern w:val="0"/>
                      <w:sz w:val="21"/>
                      <w:szCs w:val="21"/>
                    </w:rPr>
                  </w:pPr>
                  <w:r>
                    <w:rPr>
                      <w:rFonts w:hint="eastAsia"/>
                      <w:color w:val="auto"/>
                      <w:kern w:val="0"/>
                      <w:sz w:val="21"/>
                      <w:szCs w:val="21"/>
                      <w:lang w:val="en-US" w:eastAsia="zh-CN"/>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5" w:type="dxa"/>
                  <w:gridSpan w:val="2"/>
                  <w:vAlign w:val="center"/>
                </w:tcPr>
                <w:p>
                  <w:pPr>
                    <w:widowControl/>
                    <w:jc w:val="center"/>
                    <w:rPr>
                      <w:color w:val="auto"/>
                      <w:kern w:val="0"/>
                      <w:sz w:val="21"/>
                      <w:szCs w:val="21"/>
                    </w:rPr>
                  </w:pPr>
                  <w:r>
                    <w:rPr>
                      <w:color w:val="auto"/>
                      <w:kern w:val="0"/>
                      <w:sz w:val="21"/>
                      <w:szCs w:val="21"/>
                    </w:rPr>
                    <w:t>主导风向</w:t>
                  </w:r>
                </w:p>
              </w:tc>
              <w:tc>
                <w:tcPr>
                  <w:tcW w:w="1027" w:type="dxa"/>
                  <w:vAlign w:val="center"/>
                </w:tcPr>
                <w:p>
                  <w:pPr>
                    <w:widowControl/>
                    <w:jc w:val="left"/>
                    <w:rPr>
                      <w:color w:val="auto"/>
                      <w:kern w:val="0"/>
                      <w:sz w:val="21"/>
                      <w:szCs w:val="21"/>
                    </w:rPr>
                  </w:pPr>
                  <w:r>
                    <w:rPr>
                      <w:color w:val="auto"/>
                      <w:kern w:val="0"/>
                      <w:sz w:val="21"/>
                      <w:szCs w:val="21"/>
                    </w:rPr>
                    <w:t>　</w:t>
                  </w:r>
                </w:p>
              </w:tc>
              <w:tc>
                <w:tcPr>
                  <w:tcW w:w="1798" w:type="dxa"/>
                  <w:vAlign w:val="center"/>
                </w:tcPr>
                <w:p>
                  <w:pPr>
                    <w:widowControl/>
                    <w:jc w:val="center"/>
                    <w:rPr>
                      <w:color w:val="auto"/>
                      <w:kern w:val="0"/>
                      <w:sz w:val="21"/>
                      <w:szCs w:val="21"/>
                    </w:rPr>
                  </w:pPr>
                  <w:r>
                    <w:rPr>
                      <w:color w:val="auto"/>
                      <w:kern w:val="0"/>
                      <w:sz w:val="21"/>
                      <w:szCs w:val="21"/>
                    </w:rPr>
                    <w:t>南风</w:t>
                  </w:r>
                </w:p>
              </w:tc>
            </w:tr>
          </w:tbl>
          <w:p>
            <w:pPr>
              <w:autoSpaceDE w:val="0"/>
              <w:autoSpaceDN w:val="0"/>
              <w:adjustRightInd w:val="0"/>
              <w:spacing w:line="360" w:lineRule="auto"/>
              <w:ind w:firstLine="482" w:firstLineChars="200"/>
              <w:jc w:val="left"/>
              <w:rPr>
                <w:rFonts w:hAnsi="宋体"/>
                <w:color w:val="auto"/>
                <w:sz w:val="24"/>
              </w:rPr>
            </w:pPr>
            <w:r>
              <w:rPr>
                <w:rFonts w:hint="eastAsia" w:hAnsi="宋体"/>
                <w:b/>
                <w:color w:val="auto"/>
                <w:sz w:val="24"/>
              </w:rPr>
              <w:t>四</w:t>
            </w:r>
            <w:r>
              <w:rPr>
                <w:rFonts w:hAnsi="宋体"/>
                <w:b/>
                <w:color w:val="auto"/>
                <w:sz w:val="24"/>
              </w:rPr>
              <w:t>、水文</w:t>
            </w:r>
          </w:p>
          <w:p>
            <w:pPr>
              <w:spacing w:line="360" w:lineRule="auto"/>
              <w:ind w:firstLine="480" w:firstLineChars="200"/>
              <w:rPr>
                <w:rFonts w:hint="eastAsia" w:ascii="宋体" w:hAnsi="宋体"/>
                <w:color w:val="auto"/>
                <w:sz w:val="24"/>
              </w:rPr>
            </w:pPr>
            <w:r>
              <w:rPr>
                <w:rFonts w:hint="eastAsia" w:ascii="宋体" w:hAnsi="宋体"/>
                <w:color w:val="auto"/>
                <w:sz w:val="24"/>
              </w:rPr>
              <w:t>砚山县</w:t>
            </w:r>
            <w:r>
              <w:rPr>
                <w:rFonts w:ascii="宋体" w:hAnsi="宋体"/>
                <w:color w:val="auto"/>
                <w:sz w:val="24"/>
              </w:rPr>
              <w:t>处于滇东南低纬季风区，水量充沛。境内森林涵水常流不断，地下水出露点较多，水能资源丰富，溪流纵横，水系发达，湖泊库塘星棋罗布。</w:t>
            </w:r>
            <w:r>
              <w:rPr>
                <w:rFonts w:hint="eastAsia" w:ascii="宋体" w:hAnsi="宋体"/>
                <w:color w:val="auto"/>
                <w:sz w:val="24"/>
              </w:rPr>
              <w:t>境内公革河、贵马河、八嘎河、翁达河、稼依河、阿三龙河等6条河流全长224．76km，径流面积3737．98km</w:t>
            </w:r>
            <w:r>
              <w:rPr>
                <w:rFonts w:hint="eastAsia" w:ascii="宋体" w:hAnsi="宋体"/>
                <w:color w:val="auto"/>
                <w:sz w:val="24"/>
                <w:vertAlign w:val="superscript"/>
              </w:rPr>
              <w:t>2</w:t>
            </w:r>
            <w:r>
              <w:rPr>
                <w:rFonts w:hint="eastAsia" w:ascii="宋体" w:hAnsi="宋体"/>
                <w:color w:val="auto"/>
                <w:sz w:val="24"/>
              </w:rPr>
              <w:t>。水能资源蕴藏量2．83万千瓦。</w:t>
            </w:r>
          </w:p>
          <w:p>
            <w:pPr>
              <w:spacing w:line="360" w:lineRule="auto"/>
              <w:ind w:firstLine="480" w:firstLineChars="200"/>
              <w:rPr>
                <w:rFonts w:hint="eastAsia" w:ascii="宋体" w:hAnsi="宋体"/>
                <w:color w:val="auto"/>
                <w:sz w:val="24"/>
              </w:rPr>
            </w:pPr>
            <w:r>
              <w:rPr>
                <w:rFonts w:hint="eastAsia" w:ascii="宋体" w:hAnsi="宋体"/>
                <w:color w:val="auto"/>
                <w:sz w:val="24"/>
              </w:rPr>
              <w:t>六诏山脉纵横县境东南部，砚山地处红河、珠江两流域分水岭，河网密度小。砚山县属珠江流域西江水系面积1548.85平方千米，占41.4%；属红河流域泸江水系面积2189.15平方千米，占58.6%。主要河流有公革河、阿山龙河、八嘎河、稼依河、翁达河、贵马河6条小河，总长：213.9千米，流域面积2769.67平方千米，可灌溉农田耕地551270亩。</w:t>
            </w:r>
          </w:p>
          <w:p>
            <w:pPr>
              <w:spacing w:line="360" w:lineRule="auto"/>
              <w:ind w:firstLine="480" w:firstLineChars="200"/>
              <w:rPr>
                <w:rFonts w:hint="eastAsia" w:ascii="宋体" w:hAnsi="宋体"/>
                <w:color w:val="auto"/>
                <w:sz w:val="24"/>
                <w:lang w:val="en-US" w:eastAsia="zh-CN"/>
              </w:rPr>
            </w:pPr>
            <w:r>
              <w:rPr>
                <w:rFonts w:hint="eastAsia" w:ascii="宋体" w:hAnsi="宋体"/>
                <w:color w:val="auto"/>
                <w:sz w:val="24"/>
                <w:lang w:eastAsia="zh-CN"/>
              </w:rPr>
              <w:t>项目西北侧</w:t>
            </w:r>
            <w:r>
              <w:rPr>
                <w:rFonts w:hint="eastAsia" w:ascii="宋体" w:hAnsi="宋体"/>
                <w:color w:val="auto"/>
                <w:sz w:val="24"/>
                <w:lang w:val="en-US" w:eastAsia="zh-CN"/>
              </w:rPr>
              <w:t>3.6km处为六肥水库，是蚌峨乡境内第一个即将建设投入使用的水库，水库总库容47万立方，坝高26米，水库承担着蚌峨乡蚌峨村委会、上六肥村小组、下六肥村小组一带一万多人的人畜饮水，并承担着下游3000多亩的农田灌溉用水任务。</w:t>
            </w:r>
          </w:p>
          <w:p>
            <w:pPr>
              <w:spacing w:line="360" w:lineRule="auto"/>
              <w:ind w:firstLine="480" w:firstLineChars="200"/>
              <w:rPr>
                <w:rFonts w:hint="eastAsia" w:ascii="宋体" w:hAnsi="宋体" w:eastAsia="宋体"/>
                <w:color w:val="auto"/>
                <w:sz w:val="24"/>
                <w:lang w:eastAsia="zh-CN"/>
              </w:rPr>
            </w:pPr>
            <w:r>
              <w:rPr>
                <w:rFonts w:hint="eastAsia" w:ascii="宋体" w:hAnsi="宋体"/>
                <w:color w:val="auto"/>
                <w:sz w:val="24"/>
                <w:lang w:val="en-US" w:eastAsia="zh-CN"/>
              </w:rPr>
              <w:t>项目东北侧410m处为蚌峨河，蚌峨河从六肥、六掌起，流经南屏、凹掌四个村委会，至凹掌村委会炭打村小组交西畴县西洒镇上果村，全长28公里，河水随着季节性变化较大，</w:t>
            </w:r>
            <w:r>
              <w:rPr>
                <w:rFonts w:hint="eastAsia" w:ascii="宋体" w:hAnsi="宋体"/>
                <w:color w:val="auto"/>
                <w:sz w:val="24"/>
                <w:lang w:eastAsia="zh-CN"/>
              </w:rPr>
              <w:t>主要用作周边农灌。</w:t>
            </w:r>
          </w:p>
          <w:p>
            <w:pPr>
              <w:autoSpaceDE w:val="0"/>
              <w:autoSpaceDN w:val="0"/>
              <w:adjustRightInd w:val="0"/>
              <w:spacing w:line="360" w:lineRule="auto"/>
              <w:ind w:firstLine="561"/>
              <w:jc w:val="left"/>
              <w:rPr>
                <w:rFonts w:hint="eastAsia"/>
                <w:b/>
                <w:color w:val="auto"/>
                <w:sz w:val="24"/>
              </w:rPr>
            </w:pPr>
            <w:r>
              <w:rPr>
                <w:rFonts w:hint="eastAsia" w:hAnsi="宋体"/>
                <w:b/>
                <w:color w:val="auto"/>
                <w:sz w:val="24"/>
              </w:rPr>
              <w:t>五</w:t>
            </w:r>
            <w:r>
              <w:rPr>
                <w:rFonts w:hAnsi="宋体"/>
                <w:b/>
                <w:color w:val="auto"/>
                <w:sz w:val="24"/>
              </w:rPr>
              <w:t>、植被</w:t>
            </w:r>
            <w:r>
              <w:rPr>
                <w:rFonts w:hint="eastAsia" w:hAnsi="宋体"/>
                <w:b/>
                <w:color w:val="auto"/>
                <w:sz w:val="24"/>
              </w:rPr>
              <w:t>及生物</w:t>
            </w:r>
          </w:p>
          <w:p>
            <w:pPr>
              <w:spacing w:line="360" w:lineRule="auto"/>
              <w:ind w:firstLine="480" w:firstLineChars="200"/>
              <w:jc w:val="left"/>
              <w:rPr>
                <w:rFonts w:hint="eastAsia" w:ascii="宋体" w:hAnsi="宋体"/>
                <w:color w:val="auto"/>
                <w:sz w:val="24"/>
              </w:rPr>
            </w:pPr>
            <w:r>
              <w:rPr>
                <w:rFonts w:hint="eastAsia" w:ascii="宋体" w:hAnsi="宋体"/>
                <w:color w:val="auto"/>
                <w:sz w:val="24"/>
              </w:rPr>
              <w:t>砚山县具有复杂多变的地形地貌特征和北亚热带、中亚热带、南温带等立体气候，生物资源丰富。在389种栽培植物中，除三七初步开发了医药、保健类的10多个系列40余种产品和辣椒初步开发6个系列10多个品种外，对100多种中草药材都有待于进行深入开发和综合利用。是名贵中药材三七的原产地，1995年被命名为“中国三七之乡”。</w:t>
            </w:r>
          </w:p>
          <w:p>
            <w:pPr>
              <w:spacing w:line="360" w:lineRule="auto"/>
              <w:ind w:firstLine="480" w:firstLineChars="200"/>
              <w:jc w:val="left"/>
              <w:rPr>
                <w:rFonts w:hint="eastAsia" w:ascii="宋体" w:hAnsi="宋体"/>
                <w:color w:val="auto"/>
                <w:sz w:val="24"/>
                <w:lang w:val="en-US" w:eastAsia="zh-CN"/>
              </w:rPr>
            </w:pPr>
            <w:r>
              <w:rPr>
                <w:rFonts w:hint="eastAsia" w:ascii="宋体" w:hAnsi="宋体"/>
                <w:color w:val="auto"/>
                <w:sz w:val="24"/>
                <w:lang w:val="en-US" w:eastAsia="zh-CN"/>
              </w:rPr>
              <w:t>项目西北、西南坡地处生长着地方性乔木、灌木，植被覆盖率一般，项目东侧、东北侧有旱地，主要种植包谷等农作物。</w:t>
            </w:r>
          </w:p>
          <w:p>
            <w:pPr>
              <w:pStyle w:val="9"/>
              <w:spacing w:line="360" w:lineRule="auto"/>
              <w:ind w:firstLine="474"/>
              <w:rPr>
                <w:rFonts w:ascii="Times New Roman" w:hAnsi="Times New Roman" w:eastAsia="宋体"/>
                <w:b/>
                <w:color w:val="auto"/>
                <w:spacing w:val="-2"/>
                <w:sz w:val="24"/>
              </w:rPr>
            </w:pPr>
            <w:r>
              <w:rPr>
                <w:rFonts w:hint="eastAsia" w:ascii="Times New Roman" w:eastAsia="宋体"/>
                <w:b/>
                <w:color w:val="auto"/>
                <w:spacing w:val="-2"/>
                <w:sz w:val="24"/>
              </w:rPr>
              <w:t>六</w:t>
            </w:r>
            <w:r>
              <w:rPr>
                <w:rFonts w:ascii="Times New Roman" w:eastAsia="宋体"/>
                <w:b/>
                <w:color w:val="auto"/>
                <w:spacing w:val="-2"/>
                <w:sz w:val="24"/>
              </w:rPr>
              <w:t>、项目周边环境现状</w:t>
            </w:r>
          </w:p>
          <w:p>
            <w:pPr>
              <w:spacing w:line="360" w:lineRule="auto"/>
              <w:ind w:firstLine="480" w:firstLineChars="200"/>
              <w:jc w:val="left"/>
              <w:rPr>
                <w:rFonts w:hint="eastAsia" w:ascii="宋体" w:hAnsi="宋体"/>
                <w:color w:val="auto"/>
                <w:sz w:val="24"/>
              </w:rPr>
            </w:pPr>
            <w:r>
              <w:rPr>
                <w:rFonts w:hint="eastAsia" w:ascii="宋体" w:hAnsi="宋体"/>
                <w:color w:val="auto"/>
                <w:sz w:val="24"/>
                <w:lang w:eastAsia="zh-CN"/>
              </w:rPr>
              <w:t>项目位于砚山县蚌峨乡蚌峨新寨，项目东侧靠近乡道者蚌段，北侧</w:t>
            </w:r>
            <w:r>
              <w:rPr>
                <w:rFonts w:hint="eastAsia" w:ascii="宋体" w:hAnsi="宋体"/>
                <w:color w:val="auto"/>
                <w:sz w:val="24"/>
                <w:lang w:val="en-US" w:eastAsia="zh-CN"/>
              </w:rPr>
              <w:t>20m处为私人住户，南侧15m处为私人住户，西南侧25m处为私人住户，西侧15m处为私人住户，东北、东南20m处为私人住户，东侧15m、东北60m处为旱地，主要种植包谷等作物，项目西北侧45m、西南侧50m坡地生长着地方性灌木，植被覆盖率一般，项目东南侧303m处为旱地，主要种植包谷等</w:t>
            </w:r>
            <w:r>
              <w:rPr>
                <w:rFonts w:hint="eastAsia" w:ascii="宋体" w:hAnsi="宋体"/>
                <w:color w:val="auto"/>
                <w:sz w:val="24"/>
              </w:rPr>
              <w:t>。具体见图3项目与周边环境位置关系图，图4周边环境现状图。</w:t>
            </w:r>
          </w:p>
          <w:p>
            <w:pPr>
              <w:spacing w:line="420" w:lineRule="exact"/>
              <w:rPr>
                <w:b/>
                <w:color w:val="auto"/>
                <w:sz w:val="28"/>
              </w:rPr>
            </w:pPr>
          </w:p>
          <w:p>
            <w:pPr>
              <w:spacing w:line="420" w:lineRule="exact"/>
              <w:rPr>
                <w:b/>
                <w:color w:val="auto"/>
                <w:sz w:val="28"/>
              </w:rPr>
            </w:pPr>
          </w:p>
          <w:p>
            <w:pPr>
              <w:spacing w:line="420" w:lineRule="exact"/>
              <w:rPr>
                <w:rFonts w:hint="eastAsia"/>
                <w:b/>
                <w:color w:val="auto"/>
                <w:sz w:val="28"/>
                <w:lang w:eastAsia="zh-CN"/>
              </w:rPr>
            </w:pPr>
          </w:p>
          <w:p>
            <w:pPr>
              <w:spacing w:line="420" w:lineRule="exact"/>
              <w:rPr>
                <w:rFonts w:hint="eastAsia"/>
                <w:b/>
                <w:color w:val="auto"/>
                <w:sz w:val="28"/>
                <w:lang w:eastAsia="zh-CN"/>
              </w:rPr>
            </w:pPr>
          </w:p>
          <w:p>
            <w:pPr>
              <w:spacing w:line="420" w:lineRule="exact"/>
              <w:rPr>
                <w:rFonts w:hint="eastAsia"/>
                <w:b/>
                <w:color w:val="auto"/>
                <w:sz w:val="28"/>
                <w:lang w:eastAsia="zh-CN"/>
              </w:rPr>
            </w:pPr>
          </w:p>
          <w:p>
            <w:pPr>
              <w:spacing w:line="420" w:lineRule="exact"/>
              <w:rPr>
                <w:b/>
                <w:color w:val="auto"/>
                <w:sz w:val="28"/>
              </w:rPr>
            </w:pPr>
          </w:p>
          <w:p>
            <w:pPr>
              <w:spacing w:line="420" w:lineRule="exact"/>
              <w:rPr>
                <w:b/>
                <w:color w:val="auto"/>
                <w:sz w:val="28"/>
              </w:rPr>
            </w:pPr>
          </w:p>
          <w:p>
            <w:pPr>
              <w:spacing w:line="420" w:lineRule="exact"/>
              <w:rPr>
                <w:b/>
                <w:color w:val="auto"/>
                <w:sz w:val="28"/>
              </w:rPr>
            </w:pPr>
          </w:p>
          <w:p>
            <w:pPr>
              <w:spacing w:line="420" w:lineRule="exact"/>
              <w:rPr>
                <w:b/>
                <w:color w:val="auto"/>
                <w:sz w:val="28"/>
              </w:rPr>
            </w:pPr>
          </w:p>
          <w:p>
            <w:pPr>
              <w:spacing w:line="420" w:lineRule="exact"/>
              <w:rPr>
                <w:b/>
                <w:color w:val="auto"/>
                <w:sz w:val="28"/>
              </w:rPr>
            </w:pPr>
          </w:p>
          <w:p>
            <w:pPr>
              <w:spacing w:line="420" w:lineRule="exact"/>
              <w:rPr>
                <w:b/>
                <w:color w:val="auto"/>
                <w:sz w:val="28"/>
              </w:rPr>
            </w:pPr>
          </w:p>
          <w:p>
            <w:pPr>
              <w:spacing w:line="420" w:lineRule="exact"/>
              <w:rPr>
                <w:b/>
                <w:color w:val="auto"/>
                <w:sz w:val="28"/>
              </w:rPr>
            </w:pPr>
          </w:p>
          <w:p>
            <w:pPr>
              <w:spacing w:line="420" w:lineRule="exact"/>
              <w:rPr>
                <w:b/>
                <w:color w:val="auto"/>
                <w:sz w:val="28"/>
              </w:rPr>
            </w:pPr>
          </w:p>
          <w:p>
            <w:pPr>
              <w:spacing w:line="420" w:lineRule="exact"/>
              <w:rPr>
                <w:b/>
                <w:color w:val="auto"/>
                <w:sz w:val="28"/>
              </w:rPr>
            </w:pPr>
          </w:p>
          <w:p>
            <w:pPr>
              <w:spacing w:line="420" w:lineRule="exact"/>
              <w:rPr>
                <w:b/>
                <w:color w:val="auto"/>
                <w:sz w:val="28"/>
              </w:rPr>
            </w:pPr>
            <w:r>
              <w:rPr>
                <w:b/>
                <w:color w:val="auto"/>
                <w:sz w:val="28"/>
              </w:rPr>
              <w:t>社会环境简况（社会经济结构、教育、文化、文物保护等）：</w:t>
            </w:r>
          </w:p>
          <w:p>
            <w:pPr>
              <w:adjustRightInd w:val="0"/>
              <w:spacing w:line="360" w:lineRule="auto"/>
              <w:ind w:firstLine="482" w:firstLineChars="200"/>
              <w:rPr>
                <w:b/>
                <w:color w:val="auto"/>
                <w:sz w:val="24"/>
              </w:rPr>
            </w:pPr>
            <w:r>
              <w:rPr>
                <w:b/>
                <w:color w:val="auto"/>
                <w:sz w:val="24"/>
              </w:rPr>
              <w:t>一、社会经济结构</w:t>
            </w:r>
          </w:p>
          <w:p>
            <w:pPr>
              <w:pStyle w:val="33"/>
              <w:kinsoku w:val="0"/>
              <w:autoSpaceDE/>
              <w:autoSpaceDN/>
              <w:snapToGrid w:val="0"/>
              <w:spacing w:line="360" w:lineRule="auto"/>
              <w:ind w:firstLine="480" w:firstLineChars="200"/>
              <w:rPr>
                <w:color w:val="auto"/>
                <w:sz w:val="24"/>
                <w:szCs w:val="28"/>
              </w:rPr>
            </w:pPr>
            <w:r>
              <w:rPr>
                <w:color w:val="auto"/>
                <w:sz w:val="24"/>
                <w:szCs w:val="28"/>
              </w:rPr>
              <w:t>2015年，砚山县地区生产总值实现100.03亿元，同比增长7%。从三次产业看：一产业增加值22.72亿元，同比增长5.9%；二产业增加值31.25亿元，同比增长2.7%；三产业增加值46.06亿元，同比增长10.9%。三次产业结构由去年的22.4：33.6：44.0调整为22.7：31.3：46.0，三产比重上升2个百分点。</w:t>
            </w:r>
          </w:p>
          <w:p>
            <w:pPr>
              <w:pStyle w:val="33"/>
              <w:kinsoku w:val="0"/>
              <w:autoSpaceDE/>
              <w:autoSpaceDN/>
              <w:snapToGrid w:val="0"/>
              <w:spacing w:line="360" w:lineRule="auto"/>
              <w:ind w:firstLine="480" w:firstLineChars="200"/>
              <w:rPr>
                <w:color w:val="auto"/>
                <w:sz w:val="24"/>
                <w:szCs w:val="28"/>
              </w:rPr>
            </w:pPr>
            <w:r>
              <w:rPr>
                <w:color w:val="auto"/>
                <w:sz w:val="24"/>
                <w:szCs w:val="28"/>
              </w:rPr>
              <w:t>第一产业：全县农作物播种面积213.67万亩，同比增长3.9 %；其中粮豆播种面积103.17万亩，同比增长2.2%；烤烟面积12.69万亩，同比下降12.3%；辣椒面积55.02万亩，同比增4.8%。全年粮豆总产量达26.45万吨，同比增长0.7%；烤烟产量达1805.02万公斤，同比下降4.7%；辣椒产量达6516.75万公斤，同比增长5.7%。全年肥猪出栏65.91万头、肉牛出栏8.16万头，同比分别增长5.5%、7.3%；肉类总产量6.81万吨，同比增长4.6%。全年完成农林牧渔业总产值37.79亿元，同比增长8%；其中畜牧业产值10.86亿元，同比增长4.7%。</w:t>
            </w:r>
          </w:p>
          <w:p>
            <w:pPr>
              <w:pStyle w:val="33"/>
              <w:kinsoku w:val="0"/>
              <w:autoSpaceDE/>
              <w:autoSpaceDN/>
              <w:snapToGrid w:val="0"/>
              <w:spacing w:line="360" w:lineRule="auto"/>
              <w:ind w:firstLine="480" w:firstLineChars="200"/>
              <w:jc w:val="left"/>
              <w:rPr>
                <w:rFonts w:hint="eastAsia"/>
                <w:color w:val="auto"/>
                <w:sz w:val="24"/>
                <w:szCs w:val="24"/>
                <w:lang w:eastAsia="zh-CN"/>
              </w:rPr>
            </w:pPr>
            <w:r>
              <w:rPr>
                <w:color w:val="auto"/>
                <w:sz w:val="24"/>
                <w:szCs w:val="28"/>
              </w:rPr>
              <w:t>第二产业：全县规模以上工业增加值同比下降13%，与1-9月相比降幅收窄3个百分点。分行业看，</w:t>
            </w:r>
            <w:r>
              <w:rPr>
                <w:color w:val="auto"/>
                <w:sz w:val="24"/>
                <w:szCs w:val="24"/>
              </w:rPr>
              <w:t>四大主导行业呈现“一增三降”：水泥行业工业增加值同比增长116.6%，与1-9月相比增幅上升47.7个百分点；辣椒调味品制造行业工业增加值同比下降11.5%，与1-9月相比降幅上升5.1个百分点；电力供应行业工业增加值同比下降30.9%，与1-9月相比降幅上升5.9个百分点；铁合金冶炼行业工业增加值同比下降90.6%，与1-9月相比降幅持平</w:t>
            </w:r>
            <w:r>
              <w:rPr>
                <w:rFonts w:hint="eastAsia"/>
                <w:color w:val="auto"/>
                <w:sz w:val="24"/>
                <w:szCs w:val="24"/>
                <w:lang w:eastAsia="zh-CN"/>
              </w:rPr>
              <w:t>。</w:t>
            </w:r>
          </w:p>
          <w:p>
            <w:pPr>
              <w:widowControl/>
              <w:adjustRightInd w:val="0"/>
              <w:spacing w:line="360" w:lineRule="auto"/>
              <w:ind w:firstLine="480" w:firstLineChars="200"/>
              <w:jc w:val="left"/>
              <w:rPr>
                <w:rFonts w:hint="eastAsia"/>
                <w:color w:val="auto"/>
                <w:sz w:val="24"/>
                <w:szCs w:val="24"/>
                <w:lang w:eastAsia="zh-CN"/>
              </w:rPr>
            </w:pPr>
            <w:r>
              <w:rPr>
                <w:rFonts w:hint="eastAsia"/>
                <w:color w:val="auto"/>
                <w:sz w:val="24"/>
                <w:szCs w:val="24"/>
                <w:lang w:eastAsia="zh-CN"/>
              </w:rPr>
              <w:t>盘龙乡总面积237．7</w:t>
            </w:r>
            <w:r>
              <w:rPr>
                <w:rFonts w:hint="eastAsia"/>
                <w:color w:val="auto"/>
                <w:sz w:val="24"/>
                <w:szCs w:val="24"/>
                <w:lang w:val="en-US" w:eastAsia="zh-CN"/>
              </w:rPr>
              <w:t>km</w:t>
            </w:r>
            <w:r>
              <w:rPr>
                <w:rFonts w:hint="eastAsia"/>
                <w:color w:val="auto"/>
                <w:sz w:val="24"/>
                <w:szCs w:val="24"/>
                <w:vertAlign w:val="superscript"/>
                <w:lang w:val="en-US" w:eastAsia="zh-CN"/>
              </w:rPr>
              <w:t>2</w:t>
            </w:r>
            <w:r>
              <w:rPr>
                <w:rFonts w:hint="eastAsia"/>
                <w:color w:val="auto"/>
                <w:sz w:val="24"/>
                <w:szCs w:val="24"/>
                <w:lang w:eastAsia="zh-CN"/>
              </w:rPr>
              <w:t>，总人口29611人，耕地总面积32298亩，人均耕地1</w:t>
            </w:r>
            <w:r>
              <w:rPr>
                <w:rFonts w:hint="eastAsia"/>
                <w:color w:val="auto"/>
                <w:sz w:val="24"/>
                <w:szCs w:val="24"/>
                <w:lang w:val="en-US" w:eastAsia="zh-CN"/>
              </w:rPr>
              <w:t>1.11</w:t>
            </w:r>
            <w:r>
              <w:rPr>
                <w:rFonts w:hint="eastAsia"/>
                <w:color w:val="auto"/>
                <w:sz w:val="24"/>
                <w:szCs w:val="24"/>
                <w:lang w:eastAsia="zh-CN"/>
              </w:rPr>
              <w:t>亩，全乡辖5个村民委员会，67个自然村</w:t>
            </w:r>
          </w:p>
          <w:p>
            <w:pPr>
              <w:pStyle w:val="33"/>
              <w:kinsoku w:val="0"/>
              <w:autoSpaceDE/>
              <w:autoSpaceDN/>
              <w:snapToGrid w:val="0"/>
              <w:spacing w:line="360" w:lineRule="auto"/>
              <w:ind w:firstLine="482" w:firstLineChars="200"/>
              <w:jc w:val="left"/>
              <w:rPr>
                <w:rFonts w:hint="eastAsia"/>
                <w:color w:val="auto"/>
                <w:kern w:val="0"/>
                <w:sz w:val="24"/>
              </w:rPr>
            </w:pPr>
            <w:r>
              <w:rPr>
                <w:b/>
                <w:color w:val="auto"/>
                <w:kern w:val="2"/>
                <w:sz w:val="24"/>
                <w:szCs w:val="24"/>
                <w:lang w:val="en-US" w:eastAsia="zh-CN" w:bidi="ar-SA"/>
              </w:rPr>
              <w:t>二、教育</w:t>
            </w:r>
            <w:r>
              <w:rPr>
                <w:rFonts w:hint="eastAsia"/>
                <w:b/>
                <w:color w:val="auto"/>
                <w:kern w:val="2"/>
                <w:sz w:val="24"/>
                <w:szCs w:val="24"/>
                <w:lang w:val="en-US" w:eastAsia="zh-CN" w:bidi="ar-SA"/>
              </w:rPr>
              <w:t>、文化、医疗</w:t>
            </w:r>
          </w:p>
          <w:p>
            <w:pPr>
              <w:snapToGrid w:val="0"/>
              <w:spacing w:line="360" w:lineRule="auto"/>
              <w:ind w:firstLine="480" w:firstLineChars="200"/>
              <w:rPr>
                <w:rFonts w:hint="eastAsia" w:hAnsi="宋体"/>
                <w:color w:val="auto"/>
                <w:sz w:val="24"/>
              </w:rPr>
            </w:pPr>
            <w:r>
              <w:rPr>
                <w:rFonts w:hAnsi="宋体"/>
                <w:color w:val="auto"/>
                <w:sz w:val="24"/>
              </w:rPr>
              <w:t>砚山县教育层次主要有幼儿教育、小学教育、初中教育、普通高中教育、中等职业技术教育和成人教育，教育服务的对象90%以上面对广大农村。砚山城区的教育有职业中学、县一中、民族中学等。文化有县电视台、广播电台、群艺馆、图书馆、各种文化娱乐设施、场点等。</w:t>
            </w:r>
          </w:p>
          <w:p>
            <w:pPr>
              <w:adjustRightInd w:val="0"/>
              <w:snapToGrid w:val="0"/>
              <w:spacing w:line="360" w:lineRule="auto"/>
              <w:ind w:firstLine="480" w:firstLineChars="200"/>
              <w:rPr>
                <w:rFonts w:hint="eastAsia" w:ascii="宋体" w:hAnsi="宋体"/>
                <w:color w:val="auto"/>
                <w:sz w:val="24"/>
              </w:rPr>
            </w:pPr>
            <w:r>
              <w:rPr>
                <w:rFonts w:hint="eastAsia" w:ascii="宋体" w:hAnsi="宋体"/>
                <w:color w:val="auto"/>
                <w:sz w:val="24"/>
              </w:rPr>
              <w:t>江那镇建有民族职业学校1所，初级中学2所，完全小学30所，现有教师500人，其中，中学教师132人，小学教师368人；目前全镇农村义务教育阶段在校学生6261人，其中，初中学生2221人，小学生4040人，农村义务教育入学率100%。江那镇建有镇文化站1个，藏书463册。全镇有业余演出队27个，有演职员216人。</w:t>
            </w:r>
          </w:p>
          <w:p>
            <w:pPr>
              <w:adjustRightInd w:val="0"/>
              <w:snapToGrid w:val="0"/>
              <w:spacing w:line="360" w:lineRule="auto"/>
              <w:ind w:firstLine="482" w:firstLineChars="200"/>
              <w:rPr>
                <w:rFonts w:hint="eastAsia" w:ascii="宋体" w:hAnsi="宋体"/>
                <w:color w:val="auto"/>
                <w:sz w:val="24"/>
              </w:rPr>
            </w:pPr>
            <w:r>
              <w:rPr>
                <w:rFonts w:hint="eastAsia"/>
                <w:b/>
                <w:bCs/>
                <w:color w:val="auto"/>
                <w:sz w:val="24"/>
              </w:rPr>
              <w:t>三、保护文物</w:t>
            </w:r>
          </w:p>
          <w:p>
            <w:pPr>
              <w:pStyle w:val="9"/>
              <w:spacing w:line="360" w:lineRule="auto"/>
              <w:ind w:firstLine="480"/>
              <w:rPr>
                <w:rFonts w:ascii="宋体" w:eastAsia="宋体"/>
                <w:color w:val="auto"/>
                <w:sz w:val="24"/>
              </w:rPr>
            </w:pPr>
            <w:r>
              <w:rPr>
                <w:rFonts w:ascii="宋体" w:eastAsia="宋体"/>
                <w:color w:val="auto"/>
                <w:sz w:val="24"/>
              </w:rPr>
              <w:t>砚山县境内有文物保护单位有10个。其中省级文物保护单位有2个，即“阿猛会址”和“鲁都克天主教堂”。州级文物保护单位有2个，即“阿猛魁星阁”和“龙所魁星阁”。县级文物保护单位有6个，即“稼依烈士宫、平远烈士墓、李应珍墓、陆春故居、平远大山村崖画、县二中标致性建筑”。“阿猛会议”会址，座落在砚山县城东北方向距县城三十七公里处的阿猛镇中心小学校内，位于323国道线旁；“鲁都克天主教堂”位于砚山县城西部约130公里的阿舍乡鲁都克村，地处文山、蒙自二县交界，海拔2200米，气候寒冷；“阿猛魁星阁”位于砚山县城东北部约37公里处的阿猛魁阁山上；“龙所魁星阁”位于砚山县城东南约50公里的龙所村；“稼依烈士宫”位于稼依镇（县二中）内；“平远烈士墓”位于砚山县城西北方向约79公里的平远镇黄土洞坡；“李应珍墓”位于砚山县江那镇城脚村三台坡西北坟墓地；“陆春故居”位于砚山县江那镇郊址村69号，为四合院，二层瓦屋面土木结构建筑；“平远大山村崖画”位于平远镇莲花塘村民委、大山村，距平远约28公里；“县二中标致性建筑”位于稼依镇（县第二中学）校园内。</w:t>
            </w:r>
          </w:p>
          <w:p>
            <w:pPr>
              <w:spacing w:line="360" w:lineRule="auto"/>
              <w:ind w:firstLine="468"/>
              <w:rPr>
                <w:rFonts w:ascii="宋体" w:hAnsi="宋体"/>
                <w:bCs/>
                <w:color w:val="auto"/>
                <w:sz w:val="24"/>
              </w:rPr>
            </w:pPr>
            <w:r>
              <w:rPr>
                <w:rFonts w:ascii="宋体" w:hAnsi="宋体"/>
                <w:bCs/>
                <w:color w:val="auto"/>
                <w:sz w:val="24"/>
              </w:rPr>
              <w:t>项目所在地500m范围没有需要特别保护的文物目标。</w:t>
            </w:r>
          </w:p>
          <w:p>
            <w:pPr>
              <w:spacing w:line="420" w:lineRule="exact"/>
              <w:rPr>
                <w:rFonts w:hint="eastAsia"/>
                <w:b/>
                <w:color w:val="auto"/>
                <w:sz w:val="28"/>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left="0" w:leftChars="0" w:right="0" w:rightChars="0" w:firstLine="468"/>
              <w:jc w:val="both"/>
              <w:textAlignment w:val="auto"/>
              <w:outlineLvl w:val="9"/>
              <w:rPr>
                <w:rFonts w:hint="default" w:ascii="Times New Roman" w:hAnsi="Times New Roman" w:cs="Times New Roman"/>
                <w:bCs/>
                <w:color w:val="auto"/>
                <w:sz w:val="24"/>
                <w:lang w:eastAsia="zh-CN"/>
              </w:rPr>
            </w:pPr>
          </w:p>
          <w:p>
            <w:pPr>
              <w:keepNext w:val="0"/>
              <w:keepLines w:val="0"/>
              <w:pageBreakBefore w:val="0"/>
              <w:kinsoku/>
              <w:wordWrap/>
              <w:overflowPunct/>
              <w:topLinePunct w:val="0"/>
              <w:autoSpaceDE/>
              <w:autoSpaceDN/>
              <w:bidi w:val="0"/>
              <w:spacing w:line="360" w:lineRule="auto"/>
              <w:ind w:right="0" w:rightChars="0"/>
              <w:jc w:val="both"/>
              <w:textAlignment w:val="auto"/>
              <w:outlineLvl w:val="9"/>
              <w:rPr>
                <w:rFonts w:hint="default" w:ascii="Times New Roman" w:hAnsi="Times New Roman" w:cs="Times New Roman"/>
                <w:bCs/>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9"/>
            <w:tcBorders>
              <w:top w:val="nil"/>
              <w:left w:val="nil"/>
              <w:bottom w:val="single" w:color="auto" w:sz="4" w:space="0"/>
              <w:right w:val="nil"/>
            </w:tcBorders>
            <w:vAlign w:val="top"/>
          </w:tcPr>
          <w:p>
            <w:pPr>
              <w:rPr>
                <w:rFonts w:hint="default" w:ascii="Times New Roman" w:hAnsi="Times New Roman" w:cs="Times New Roman"/>
                <w:color w:val="auto"/>
              </w:rPr>
            </w:pPr>
            <w:r>
              <w:rPr>
                <w:rFonts w:hint="default" w:ascii="Times New Roman" w:hAnsi="Times New Roman" w:cs="Times New Roman"/>
                <w:b/>
                <w:color w:val="auto"/>
                <w:sz w:val="32"/>
                <w:szCs w:val="32"/>
              </w:rPr>
              <w:t>表三、环境质量现状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9"/>
            <w:tcBorders>
              <w:top w:val="single" w:color="auto" w:sz="4" w:space="0"/>
              <w:bottom w:val="single" w:color="auto" w:sz="4" w:space="0"/>
            </w:tcBorders>
            <w:vAlign w:val="top"/>
          </w:tcPr>
          <w:p>
            <w:pPr>
              <w:pStyle w:val="8"/>
              <w:spacing w:line="360" w:lineRule="auto"/>
              <w:jc w:val="both"/>
              <w:rPr>
                <w:rFonts w:hint="default" w:ascii="Times New Roman" w:hAnsi="Times New Roman" w:eastAsia="宋体" w:cs="Times New Roman"/>
                <w:b/>
                <w:color w:val="auto"/>
                <w:spacing w:val="-2"/>
                <w:sz w:val="28"/>
                <w:szCs w:val="28"/>
              </w:rPr>
            </w:pPr>
            <w:r>
              <w:rPr>
                <w:rFonts w:hint="default" w:ascii="Times New Roman" w:hAnsi="Times New Roman" w:eastAsia="宋体" w:cs="Times New Roman"/>
                <w:b/>
                <w:color w:val="auto"/>
                <w:spacing w:val="-2"/>
                <w:sz w:val="28"/>
                <w:szCs w:val="28"/>
              </w:rPr>
              <w:t>建设项目所在地区域环境质量现状及主要环境问题（环境空气、地面水、地下水、声环境、生态环境等）：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项目位于</w:t>
            </w:r>
            <w:r>
              <w:rPr>
                <w:rFonts w:hint="eastAsia" w:ascii="Times New Roman" w:hAnsi="Times New Roman" w:eastAsia="宋体"/>
                <w:color w:val="auto"/>
                <w:sz w:val="24"/>
                <w:lang w:eastAsia="zh-CN"/>
              </w:rPr>
              <w:t>砚山县蚌峨乡蚌峨新寨</w:t>
            </w:r>
            <w:r>
              <w:rPr>
                <w:rFonts w:hint="default" w:ascii="Times New Roman" w:hAnsi="Times New Roman" w:cs="Times New Roman"/>
                <w:color w:val="auto"/>
                <w:sz w:val="24"/>
              </w:rPr>
              <w:t>，所在区域没有经过相关环境监测，经现场踏勘项目所在区域环境质量现状如下：</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1、环境空气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项目区域无环境空气质量常规监测点，</w:t>
            </w:r>
            <w:r>
              <w:rPr>
                <w:rFonts w:hint="default" w:ascii="Times New Roman" w:hAnsi="Times New Roman" w:cs="Times New Roman"/>
                <w:color w:val="auto"/>
                <w:sz w:val="24"/>
                <w:lang w:eastAsia="zh-CN"/>
              </w:rPr>
              <w:t>项目位置属于</w:t>
            </w:r>
            <w:r>
              <w:rPr>
                <w:rFonts w:hint="eastAsia" w:ascii="Times New Roman" w:hAnsi="Times New Roman" w:cs="Times New Roman"/>
                <w:color w:val="auto"/>
                <w:sz w:val="24"/>
                <w:lang w:eastAsia="zh-CN"/>
              </w:rPr>
              <w:t>近郊</w:t>
            </w:r>
            <w:r>
              <w:rPr>
                <w:rFonts w:hint="default" w:ascii="Times New Roman" w:hAnsi="Times New Roman" w:cs="Times New Roman"/>
                <w:color w:val="auto"/>
                <w:sz w:val="24"/>
                <w:lang w:eastAsia="zh-CN"/>
              </w:rPr>
              <w:t>区域，所在区域环境空气属二类功能区</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执行《环境空气质量标准》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GB3095-2012</w:t>
            </w:r>
            <w:r>
              <w:rPr>
                <w:rFonts w:hint="default" w:ascii="Times New Roman" w:hAnsi="Times New Roman" w:cs="Times New Roman"/>
                <w:color w:val="auto"/>
                <w:sz w:val="24"/>
                <w:lang w:eastAsia="zh-CN"/>
              </w:rPr>
              <w:t>）中</w:t>
            </w:r>
            <w:r>
              <w:rPr>
                <w:rFonts w:hint="default" w:ascii="Times New Roman" w:hAnsi="Times New Roman" w:cs="Times New Roman"/>
                <w:color w:val="auto"/>
                <w:sz w:val="24"/>
              </w:rPr>
              <w:t>二级标准。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项目靠近</w:t>
            </w:r>
            <w:r>
              <w:rPr>
                <w:rFonts w:hint="eastAsia" w:ascii="Times New Roman" w:hAnsi="Times New Roman" w:cs="Times New Roman"/>
                <w:color w:val="auto"/>
                <w:sz w:val="24"/>
                <w:lang w:eastAsia="zh-CN"/>
              </w:rPr>
              <w:t>乡道者蚌段</w:t>
            </w:r>
            <w:r>
              <w:rPr>
                <w:rFonts w:hint="default" w:ascii="Times New Roman" w:hAnsi="Times New Roman" w:cs="Times New Roman"/>
                <w:color w:val="auto"/>
                <w:sz w:val="24"/>
              </w:rPr>
              <w:t>，</w:t>
            </w:r>
            <w:r>
              <w:rPr>
                <w:rFonts w:ascii="Times New Roman" w:hAnsi="Times New Roman"/>
                <w:color w:val="auto"/>
                <w:sz w:val="24"/>
                <w:szCs w:val="24"/>
              </w:rPr>
              <w:t>项目区周边无大型工业大气污染源</w:t>
            </w:r>
            <w:r>
              <w:rPr>
                <w:rFonts w:hint="eastAsia" w:ascii="Times New Roman" w:hAnsi="Times New Roman"/>
                <w:color w:val="auto"/>
                <w:sz w:val="24"/>
                <w:szCs w:val="24"/>
                <w:lang w:eastAsia="zh-CN"/>
              </w:rPr>
              <w:t>，</w:t>
            </w:r>
            <w:r>
              <w:rPr>
                <w:rFonts w:hint="default" w:ascii="Times New Roman" w:hAnsi="Times New Roman" w:cs="Times New Roman"/>
                <w:color w:val="auto"/>
                <w:sz w:val="24"/>
              </w:rPr>
              <w:t>区域大气环境主要受道路上车辆尾气</w:t>
            </w:r>
            <w:r>
              <w:rPr>
                <w:rFonts w:hint="default" w:ascii="Times New Roman" w:hAnsi="Times New Roman" w:cs="Times New Roman"/>
                <w:color w:val="auto"/>
                <w:sz w:val="24"/>
                <w:lang w:eastAsia="zh-CN"/>
              </w:rPr>
              <w:t>影响</w:t>
            </w:r>
            <w:r>
              <w:rPr>
                <w:rFonts w:hint="default" w:ascii="Times New Roman" w:hAnsi="Times New Roman" w:cs="Times New Roman"/>
                <w:color w:val="auto"/>
                <w:sz w:val="24"/>
              </w:rPr>
              <w:t>，环境空气质量</w:t>
            </w:r>
            <w:r>
              <w:rPr>
                <w:rFonts w:hint="default" w:ascii="Times New Roman" w:hAnsi="Times New Roman" w:cs="Times New Roman"/>
                <w:color w:val="auto"/>
                <w:sz w:val="24"/>
                <w:lang w:eastAsia="zh-CN"/>
              </w:rPr>
              <w:t>良好</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根据《文山州</w:t>
            </w:r>
            <w:r>
              <w:rPr>
                <w:rFonts w:hint="default" w:ascii="Times New Roman" w:hAnsi="Times New Roman" w:cs="Times New Roman"/>
                <w:color w:val="auto"/>
                <w:sz w:val="24"/>
                <w:lang w:val="en-US" w:eastAsia="zh-CN"/>
              </w:rPr>
              <w:t>2018年环境状况公报</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2019年5月15日</w:t>
            </w:r>
            <w:r>
              <w:rPr>
                <w:rFonts w:hint="default" w:ascii="Times New Roman" w:hAnsi="Times New Roman" w:cs="Times New Roman"/>
                <w:color w:val="auto"/>
                <w:sz w:val="24"/>
                <w:lang w:eastAsia="zh-CN"/>
              </w:rPr>
              <w:t>），从2018 年第 2 季度开始，</w:t>
            </w:r>
            <w:r>
              <w:rPr>
                <w:rFonts w:hint="eastAsia" w:ascii="Times New Roman" w:hAnsi="Times New Roman" w:cs="Times New Roman"/>
                <w:color w:val="auto"/>
                <w:sz w:val="24"/>
                <w:lang w:eastAsia="zh-CN"/>
              </w:rPr>
              <w:t>砚山</w:t>
            </w:r>
            <w:r>
              <w:rPr>
                <w:rFonts w:hint="default" w:ascii="Times New Roman" w:hAnsi="Times New Roman" w:cs="Times New Roman"/>
                <w:color w:val="auto"/>
                <w:sz w:val="24"/>
                <w:lang w:eastAsia="zh-CN"/>
              </w:rPr>
              <w:t>县环境空气质量达到国家《环境空气质量标准》（GB3095 2012）二级标准，达标率为</w:t>
            </w:r>
            <w:r>
              <w:rPr>
                <w:rFonts w:hint="eastAsia" w:ascii="Times New Roman" w:hAnsi="Times New Roman" w:cs="Times New Roman"/>
                <w:color w:val="auto"/>
                <w:sz w:val="24"/>
                <w:lang w:val="en-US" w:eastAsia="zh-CN"/>
              </w:rPr>
              <w:t>100</w:t>
            </w:r>
            <w:r>
              <w:rPr>
                <w:rFonts w:hint="default" w:ascii="Times New Roman" w:hAnsi="Times New Roman" w:cs="Times New Roman"/>
                <w:color w:val="auto"/>
                <w:sz w:val="24"/>
                <w:lang w:val="en-US" w:eastAsia="zh-CN"/>
              </w:rPr>
              <w:t>%，项目区为达标区。</w:t>
            </w:r>
          </w:p>
          <w:p>
            <w:pPr>
              <w:numPr>
                <w:ilvl w:val="0"/>
                <w:numId w:val="0"/>
              </w:numPr>
              <w:spacing w:line="360" w:lineRule="auto"/>
              <w:ind w:leftChars="200"/>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2、</w:t>
            </w:r>
            <w:r>
              <w:rPr>
                <w:rFonts w:hint="default" w:ascii="Times New Roman" w:hAnsi="Times New Roman" w:cs="Times New Roman"/>
                <w:b/>
                <w:color w:val="auto"/>
                <w:sz w:val="24"/>
              </w:rPr>
              <w:t>地表水</w:t>
            </w:r>
          </w:p>
          <w:p>
            <w:pPr>
              <w:spacing w:line="360" w:lineRule="auto"/>
              <w:ind w:firstLine="480" w:firstLineChars="200"/>
              <w:rPr>
                <w:color w:val="auto"/>
                <w:kern w:val="0"/>
                <w:sz w:val="24"/>
              </w:rPr>
            </w:pPr>
            <w:r>
              <w:rPr>
                <w:rFonts w:hint="eastAsia" w:ascii="宋体" w:hAnsi="宋体"/>
                <w:color w:val="auto"/>
                <w:sz w:val="24"/>
                <w:lang w:val="en-US" w:eastAsia="zh-CN"/>
              </w:rPr>
              <w:t>项目东北侧410m处为蚌峨河，蚌峨河从六肥、六掌起，流经南屏、凹掌四个村委会，至凹掌村委会炭打村小组交西畴县西洒镇上果村，全长28公里，河水随着季节性变化较大，</w:t>
            </w:r>
            <w:r>
              <w:rPr>
                <w:rFonts w:hint="eastAsia" w:ascii="宋体" w:hAnsi="宋体"/>
                <w:color w:val="auto"/>
                <w:sz w:val="24"/>
                <w:lang w:eastAsia="zh-CN"/>
              </w:rPr>
              <w:t>主要用作周边农灌</w:t>
            </w:r>
            <w:r>
              <w:rPr>
                <w:rFonts w:hAnsi="宋体"/>
                <w:color w:val="auto"/>
                <w:kern w:val="0"/>
                <w:sz w:val="24"/>
              </w:rPr>
              <w:t>，现状无饮用功能，仅用作周边农田灌溉取水</w:t>
            </w:r>
            <w:r>
              <w:rPr>
                <w:rFonts w:hint="eastAsia" w:hAnsi="宋体"/>
                <w:color w:val="auto"/>
                <w:kern w:val="0"/>
                <w:sz w:val="24"/>
              </w:rPr>
              <w:t>，</w:t>
            </w:r>
            <w:r>
              <w:rPr>
                <w:rFonts w:hAnsi="宋体"/>
                <w:color w:val="auto"/>
                <w:sz w:val="24"/>
              </w:rPr>
              <w:t>执行《地表水环境质量标准》（</w:t>
            </w:r>
            <w:r>
              <w:rPr>
                <w:color w:val="auto"/>
                <w:sz w:val="24"/>
              </w:rPr>
              <w:t>GB3838-2002</w:t>
            </w:r>
            <w:r>
              <w:rPr>
                <w:rFonts w:hAnsi="宋体"/>
                <w:color w:val="auto"/>
                <w:sz w:val="24"/>
              </w:rPr>
              <w:t>）</w:t>
            </w:r>
            <w:r>
              <w:rPr>
                <w:color w:val="auto"/>
                <w:sz w:val="24"/>
              </w:rPr>
              <w:t>Ⅲ</w:t>
            </w:r>
            <w:r>
              <w:rPr>
                <w:rFonts w:hAnsi="宋体"/>
                <w:color w:val="auto"/>
                <w:sz w:val="24"/>
              </w:rPr>
              <w:t>类标准。</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lang w:val="en-US" w:eastAsia="zh-CN"/>
              </w:rPr>
              <w:t>3、</w:t>
            </w:r>
            <w:r>
              <w:rPr>
                <w:rFonts w:hint="eastAsia" w:ascii="宋体" w:hAnsi="宋体" w:eastAsia="宋体" w:cs="宋体"/>
                <w:b/>
                <w:color w:val="auto"/>
                <w:sz w:val="24"/>
              </w:rPr>
              <w:t>地下水</w:t>
            </w:r>
          </w:p>
          <w:p>
            <w:pPr>
              <w:spacing w:line="360" w:lineRule="auto"/>
              <w:ind w:firstLine="480" w:firstLineChars="200"/>
              <w:rPr>
                <w:color w:val="auto"/>
                <w:sz w:val="24"/>
              </w:rPr>
            </w:pPr>
            <w:r>
              <w:rPr>
                <w:rFonts w:hint="default" w:ascii="Times New Roman" w:hAnsi="Times New Roman" w:cs="Times New Roman"/>
                <w:color w:val="auto"/>
                <w:sz w:val="24"/>
                <w:lang w:eastAsia="zh-CN"/>
              </w:rPr>
              <w:t>项目位置属于</w:t>
            </w:r>
            <w:r>
              <w:rPr>
                <w:rFonts w:hint="eastAsia" w:ascii="Times New Roman" w:hAnsi="Times New Roman" w:cs="Times New Roman"/>
                <w:color w:val="auto"/>
                <w:sz w:val="24"/>
                <w:lang w:eastAsia="zh-CN"/>
              </w:rPr>
              <w:t>近郊</w:t>
            </w:r>
            <w:r>
              <w:rPr>
                <w:rFonts w:hint="default" w:ascii="Times New Roman" w:hAnsi="Times New Roman" w:cs="Times New Roman"/>
                <w:color w:val="auto"/>
                <w:sz w:val="24"/>
                <w:lang w:eastAsia="zh-CN"/>
              </w:rPr>
              <w:t>区域</w:t>
            </w:r>
            <w:r>
              <w:rPr>
                <w:color w:val="auto"/>
                <w:sz w:val="24"/>
              </w:rPr>
              <w:t>，地下水执行</w:t>
            </w:r>
            <w:r>
              <w:rPr>
                <w:snapToGrid w:val="0"/>
                <w:color w:val="auto"/>
                <w:sz w:val="24"/>
              </w:rPr>
              <w:t>执行《地下水质量标准》（GB/T14848－2017）中Ⅲ类水质标准</w:t>
            </w:r>
            <w:r>
              <w:rPr>
                <w:color w:val="auto"/>
                <w:sz w:val="24"/>
              </w:rPr>
              <w:t>。根据现场踏勘，地下水无开采利用历史，项目区范围内无泉水出露，周边居民饮用水主要为自来水，地下水主要来自大气降水、地下水空隙潜水补给，即以大气降水的垂直渗入为主，沿空隙、裂隙运移，渗入地下形成地下水。</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4、噪声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项目位置属于</w:t>
            </w:r>
            <w:r>
              <w:rPr>
                <w:rFonts w:hint="eastAsia" w:ascii="Times New Roman" w:hAnsi="Times New Roman" w:cs="Times New Roman"/>
                <w:color w:val="auto"/>
                <w:sz w:val="24"/>
                <w:lang w:eastAsia="zh-CN"/>
              </w:rPr>
              <w:t>近郊区域</w:t>
            </w:r>
            <w:r>
              <w:rPr>
                <w:rFonts w:hint="default" w:ascii="Times New Roman" w:hAnsi="Times New Roman" w:cs="Times New Roman"/>
                <w:color w:val="auto"/>
                <w:sz w:val="24"/>
              </w:rPr>
              <w:t>，有居民住户，</w:t>
            </w:r>
            <w:r>
              <w:rPr>
                <w:rFonts w:hint="default" w:ascii="Times New Roman" w:hAnsi="Times New Roman" w:eastAsia="新宋体" w:cs="Times New Roman"/>
                <w:color w:val="auto"/>
                <w:sz w:val="24"/>
              </w:rPr>
              <w:t>为环境噪声</w:t>
            </w:r>
            <w:r>
              <w:rPr>
                <w:rFonts w:hint="default" w:ascii="Times New Roman" w:hAnsi="Times New Roman" w:cs="Times New Roman"/>
                <w:color w:val="auto"/>
                <w:sz w:val="24"/>
              </w:rPr>
              <w:t>功能区划</w:t>
            </w:r>
            <w:r>
              <w:rPr>
                <w:rFonts w:hint="default" w:ascii="Times New Roman" w:hAnsi="Times New Roman" w:eastAsia="新宋体" w:cs="Times New Roman"/>
                <w:color w:val="auto"/>
                <w:sz w:val="24"/>
              </w:rPr>
              <w:t>为2类区</w:t>
            </w:r>
            <w:r>
              <w:rPr>
                <w:rFonts w:hint="default" w:ascii="Times New Roman" w:hAnsi="Times New Roman" w:cs="Times New Roman"/>
                <w:color w:val="auto"/>
                <w:sz w:val="24"/>
              </w:rPr>
              <w:t>，项目临</w:t>
            </w:r>
            <w:r>
              <w:rPr>
                <w:rFonts w:hint="eastAsia" w:ascii="Times New Roman" w:hAnsi="Times New Roman" w:cs="Times New Roman"/>
                <w:color w:val="auto"/>
                <w:sz w:val="24"/>
                <w:lang w:eastAsia="zh-CN"/>
              </w:rPr>
              <w:t>乡道者蚌段</w:t>
            </w:r>
            <w:r>
              <w:rPr>
                <w:rFonts w:hint="default" w:ascii="Times New Roman" w:hAnsi="Times New Roman" w:cs="Times New Roman"/>
                <w:color w:val="auto"/>
                <w:sz w:val="24"/>
              </w:rPr>
              <w:t>，执行2类区噪声标准。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项目所在区域无大型噪声污染源，其声环境质量主要受项目</w:t>
            </w:r>
            <w:r>
              <w:rPr>
                <w:rFonts w:hint="eastAsia" w:ascii="Times New Roman" w:hAnsi="Times New Roman" w:cs="Times New Roman"/>
                <w:color w:val="auto"/>
                <w:sz w:val="24"/>
                <w:lang w:eastAsia="zh-CN"/>
              </w:rPr>
              <w:t>西</w:t>
            </w:r>
            <w:r>
              <w:rPr>
                <w:rFonts w:hint="default" w:ascii="Times New Roman" w:hAnsi="Times New Roman" w:cs="Times New Roman"/>
                <w:color w:val="auto"/>
                <w:sz w:val="24"/>
              </w:rPr>
              <w:t>侧道路上交通噪声影响，项目区域内声环境质量</w:t>
            </w:r>
            <w:r>
              <w:rPr>
                <w:rFonts w:hint="default" w:ascii="Times New Roman" w:hAnsi="Times New Roman" w:cs="Times New Roman"/>
                <w:color w:val="auto"/>
                <w:sz w:val="24"/>
                <w:lang w:eastAsia="zh-CN"/>
              </w:rPr>
              <w:t>良好</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5、生态环境</w:t>
            </w:r>
          </w:p>
          <w:p>
            <w:pPr>
              <w:spacing w:line="360" w:lineRule="auto"/>
              <w:ind w:firstLine="480" w:firstLineChars="200"/>
              <w:jc w:val="left"/>
              <w:rPr>
                <w:rFonts w:hint="default" w:ascii="Times New Roman" w:hAnsi="Times New Roman" w:cs="Times New Roman"/>
                <w:color w:val="auto"/>
              </w:rPr>
            </w:pPr>
            <w:r>
              <w:rPr>
                <w:rFonts w:ascii="Times New Roman" w:hAnsi="Times New Roman" w:eastAsia="宋体"/>
                <w:color w:val="auto"/>
                <w:sz w:val="24"/>
              </w:rPr>
              <w:t>项目所在区域属于</w:t>
            </w:r>
            <w:r>
              <w:rPr>
                <w:rFonts w:hint="eastAsia" w:ascii="Times New Roman" w:hAnsi="Times New Roman" w:eastAsia="宋体"/>
                <w:color w:val="auto"/>
                <w:sz w:val="24"/>
                <w:lang w:eastAsia="zh-CN"/>
              </w:rPr>
              <w:t>近郊区域</w:t>
            </w:r>
            <w:r>
              <w:rPr>
                <w:rFonts w:ascii="Times New Roman" w:hAnsi="Times New Roman" w:eastAsia="宋体"/>
                <w:color w:val="auto"/>
                <w:sz w:val="24"/>
              </w:rPr>
              <w:t>，</w:t>
            </w:r>
            <w:r>
              <w:rPr>
                <w:rFonts w:hint="eastAsia" w:ascii="宋体" w:hAnsi="宋体"/>
                <w:color w:val="auto"/>
                <w:sz w:val="24"/>
                <w:lang w:val="en-US" w:eastAsia="zh-CN"/>
              </w:rPr>
              <w:t>项目西北、西南坡地处生长着地方性乔木、灌木，植被覆盖率一般，项目东侧、东北侧有旱地，主要种植包谷等农作物</w:t>
            </w:r>
            <w:r>
              <w:rPr>
                <w:rFonts w:hint="eastAsia" w:ascii="Times New Roman" w:hAnsi="Times New Roman" w:eastAsia="宋体"/>
                <w:color w:val="auto"/>
                <w:sz w:val="24"/>
              </w:rPr>
              <w:t>。</w:t>
            </w:r>
            <w:r>
              <w:rPr>
                <w:rFonts w:ascii="Times New Roman" w:hAnsi="Times New Roman" w:eastAsia="宋体"/>
                <w:color w:val="auto"/>
                <w:sz w:val="24"/>
              </w:rPr>
              <w:t>项目区内无国家重点保护动、植物分布，生物多样性一般。</w:t>
            </w:r>
            <w:r>
              <w:rPr>
                <w:rFonts w:hint="default" w:ascii="Times New Roman" w:hAnsi="Times New Roman" w:eastAsia="宋体"/>
                <w:color w:val="auto"/>
                <w:sz w:val="24"/>
                <w:lang w:eastAsia="zh-CN"/>
              </w:rPr>
              <w:t>无国家和省级特殊保护的野生动物，项目区以黄壤为主。项目周围无自然保护区分布，无珍稀、濒危或国家、省级列为特殊保护的动植物存在。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9"/>
            <w:tcBorders>
              <w:top w:val="single" w:color="auto" w:sz="4" w:space="0"/>
            </w:tcBorders>
            <w:vAlign w:val="top"/>
          </w:tcPr>
          <w:p>
            <w:pPr>
              <w:spacing w:line="360" w:lineRule="auto"/>
              <w:rPr>
                <w:rFonts w:hint="default" w:ascii="Times New Roman" w:hAnsi="Times New Roman" w:cs="Times New Roman"/>
                <w:b/>
                <w:color w:val="auto"/>
                <w:spacing w:val="-2"/>
                <w:sz w:val="28"/>
                <w:szCs w:val="28"/>
              </w:rPr>
            </w:pPr>
            <w:r>
              <w:rPr>
                <w:rFonts w:hint="default" w:ascii="Times New Roman" w:hAnsi="Times New Roman" w:cs="Times New Roman"/>
                <w:b/>
                <w:color w:val="auto"/>
                <w:spacing w:val="-2"/>
                <w:sz w:val="28"/>
                <w:szCs w:val="28"/>
              </w:rPr>
              <w:t>主要环境保护目标（列出名单及保护级别）：</w:t>
            </w:r>
          </w:p>
          <w:p>
            <w:pPr>
              <w:adjustRightInd w:val="0"/>
              <w:spacing w:line="360" w:lineRule="auto"/>
              <w:ind w:firstLine="512" w:firstLineChars="200"/>
              <w:rPr>
                <w:color w:val="auto"/>
                <w:spacing w:val="8"/>
                <w:sz w:val="24"/>
              </w:rPr>
            </w:pPr>
            <w:r>
              <w:rPr>
                <w:rFonts w:hint="eastAsia"/>
                <w:color w:val="auto"/>
                <w:spacing w:val="8"/>
                <w:sz w:val="24"/>
              </w:rPr>
              <w:t>项目主要环境保护目标如下：</w:t>
            </w:r>
          </w:p>
          <w:p>
            <w:pPr>
              <w:adjustRightInd w:val="0"/>
              <w:spacing w:line="360" w:lineRule="auto"/>
              <w:ind w:firstLine="480" w:firstLineChars="200"/>
              <w:rPr>
                <w:color w:val="auto"/>
                <w:sz w:val="24"/>
                <w:szCs w:val="28"/>
              </w:rPr>
            </w:pPr>
            <w:r>
              <w:rPr>
                <w:color w:val="auto"/>
                <w:sz w:val="24"/>
                <w:szCs w:val="28"/>
              </w:rPr>
              <w:t>（1）环境大气</w:t>
            </w:r>
          </w:p>
          <w:p>
            <w:pPr>
              <w:adjustRightInd w:val="0"/>
              <w:spacing w:line="360" w:lineRule="auto"/>
              <w:ind w:firstLine="480" w:firstLineChars="200"/>
              <w:rPr>
                <w:color w:val="auto"/>
                <w:sz w:val="24"/>
                <w:szCs w:val="28"/>
              </w:rPr>
            </w:pPr>
            <w:r>
              <w:rPr>
                <w:color w:val="auto"/>
                <w:sz w:val="24"/>
                <w:szCs w:val="28"/>
              </w:rPr>
              <w:t>项目营运期大气环境保护目标为以项目所在地为中心</w:t>
            </w:r>
            <w:r>
              <w:rPr>
                <w:rFonts w:hint="eastAsia"/>
                <w:color w:val="auto"/>
                <w:sz w:val="24"/>
                <w:szCs w:val="28"/>
              </w:rPr>
              <w:t>，厂界2.5k</w:t>
            </w:r>
            <w:r>
              <w:rPr>
                <w:color w:val="auto"/>
                <w:sz w:val="24"/>
                <w:szCs w:val="28"/>
              </w:rPr>
              <w:t>m范围内的</w:t>
            </w:r>
            <w:r>
              <w:rPr>
                <w:rFonts w:hint="eastAsia"/>
                <w:color w:val="auto"/>
                <w:sz w:val="24"/>
                <w:szCs w:val="28"/>
              </w:rPr>
              <w:t>大气</w:t>
            </w:r>
            <w:r>
              <w:rPr>
                <w:color w:val="auto"/>
                <w:sz w:val="24"/>
                <w:szCs w:val="28"/>
              </w:rPr>
              <w:t>敏感区，按《环境空气质量标准》（</w:t>
            </w:r>
            <w:r>
              <w:rPr>
                <w:rFonts w:hint="eastAsia"/>
                <w:color w:val="auto"/>
                <w:sz w:val="24"/>
                <w:szCs w:val="28"/>
              </w:rPr>
              <w:t>GB3095-2012</w:t>
            </w:r>
            <w:r>
              <w:rPr>
                <w:color w:val="auto"/>
                <w:sz w:val="24"/>
                <w:szCs w:val="28"/>
              </w:rPr>
              <w:t>）二级标准进行保护。</w:t>
            </w:r>
          </w:p>
          <w:p>
            <w:pPr>
              <w:adjustRightInd w:val="0"/>
              <w:spacing w:line="360" w:lineRule="auto"/>
              <w:ind w:firstLine="480" w:firstLineChars="200"/>
              <w:rPr>
                <w:color w:val="auto"/>
                <w:sz w:val="24"/>
                <w:szCs w:val="28"/>
              </w:rPr>
            </w:pPr>
            <w:r>
              <w:rPr>
                <w:color w:val="auto"/>
                <w:sz w:val="24"/>
                <w:szCs w:val="28"/>
              </w:rPr>
              <w:t>（2）地表水</w:t>
            </w:r>
          </w:p>
          <w:p>
            <w:pPr>
              <w:adjustRightInd w:val="0"/>
              <w:spacing w:line="360" w:lineRule="auto"/>
              <w:ind w:firstLine="480" w:firstLineChars="200"/>
              <w:rPr>
                <w:rFonts w:hAnsi="宋体"/>
                <w:color w:val="auto"/>
                <w:sz w:val="24"/>
              </w:rPr>
            </w:pPr>
            <w:r>
              <w:rPr>
                <w:rFonts w:hint="eastAsia" w:ascii="宋体" w:hAnsi="宋体"/>
                <w:color w:val="auto"/>
                <w:sz w:val="24"/>
                <w:lang w:val="en-US" w:eastAsia="zh-CN"/>
              </w:rPr>
              <w:t>项目东北侧410m处为蚌峨河，</w:t>
            </w:r>
            <w:r>
              <w:rPr>
                <w:rFonts w:hAnsi="宋体"/>
                <w:color w:val="auto"/>
                <w:kern w:val="0"/>
                <w:sz w:val="24"/>
              </w:rPr>
              <w:t>现状无饮用功能，仅用作周边农田灌溉取水</w:t>
            </w:r>
            <w:r>
              <w:rPr>
                <w:rFonts w:hint="eastAsia" w:hAnsi="宋体"/>
                <w:color w:val="auto"/>
                <w:kern w:val="0"/>
                <w:sz w:val="24"/>
              </w:rPr>
              <w:t>，</w:t>
            </w:r>
            <w:r>
              <w:rPr>
                <w:rFonts w:hAnsi="宋体"/>
                <w:color w:val="auto"/>
                <w:sz w:val="24"/>
              </w:rPr>
              <w:t>执行《地表水环境质量标准》（</w:t>
            </w:r>
            <w:r>
              <w:rPr>
                <w:color w:val="auto"/>
                <w:sz w:val="24"/>
              </w:rPr>
              <w:t>GB3838-2002</w:t>
            </w:r>
            <w:r>
              <w:rPr>
                <w:rFonts w:hAnsi="宋体"/>
                <w:color w:val="auto"/>
                <w:sz w:val="24"/>
              </w:rPr>
              <w:t>）</w:t>
            </w:r>
            <w:r>
              <w:rPr>
                <w:color w:val="auto"/>
                <w:sz w:val="24"/>
              </w:rPr>
              <w:t>Ⅲ</w:t>
            </w:r>
            <w:r>
              <w:rPr>
                <w:rFonts w:hAnsi="宋体"/>
                <w:color w:val="auto"/>
                <w:sz w:val="24"/>
              </w:rPr>
              <w:t>类标准</w:t>
            </w:r>
          </w:p>
          <w:p>
            <w:pPr>
              <w:adjustRightInd w:val="0"/>
              <w:spacing w:line="360" w:lineRule="auto"/>
              <w:ind w:firstLine="480" w:firstLineChars="200"/>
              <w:rPr>
                <w:color w:val="auto"/>
                <w:sz w:val="24"/>
                <w:szCs w:val="28"/>
              </w:rPr>
            </w:pPr>
            <w:r>
              <w:rPr>
                <w:rFonts w:hint="eastAsia"/>
                <w:color w:val="auto"/>
                <w:sz w:val="24"/>
                <w:szCs w:val="28"/>
              </w:rPr>
              <w:t>（3）地下水环境</w:t>
            </w:r>
          </w:p>
          <w:p>
            <w:pPr>
              <w:adjustRightInd w:val="0"/>
              <w:spacing w:line="360" w:lineRule="auto"/>
              <w:ind w:firstLine="480" w:firstLineChars="200"/>
              <w:rPr>
                <w:rFonts w:hint="eastAsia" w:hAnsi="宋体"/>
                <w:color w:val="auto"/>
                <w:sz w:val="24"/>
                <w:szCs w:val="20"/>
                <w:lang w:eastAsia="zh-CN"/>
              </w:rPr>
            </w:pPr>
            <w:r>
              <w:rPr>
                <w:rFonts w:hint="eastAsia"/>
                <w:color w:val="auto"/>
                <w:sz w:val="24"/>
                <w:szCs w:val="28"/>
              </w:rPr>
              <w:t>项目区域同一地下水文地质单元</w:t>
            </w:r>
            <w:r>
              <w:rPr>
                <w:rFonts w:hint="eastAsia"/>
                <w:color w:val="auto"/>
                <w:sz w:val="24"/>
                <w:szCs w:val="28"/>
                <w:lang w:eastAsia="zh-CN"/>
              </w:rPr>
              <w:t>内</w:t>
            </w:r>
            <w:r>
              <w:rPr>
                <w:rFonts w:hint="eastAsia"/>
                <w:color w:val="auto"/>
                <w:sz w:val="24"/>
                <w:szCs w:val="28"/>
              </w:rPr>
              <w:t>地下水按</w:t>
            </w:r>
            <w:r>
              <w:rPr>
                <w:rFonts w:hint="eastAsia" w:hAnsi="宋体"/>
                <w:color w:val="auto"/>
                <w:sz w:val="24"/>
                <w:szCs w:val="20"/>
              </w:rPr>
              <w:t>《地下水质量标准》（GB/T14848-2017）III类标准进行保护</w:t>
            </w:r>
            <w:r>
              <w:rPr>
                <w:rFonts w:hint="eastAsia" w:hAnsi="宋体"/>
                <w:color w:val="auto"/>
                <w:sz w:val="24"/>
                <w:szCs w:val="20"/>
                <w:lang w:eastAsia="zh-CN"/>
              </w:rPr>
              <w:t>。</w:t>
            </w:r>
          </w:p>
          <w:p>
            <w:pPr>
              <w:adjustRightInd w:val="0"/>
              <w:spacing w:line="360" w:lineRule="auto"/>
              <w:ind w:firstLine="480" w:firstLineChars="200"/>
              <w:rPr>
                <w:color w:val="auto"/>
                <w:sz w:val="24"/>
                <w:szCs w:val="28"/>
              </w:rPr>
            </w:pPr>
            <w:r>
              <w:rPr>
                <w:color w:val="auto"/>
                <w:sz w:val="24"/>
                <w:szCs w:val="28"/>
              </w:rPr>
              <w:t>（3）声环境</w:t>
            </w:r>
          </w:p>
          <w:p>
            <w:pPr>
              <w:adjustRightInd w:val="0"/>
              <w:spacing w:line="360" w:lineRule="auto"/>
              <w:ind w:firstLine="480" w:firstLineChars="200"/>
              <w:rPr>
                <w:color w:val="auto"/>
                <w:sz w:val="24"/>
                <w:szCs w:val="28"/>
              </w:rPr>
            </w:pPr>
            <w:r>
              <w:rPr>
                <w:color w:val="auto"/>
                <w:sz w:val="24"/>
                <w:szCs w:val="28"/>
              </w:rPr>
              <w:t>声环境保护目标为以项目所在地为中心</w:t>
            </w:r>
            <w:r>
              <w:rPr>
                <w:rFonts w:hint="eastAsia"/>
                <w:color w:val="auto"/>
                <w:sz w:val="24"/>
                <w:szCs w:val="28"/>
              </w:rPr>
              <w:t>，厂界外2</w:t>
            </w:r>
            <w:r>
              <w:rPr>
                <w:color w:val="auto"/>
                <w:sz w:val="24"/>
                <w:szCs w:val="28"/>
              </w:rPr>
              <w:t>00m范围内的噪声敏感区，</w:t>
            </w:r>
            <w:r>
              <w:rPr>
                <w:rFonts w:hint="eastAsia"/>
                <w:color w:val="auto"/>
                <w:sz w:val="24"/>
                <w:szCs w:val="28"/>
              </w:rPr>
              <w:t>经现场踏勘。</w:t>
            </w:r>
            <w:r>
              <w:rPr>
                <w:color w:val="auto"/>
                <w:sz w:val="24"/>
                <w:szCs w:val="28"/>
              </w:rPr>
              <w:t>项目所在地</w:t>
            </w:r>
            <w:r>
              <w:rPr>
                <w:rFonts w:hint="eastAsia"/>
                <w:color w:val="auto"/>
                <w:sz w:val="24"/>
                <w:szCs w:val="28"/>
              </w:rPr>
              <w:t>及周边</w:t>
            </w:r>
            <w:r>
              <w:rPr>
                <w:color w:val="auto"/>
                <w:sz w:val="24"/>
                <w:szCs w:val="28"/>
              </w:rPr>
              <w:t>声环境质量按《声环境质量标准》（GB3096-2008）2类标准保护。</w:t>
            </w:r>
          </w:p>
          <w:p>
            <w:pPr>
              <w:spacing w:line="360" w:lineRule="auto"/>
              <w:ind w:firstLine="482" w:firstLineChars="200"/>
              <w:rPr>
                <w:b/>
                <w:color w:val="auto"/>
                <w:sz w:val="24"/>
                <w:szCs w:val="20"/>
              </w:rPr>
            </w:pPr>
            <w:r>
              <w:rPr>
                <w:rFonts w:hint="eastAsia"/>
                <w:b/>
                <w:color w:val="auto"/>
                <w:sz w:val="24"/>
                <w:szCs w:val="20"/>
              </w:rPr>
              <w:t>项目周边情况详见附图3：项目周边关系示意图。</w:t>
            </w:r>
          </w:p>
          <w:p>
            <w:pPr>
              <w:spacing w:line="360" w:lineRule="auto"/>
              <w:ind w:firstLine="480" w:firstLineChars="200"/>
              <w:rPr>
                <w:bCs/>
                <w:color w:val="auto"/>
                <w:sz w:val="24"/>
              </w:rPr>
            </w:pPr>
            <w:r>
              <w:rPr>
                <w:rFonts w:hint="eastAsia"/>
                <w:color w:val="auto"/>
                <w:sz w:val="24"/>
              </w:rPr>
              <w:t>本项目主要环境保护目标详见表3-1。</w:t>
            </w:r>
          </w:p>
          <w:p>
            <w:pPr>
              <w:jc w:val="center"/>
              <w:rPr>
                <w:b/>
                <w:color w:val="auto"/>
                <w:kern w:val="0"/>
                <w:sz w:val="21"/>
                <w:szCs w:val="21"/>
              </w:rPr>
            </w:pPr>
            <w:r>
              <w:rPr>
                <w:b/>
                <w:color w:val="auto"/>
                <w:kern w:val="0"/>
                <w:sz w:val="21"/>
                <w:szCs w:val="21"/>
              </w:rPr>
              <w:t>表3-</w:t>
            </w:r>
            <w:r>
              <w:rPr>
                <w:rFonts w:hint="eastAsia"/>
                <w:b/>
                <w:color w:val="auto"/>
                <w:kern w:val="0"/>
                <w:sz w:val="21"/>
                <w:szCs w:val="21"/>
              </w:rPr>
              <w:t>1  项目</w:t>
            </w:r>
            <w:r>
              <w:rPr>
                <w:b/>
                <w:color w:val="auto"/>
                <w:kern w:val="0"/>
                <w:sz w:val="21"/>
                <w:szCs w:val="21"/>
              </w:rPr>
              <w:t>主要保护目标</w:t>
            </w:r>
            <w:r>
              <w:rPr>
                <w:rFonts w:hint="eastAsia"/>
                <w:b/>
                <w:color w:val="auto"/>
                <w:kern w:val="0"/>
                <w:sz w:val="21"/>
                <w:szCs w:val="21"/>
              </w:rPr>
              <w:t>表</w:t>
            </w:r>
          </w:p>
          <w:tbl>
            <w:tblPr>
              <w:tblStyle w:val="23"/>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378"/>
              <w:gridCol w:w="932"/>
              <w:gridCol w:w="945"/>
              <w:gridCol w:w="1755"/>
              <w:gridCol w:w="1125"/>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Align w:val="center"/>
                </w:tcPr>
                <w:p>
                  <w:pPr>
                    <w:tabs>
                      <w:tab w:val="left" w:pos="2265"/>
                    </w:tabs>
                    <w:jc w:val="center"/>
                    <w:rPr>
                      <w:b/>
                      <w:color w:val="auto"/>
                      <w:szCs w:val="21"/>
                    </w:rPr>
                  </w:pPr>
                  <w:r>
                    <w:rPr>
                      <w:rFonts w:hint="eastAsia"/>
                      <w:b/>
                      <w:color w:val="auto"/>
                      <w:szCs w:val="21"/>
                    </w:rPr>
                    <w:t>类别</w:t>
                  </w:r>
                </w:p>
              </w:tc>
              <w:tc>
                <w:tcPr>
                  <w:tcW w:w="1378" w:type="dxa"/>
                  <w:vAlign w:val="center"/>
                </w:tcPr>
                <w:p>
                  <w:pPr>
                    <w:tabs>
                      <w:tab w:val="left" w:pos="2265"/>
                    </w:tabs>
                    <w:jc w:val="center"/>
                    <w:rPr>
                      <w:b/>
                      <w:color w:val="auto"/>
                      <w:szCs w:val="21"/>
                    </w:rPr>
                  </w:pPr>
                  <w:r>
                    <w:rPr>
                      <w:rFonts w:hint="eastAsia"/>
                      <w:b/>
                      <w:color w:val="auto"/>
                      <w:szCs w:val="21"/>
                    </w:rPr>
                    <w:t>保护目标</w:t>
                  </w:r>
                </w:p>
              </w:tc>
              <w:tc>
                <w:tcPr>
                  <w:tcW w:w="932" w:type="dxa"/>
                  <w:vAlign w:val="center"/>
                </w:tcPr>
                <w:p>
                  <w:pPr>
                    <w:tabs>
                      <w:tab w:val="left" w:pos="2265"/>
                    </w:tabs>
                    <w:jc w:val="center"/>
                    <w:rPr>
                      <w:b/>
                      <w:color w:val="auto"/>
                      <w:szCs w:val="21"/>
                    </w:rPr>
                  </w:pPr>
                  <w:r>
                    <w:rPr>
                      <w:rFonts w:hint="eastAsia"/>
                      <w:b/>
                      <w:color w:val="auto"/>
                      <w:szCs w:val="21"/>
                    </w:rPr>
                    <w:t>方位</w:t>
                  </w:r>
                </w:p>
              </w:tc>
              <w:tc>
                <w:tcPr>
                  <w:tcW w:w="945" w:type="dxa"/>
                  <w:vAlign w:val="center"/>
                </w:tcPr>
                <w:p>
                  <w:pPr>
                    <w:tabs>
                      <w:tab w:val="left" w:pos="2265"/>
                    </w:tabs>
                    <w:jc w:val="center"/>
                    <w:rPr>
                      <w:rFonts w:hint="eastAsia"/>
                      <w:b/>
                      <w:color w:val="auto"/>
                      <w:szCs w:val="21"/>
                    </w:rPr>
                  </w:pPr>
                  <w:r>
                    <w:rPr>
                      <w:rFonts w:hint="eastAsia"/>
                      <w:b/>
                      <w:color w:val="auto"/>
                      <w:szCs w:val="21"/>
                    </w:rPr>
                    <w:t>距离</w:t>
                  </w:r>
                  <w:r>
                    <w:rPr>
                      <w:rFonts w:hint="eastAsia"/>
                      <w:b/>
                      <w:color w:val="auto"/>
                      <w:szCs w:val="21"/>
                      <w:lang w:val="en-US" w:eastAsia="zh-CN"/>
                    </w:rPr>
                    <w:t>/m</w:t>
                  </w:r>
                </w:p>
              </w:tc>
              <w:tc>
                <w:tcPr>
                  <w:tcW w:w="1755" w:type="dxa"/>
                  <w:vAlign w:val="center"/>
                </w:tcPr>
                <w:p>
                  <w:pPr>
                    <w:tabs>
                      <w:tab w:val="left" w:pos="2265"/>
                    </w:tabs>
                    <w:jc w:val="both"/>
                    <w:rPr>
                      <w:b/>
                      <w:color w:val="auto"/>
                      <w:szCs w:val="21"/>
                    </w:rPr>
                  </w:pPr>
                  <w:r>
                    <w:rPr>
                      <w:rFonts w:hint="eastAsia"/>
                      <w:b/>
                      <w:color w:val="auto"/>
                      <w:szCs w:val="21"/>
                    </w:rPr>
                    <w:t>人</w:t>
                  </w:r>
                  <w:r>
                    <w:rPr>
                      <w:rFonts w:hint="eastAsia"/>
                      <w:b/>
                      <w:color w:val="auto"/>
                      <w:szCs w:val="21"/>
                      <w:lang w:eastAsia="zh-CN"/>
                    </w:rPr>
                    <w:t>数</w:t>
                  </w:r>
                  <w:r>
                    <w:rPr>
                      <w:rFonts w:hint="eastAsia"/>
                      <w:b/>
                      <w:color w:val="auto"/>
                      <w:szCs w:val="21"/>
                    </w:rPr>
                    <w:t>/规模</w:t>
                  </w:r>
                  <w:r>
                    <w:rPr>
                      <w:rFonts w:hint="eastAsia"/>
                      <w:b/>
                      <w:color w:val="auto"/>
                      <w:szCs w:val="21"/>
                      <w:lang w:val="en-US" w:eastAsia="zh-CN"/>
                    </w:rPr>
                    <w:t>/性质</w:t>
                  </w:r>
                </w:p>
              </w:tc>
              <w:tc>
                <w:tcPr>
                  <w:tcW w:w="1125" w:type="dxa"/>
                  <w:vAlign w:val="center"/>
                </w:tcPr>
                <w:p>
                  <w:pPr>
                    <w:tabs>
                      <w:tab w:val="left" w:pos="2265"/>
                    </w:tabs>
                    <w:jc w:val="center"/>
                    <w:rPr>
                      <w:b/>
                      <w:color w:val="auto"/>
                      <w:szCs w:val="21"/>
                    </w:rPr>
                  </w:pPr>
                  <w:r>
                    <w:rPr>
                      <w:rFonts w:hint="eastAsia"/>
                      <w:b/>
                      <w:color w:val="auto"/>
                      <w:szCs w:val="21"/>
                    </w:rPr>
                    <w:t>保护级别</w:t>
                  </w:r>
                </w:p>
              </w:tc>
              <w:tc>
                <w:tcPr>
                  <w:tcW w:w="1639" w:type="dxa"/>
                  <w:vAlign w:val="center"/>
                </w:tcPr>
                <w:p>
                  <w:pPr>
                    <w:tabs>
                      <w:tab w:val="left" w:pos="2265"/>
                    </w:tabs>
                    <w:jc w:val="center"/>
                    <w:rPr>
                      <w:b/>
                      <w:color w:val="auto"/>
                      <w:szCs w:val="21"/>
                    </w:rPr>
                  </w:pPr>
                  <w:r>
                    <w:rPr>
                      <w:rFonts w:hint="eastAsia"/>
                      <w:b/>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restart"/>
                  <w:vAlign w:val="center"/>
                </w:tcPr>
                <w:p>
                  <w:pPr>
                    <w:tabs>
                      <w:tab w:val="left" w:pos="2265"/>
                    </w:tabs>
                    <w:jc w:val="center"/>
                    <w:rPr>
                      <w:color w:val="auto"/>
                      <w:szCs w:val="21"/>
                    </w:rPr>
                  </w:pPr>
                  <w:r>
                    <w:rPr>
                      <w:rFonts w:hint="eastAsia"/>
                      <w:color w:val="auto"/>
                      <w:szCs w:val="21"/>
                    </w:rPr>
                    <w:t>大气环境</w:t>
                  </w:r>
                </w:p>
              </w:tc>
              <w:tc>
                <w:tcPr>
                  <w:tcW w:w="1378" w:type="dxa"/>
                  <w:vAlign w:val="center"/>
                </w:tcPr>
                <w:p>
                  <w:pPr>
                    <w:jc w:val="center"/>
                    <w:rPr>
                      <w:rFonts w:hint="eastAsia" w:eastAsia="宋体"/>
                      <w:color w:val="auto"/>
                      <w:szCs w:val="21"/>
                      <w:lang w:eastAsia="zh-CN"/>
                    </w:rPr>
                  </w:pPr>
                  <w:r>
                    <w:rPr>
                      <w:rFonts w:hint="eastAsia"/>
                      <w:color w:val="auto"/>
                      <w:szCs w:val="21"/>
                      <w:lang w:eastAsia="zh-CN"/>
                    </w:rPr>
                    <w:t>私人住户</w:t>
                  </w:r>
                </w:p>
              </w:tc>
              <w:tc>
                <w:tcPr>
                  <w:tcW w:w="932" w:type="dxa"/>
                  <w:vAlign w:val="center"/>
                </w:tcPr>
                <w:p>
                  <w:pPr>
                    <w:jc w:val="center"/>
                    <w:rPr>
                      <w:rFonts w:hint="eastAsia" w:eastAsia="宋体"/>
                      <w:color w:val="auto"/>
                      <w:szCs w:val="21"/>
                      <w:lang w:eastAsia="zh-CN"/>
                    </w:rPr>
                  </w:pPr>
                  <w:r>
                    <w:rPr>
                      <w:rFonts w:hint="eastAsia" w:eastAsia="宋体"/>
                      <w:color w:val="auto"/>
                      <w:szCs w:val="21"/>
                      <w:lang w:eastAsia="zh-CN"/>
                    </w:rPr>
                    <w:t>北侧</w:t>
                  </w:r>
                </w:p>
              </w:tc>
              <w:tc>
                <w:tcPr>
                  <w:tcW w:w="94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w:t>
                  </w:r>
                </w:p>
              </w:tc>
              <w:tc>
                <w:tcPr>
                  <w:tcW w:w="1755" w:type="dxa"/>
                  <w:vAlign w:val="center"/>
                </w:tcPr>
                <w:p>
                  <w:pPr>
                    <w:jc w:val="center"/>
                    <w:rPr>
                      <w:rFonts w:hint="eastAsia" w:eastAsia="宋体"/>
                      <w:color w:val="auto"/>
                      <w:szCs w:val="21"/>
                      <w:lang w:val="en-US" w:eastAsia="zh-CN"/>
                    </w:rPr>
                  </w:pPr>
                  <w:r>
                    <w:rPr>
                      <w:rFonts w:hint="eastAsia" w:eastAsia="宋体"/>
                      <w:color w:val="auto"/>
                      <w:szCs w:val="21"/>
                      <w:lang w:val="en-US" w:eastAsia="zh-CN"/>
                    </w:rPr>
                    <w:t>3户，10人</w:t>
                  </w:r>
                </w:p>
              </w:tc>
              <w:tc>
                <w:tcPr>
                  <w:tcW w:w="1125" w:type="dxa"/>
                  <w:vMerge w:val="restart"/>
                  <w:vAlign w:val="center"/>
                </w:tcPr>
                <w:p>
                  <w:pPr>
                    <w:tabs>
                      <w:tab w:val="left" w:pos="2265"/>
                    </w:tabs>
                    <w:jc w:val="center"/>
                    <w:rPr>
                      <w:color w:val="auto"/>
                      <w:szCs w:val="21"/>
                    </w:rPr>
                  </w:pPr>
                  <w:r>
                    <w:rPr>
                      <w:rFonts w:hint="eastAsia"/>
                      <w:color w:val="auto"/>
                      <w:szCs w:val="21"/>
                    </w:rPr>
                    <w:t>二级</w:t>
                  </w:r>
                </w:p>
              </w:tc>
              <w:tc>
                <w:tcPr>
                  <w:tcW w:w="1639" w:type="dxa"/>
                  <w:vMerge w:val="restart"/>
                  <w:vAlign w:val="center"/>
                </w:tcPr>
                <w:p>
                  <w:pPr>
                    <w:tabs>
                      <w:tab w:val="left" w:pos="2265"/>
                    </w:tabs>
                    <w:jc w:val="center"/>
                    <w:rPr>
                      <w:color w:val="auto"/>
                      <w:szCs w:val="21"/>
                    </w:rPr>
                  </w:pPr>
                  <w:r>
                    <w:rPr>
                      <w:rFonts w:hint="eastAsia"/>
                      <w:color w:val="auto"/>
                      <w:szCs w:val="21"/>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color w:val="auto"/>
                      <w:szCs w:val="21"/>
                    </w:rPr>
                  </w:pPr>
                  <w:r>
                    <w:rPr>
                      <w:rFonts w:hint="eastAsia"/>
                      <w:color w:val="auto"/>
                      <w:szCs w:val="21"/>
                      <w:lang w:eastAsia="zh-CN"/>
                    </w:rPr>
                    <w:t>私人住户</w:t>
                  </w:r>
                </w:p>
              </w:tc>
              <w:tc>
                <w:tcPr>
                  <w:tcW w:w="932"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南侧</w:t>
                  </w:r>
                </w:p>
              </w:tc>
              <w:tc>
                <w:tcPr>
                  <w:tcW w:w="94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w:t>
                  </w:r>
                </w:p>
              </w:tc>
              <w:tc>
                <w:tcPr>
                  <w:tcW w:w="1755" w:type="dxa"/>
                  <w:vAlign w:val="center"/>
                </w:tcPr>
                <w:p>
                  <w:pPr>
                    <w:jc w:val="center"/>
                    <w:rPr>
                      <w:rFonts w:hint="eastAsia" w:eastAsia="宋体"/>
                      <w:color w:val="auto"/>
                      <w:szCs w:val="21"/>
                      <w:lang w:val="en-US" w:eastAsia="zh-CN"/>
                    </w:rPr>
                  </w:pPr>
                  <w:r>
                    <w:rPr>
                      <w:rFonts w:hint="eastAsia" w:eastAsia="宋体"/>
                      <w:color w:val="auto"/>
                      <w:szCs w:val="21"/>
                      <w:lang w:val="en-US" w:eastAsia="zh-CN"/>
                    </w:rPr>
                    <w:t>3户，10人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color w:val="auto"/>
                      <w:szCs w:val="21"/>
                      <w:lang w:eastAsia="zh-CN"/>
                    </w:rPr>
                  </w:pPr>
                  <w:r>
                    <w:rPr>
                      <w:rFonts w:hint="eastAsia"/>
                      <w:color w:val="auto"/>
                      <w:szCs w:val="21"/>
                      <w:lang w:eastAsia="zh-CN"/>
                    </w:rPr>
                    <w:t>私人住户</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西南</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25</w:t>
                  </w:r>
                </w:p>
              </w:tc>
              <w:tc>
                <w:tcPr>
                  <w:tcW w:w="1755" w:type="dxa"/>
                  <w:vAlign w:val="center"/>
                </w:tcPr>
                <w:p>
                  <w:pPr>
                    <w:jc w:val="center"/>
                    <w:rPr>
                      <w:rFonts w:hint="eastAsia"/>
                      <w:color w:val="auto"/>
                      <w:szCs w:val="21"/>
                      <w:lang w:val="en-US" w:eastAsia="zh-CN"/>
                    </w:rPr>
                  </w:pPr>
                  <w:r>
                    <w:rPr>
                      <w:rFonts w:hint="eastAsia" w:eastAsia="宋体"/>
                      <w:color w:val="auto"/>
                      <w:szCs w:val="21"/>
                      <w:lang w:val="en-US" w:eastAsia="zh-CN"/>
                    </w:rPr>
                    <w:t>2户，8人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eastAsia="宋体"/>
                      <w:color w:val="auto"/>
                      <w:kern w:val="2"/>
                      <w:sz w:val="21"/>
                      <w:szCs w:val="21"/>
                      <w:lang w:val="en-US" w:eastAsia="zh-CN" w:bidi="ar-SA"/>
                    </w:rPr>
                  </w:pPr>
                  <w:r>
                    <w:rPr>
                      <w:rFonts w:hint="eastAsia"/>
                      <w:color w:val="auto"/>
                      <w:szCs w:val="21"/>
                      <w:lang w:eastAsia="zh-CN"/>
                    </w:rPr>
                    <w:t>私人住户</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西侧</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15</w:t>
                  </w:r>
                </w:p>
              </w:tc>
              <w:tc>
                <w:tcPr>
                  <w:tcW w:w="1755" w:type="dxa"/>
                  <w:vAlign w:val="center"/>
                </w:tcPr>
                <w:p>
                  <w:pPr>
                    <w:jc w:val="center"/>
                    <w:rPr>
                      <w:rFonts w:hint="eastAsia" w:eastAsia="宋体"/>
                      <w:color w:val="auto"/>
                      <w:szCs w:val="21"/>
                      <w:lang w:val="en-US" w:eastAsia="zh-CN"/>
                    </w:rPr>
                  </w:pPr>
                  <w:r>
                    <w:rPr>
                      <w:rFonts w:hint="eastAsia" w:eastAsia="宋体"/>
                      <w:color w:val="auto"/>
                      <w:szCs w:val="21"/>
                      <w:lang w:val="en-US" w:eastAsia="zh-CN"/>
                    </w:rPr>
                    <w:t>5户，15人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eastAsia="宋体"/>
                      <w:color w:val="auto"/>
                      <w:kern w:val="2"/>
                      <w:sz w:val="21"/>
                      <w:szCs w:val="21"/>
                      <w:lang w:val="en-US" w:eastAsia="zh-CN" w:bidi="ar-SA"/>
                    </w:rPr>
                  </w:pPr>
                  <w:r>
                    <w:rPr>
                      <w:rFonts w:hint="eastAsia"/>
                      <w:color w:val="auto"/>
                      <w:szCs w:val="21"/>
                      <w:lang w:eastAsia="zh-CN"/>
                    </w:rPr>
                    <w:t>私人住户</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东北</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755" w:type="dxa"/>
                  <w:vAlign w:val="center"/>
                </w:tcPr>
                <w:p>
                  <w:pPr>
                    <w:jc w:val="center"/>
                    <w:rPr>
                      <w:rFonts w:hint="eastAsia"/>
                      <w:color w:val="auto"/>
                      <w:szCs w:val="21"/>
                      <w:lang w:val="en-US" w:eastAsia="zh-CN"/>
                    </w:rPr>
                  </w:pPr>
                  <w:r>
                    <w:rPr>
                      <w:rFonts w:hint="eastAsia" w:eastAsia="宋体"/>
                      <w:color w:val="auto"/>
                      <w:szCs w:val="21"/>
                      <w:lang w:val="en-US" w:eastAsia="zh-CN"/>
                    </w:rPr>
                    <w:t>4户，15人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eastAsia="宋体"/>
                      <w:color w:val="auto"/>
                      <w:kern w:val="2"/>
                      <w:sz w:val="21"/>
                      <w:szCs w:val="21"/>
                      <w:lang w:val="en-US" w:eastAsia="zh-CN" w:bidi="ar-SA"/>
                    </w:rPr>
                  </w:pPr>
                  <w:r>
                    <w:rPr>
                      <w:rFonts w:hint="eastAsia"/>
                      <w:color w:val="auto"/>
                      <w:szCs w:val="21"/>
                      <w:lang w:eastAsia="zh-CN"/>
                    </w:rPr>
                    <w:t>私人住户</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东南</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755" w:type="dxa"/>
                  <w:vAlign w:val="center"/>
                </w:tcPr>
                <w:p>
                  <w:pPr>
                    <w:jc w:val="center"/>
                    <w:rPr>
                      <w:rFonts w:hint="eastAsia"/>
                      <w:color w:val="auto"/>
                      <w:szCs w:val="21"/>
                      <w:lang w:val="en-US" w:eastAsia="zh-CN"/>
                    </w:rPr>
                  </w:pPr>
                  <w:r>
                    <w:rPr>
                      <w:rFonts w:hint="eastAsia" w:eastAsia="宋体"/>
                      <w:color w:val="auto"/>
                      <w:szCs w:val="21"/>
                      <w:lang w:val="en-US" w:eastAsia="zh-CN"/>
                    </w:rPr>
                    <w:t>2户，8人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蚌峨主街</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东南</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400</w:t>
                  </w:r>
                </w:p>
              </w:tc>
              <w:tc>
                <w:tcPr>
                  <w:tcW w:w="1755" w:type="dxa"/>
                  <w:vAlign w:val="center"/>
                </w:tcPr>
                <w:p>
                  <w:pPr>
                    <w:jc w:val="center"/>
                    <w:rPr>
                      <w:rFonts w:hint="eastAsia"/>
                      <w:color w:val="auto"/>
                      <w:szCs w:val="21"/>
                      <w:lang w:val="en-US" w:eastAsia="zh-CN"/>
                    </w:rPr>
                  </w:pPr>
                  <w:r>
                    <w:rPr>
                      <w:rFonts w:hint="eastAsia"/>
                      <w:color w:val="auto"/>
                      <w:szCs w:val="21"/>
                      <w:lang w:val="en-US" w:eastAsia="zh-CN"/>
                    </w:rPr>
                    <w:t>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六掌村</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东北</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2083</w:t>
                  </w:r>
                </w:p>
              </w:tc>
              <w:tc>
                <w:tcPr>
                  <w:tcW w:w="1755" w:type="dxa"/>
                  <w:vAlign w:val="center"/>
                </w:tcPr>
                <w:p>
                  <w:pPr>
                    <w:jc w:val="center"/>
                    <w:rPr>
                      <w:rFonts w:hint="eastAsia"/>
                      <w:color w:val="auto"/>
                      <w:szCs w:val="21"/>
                      <w:lang w:val="en-US" w:eastAsia="zh-CN"/>
                    </w:rPr>
                  </w:pPr>
                  <w:r>
                    <w:rPr>
                      <w:rFonts w:hint="eastAsia"/>
                      <w:color w:val="auto"/>
                      <w:szCs w:val="21"/>
                      <w:lang w:val="en-US" w:eastAsia="zh-CN"/>
                    </w:rPr>
                    <w:t>30户，80人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波美</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东北</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781</w:t>
                  </w:r>
                </w:p>
              </w:tc>
              <w:tc>
                <w:tcPr>
                  <w:tcW w:w="1755" w:type="dxa"/>
                  <w:vAlign w:val="center"/>
                </w:tcPr>
                <w:p>
                  <w:pPr>
                    <w:jc w:val="center"/>
                    <w:rPr>
                      <w:rFonts w:hint="eastAsia"/>
                      <w:color w:val="auto"/>
                      <w:szCs w:val="21"/>
                      <w:lang w:val="en-US" w:eastAsia="zh-CN"/>
                    </w:rPr>
                  </w:pPr>
                  <w:r>
                    <w:rPr>
                      <w:rFonts w:hint="eastAsia"/>
                      <w:color w:val="auto"/>
                      <w:szCs w:val="21"/>
                      <w:lang w:val="en-US" w:eastAsia="zh-CN"/>
                    </w:rPr>
                    <w:t>20户，60人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六肥上寨</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西北</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1949</w:t>
                  </w:r>
                </w:p>
              </w:tc>
              <w:tc>
                <w:tcPr>
                  <w:tcW w:w="1755" w:type="dxa"/>
                  <w:vAlign w:val="center"/>
                </w:tcPr>
                <w:p>
                  <w:pPr>
                    <w:jc w:val="center"/>
                    <w:rPr>
                      <w:rFonts w:hint="eastAsia"/>
                      <w:color w:val="auto"/>
                      <w:szCs w:val="21"/>
                      <w:lang w:val="en-US" w:eastAsia="zh-CN"/>
                    </w:rPr>
                  </w:pPr>
                  <w:r>
                    <w:rPr>
                      <w:rFonts w:hint="eastAsia"/>
                      <w:color w:val="auto"/>
                      <w:szCs w:val="21"/>
                      <w:lang w:val="en-US" w:eastAsia="zh-CN"/>
                    </w:rPr>
                    <w:t>30户，100人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六肥中寨</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西北</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897</w:t>
                  </w:r>
                </w:p>
              </w:tc>
              <w:tc>
                <w:tcPr>
                  <w:tcW w:w="1755" w:type="dxa"/>
                  <w:vAlign w:val="center"/>
                </w:tcPr>
                <w:p>
                  <w:pPr>
                    <w:jc w:val="center"/>
                    <w:rPr>
                      <w:rFonts w:hint="eastAsia"/>
                      <w:color w:val="auto"/>
                      <w:szCs w:val="21"/>
                      <w:lang w:val="en-US" w:eastAsia="zh-CN"/>
                    </w:rPr>
                  </w:pPr>
                  <w:r>
                    <w:rPr>
                      <w:rFonts w:hint="eastAsia"/>
                      <w:color w:val="auto"/>
                      <w:szCs w:val="21"/>
                      <w:lang w:val="en-US" w:eastAsia="zh-CN"/>
                    </w:rPr>
                    <w:t>30户，80人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25" w:type="dxa"/>
                  <w:vMerge w:val="continue"/>
                  <w:vAlign w:val="center"/>
                </w:tcPr>
                <w:p>
                  <w:pPr>
                    <w:tabs>
                      <w:tab w:val="left" w:pos="2265"/>
                    </w:tabs>
                    <w:jc w:val="center"/>
                    <w:rPr>
                      <w:color w:val="auto"/>
                      <w:szCs w:val="21"/>
                    </w:rPr>
                  </w:pPr>
                </w:p>
              </w:tc>
              <w:tc>
                <w:tcPr>
                  <w:tcW w:w="1378" w:type="dxa"/>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大箐</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西南</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995</w:t>
                  </w:r>
                </w:p>
              </w:tc>
              <w:tc>
                <w:tcPr>
                  <w:tcW w:w="1755" w:type="dxa"/>
                  <w:vAlign w:val="center"/>
                </w:tcPr>
                <w:p>
                  <w:pPr>
                    <w:jc w:val="center"/>
                    <w:rPr>
                      <w:rFonts w:hint="eastAsia"/>
                      <w:color w:val="auto"/>
                      <w:szCs w:val="21"/>
                      <w:lang w:val="en-US" w:eastAsia="zh-CN"/>
                    </w:rPr>
                  </w:pPr>
                  <w:r>
                    <w:rPr>
                      <w:rFonts w:hint="eastAsia"/>
                      <w:color w:val="auto"/>
                      <w:szCs w:val="21"/>
                      <w:lang w:val="en-US" w:eastAsia="zh-CN"/>
                    </w:rPr>
                    <w:t>20户，60人</w:t>
                  </w:r>
                </w:p>
              </w:tc>
              <w:tc>
                <w:tcPr>
                  <w:tcW w:w="1125" w:type="dxa"/>
                  <w:vMerge w:val="continue"/>
                  <w:vAlign w:val="center"/>
                </w:tcPr>
                <w:p>
                  <w:pPr>
                    <w:tabs>
                      <w:tab w:val="left" w:pos="2265"/>
                    </w:tabs>
                    <w:jc w:val="center"/>
                    <w:rPr>
                      <w:color w:val="auto"/>
                      <w:szCs w:val="21"/>
                    </w:rPr>
                  </w:pPr>
                </w:p>
              </w:tc>
              <w:tc>
                <w:tcPr>
                  <w:tcW w:w="1639" w:type="dxa"/>
                  <w:vMerge w:val="continue"/>
                  <w:vAlign w:val="center"/>
                </w:tcPr>
                <w:p>
                  <w:pPr>
                    <w:tabs>
                      <w:tab w:val="left" w:pos="2265"/>
                    </w:tabs>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exact"/>
                <w:jc w:val="center"/>
              </w:trPr>
              <w:tc>
                <w:tcPr>
                  <w:tcW w:w="1025" w:type="dxa"/>
                  <w:vAlign w:val="center"/>
                </w:tcPr>
                <w:p>
                  <w:pPr>
                    <w:tabs>
                      <w:tab w:val="left" w:pos="2265"/>
                    </w:tabs>
                    <w:jc w:val="center"/>
                    <w:rPr>
                      <w:rFonts w:hint="eastAsia" w:eastAsia="宋体"/>
                      <w:color w:val="auto"/>
                      <w:szCs w:val="21"/>
                      <w:lang w:eastAsia="zh-CN"/>
                    </w:rPr>
                  </w:pPr>
                  <w:r>
                    <w:rPr>
                      <w:rFonts w:hint="eastAsia"/>
                      <w:color w:val="auto"/>
                      <w:szCs w:val="21"/>
                      <w:lang w:eastAsia="zh-CN"/>
                    </w:rPr>
                    <w:t>地表水</w:t>
                  </w:r>
                </w:p>
              </w:tc>
              <w:tc>
                <w:tcPr>
                  <w:tcW w:w="1378" w:type="dxa"/>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蚌峨河</w:t>
                  </w:r>
                </w:p>
              </w:tc>
              <w:tc>
                <w:tcPr>
                  <w:tcW w:w="932"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东北侧</w:t>
                  </w:r>
                </w:p>
              </w:tc>
              <w:tc>
                <w:tcPr>
                  <w:tcW w:w="945" w:type="dxa"/>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410</w:t>
                  </w:r>
                </w:p>
              </w:tc>
              <w:tc>
                <w:tcPr>
                  <w:tcW w:w="1755" w:type="dxa"/>
                  <w:vAlign w:val="center"/>
                </w:tcPr>
                <w:p>
                  <w:pPr>
                    <w:jc w:val="center"/>
                    <w:rPr>
                      <w:rFonts w:hint="eastAsia"/>
                      <w:color w:val="auto"/>
                      <w:szCs w:val="21"/>
                      <w:lang w:val="en-US" w:eastAsia="zh-CN"/>
                    </w:rPr>
                  </w:pPr>
                  <w:r>
                    <w:rPr>
                      <w:rFonts w:hint="eastAsia"/>
                      <w:color w:val="auto"/>
                      <w:szCs w:val="21"/>
                      <w:lang w:val="en-US" w:eastAsia="zh-CN"/>
                    </w:rPr>
                    <w:t>农田灌溉</w:t>
                  </w:r>
                </w:p>
              </w:tc>
              <w:tc>
                <w:tcPr>
                  <w:tcW w:w="1125" w:type="dxa"/>
                  <w:vAlign w:val="center"/>
                </w:tcPr>
                <w:p>
                  <w:pPr>
                    <w:tabs>
                      <w:tab w:val="left" w:pos="2265"/>
                    </w:tabs>
                    <w:jc w:val="center"/>
                    <w:rPr>
                      <w:color w:val="auto"/>
                      <w:szCs w:val="21"/>
                    </w:rPr>
                  </w:pPr>
                  <w:r>
                    <w:rPr>
                      <w:rFonts w:hint="eastAsia"/>
                      <w:color w:val="auto"/>
                      <w:szCs w:val="21"/>
                    </w:rPr>
                    <w:t>Ⅲ类</w:t>
                  </w:r>
                </w:p>
              </w:tc>
              <w:tc>
                <w:tcPr>
                  <w:tcW w:w="1639" w:type="dxa"/>
                  <w:vAlign w:val="center"/>
                </w:tcPr>
                <w:p>
                  <w:pPr>
                    <w:tabs>
                      <w:tab w:val="left" w:pos="2265"/>
                    </w:tabs>
                    <w:jc w:val="center"/>
                    <w:rPr>
                      <w:color w:val="auto"/>
                      <w:szCs w:val="21"/>
                    </w:rPr>
                  </w:pPr>
                  <w:r>
                    <w:rPr>
                      <w:rFonts w:hint="eastAsia"/>
                      <w:color w:val="auto"/>
                      <w:szCs w:val="21"/>
                    </w:rPr>
                    <w:t>《地表水环境质量标准》（GB3838-2002）Ⅲ类标准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exact"/>
                <w:jc w:val="center"/>
              </w:trPr>
              <w:tc>
                <w:tcPr>
                  <w:tcW w:w="1025" w:type="dxa"/>
                  <w:vAlign w:val="center"/>
                </w:tcPr>
                <w:p>
                  <w:pPr>
                    <w:tabs>
                      <w:tab w:val="left" w:pos="2265"/>
                    </w:tabs>
                    <w:jc w:val="center"/>
                    <w:rPr>
                      <w:color w:val="auto"/>
                      <w:szCs w:val="21"/>
                    </w:rPr>
                  </w:pPr>
                  <w:r>
                    <w:rPr>
                      <w:rFonts w:hint="eastAsia"/>
                      <w:color w:val="auto"/>
                      <w:szCs w:val="21"/>
                    </w:rPr>
                    <w:t>地下水</w:t>
                  </w:r>
                </w:p>
              </w:tc>
              <w:tc>
                <w:tcPr>
                  <w:tcW w:w="5010" w:type="dxa"/>
                  <w:gridSpan w:val="4"/>
                  <w:vAlign w:val="center"/>
                </w:tcPr>
                <w:p>
                  <w:pPr>
                    <w:tabs>
                      <w:tab w:val="left" w:pos="2265"/>
                    </w:tabs>
                    <w:jc w:val="center"/>
                    <w:rPr>
                      <w:color w:val="auto"/>
                      <w:szCs w:val="21"/>
                    </w:rPr>
                  </w:pPr>
                  <w:r>
                    <w:rPr>
                      <w:rFonts w:hint="eastAsia"/>
                      <w:color w:val="auto"/>
                      <w:sz w:val="24"/>
                      <w:szCs w:val="28"/>
                    </w:rPr>
                    <w:t>项目区域同一地下水文地质单元</w:t>
                  </w:r>
                </w:p>
              </w:tc>
              <w:tc>
                <w:tcPr>
                  <w:tcW w:w="1125" w:type="dxa"/>
                  <w:vAlign w:val="center"/>
                </w:tcPr>
                <w:p>
                  <w:pPr>
                    <w:tabs>
                      <w:tab w:val="left" w:pos="2265"/>
                    </w:tabs>
                    <w:jc w:val="center"/>
                    <w:rPr>
                      <w:color w:val="auto"/>
                      <w:szCs w:val="21"/>
                    </w:rPr>
                  </w:pPr>
                  <w:r>
                    <w:rPr>
                      <w:rFonts w:hint="eastAsia"/>
                      <w:color w:val="auto"/>
                      <w:szCs w:val="21"/>
                    </w:rPr>
                    <w:t>III类</w:t>
                  </w:r>
                </w:p>
              </w:tc>
              <w:tc>
                <w:tcPr>
                  <w:tcW w:w="1639" w:type="dxa"/>
                  <w:vAlign w:val="center"/>
                </w:tcPr>
                <w:p>
                  <w:pPr>
                    <w:tabs>
                      <w:tab w:val="left" w:pos="2265"/>
                    </w:tabs>
                    <w:jc w:val="center"/>
                    <w:rPr>
                      <w:color w:val="auto"/>
                      <w:szCs w:val="21"/>
                    </w:rPr>
                  </w:pPr>
                  <w:r>
                    <w:rPr>
                      <w:rFonts w:hint="eastAsia"/>
                      <w:color w:val="auto"/>
                      <w:szCs w:val="21"/>
                    </w:rPr>
                    <w:t>《地下水质量标准》GB/T14848-2017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exact"/>
                <w:jc w:val="center"/>
              </w:trPr>
              <w:tc>
                <w:tcPr>
                  <w:tcW w:w="1025" w:type="dxa"/>
                  <w:vAlign w:val="center"/>
                </w:tcPr>
                <w:p>
                  <w:pPr>
                    <w:tabs>
                      <w:tab w:val="left" w:pos="2265"/>
                    </w:tabs>
                    <w:jc w:val="center"/>
                    <w:rPr>
                      <w:color w:val="auto"/>
                      <w:szCs w:val="21"/>
                    </w:rPr>
                  </w:pPr>
                  <w:r>
                    <w:rPr>
                      <w:rFonts w:hint="eastAsia"/>
                      <w:color w:val="auto"/>
                      <w:szCs w:val="21"/>
                    </w:rPr>
                    <w:t>声环境</w:t>
                  </w:r>
                </w:p>
              </w:tc>
              <w:tc>
                <w:tcPr>
                  <w:tcW w:w="5010" w:type="dxa"/>
                  <w:gridSpan w:val="4"/>
                  <w:vAlign w:val="center"/>
                </w:tcPr>
                <w:p>
                  <w:pPr>
                    <w:tabs>
                      <w:tab w:val="left" w:pos="2265"/>
                    </w:tabs>
                    <w:jc w:val="center"/>
                    <w:rPr>
                      <w:color w:val="auto"/>
                      <w:szCs w:val="21"/>
                    </w:rPr>
                  </w:pPr>
                  <w:r>
                    <w:rPr>
                      <w:rFonts w:hint="eastAsia"/>
                      <w:color w:val="auto"/>
                      <w:szCs w:val="21"/>
                    </w:rPr>
                    <w:t>厂址200m范围内</w:t>
                  </w:r>
                </w:p>
              </w:tc>
              <w:tc>
                <w:tcPr>
                  <w:tcW w:w="1125" w:type="dxa"/>
                  <w:vAlign w:val="center"/>
                </w:tcPr>
                <w:p>
                  <w:pPr>
                    <w:tabs>
                      <w:tab w:val="left" w:pos="2265"/>
                    </w:tabs>
                    <w:jc w:val="center"/>
                    <w:rPr>
                      <w:color w:val="auto"/>
                      <w:szCs w:val="21"/>
                    </w:rPr>
                  </w:pPr>
                  <w:r>
                    <w:rPr>
                      <w:rFonts w:hint="eastAsia"/>
                      <w:color w:val="auto"/>
                      <w:szCs w:val="21"/>
                    </w:rPr>
                    <w:t>2类</w:t>
                  </w:r>
                  <w:r>
                    <w:rPr>
                      <w:rFonts w:hint="eastAsia"/>
                      <w:color w:val="auto"/>
                      <w:szCs w:val="21"/>
                      <w:lang w:val="en-US" w:eastAsia="zh-CN"/>
                    </w:rPr>
                    <w:t xml:space="preserve"> </w:t>
                  </w:r>
                </w:p>
              </w:tc>
              <w:tc>
                <w:tcPr>
                  <w:tcW w:w="1639" w:type="dxa"/>
                  <w:vAlign w:val="center"/>
                </w:tcPr>
                <w:p>
                  <w:pPr>
                    <w:tabs>
                      <w:tab w:val="left" w:pos="2265"/>
                    </w:tabs>
                    <w:jc w:val="center"/>
                    <w:rPr>
                      <w:color w:val="auto"/>
                      <w:szCs w:val="21"/>
                    </w:rPr>
                  </w:pPr>
                  <w:r>
                    <w:rPr>
                      <w:rFonts w:hint="eastAsia"/>
                      <w:color w:val="auto"/>
                      <w:szCs w:val="21"/>
                    </w:rPr>
                    <w:t>《声环境质量标准》GB3096-2008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exact"/>
                <w:jc w:val="center"/>
              </w:trPr>
              <w:tc>
                <w:tcPr>
                  <w:tcW w:w="6035" w:type="dxa"/>
                  <w:gridSpan w:val="5"/>
                  <w:vAlign w:val="center"/>
                </w:tcPr>
                <w:p>
                  <w:pPr>
                    <w:pStyle w:val="8"/>
                    <w:snapToGrid w:val="0"/>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生态环境</w:t>
                  </w:r>
                </w:p>
              </w:tc>
              <w:tc>
                <w:tcPr>
                  <w:tcW w:w="2764" w:type="dxa"/>
                  <w:gridSpan w:val="2"/>
                  <w:vAlign w:val="center"/>
                </w:tcPr>
                <w:p>
                  <w:pPr>
                    <w:pStyle w:val="8"/>
                    <w:snapToGrid w:val="0"/>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项目场地及附近的植被、景观、野生动物、水土流失、土地利用等。</w:t>
                  </w:r>
                </w:p>
              </w:tc>
            </w:tr>
          </w:tbl>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tc>
      </w:tr>
    </w:tbl>
    <w:tbl>
      <w:tblPr>
        <w:tblStyle w:val="23"/>
        <w:tblpPr w:leftFromText="180" w:rightFromText="180" w:vertAnchor="text" w:horzAnchor="margin" w:tblpXSpec="center" w:tblpY="1"/>
        <w:tblW w:w="9478" w:type="dxa"/>
        <w:tblInd w:w="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8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8" w:type="dxa"/>
            <w:gridSpan w:val="2"/>
            <w:tcBorders>
              <w:top w:val="nil"/>
              <w:left w:val="nil"/>
              <w:bottom w:val="single" w:color="auto" w:sz="4" w:space="0"/>
              <w:right w:val="nil"/>
            </w:tcBorders>
            <w:vAlign w:val="top"/>
          </w:tcPr>
          <w:p>
            <w:pPr>
              <w:rPr>
                <w:rFonts w:hint="default" w:ascii="Times New Roman" w:hAnsi="Times New Roman" w:cs="Times New Roman"/>
                <w:color w:val="auto"/>
              </w:rPr>
            </w:pPr>
            <w:r>
              <w:rPr>
                <w:rFonts w:hint="default" w:ascii="Times New Roman" w:hAnsi="Times New Roman" w:cs="Times New Roman"/>
                <w:b/>
                <w:color w:val="auto"/>
                <w:sz w:val="32"/>
                <w:szCs w:val="32"/>
              </w:rPr>
              <w:t>表四、评价适用标准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Borders>
              <w:top w:val="single" w:color="auto" w:sz="4" w:space="0"/>
            </w:tcBorders>
            <w:vAlign w:val="center"/>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环</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境</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质</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量</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标</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准</w:t>
            </w:r>
          </w:p>
          <w:p>
            <w:pPr>
              <w:jc w:val="center"/>
              <w:rPr>
                <w:rFonts w:hint="default" w:ascii="Times New Roman" w:hAnsi="Times New Roman" w:cs="Times New Roman"/>
                <w:color w:val="auto"/>
              </w:rPr>
            </w:pPr>
          </w:p>
        </w:tc>
        <w:tc>
          <w:tcPr>
            <w:tcW w:w="8734" w:type="dxa"/>
            <w:tcBorders>
              <w:top w:val="single" w:color="auto" w:sz="4" w:space="0"/>
            </w:tcBorders>
            <w:vAlign w:val="top"/>
          </w:tcPr>
          <w:p>
            <w:pPr>
              <w:spacing w:line="480" w:lineRule="exact"/>
              <w:ind w:firstLine="361" w:firstLineChars="150"/>
              <w:rPr>
                <w:rFonts w:hint="default" w:ascii="Times New Roman" w:hAnsi="Times New Roman" w:cs="Times New Roman"/>
                <w:b/>
                <w:snapToGrid w:val="0"/>
                <w:color w:val="auto"/>
                <w:sz w:val="24"/>
              </w:rPr>
            </w:pPr>
            <w:r>
              <w:rPr>
                <w:rFonts w:hint="default" w:ascii="Times New Roman" w:hAnsi="Times New Roman" w:cs="Times New Roman"/>
                <w:b/>
                <w:snapToGrid w:val="0"/>
                <w:color w:val="auto"/>
                <w:sz w:val="24"/>
              </w:rPr>
              <w:t>1、水环境</w:t>
            </w:r>
          </w:p>
          <w:p>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（1）</w:t>
            </w:r>
            <w:r>
              <w:rPr>
                <w:rFonts w:hint="eastAsia" w:ascii="宋体" w:hAnsi="宋体"/>
                <w:color w:val="auto"/>
                <w:sz w:val="24"/>
                <w:lang w:val="en-US" w:eastAsia="zh-CN"/>
              </w:rPr>
              <w:t>项目东北侧410m处为蚌峨河，</w:t>
            </w:r>
            <w:r>
              <w:rPr>
                <w:rFonts w:hAnsi="宋体"/>
                <w:color w:val="auto"/>
                <w:kern w:val="0"/>
                <w:sz w:val="24"/>
              </w:rPr>
              <w:t>现状无饮用功能，仅用作周边农田灌溉取水</w:t>
            </w:r>
            <w:r>
              <w:rPr>
                <w:rFonts w:hint="eastAsia" w:hAnsi="宋体"/>
                <w:color w:val="auto"/>
                <w:kern w:val="0"/>
                <w:sz w:val="24"/>
              </w:rPr>
              <w:t>，</w:t>
            </w:r>
            <w:r>
              <w:rPr>
                <w:rFonts w:hAnsi="宋体"/>
                <w:color w:val="auto"/>
                <w:sz w:val="24"/>
              </w:rPr>
              <w:t>执行《地表水环境质量标准》（</w:t>
            </w:r>
            <w:r>
              <w:rPr>
                <w:color w:val="auto"/>
                <w:sz w:val="24"/>
              </w:rPr>
              <w:t>GB3838-2002</w:t>
            </w:r>
            <w:r>
              <w:rPr>
                <w:rFonts w:hAnsi="宋体"/>
                <w:color w:val="auto"/>
                <w:sz w:val="24"/>
              </w:rPr>
              <w:t>）</w:t>
            </w:r>
            <w:r>
              <w:rPr>
                <w:color w:val="auto"/>
                <w:sz w:val="24"/>
              </w:rPr>
              <w:t>Ⅲ</w:t>
            </w:r>
            <w:r>
              <w:rPr>
                <w:rFonts w:hAnsi="宋体"/>
                <w:color w:val="auto"/>
                <w:sz w:val="24"/>
              </w:rPr>
              <w:t>类标准。</w:t>
            </w:r>
            <w:r>
              <w:rPr>
                <w:rFonts w:hint="default" w:ascii="Times New Roman" w:hAnsi="Times New Roman" w:cs="Times New Roman"/>
                <w:snapToGrid w:val="0"/>
                <w:color w:val="auto"/>
                <w:sz w:val="24"/>
              </w:rPr>
              <w:t>具体见表4-</w:t>
            </w:r>
            <w:r>
              <w:rPr>
                <w:rFonts w:hint="default" w:ascii="Times New Roman" w:hAnsi="Times New Roman" w:cs="Times New Roman"/>
                <w:snapToGrid w:val="0"/>
                <w:color w:val="auto"/>
                <w:sz w:val="24"/>
                <w:lang w:val="en-US" w:eastAsia="zh-CN"/>
              </w:rPr>
              <w:t>1</w:t>
            </w:r>
            <w:r>
              <w:rPr>
                <w:rFonts w:hint="default" w:ascii="Times New Roman" w:hAnsi="Times New Roman" w:cs="Times New Roman"/>
                <w:snapToGrid w:val="0"/>
                <w:color w:val="auto"/>
                <w:sz w:val="24"/>
              </w:rPr>
              <w:t>。</w:t>
            </w:r>
          </w:p>
          <w:tbl>
            <w:tblPr>
              <w:tblStyle w:val="23"/>
              <w:tblW w:w="8062"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2762"/>
              <w:gridCol w:w="1928"/>
              <w:gridCol w:w="337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32" w:hRule="atLeast"/>
                <w:jc w:val="center"/>
              </w:trPr>
              <w:tc>
                <w:tcPr>
                  <w:tcW w:w="8062" w:type="dxa"/>
                  <w:gridSpan w:val="3"/>
                  <w:tcBorders>
                    <w:top w:val="nil"/>
                    <w:left w:val="nil"/>
                    <w:bottom w:val="single" w:color="000000" w:sz="4" w:space="0"/>
                    <w:right w:val="nil"/>
                  </w:tcBorders>
                  <w:vAlign w:val="center"/>
                </w:tcPr>
                <w:p>
                  <w:pPr>
                    <w:spacing w:line="300" w:lineRule="exact"/>
                    <w:jc w:val="center"/>
                    <w:rPr>
                      <w:rFonts w:hint="default" w:ascii="Times New Roman" w:hAnsi="Times New Roman" w:cs="Times New Roman"/>
                      <w:b/>
                      <w:snapToGrid w:val="0"/>
                      <w:color w:val="auto"/>
                      <w:sz w:val="21"/>
                      <w:szCs w:val="21"/>
                    </w:rPr>
                  </w:pPr>
                  <w:r>
                    <w:rPr>
                      <w:rFonts w:hint="default" w:ascii="Times New Roman" w:hAnsi="Times New Roman" w:cs="Times New Roman"/>
                      <w:b/>
                      <w:snapToGrid w:val="0"/>
                      <w:color w:val="auto"/>
                      <w:sz w:val="21"/>
                      <w:szCs w:val="21"/>
                    </w:rPr>
                    <w:t>表4-</w:t>
                  </w:r>
                  <w:r>
                    <w:rPr>
                      <w:rFonts w:hint="default" w:ascii="Times New Roman" w:hAnsi="Times New Roman" w:cs="Times New Roman"/>
                      <w:b/>
                      <w:snapToGrid w:val="0"/>
                      <w:color w:val="auto"/>
                      <w:sz w:val="21"/>
                      <w:szCs w:val="21"/>
                      <w:lang w:val="en-US" w:eastAsia="zh-CN"/>
                    </w:rPr>
                    <w:t>1</w:t>
                  </w:r>
                  <w:r>
                    <w:rPr>
                      <w:rFonts w:hint="default" w:ascii="Times New Roman" w:hAnsi="Times New Roman" w:cs="Times New Roman"/>
                      <w:b/>
                      <w:snapToGrid w:val="0"/>
                      <w:color w:val="auto"/>
                      <w:sz w:val="21"/>
                      <w:szCs w:val="21"/>
                    </w:rPr>
                    <w:t xml:space="preserve"> 《地表水环境质量标准》（GB3838-2002）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32" w:hRule="atLeast"/>
                <w:jc w:val="center"/>
              </w:trPr>
              <w:tc>
                <w:tcPr>
                  <w:tcW w:w="2762" w:type="dxa"/>
                  <w:tcBorders>
                    <w:top w:val="single" w:color="000000" w:sz="4" w:space="0"/>
                  </w:tcBorders>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指标</w:t>
                  </w:r>
                </w:p>
              </w:tc>
              <w:tc>
                <w:tcPr>
                  <w:tcW w:w="1928" w:type="dxa"/>
                  <w:tcBorders>
                    <w:top w:val="single" w:color="000000" w:sz="4" w:space="0"/>
                  </w:tcBorders>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单位</w:t>
                  </w:r>
                </w:p>
              </w:tc>
              <w:tc>
                <w:tcPr>
                  <w:tcW w:w="3372" w:type="dxa"/>
                  <w:tcBorders>
                    <w:top w:val="single" w:color="000000" w:sz="4" w:space="0"/>
                  </w:tcBorders>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color w:val="auto"/>
                      <w:spacing w:val="-4"/>
                      <w:sz w:val="21"/>
                      <w:szCs w:val="21"/>
                    </w:rPr>
                    <w:t>Ⅲ</w:t>
                  </w:r>
                  <w:r>
                    <w:rPr>
                      <w:rFonts w:hint="default" w:ascii="Times New Roman" w:hAnsi="Times New Roman" w:cs="Times New Roman"/>
                      <w:snapToGrid w:val="0"/>
                      <w:color w:val="auto"/>
                      <w:sz w:val="21"/>
                      <w:szCs w:val="21"/>
                    </w:rPr>
                    <w:t>类标准</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32" w:hRule="atLeast"/>
                <w:jc w:val="center"/>
              </w:trPr>
              <w:tc>
                <w:tcPr>
                  <w:tcW w:w="276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pH</w:t>
                  </w:r>
                </w:p>
              </w:tc>
              <w:tc>
                <w:tcPr>
                  <w:tcW w:w="1928" w:type="dxa"/>
                  <w:vAlign w:val="top"/>
                </w:tcPr>
                <w:p>
                  <w:pPr>
                    <w:snapToGrid w:val="0"/>
                    <w:spacing w:line="30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t>
                  </w:r>
                </w:p>
              </w:tc>
              <w:tc>
                <w:tcPr>
                  <w:tcW w:w="337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6～9</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76" w:hRule="atLeast"/>
                <w:jc w:val="center"/>
              </w:trPr>
              <w:tc>
                <w:tcPr>
                  <w:tcW w:w="2762" w:type="dxa"/>
                  <w:vAlign w:val="center"/>
                </w:tcPr>
                <w:p>
                  <w:pPr>
                    <w:spacing w:line="300" w:lineRule="exact"/>
                    <w:jc w:val="center"/>
                    <w:textAlignment w:val="baseline"/>
                    <w:rPr>
                      <w:rFonts w:hint="default" w:ascii="Times New Roman" w:hAnsi="Times New Roman" w:cs="Times New Roman"/>
                      <w:snapToGrid w:val="0"/>
                      <w:color w:val="auto"/>
                      <w:sz w:val="21"/>
                      <w:szCs w:val="21"/>
                      <w:vertAlign w:val="subscript"/>
                    </w:rPr>
                  </w:pPr>
                  <w:r>
                    <w:rPr>
                      <w:rFonts w:hint="default" w:ascii="Times New Roman" w:hAnsi="Times New Roman" w:cs="Times New Roman"/>
                      <w:snapToGrid w:val="0"/>
                      <w:color w:val="auto"/>
                      <w:sz w:val="21"/>
                      <w:szCs w:val="21"/>
                    </w:rPr>
                    <w:t>COD</w:t>
                  </w:r>
                </w:p>
              </w:tc>
              <w:tc>
                <w:tcPr>
                  <w:tcW w:w="1928" w:type="dxa"/>
                  <w:vAlign w:val="top"/>
                </w:tcPr>
                <w:p>
                  <w:pPr>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337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pacing w:val="-4"/>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62" w:hRule="atLeast"/>
                <w:jc w:val="center"/>
              </w:trPr>
              <w:tc>
                <w:tcPr>
                  <w:tcW w:w="2762" w:type="dxa"/>
                  <w:vAlign w:val="center"/>
                </w:tcPr>
                <w:p>
                  <w:pPr>
                    <w:spacing w:line="300" w:lineRule="exact"/>
                    <w:jc w:val="center"/>
                    <w:textAlignment w:val="baseline"/>
                    <w:rPr>
                      <w:rFonts w:hint="default" w:ascii="Times New Roman" w:hAnsi="Times New Roman" w:cs="Times New Roman"/>
                      <w:snapToGrid w:val="0"/>
                      <w:color w:val="auto"/>
                      <w:sz w:val="21"/>
                      <w:szCs w:val="21"/>
                      <w:vertAlign w:val="subscript"/>
                    </w:rPr>
                  </w:pPr>
                  <w:r>
                    <w:rPr>
                      <w:rFonts w:hint="default" w:ascii="Times New Roman" w:hAnsi="Times New Roman" w:cs="Times New Roman"/>
                      <w:snapToGrid w:val="0"/>
                      <w:color w:val="auto"/>
                      <w:sz w:val="21"/>
                      <w:szCs w:val="21"/>
                    </w:rPr>
                    <w:t>BOD</w:t>
                  </w:r>
                  <w:r>
                    <w:rPr>
                      <w:rFonts w:hint="default" w:ascii="Times New Roman" w:hAnsi="Times New Roman" w:cs="Times New Roman"/>
                      <w:snapToGrid w:val="0"/>
                      <w:color w:val="auto"/>
                      <w:sz w:val="21"/>
                      <w:szCs w:val="21"/>
                      <w:vertAlign w:val="subscript"/>
                    </w:rPr>
                    <w:t>5</w:t>
                  </w:r>
                </w:p>
              </w:tc>
              <w:tc>
                <w:tcPr>
                  <w:tcW w:w="1928" w:type="dxa"/>
                  <w:vAlign w:val="top"/>
                </w:tcPr>
                <w:p>
                  <w:pPr>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337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pacing w:val="-4"/>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45" w:hRule="atLeast"/>
                <w:jc w:val="center"/>
              </w:trPr>
              <w:tc>
                <w:tcPr>
                  <w:tcW w:w="276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NH</w:t>
                  </w:r>
                  <w:r>
                    <w:rPr>
                      <w:rFonts w:hint="default" w:ascii="Times New Roman" w:hAnsi="Times New Roman" w:cs="Times New Roman"/>
                      <w:snapToGrid w:val="0"/>
                      <w:color w:val="auto"/>
                      <w:sz w:val="21"/>
                      <w:szCs w:val="21"/>
                      <w:vertAlign w:val="subscript"/>
                    </w:rPr>
                    <w:t>3</w:t>
                  </w:r>
                  <w:r>
                    <w:rPr>
                      <w:rFonts w:hint="default" w:ascii="Times New Roman" w:hAnsi="Times New Roman" w:cs="Times New Roman"/>
                      <w:snapToGrid w:val="0"/>
                      <w:color w:val="auto"/>
                      <w:sz w:val="21"/>
                      <w:szCs w:val="21"/>
                    </w:rPr>
                    <w:t>-N</w:t>
                  </w:r>
                </w:p>
              </w:tc>
              <w:tc>
                <w:tcPr>
                  <w:tcW w:w="1928" w:type="dxa"/>
                  <w:vAlign w:val="top"/>
                </w:tcPr>
                <w:p>
                  <w:pPr>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337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pacing w:val="-4"/>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45" w:hRule="atLeast"/>
                <w:jc w:val="center"/>
              </w:trPr>
              <w:tc>
                <w:tcPr>
                  <w:tcW w:w="276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t>总磷</w:t>
                  </w:r>
                </w:p>
              </w:tc>
              <w:tc>
                <w:tcPr>
                  <w:tcW w:w="1928" w:type="dxa"/>
                  <w:vAlign w:val="top"/>
                </w:tcPr>
                <w:p>
                  <w:pPr>
                    <w:snapToGrid w:val="0"/>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337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pacing w:val="-4"/>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45" w:hRule="atLeast"/>
                <w:jc w:val="center"/>
              </w:trPr>
              <w:tc>
                <w:tcPr>
                  <w:tcW w:w="2762" w:type="dxa"/>
                  <w:vAlign w:val="center"/>
                </w:tcPr>
                <w:p>
                  <w:pPr>
                    <w:spacing w:line="24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总氮(湖、库.以N计)</w:t>
                  </w:r>
                </w:p>
              </w:tc>
              <w:tc>
                <w:tcPr>
                  <w:tcW w:w="1928" w:type="dxa"/>
                  <w:vAlign w:val="center"/>
                </w:tcPr>
                <w:p>
                  <w:pPr>
                    <w:spacing w:line="24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3372" w:type="dxa"/>
                  <w:vAlign w:val="center"/>
                </w:tcPr>
                <w:p>
                  <w:pPr>
                    <w:spacing w:line="24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45" w:hRule="atLeast"/>
                <w:jc w:val="center"/>
              </w:trPr>
              <w:tc>
                <w:tcPr>
                  <w:tcW w:w="276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t>石油类</w:t>
                  </w:r>
                </w:p>
              </w:tc>
              <w:tc>
                <w:tcPr>
                  <w:tcW w:w="1928"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t>mg/L</w:t>
                  </w:r>
                </w:p>
              </w:tc>
              <w:tc>
                <w:tcPr>
                  <w:tcW w:w="3372" w:type="dxa"/>
                  <w:vAlign w:val="center"/>
                </w:tcPr>
                <w:p>
                  <w:pPr>
                    <w:spacing w:line="300" w:lineRule="exact"/>
                    <w:jc w:val="center"/>
                    <w:textAlignment w:val="baseline"/>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pacing w:val="-4"/>
                      <w:sz w:val="21"/>
                      <w:szCs w:val="21"/>
                    </w:rPr>
                    <w:t>0.05</w:t>
                  </w:r>
                </w:p>
              </w:tc>
            </w:tr>
          </w:tbl>
          <w:p>
            <w:pPr>
              <w:spacing w:line="480" w:lineRule="exact"/>
              <w:ind w:firstLine="480" w:firstLineChars="200"/>
              <w:rPr>
                <w:color w:val="auto"/>
              </w:rPr>
            </w:pPr>
            <w:r>
              <w:rPr>
                <w:rFonts w:hint="default" w:ascii="Times New Roman" w:hAnsi="Times New Roman" w:cs="Times New Roman"/>
                <w:snapToGrid w:val="0"/>
                <w:color w:val="auto"/>
                <w:sz w:val="24"/>
              </w:rPr>
              <w:t>（2）地下水执行《地下水质量标准》（GB/T14848－</w:t>
            </w:r>
            <w:r>
              <w:rPr>
                <w:rFonts w:hint="default" w:ascii="Times New Roman" w:hAnsi="Times New Roman" w:cs="Times New Roman"/>
                <w:snapToGrid w:val="0"/>
                <w:color w:val="auto"/>
                <w:sz w:val="24"/>
                <w:lang w:val="en-US" w:eastAsia="zh-CN"/>
              </w:rPr>
              <w:t>2017</w:t>
            </w:r>
            <w:r>
              <w:rPr>
                <w:rFonts w:hint="default" w:ascii="Times New Roman" w:hAnsi="Times New Roman" w:cs="Times New Roman"/>
                <w:snapToGrid w:val="0"/>
                <w:color w:val="auto"/>
                <w:sz w:val="24"/>
              </w:rPr>
              <w:t>）中Ⅲ类水质标准，</w:t>
            </w:r>
            <w:r>
              <w:rPr>
                <w:rFonts w:hint="default" w:ascii="Times New Roman" w:hAnsi="Times New Roman" w:cs="Times New Roman"/>
                <w:color w:val="auto"/>
                <w:sz w:val="24"/>
              </w:rPr>
              <w:t>地下水无开采利用历史，</w:t>
            </w:r>
            <w:r>
              <w:rPr>
                <w:rFonts w:hint="default" w:ascii="Times New Roman" w:hAnsi="Times New Roman" w:cs="Times New Roman"/>
                <w:bCs/>
                <w:color w:val="auto"/>
                <w:sz w:val="24"/>
                <w:lang w:bidi="en-US"/>
              </w:rPr>
              <w:t>项目区范围内无泉水出露，周边居民饮用水主要为自来水，</w:t>
            </w:r>
            <w:r>
              <w:rPr>
                <w:rFonts w:hint="default" w:ascii="Times New Roman" w:hAnsi="Times New Roman" w:cs="Times New Roman"/>
                <w:snapToGrid w:val="0"/>
                <w:color w:val="auto"/>
                <w:sz w:val="24"/>
              </w:rPr>
              <w:t>具体见表4-</w:t>
            </w:r>
            <w:r>
              <w:rPr>
                <w:rFonts w:hint="default" w:ascii="Times New Roman" w:hAnsi="Times New Roman" w:cs="Times New Roman"/>
                <w:snapToGrid w:val="0"/>
                <w:color w:val="auto"/>
                <w:sz w:val="24"/>
                <w:lang w:val="en-US" w:eastAsia="zh-CN"/>
              </w:rPr>
              <w:t>2</w:t>
            </w:r>
            <w:r>
              <w:rPr>
                <w:rFonts w:hint="default" w:ascii="Times New Roman" w:hAnsi="Times New Roman" w:cs="Times New Roman"/>
                <w:snapToGrid w:val="0"/>
                <w:color w:val="auto"/>
                <w:sz w:val="24"/>
              </w:rPr>
              <w:t>。</w:t>
            </w:r>
          </w:p>
          <w:tbl>
            <w:tblPr>
              <w:tblStyle w:val="23"/>
              <w:tblW w:w="75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4"/>
              <w:gridCol w:w="2421"/>
              <w:gridCol w:w="2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7530" w:type="dxa"/>
                  <w:gridSpan w:val="3"/>
                  <w:tcBorders>
                    <w:top w:val="nil"/>
                    <w:left w:val="nil"/>
                    <w:right w:val="nil"/>
                  </w:tcBorders>
                  <w:vAlign w:val="top"/>
                </w:tcPr>
                <w:p>
                  <w:pPr>
                    <w:spacing w:line="300" w:lineRule="exact"/>
                    <w:jc w:val="center"/>
                    <w:rPr>
                      <w:b/>
                      <w:color w:val="auto"/>
                      <w:szCs w:val="21"/>
                    </w:rPr>
                  </w:pPr>
                  <w:r>
                    <w:rPr>
                      <w:b/>
                      <w:bCs/>
                      <w:color w:val="auto"/>
                      <w:szCs w:val="21"/>
                    </w:rPr>
                    <w:t>表4-2 《地下水质量标准》（GB/T14848-2017）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jc w:val="center"/>
              </w:trPr>
              <w:tc>
                <w:tcPr>
                  <w:tcW w:w="2404" w:type="dxa"/>
                  <w:vAlign w:val="top"/>
                </w:tcPr>
                <w:p>
                  <w:pPr>
                    <w:adjustRightInd w:val="0"/>
                    <w:snapToGrid w:val="0"/>
                    <w:spacing w:line="300" w:lineRule="exact"/>
                    <w:jc w:val="center"/>
                    <w:rPr>
                      <w:color w:val="auto"/>
                      <w:szCs w:val="21"/>
                    </w:rPr>
                  </w:pPr>
                  <w:r>
                    <w:rPr>
                      <w:color w:val="auto"/>
                      <w:szCs w:val="21"/>
                    </w:rPr>
                    <w:t>污染物名称</w:t>
                  </w:r>
                </w:p>
              </w:tc>
              <w:tc>
                <w:tcPr>
                  <w:tcW w:w="2421" w:type="dxa"/>
                  <w:vAlign w:val="top"/>
                </w:tcPr>
                <w:p>
                  <w:pPr>
                    <w:adjustRightInd w:val="0"/>
                    <w:snapToGrid w:val="0"/>
                    <w:spacing w:line="300" w:lineRule="exact"/>
                    <w:jc w:val="center"/>
                    <w:rPr>
                      <w:color w:val="auto"/>
                      <w:szCs w:val="21"/>
                    </w:rPr>
                  </w:pPr>
                  <w:r>
                    <w:rPr>
                      <w:color w:val="auto"/>
                      <w:szCs w:val="21"/>
                    </w:rPr>
                    <w:t>单位</w:t>
                  </w:r>
                </w:p>
              </w:tc>
              <w:tc>
                <w:tcPr>
                  <w:tcW w:w="2705" w:type="dxa"/>
                  <w:vAlign w:val="top"/>
                </w:tcPr>
                <w:p>
                  <w:pPr>
                    <w:adjustRightInd w:val="0"/>
                    <w:snapToGrid w:val="0"/>
                    <w:spacing w:line="300" w:lineRule="exact"/>
                    <w:jc w:val="center"/>
                    <w:rPr>
                      <w:color w:val="auto"/>
                      <w:szCs w:val="21"/>
                    </w:rPr>
                  </w:pPr>
                  <w:r>
                    <w:rPr>
                      <w:color w:val="auto"/>
                      <w:szCs w:val="21"/>
                    </w:rPr>
                    <w:t>Ⅲ类标准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2404" w:type="dxa"/>
                  <w:vAlign w:val="top"/>
                </w:tcPr>
                <w:p>
                  <w:pPr>
                    <w:snapToGrid w:val="0"/>
                    <w:spacing w:line="300" w:lineRule="exact"/>
                    <w:jc w:val="center"/>
                    <w:rPr>
                      <w:color w:val="auto"/>
                      <w:szCs w:val="21"/>
                    </w:rPr>
                  </w:pPr>
                  <w:r>
                    <w:rPr>
                      <w:color w:val="auto"/>
                      <w:szCs w:val="21"/>
                    </w:rPr>
                    <w:t>pH</w:t>
                  </w:r>
                </w:p>
              </w:tc>
              <w:tc>
                <w:tcPr>
                  <w:tcW w:w="2421" w:type="dxa"/>
                  <w:vAlign w:val="top"/>
                </w:tcPr>
                <w:p>
                  <w:pPr>
                    <w:snapToGrid w:val="0"/>
                    <w:spacing w:line="300" w:lineRule="exact"/>
                    <w:jc w:val="center"/>
                    <w:rPr>
                      <w:color w:val="auto"/>
                      <w:szCs w:val="21"/>
                    </w:rPr>
                  </w:pPr>
                  <w:r>
                    <w:rPr>
                      <w:color w:val="auto"/>
                      <w:szCs w:val="21"/>
                    </w:rPr>
                    <w:t>-</w:t>
                  </w:r>
                </w:p>
              </w:tc>
              <w:tc>
                <w:tcPr>
                  <w:tcW w:w="2705" w:type="dxa"/>
                  <w:vAlign w:val="top"/>
                </w:tcPr>
                <w:p>
                  <w:pPr>
                    <w:snapToGrid w:val="0"/>
                    <w:spacing w:line="300" w:lineRule="exact"/>
                    <w:jc w:val="center"/>
                    <w:rPr>
                      <w:color w:val="auto"/>
                      <w:szCs w:val="21"/>
                    </w:rPr>
                  </w:pPr>
                  <w:r>
                    <w:rPr>
                      <w:color w:val="auto"/>
                      <w:szCs w:val="21"/>
                    </w:rPr>
                    <w:t>6.5～8.5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2404" w:type="dxa"/>
                  <w:vAlign w:val="top"/>
                </w:tcPr>
                <w:p>
                  <w:pPr>
                    <w:snapToGrid w:val="0"/>
                    <w:spacing w:line="300" w:lineRule="exact"/>
                    <w:ind w:firstLine="525" w:firstLineChars="250"/>
                    <w:rPr>
                      <w:color w:val="auto"/>
                      <w:szCs w:val="21"/>
                    </w:rPr>
                  </w:pPr>
                  <w:r>
                    <w:rPr>
                      <w:color w:val="auto"/>
                      <w:szCs w:val="21"/>
                    </w:rPr>
                    <w:t>溶解性总固体</w:t>
                  </w:r>
                </w:p>
              </w:tc>
              <w:tc>
                <w:tcPr>
                  <w:tcW w:w="2421" w:type="dxa"/>
                  <w:vAlign w:val="top"/>
                </w:tcPr>
                <w:p>
                  <w:pPr>
                    <w:snapToGrid w:val="0"/>
                    <w:spacing w:line="300" w:lineRule="exact"/>
                    <w:jc w:val="center"/>
                    <w:rPr>
                      <w:color w:val="auto"/>
                      <w:szCs w:val="21"/>
                    </w:rPr>
                  </w:pPr>
                  <w:r>
                    <w:rPr>
                      <w:color w:val="auto"/>
                      <w:szCs w:val="21"/>
                    </w:rPr>
                    <w:t>mg/L</w:t>
                  </w:r>
                </w:p>
              </w:tc>
              <w:tc>
                <w:tcPr>
                  <w:tcW w:w="2705" w:type="dxa"/>
                  <w:vAlign w:val="top"/>
                </w:tcPr>
                <w:p>
                  <w:pPr>
                    <w:snapToGrid w:val="0"/>
                    <w:spacing w:line="300" w:lineRule="exact"/>
                    <w:jc w:val="center"/>
                    <w:rPr>
                      <w:color w:val="auto"/>
                      <w:szCs w:val="21"/>
                    </w:rPr>
                  </w:pPr>
                  <w:r>
                    <w:rPr>
                      <w:bCs/>
                      <w:color w:val="auto"/>
                      <w:szCs w:val="21"/>
                    </w:rPr>
                    <w:t>≤</w:t>
                  </w:r>
                  <w:r>
                    <w:rPr>
                      <w:color w:val="auto"/>
                      <w:szCs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2404" w:type="dxa"/>
                  <w:vAlign w:val="top"/>
                </w:tcPr>
                <w:p>
                  <w:pPr>
                    <w:snapToGrid w:val="0"/>
                    <w:spacing w:line="300" w:lineRule="exact"/>
                    <w:jc w:val="center"/>
                    <w:rPr>
                      <w:color w:val="auto"/>
                      <w:szCs w:val="21"/>
                    </w:rPr>
                  </w:pPr>
                  <w:r>
                    <w:rPr>
                      <w:color w:val="auto"/>
                      <w:szCs w:val="21"/>
                    </w:rPr>
                    <w:t>硫酸盐</w:t>
                  </w:r>
                </w:p>
              </w:tc>
              <w:tc>
                <w:tcPr>
                  <w:tcW w:w="2421" w:type="dxa"/>
                  <w:vAlign w:val="top"/>
                </w:tcPr>
                <w:p>
                  <w:pPr>
                    <w:snapToGrid w:val="0"/>
                    <w:spacing w:line="300" w:lineRule="exact"/>
                    <w:jc w:val="center"/>
                    <w:rPr>
                      <w:color w:val="auto"/>
                      <w:szCs w:val="21"/>
                    </w:rPr>
                  </w:pPr>
                  <w:r>
                    <w:rPr>
                      <w:color w:val="auto"/>
                      <w:szCs w:val="21"/>
                    </w:rPr>
                    <w:t>mg/L</w:t>
                  </w:r>
                </w:p>
              </w:tc>
              <w:tc>
                <w:tcPr>
                  <w:tcW w:w="2705" w:type="dxa"/>
                  <w:vAlign w:val="top"/>
                </w:tcPr>
                <w:p>
                  <w:pPr>
                    <w:snapToGrid w:val="0"/>
                    <w:spacing w:line="300" w:lineRule="exact"/>
                    <w:jc w:val="center"/>
                    <w:rPr>
                      <w:color w:val="auto"/>
                      <w:szCs w:val="21"/>
                    </w:rPr>
                  </w:pPr>
                  <w:r>
                    <w:rPr>
                      <w:bCs/>
                      <w:color w:val="auto"/>
                      <w:szCs w:val="21"/>
                    </w:rPr>
                    <w:t>≤</w:t>
                  </w:r>
                  <w:r>
                    <w:rPr>
                      <w:color w:val="auto"/>
                      <w:szCs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2404" w:type="dxa"/>
                  <w:vAlign w:val="top"/>
                </w:tcPr>
                <w:p>
                  <w:pPr>
                    <w:snapToGrid w:val="0"/>
                    <w:spacing w:line="300" w:lineRule="exact"/>
                    <w:jc w:val="center"/>
                    <w:rPr>
                      <w:color w:val="auto"/>
                      <w:szCs w:val="21"/>
                    </w:rPr>
                  </w:pPr>
                  <w:r>
                    <w:rPr>
                      <w:color w:val="auto"/>
                      <w:szCs w:val="21"/>
                    </w:rPr>
                    <w:t>氨氮</w:t>
                  </w:r>
                </w:p>
              </w:tc>
              <w:tc>
                <w:tcPr>
                  <w:tcW w:w="2421" w:type="dxa"/>
                  <w:vAlign w:val="top"/>
                </w:tcPr>
                <w:p>
                  <w:pPr>
                    <w:snapToGrid w:val="0"/>
                    <w:spacing w:line="300" w:lineRule="exact"/>
                    <w:jc w:val="center"/>
                    <w:rPr>
                      <w:color w:val="auto"/>
                      <w:szCs w:val="21"/>
                    </w:rPr>
                  </w:pPr>
                  <w:r>
                    <w:rPr>
                      <w:color w:val="auto"/>
                      <w:szCs w:val="21"/>
                    </w:rPr>
                    <w:t>mg/L</w:t>
                  </w:r>
                </w:p>
              </w:tc>
              <w:tc>
                <w:tcPr>
                  <w:tcW w:w="2705" w:type="dxa"/>
                  <w:vAlign w:val="top"/>
                </w:tcPr>
                <w:p>
                  <w:pPr>
                    <w:snapToGrid w:val="0"/>
                    <w:spacing w:line="300" w:lineRule="exact"/>
                    <w:jc w:val="center"/>
                    <w:rPr>
                      <w:color w:val="auto"/>
                      <w:szCs w:val="21"/>
                    </w:rPr>
                  </w:pPr>
                  <w:r>
                    <w:rPr>
                      <w:bCs/>
                      <w:color w:val="auto"/>
                      <w:szCs w:val="21"/>
                    </w:rPr>
                    <w:t>≤</w:t>
                  </w:r>
                  <w:r>
                    <w:rPr>
                      <w:color w:val="auto"/>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2404" w:type="dxa"/>
                  <w:vAlign w:val="top"/>
                </w:tcPr>
                <w:p>
                  <w:pPr>
                    <w:snapToGrid w:val="0"/>
                    <w:spacing w:line="300" w:lineRule="exact"/>
                    <w:ind w:firstLine="525" w:firstLineChars="250"/>
                    <w:rPr>
                      <w:color w:val="auto"/>
                      <w:szCs w:val="21"/>
                    </w:rPr>
                  </w:pPr>
                  <w:r>
                    <w:rPr>
                      <w:color w:val="auto"/>
                      <w:szCs w:val="21"/>
                    </w:rPr>
                    <w:t>铬（六价）</w:t>
                  </w:r>
                </w:p>
              </w:tc>
              <w:tc>
                <w:tcPr>
                  <w:tcW w:w="2421" w:type="dxa"/>
                  <w:vAlign w:val="top"/>
                </w:tcPr>
                <w:p>
                  <w:pPr>
                    <w:snapToGrid w:val="0"/>
                    <w:spacing w:line="300" w:lineRule="exact"/>
                    <w:jc w:val="center"/>
                    <w:rPr>
                      <w:color w:val="auto"/>
                      <w:szCs w:val="21"/>
                    </w:rPr>
                  </w:pPr>
                  <w:r>
                    <w:rPr>
                      <w:color w:val="auto"/>
                      <w:szCs w:val="21"/>
                    </w:rPr>
                    <w:t>mg/L</w:t>
                  </w:r>
                </w:p>
              </w:tc>
              <w:tc>
                <w:tcPr>
                  <w:tcW w:w="2705" w:type="dxa"/>
                  <w:vAlign w:val="top"/>
                </w:tcPr>
                <w:p>
                  <w:pPr>
                    <w:snapToGrid w:val="0"/>
                    <w:spacing w:line="300" w:lineRule="exact"/>
                    <w:jc w:val="center"/>
                    <w:rPr>
                      <w:color w:val="auto"/>
                      <w:szCs w:val="21"/>
                    </w:rPr>
                  </w:pPr>
                  <w:r>
                    <w:rPr>
                      <w:bCs/>
                      <w:color w:val="auto"/>
                      <w:szCs w:val="21"/>
                    </w:rPr>
                    <w:t>≤</w:t>
                  </w:r>
                  <w:r>
                    <w:rPr>
                      <w:color w:val="auto"/>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2404" w:type="dxa"/>
                  <w:vAlign w:val="top"/>
                </w:tcPr>
                <w:p>
                  <w:pPr>
                    <w:snapToGrid w:val="0"/>
                    <w:spacing w:line="300" w:lineRule="exact"/>
                    <w:jc w:val="center"/>
                    <w:rPr>
                      <w:color w:val="auto"/>
                      <w:szCs w:val="21"/>
                    </w:rPr>
                  </w:pPr>
                  <w:r>
                    <w:rPr>
                      <w:color w:val="auto"/>
                      <w:szCs w:val="21"/>
                    </w:rPr>
                    <w:t>菌落总数</w:t>
                  </w:r>
                </w:p>
              </w:tc>
              <w:tc>
                <w:tcPr>
                  <w:tcW w:w="2421" w:type="dxa"/>
                  <w:vAlign w:val="top"/>
                </w:tcPr>
                <w:p>
                  <w:pPr>
                    <w:snapToGrid w:val="0"/>
                    <w:spacing w:line="300" w:lineRule="exact"/>
                    <w:jc w:val="center"/>
                    <w:rPr>
                      <w:color w:val="auto"/>
                      <w:szCs w:val="21"/>
                    </w:rPr>
                  </w:pPr>
                  <w:r>
                    <w:rPr>
                      <w:color w:val="auto"/>
                      <w:szCs w:val="21"/>
                    </w:rPr>
                    <w:t>（个/mL）</w:t>
                  </w:r>
                </w:p>
              </w:tc>
              <w:tc>
                <w:tcPr>
                  <w:tcW w:w="2705" w:type="dxa"/>
                  <w:vAlign w:val="top"/>
                </w:tcPr>
                <w:p>
                  <w:pPr>
                    <w:snapToGrid w:val="0"/>
                    <w:spacing w:line="300" w:lineRule="exact"/>
                    <w:jc w:val="center"/>
                    <w:rPr>
                      <w:color w:val="auto"/>
                      <w:szCs w:val="21"/>
                    </w:rPr>
                  </w:pPr>
                  <w:r>
                    <w:rPr>
                      <w:bCs/>
                      <w:color w:val="auto"/>
                      <w:szCs w:val="21"/>
                    </w:rPr>
                    <w:t>≤</w:t>
                  </w:r>
                  <w:r>
                    <w:rPr>
                      <w:color w:val="auto"/>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2404" w:type="dxa"/>
                  <w:vAlign w:val="top"/>
                </w:tcPr>
                <w:p>
                  <w:pPr>
                    <w:snapToGrid w:val="0"/>
                    <w:spacing w:line="300" w:lineRule="exact"/>
                    <w:jc w:val="center"/>
                    <w:rPr>
                      <w:rFonts w:hint="eastAsia"/>
                      <w:color w:val="auto"/>
                      <w:szCs w:val="21"/>
                    </w:rPr>
                  </w:pPr>
                  <w:r>
                    <w:rPr>
                      <w:rFonts w:hint="eastAsia"/>
                      <w:color w:val="auto"/>
                      <w:szCs w:val="21"/>
                    </w:rPr>
                    <w:t>挥发性酚类（以苯酚计）</w:t>
                  </w:r>
                </w:p>
              </w:tc>
              <w:tc>
                <w:tcPr>
                  <w:tcW w:w="2421" w:type="dxa"/>
                  <w:vAlign w:val="top"/>
                </w:tcPr>
                <w:p>
                  <w:pPr>
                    <w:snapToGrid w:val="0"/>
                    <w:spacing w:line="300" w:lineRule="exact"/>
                    <w:jc w:val="center"/>
                    <w:rPr>
                      <w:color w:val="auto"/>
                      <w:szCs w:val="21"/>
                    </w:rPr>
                  </w:pPr>
                  <w:r>
                    <w:rPr>
                      <w:color w:val="auto"/>
                      <w:szCs w:val="21"/>
                    </w:rPr>
                    <w:t>mg/L</w:t>
                  </w:r>
                </w:p>
              </w:tc>
              <w:tc>
                <w:tcPr>
                  <w:tcW w:w="2705" w:type="dxa"/>
                  <w:vAlign w:val="top"/>
                </w:tcPr>
                <w:p>
                  <w:pPr>
                    <w:snapToGrid w:val="0"/>
                    <w:spacing w:line="300" w:lineRule="exact"/>
                    <w:jc w:val="center"/>
                    <w:rPr>
                      <w:rFonts w:hint="eastAsia"/>
                      <w:bCs/>
                      <w:color w:val="auto"/>
                      <w:szCs w:val="21"/>
                    </w:rPr>
                  </w:pPr>
                  <w:r>
                    <w:rPr>
                      <w:bCs/>
                      <w:color w:val="auto"/>
                      <w:szCs w:val="21"/>
                    </w:rPr>
                    <w:t>≤</w:t>
                  </w:r>
                  <w:r>
                    <w:rPr>
                      <w:rFonts w:hint="eastAsia"/>
                      <w:bCs/>
                      <w:color w:val="auto"/>
                      <w:szCs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2404" w:type="dxa"/>
                  <w:vAlign w:val="top"/>
                </w:tcPr>
                <w:p>
                  <w:pPr>
                    <w:snapToGrid w:val="0"/>
                    <w:spacing w:line="300" w:lineRule="exact"/>
                    <w:jc w:val="center"/>
                    <w:rPr>
                      <w:color w:val="auto"/>
                      <w:szCs w:val="21"/>
                    </w:rPr>
                  </w:pPr>
                  <w:r>
                    <w:rPr>
                      <w:rFonts w:hint="eastAsia"/>
                      <w:color w:val="auto"/>
                      <w:szCs w:val="21"/>
                    </w:rPr>
                    <w:t>阴离子表面活性剂</w:t>
                  </w:r>
                </w:p>
              </w:tc>
              <w:tc>
                <w:tcPr>
                  <w:tcW w:w="2421" w:type="dxa"/>
                  <w:vAlign w:val="top"/>
                </w:tcPr>
                <w:p>
                  <w:pPr>
                    <w:snapToGrid w:val="0"/>
                    <w:spacing w:line="300" w:lineRule="exact"/>
                    <w:jc w:val="center"/>
                    <w:rPr>
                      <w:color w:val="auto"/>
                      <w:szCs w:val="21"/>
                    </w:rPr>
                  </w:pPr>
                  <w:r>
                    <w:rPr>
                      <w:color w:val="auto"/>
                      <w:szCs w:val="21"/>
                    </w:rPr>
                    <w:t>mg/L</w:t>
                  </w:r>
                </w:p>
              </w:tc>
              <w:tc>
                <w:tcPr>
                  <w:tcW w:w="2705" w:type="dxa"/>
                  <w:vAlign w:val="top"/>
                </w:tcPr>
                <w:p>
                  <w:pPr>
                    <w:snapToGrid w:val="0"/>
                    <w:spacing w:line="300" w:lineRule="exact"/>
                    <w:jc w:val="center"/>
                    <w:rPr>
                      <w:rFonts w:hint="eastAsia"/>
                      <w:bCs/>
                      <w:color w:val="auto"/>
                      <w:szCs w:val="21"/>
                    </w:rPr>
                  </w:pPr>
                  <w:r>
                    <w:rPr>
                      <w:bCs/>
                      <w:color w:val="auto"/>
                      <w:szCs w:val="21"/>
                    </w:rPr>
                    <w:t>≤</w:t>
                  </w:r>
                  <w:r>
                    <w:rPr>
                      <w:rFonts w:hint="eastAsia"/>
                      <w:bCs/>
                      <w:color w:val="auto"/>
                      <w:szCs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2404" w:type="dxa"/>
                  <w:vAlign w:val="top"/>
                </w:tcPr>
                <w:p>
                  <w:pPr>
                    <w:snapToGrid w:val="0"/>
                    <w:spacing w:line="300" w:lineRule="exact"/>
                    <w:jc w:val="center"/>
                    <w:rPr>
                      <w:rFonts w:hint="eastAsia"/>
                      <w:color w:val="auto"/>
                      <w:szCs w:val="21"/>
                    </w:rPr>
                  </w:pPr>
                  <w:r>
                    <w:rPr>
                      <w:rFonts w:hint="eastAsia"/>
                      <w:color w:val="auto"/>
                      <w:szCs w:val="21"/>
                    </w:rPr>
                    <w:t>耗氧量（</w:t>
                  </w:r>
                  <w:r>
                    <w:rPr>
                      <w:snapToGrid w:val="0"/>
                      <w:color w:val="auto"/>
                      <w:szCs w:val="21"/>
                    </w:rPr>
                    <w:t>COD</w:t>
                  </w:r>
                  <w:r>
                    <w:rPr>
                      <w:rFonts w:hint="eastAsia"/>
                      <w:snapToGrid w:val="0"/>
                      <w:color w:val="auto"/>
                      <w:szCs w:val="21"/>
                      <w:vertAlign w:val="subscript"/>
                    </w:rPr>
                    <w:t>Mn</w:t>
                  </w:r>
                  <w:r>
                    <w:rPr>
                      <w:rFonts w:hint="eastAsia"/>
                      <w:snapToGrid w:val="0"/>
                      <w:color w:val="auto"/>
                      <w:szCs w:val="21"/>
                    </w:rPr>
                    <w:t>法，以O</w:t>
                  </w:r>
                  <w:r>
                    <w:rPr>
                      <w:rFonts w:hint="eastAsia"/>
                      <w:snapToGrid w:val="0"/>
                      <w:color w:val="auto"/>
                      <w:szCs w:val="21"/>
                      <w:vertAlign w:val="subscript"/>
                    </w:rPr>
                    <w:t>2</w:t>
                  </w:r>
                  <w:r>
                    <w:rPr>
                      <w:rFonts w:hint="eastAsia"/>
                      <w:snapToGrid w:val="0"/>
                      <w:color w:val="auto"/>
                      <w:szCs w:val="21"/>
                    </w:rPr>
                    <w:t>计</w:t>
                  </w:r>
                  <w:r>
                    <w:rPr>
                      <w:rFonts w:hint="eastAsia"/>
                      <w:color w:val="auto"/>
                      <w:szCs w:val="21"/>
                    </w:rPr>
                    <w:t>）</w:t>
                  </w:r>
                </w:p>
              </w:tc>
              <w:tc>
                <w:tcPr>
                  <w:tcW w:w="2421" w:type="dxa"/>
                  <w:vAlign w:val="top"/>
                </w:tcPr>
                <w:p>
                  <w:pPr>
                    <w:snapToGrid w:val="0"/>
                    <w:spacing w:line="300" w:lineRule="exact"/>
                    <w:jc w:val="center"/>
                    <w:rPr>
                      <w:color w:val="auto"/>
                      <w:szCs w:val="21"/>
                    </w:rPr>
                  </w:pPr>
                  <w:r>
                    <w:rPr>
                      <w:color w:val="auto"/>
                      <w:szCs w:val="21"/>
                    </w:rPr>
                    <w:t>mg/L</w:t>
                  </w:r>
                </w:p>
              </w:tc>
              <w:tc>
                <w:tcPr>
                  <w:tcW w:w="2705" w:type="dxa"/>
                  <w:vAlign w:val="top"/>
                </w:tcPr>
                <w:p>
                  <w:pPr>
                    <w:snapToGrid w:val="0"/>
                    <w:spacing w:line="300" w:lineRule="exact"/>
                    <w:jc w:val="center"/>
                    <w:rPr>
                      <w:bCs/>
                      <w:color w:val="auto"/>
                      <w:szCs w:val="21"/>
                    </w:rPr>
                  </w:pPr>
                  <w:r>
                    <w:rPr>
                      <w:bCs/>
                      <w:color w:val="auto"/>
                      <w:szCs w:val="21"/>
                    </w:rPr>
                    <w:t>≤</w:t>
                  </w:r>
                  <w:r>
                    <w:rPr>
                      <w:rFonts w:hint="eastAsia"/>
                      <w:bCs/>
                      <w:color w:val="auto"/>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2404" w:type="dxa"/>
                  <w:vAlign w:val="top"/>
                </w:tcPr>
                <w:p>
                  <w:pPr>
                    <w:snapToGrid w:val="0"/>
                    <w:spacing w:line="300" w:lineRule="exact"/>
                    <w:jc w:val="center"/>
                    <w:rPr>
                      <w:rFonts w:hint="eastAsia"/>
                      <w:color w:val="auto"/>
                      <w:szCs w:val="21"/>
                    </w:rPr>
                  </w:pPr>
                  <w:r>
                    <w:rPr>
                      <w:rFonts w:hint="eastAsia"/>
                      <w:color w:val="auto"/>
                      <w:szCs w:val="21"/>
                    </w:rPr>
                    <w:t>总大肠菌群</w:t>
                  </w:r>
                </w:p>
              </w:tc>
              <w:tc>
                <w:tcPr>
                  <w:tcW w:w="2421" w:type="dxa"/>
                  <w:vAlign w:val="top"/>
                </w:tcPr>
                <w:p>
                  <w:pPr>
                    <w:snapToGrid w:val="0"/>
                    <w:spacing w:line="300" w:lineRule="exact"/>
                    <w:jc w:val="center"/>
                    <w:rPr>
                      <w:color w:val="auto"/>
                      <w:szCs w:val="21"/>
                    </w:rPr>
                  </w:pPr>
                  <w:r>
                    <w:rPr>
                      <w:color w:val="auto"/>
                      <w:szCs w:val="21"/>
                    </w:rPr>
                    <w:t>（</w:t>
                  </w:r>
                  <w:r>
                    <w:rPr>
                      <w:rFonts w:hint="eastAsia"/>
                      <w:color w:val="auto"/>
                      <w:szCs w:val="21"/>
                    </w:rPr>
                    <w:t>CFU</w:t>
                  </w:r>
                  <w:r>
                    <w:rPr>
                      <w:color w:val="auto"/>
                      <w:szCs w:val="21"/>
                    </w:rPr>
                    <w:t>/</w:t>
                  </w:r>
                  <w:r>
                    <w:rPr>
                      <w:rFonts w:hint="eastAsia"/>
                      <w:color w:val="auto"/>
                      <w:szCs w:val="21"/>
                    </w:rPr>
                    <w:t>100</w:t>
                  </w:r>
                  <w:r>
                    <w:rPr>
                      <w:color w:val="auto"/>
                      <w:szCs w:val="21"/>
                    </w:rPr>
                    <w:t>mL）</w:t>
                  </w:r>
                </w:p>
              </w:tc>
              <w:tc>
                <w:tcPr>
                  <w:tcW w:w="2705" w:type="dxa"/>
                  <w:vAlign w:val="top"/>
                </w:tcPr>
                <w:p>
                  <w:pPr>
                    <w:snapToGrid w:val="0"/>
                    <w:spacing w:line="300" w:lineRule="exact"/>
                    <w:jc w:val="center"/>
                    <w:rPr>
                      <w:rFonts w:hint="eastAsia"/>
                      <w:bCs/>
                      <w:color w:val="auto"/>
                      <w:szCs w:val="21"/>
                    </w:rPr>
                  </w:pPr>
                  <w:r>
                    <w:rPr>
                      <w:bCs/>
                      <w:color w:val="auto"/>
                      <w:szCs w:val="21"/>
                    </w:rPr>
                    <w:t>≤</w:t>
                  </w:r>
                  <w:r>
                    <w:rPr>
                      <w:rFonts w:hint="eastAsia"/>
                      <w:bCs/>
                      <w:color w:val="auto"/>
                      <w:szCs w:val="21"/>
                    </w:rPr>
                    <w:t>100</w:t>
                  </w:r>
                </w:p>
              </w:tc>
            </w:tr>
          </w:tbl>
          <w:p>
            <w:pPr>
              <w:spacing w:line="480" w:lineRule="exact"/>
              <w:ind w:firstLine="482" w:firstLineChars="200"/>
              <w:rPr>
                <w:rFonts w:hint="default" w:ascii="Times New Roman" w:hAnsi="Times New Roman" w:cs="Times New Roman"/>
                <w:b/>
                <w:snapToGrid w:val="0"/>
                <w:color w:val="auto"/>
                <w:sz w:val="24"/>
              </w:rPr>
            </w:pPr>
            <w:r>
              <w:rPr>
                <w:rFonts w:hint="default" w:ascii="Times New Roman" w:hAnsi="Times New Roman" w:cs="Times New Roman"/>
                <w:b/>
                <w:snapToGrid w:val="0"/>
                <w:color w:val="auto"/>
                <w:sz w:val="24"/>
              </w:rPr>
              <w:t>2、大气环境</w:t>
            </w:r>
          </w:p>
          <w:p>
            <w:pPr>
              <w:spacing w:line="360" w:lineRule="auto"/>
              <w:ind w:firstLine="480" w:firstLineChars="200"/>
              <w:jc w:val="center"/>
              <w:rPr>
                <w:rFonts w:hint="default" w:ascii="Times New Roman" w:hAnsi="Times New Roman" w:cs="Times New Roman"/>
                <w:b/>
                <w:color w:val="auto"/>
                <w:szCs w:val="21"/>
              </w:rPr>
            </w:pPr>
            <w:r>
              <w:rPr>
                <w:rFonts w:hint="default" w:ascii="Times New Roman" w:hAnsi="Times New Roman" w:cs="Times New Roman"/>
                <w:color w:val="auto"/>
                <w:sz w:val="24"/>
              </w:rPr>
              <w:t>项目所在区域为</w:t>
            </w:r>
            <w:r>
              <w:rPr>
                <w:rFonts w:hint="default" w:ascii="Times New Roman" w:hAnsi="Times New Roman" w:cs="Times New Roman"/>
                <w:color w:val="auto"/>
                <w:sz w:val="24"/>
                <w:lang w:eastAsia="zh-CN"/>
              </w:rPr>
              <w:t>城市近郊区域</w:t>
            </w:r>
            <w:r>
              <w:rPr>
                <w:rFonts w:hint="default" w:ascii="Times New Roman" w:hAnsi="Times New Roman" w:cs="Times New Roman"/>
                <w:color w:val="auto"/>
                <w:sz w:val="24"/>
              </w:rPr>
              <w:t>，功能区划分为环境空气质量二类区，环境空气质量执行《环境空气质量标准》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GB3095-2012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二级标准。标准值见表4-</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 xml:space="preserve">           </w:t>
            </w:r>
            <w:r>
              <w:rPr>
                <w:rFonts w:hint="default" w:ascii="Times New Roman" w:hAnsi="Times New Roman" w:cs="Times New Roman"/>
                <w:b/>
                <w:color w:val="auto"/>
                <w:szCs w:val="21"/>
              </w:rPr>
              <w:t>表4-</w:t>
            </w:r>
            <w:r>
              <w:rPr>
                <w:rFonts w:hint="default" w:ascii="Times New Roman" w:hAnsi="Times New Roman" w:cs="Times New Roman"/>
                <w:b/>
                <w:color w:val="auto"/>
                <w:szCs w:val="21"/>
                <w:lang w:val="en-US" w:eastAsia="zh-CN"/>
              </w:rPr>
              <w:t>3</w:t>
            </w:r>
            <w:r>
              <w:rPr>
                <w:rFonts w:hint="default" w:ascii="Times New Roman" w:hAnsi="Times New Roman" w:cs="Times New Roman"/>
                <w:b/>
                <w:color w:val="auto"/>
                <w:szCs w:val="21"/>
              </w:rPr>
              <w:t xml:space="preserve">  环境空气质量二级标准限值</w:t>
            </w:r>
          </w:p>
          <w:tbl>
            <w:tblPr>
              <w:tblStyle w:val="23"/>
              <w:tblW w:w="7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880"/>
              <w:gridCol w:w="2083"/>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restart"/>
                  <w:vAlign w:val="center"/>
                </w:tcPr>
                <w:p>
                  <w:pPr>
                    <w:pStyle w:val="44"/>
                    <w:spacing w:beforeLines="0" w:line="240" w:lineRule="auto"/>
                    <w:ind w:firstLine="0"/>
                    <w:rPr>
                      <w:rFonts w:hint="default" w:ascii="Times New Roman" w:hAnsi="Times New Roman" w:cs="Times New Roman"/>
                      <w:b/>
                      <w:color w:val="auto"/>
                      <w:kern w:val="2"/>
                      <w:sz w:val="21"/>
                      <w:szCs w:val="21"/>
                      <w:lang w:val="en-US" w:eastAsia="zh-CN"/>
                    </w:rPr>
                  </w:pPr>
                  <w:r>
                    <w:rPr>
                      <w:rFonts w:hint="default" w:ascii="Times New Roman" w:hAnsi="Times New Roman" w:cs="Times New Roman"/>
                      <w:b/>
                      <w:color w:val="auto"/>
                      <w:kern w:val="2"/>
                      <w:sz w:val="21"/>
                      <w:szCs w:val="21"/>
                      <w:lang w:val="en-US" w:eastAsia="zh-CN"/>
                    </w:rPr>
                    <w:t>序号</w:t>
                  </w:r>
                </w:p>
              </w:tc>
              <w:tc>
                <w:tcPr>
                  <w:tcW w:w="2880" w:type="dxa"/>
                  <w:vMerge w:val="restart"/>
                  <w:vAlign w:val="center"/>
                </w:tcPr>
                <w:p>
                  <w:pPr>
                    <w:pStyle w:val="44"/>
                    <w:spacing w:beforeLines="0" w:line="240" w:lineRule="auto"/>
                    <w:ind w:firstLine="0"/>
                    <w:rPr>
                      <w:rFonts w:hint="default" w:ascii="Times New Roman" w:hAnsi="Times New Roman" w:cs="Times New Roman"/>
                      <w:b/>
                      <w:color w:val="auto"/>
                      <w:kern w:val="2"/>
                      <w:sz w:val="21"/>
                      <w:szCs w:val="21"/>
                      <w:lang w:val="en-US" w:eastAsia="zh-CN"/>
                    </w:rPr>
                  </w:pPr>
                  <w:r>
                    <w:rPr>
                      <w:rFonts w:hint="default" w:ascii="Times New Roman" w:hAnsi="Times New Roman" w:cs="Times New Roman"/>
                      <w:b/>
                      <w:color w:val="auto"/>
                      <w:kern w:val="2"/>
                      <w:sz w:val="21"/>
                      <w:szCs w:val="21"/>
                      <w:lang w:val="en-US" w:eastAsia="zh-CN"/>
                    </w:rPr>
                    <w:t>污染物项目</w:t>
                  </w:r>
                </w:p>
              </w:tc>
              <w:tc>
                <w:tcPr>
                  <w:tcW w:w="2083" w:type="dxa"/>
                  <w:vMerge w:val="restart"/>
                  <w:vAlign w:val="center"/>
                </w:tcPr>
                <w:p>
                  <w:pPr>
                    <w:pStyle w:val="44"/>
                    <w:spacing w:beforeLines="0" w:line="240" w:lineRule="auto"/>
                    <w:ind w:firstLine="0"/>
                    <w:rPr>
                      <w:rFonts w:hint="default" w:ascii="Times New Roman" w:hAnsi="Times New Roman" w:cs="Times New Roman"/>
                      <w:b/>
                      <w:color w:val="auto"/>
                      <w:kern w:val="2"/>
                      <w:sz w:val="21"/>
                      <w:szCs w:val="21"/>
                      <w:lang w:val="en-US" w:eastAsia="zh-CN"/>
                    </w:rPr>
                  </w:pPr>
                  <w:r>
                    <w:rPr>
                      <w:rFonts w:hint="default" w:ascii="Times New Roman" w:hAnsi="Times New Roman" w:cs="Times New Roman"/>
                      <w:b/>
                      <w:color w:val="auto"/>
                      <w:kern w:val="2"/>
                      <w:sz w:val="21"/>
                      <w:szCs w:val="21"/>
                      <w:lang w:val="en-US" w:eastAsia="zh-CN"/>
                    </w:rPr>
                    <w:t>平均时间</w:t>
                  </w:r>
                </w:p>
              </w:tc>
              <w:tc>
                <w:tcPr>
                  <w:tcW w:w="2063" w:type="dxa"/>
                  <w:vAlign w:val="center"/>
                </w:tcPr>
                <w:p>
                  <w:pPr>
                    <w:pStyle w:val="44"/>
                    <w:spacing w:beforeLines="0" w:line="240" w:lineRule="auto"/>
                    <w:ind w:firstLine="0"/>
                    <w:rPr>
                      <w:rFonts w:hint="default" w:ascii="Times New Roman" w:hAnsi="Times New Roman" w:cs="Times New Roman"/>
                      <w:b/>
                      <w:color w:val="auto"/>
                      <w:kern w:val="2"/>
                      <w:sz w:val="21"/>
                      <w:szCs w:val="21"/>
                      <w:lang w:val="en-US" w:eastAsia="zh-CN"/>
                    </w:rPr>
                  </w:pPr>
                  <w:r>
                    <w:rPr>
                      <w:rFonts w:hint="default" w:ascii="Times New Roman" w:hAnsi="Times New Roman" w:cs="Times New Roman"/>
                      <w:b/>
                      <w:color w:val="auto"/>
                      <w:kern w:val="2"/>
                      <w:sz w:val="21"/>
                      <w:szCs w:val="21"/>
                      <w:lang w:val="en-US" w:eastAsia="zh-CN"/>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8"/>
                    <w:rPr>
                      <w:rFonts w:hint="default" w:ascii="Times New Roman" w:hAnsi="Times New Roman" w:cs="Times New Roman"/>
                      <w:b/>
                      <w:color w:val="auto"/>
                      <w:kern w:val="2"/>
                      <w:sz w:val="21"/>
                      <w:szCs w:val="21"/>
                      <w:lang w:val="en-US" w:eastAsia="zh-CN"/>
                    </w:rPr>
                  </w:pPr>
                </w:p>
              </w:tc>
              <w:tc>
                <w:tcPr>
                  <w:tcW w:w="2880" w:type="dxa"/>
                  <w:vMerge w:val="continue"/>
                  <w:vAlign w:val="center"/>
                </w:tcPr>
                <w:p>
                  <w:pPr>
                    <w:pStyle w:val="44"/>
                    <w:spacing w:beforeLines="0" w:line="240" w:lineRule="auto"/>
                    <w:ind w:firstLine="478"/>
                    <w:rPr>
                      <w:rFonts w:hint="default" w:ascii="Times New Roman" w:hAnsi="Times New Roman" w:cs="Times New Roman"/>
                      <w:b/>
                      <w:color w:val="auto"/>
                      <w:kern w:val="2"/>
                      <w:sz w:val="21"/>
                      <w:szCs w:val="21"/>
                      <w:lang w:val="en-US" w:eastAsia="zh-CN"/>
                    </w:rPr>
                  </w:pPr>
                </w:p>
              </w:tc>
              <w:tc>
                <w:tcPr>
                  <w:tcW w:w="2083" w:type="dxa"/>
                  <w:vMerge w:val="continue"/>
                  <w:vAlign w:val="center"/>
                </w:tcPr>
                <w:p>
                  <w:pPr>
                    <w:pStyle w:val="44"/>
                    <w:spacing w:beforeLines="0" w:line="240" w:lineRule="auto"/>
                    <w:ind w:firstLine="478"/>
                    <w:rPr>
                      <w:rFonts w:hint="default" w:ascii="Times New Roman" w:hAnsi="Times New Roman" w:cs="Times New Roman"/>
                      <w:b/>
                      <w:color w:val="auto"/>
                      <w:kern w:val="2"/>
                      <w:sz w:val="21"/>
                      <w:szCs w:val="21"/>
                      <w:lang w:val="en-US" w:eastAsia="zh-CN"/>
                    </w:rPr>
                  </w:pPr>
                </w:p>
              </w:tc>
              <w:tc>
                <w:tcPr>
                  <w:tcW w:w="2063" w:type="dxa"/>
                  <w:vAlign w:val="center"/>
                </w:tcPr>
                <w:p>
                  <w:pPr>
                    <w:pStyle w:val="44"/>
                    <w:spacing w:beforeLines="0" w:line="240" w:lineRule="auto"/>
                    <w:ind w:firstLine="0"/>
                    <w:rPr>
                      <w:rFonts w:hint="default" w:ascii="Times New Roman" w:hAnsi="Times New Roman" w:cs="Times New Roman"/>
                      <w:b/>
                      <w:color w:val="auto"/>
                      <w:kern w:val="2"/>
                      <w:sz w:val="21"/>
                      <w:szCs w:val="21"/>
                      <w:lang w:val="en-US" w:eastAsia="zh-CN"/>
                    </w:rPr>
                  </w:pPr>
                  <w:r>
                    <w:rPr>
                      <w:rFonts w:hint="default" w:ascii="Times New Roman" w:hAnsi="Times New Roman" w:cs="Times New Roman"/>
                      <w:b/>
                      <w:color w:val="auto"/>
                      <w:kern w:val="2"/>
                      <w:sz w:val="21"/>
                      <w:szCs w:val="21"/>
                      <w:lang w:val="en-US" w:eastAsia="zh-CN"/>
                    </w:rPr>
                    <w:t>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w:t>
                  </w:r>
                </w:p>
              </w:tc>
              <w:tc>
                <w:tcPr>
                  <w:tcW w:w="2880"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二氧化硫（SO</w:t>
                  </w:r>
                  <w:r>
                    <w:rPr>
                      <w:rFonts w:hint="default" w:ascii="Times New Roman" w:hAnsi="Times New Roman" w:cs="Times New Roman"/>
                      <w:color w:val="auto"/>
                      <w:kern w:val="2"/>
                      <w:sz w:val="21"/>
                      <w:szCs w:val="21"/>
                      <w:vertAlign w:val="subscript"/>
                      <w:lang w:val="en-US" w:eastAsia="zh-CN"/>
                    </w:rPr>
                    <w:t>2</w:t>
                  </w:r>
                  <w:r>
                    <w:rPr>
                      <w:rFonts w:hint="default" w:ascii="Times New Roman" w:hAnsi="Times New Roman" w:cs="Times New Roman"/>
                      <w:color w:val="auto"/>
                      <w:kern w:val="2"/>
                      <w:sz w:val="21"/>
                      <w:szCs w:val="21"/>
                      <w:lang w:val="en-US" w:eastAsia="zh-CN"/>
                    </w:rPr>
                    <w:t>）</w:t>
                  </w: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年平均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880"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24小时平均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880"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500μg/m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w:t>
                  </w:r>
                </w:p>
              </w:tc>
              <w:tc>
                <w:tcPr>
                  <w:tcW w:w="2880"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二氧化氮（NO</w:t>
                  </w:r>
                  <w:r>
                    <w:rPr>
                      <w:rFonts w:hint="default" w:ascii="Times New Roman" w:hAnsi="Times New Roman" w:cs="Times New Roman"/>
                      <w:color w:val="auto"/>
                      <w:kern w:val="2"/>
                      <w:sz w:val="21"/>
                      <w:szCs w:val="21"/>
                      <w:vertAlign w:val="subscript"/>
                      <w:lang w:val="en-US" w:eastAsia="zh-CN"/>
                    </w:rPr>
                    <w:t>2</w:t>
                  </w:r>
                  <w:r>
                    <w:rPr>
                      <w:rFonts w:hint="default" w:ascii="Times New Roman" w:hAnsi="Times New Roman" w:cs="Times New Roman"/>
                      <w:color w:val="auto"/>
                      <w:kern w:val="2"/>
                      <w:sz w:val="21"/>
                      <w:szCs w:val="21"/>
                      <w:lang w:val="en-US" w:eastAsia="zh-CN"/>
                    </w:rPr>
                    <w:t>）</w:t>
                  </w: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年平均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880"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24小时平均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880"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200μg/m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3</w:t>
                  </w:r>
                </w:p>
              </w:tc>
              <w:tc>
                <w:tcPr>
                  <w:tcW w:w="2880"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一氧化碳（CO）</w:t>
                  </w: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24小时平均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4mg/m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880"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10mg/m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w:t>
                  </w:r>
                </w:p>
              </w:tc>
              <w:tc>
                <w:tcPr>
                  <w:tcW w:w="2880"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臭氧（O</w:t>
                  </w:r>
                  <w:r>
                    <w:rPr>
                      <w:rFonts w:hint="default" w:ascii="Times New Roman" w:hAnsi="Times New Roman" w:cs="Times New Roman"/>
                      <w:color w:val="auto"/>
                      <w:kern w:val="2"/>
                      <w:sz w:val="21"/>
                      <w:szCs w:val="21"/>
                      <w:vertAlign w:val="subscript"/>
                      <w:lang w:val="en-US" w:eastAsia="zh-CN"/>
                    </w:rPr>
                    <w:t>3</w:t>
                  </w:r>
                  <w:r>
                    <w:rPr>
                      <w:rFonts w:hint="default" w:ascii="Times New Roman" w:hAnsi="Times New Roman" w:cs="Times New Roman"/>
                      <w:color w:val="auto"/>
                      <w:kern w:val="2"/>
                      <w:sz w:val="21"/>
                      <w:szCs w:val="21"/>
                      <w:lang w:val="en-US" w:eastAsia="zh-CN"/>
                    </w:rPr>
                    <w:t>）</w:t>
                  </w: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日最大8小时平均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160μg/m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880"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200μg/m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w:t>
                  </w:r>
                </w:p>
              </w:tc>
              <w:tc>
                <w:tcPr>
                  <w:tcW w:w="2880"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颗粒物（</w:t>
                  </w:r>
                  <w:r>
                    <w:rPr>
                      <w:rFonts w:hint="default" w:ascii="Times New Roman" w:hAnsi="Times New Roman" w:cs="Times New Roman"/>
                      <w:color w:val="auto"/>
                      <w:kern w:val="2"/>
                      <w:sz w:val="21"/>
                      <w:szCs w:val="21"/>
                      <w:lang w:val="en-US" w:eastAsia="zh-CN"/>
                    </w:rPr>
                    <w:cr/>
                  </w:r>
                  <w:r>
                    <w:rPr>
                      <w:rFonts w:hint="default" w:ascii="Times New Roman" w:hAnsi="Times New Roman" w:cs="Times New Roman"/>
                      <w:color w:val="auto"/>
                      <w:kern w:val="2"/>
                      <w:sz w:val="21"/>
                      <w:szCs w:val="21"/>
                      <w:lang w:val="en-US" w:eastAsia="zh-CN"/>
                    </w:rPr>
                    <w:t>径小于10μm）</w:t>
                  </w: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年平均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70μg/m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880"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24小时平均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6</w:t>
                  </w:r>
                </w:p>
              </w:tc>
              <w:tc>
                <w:tcPr>
                  <w:tcW w:w="2880"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颗粒物（粒径小于2.5μm）</w:t>
                  </w: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年平均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40μg/m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880"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24小时平均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7</w:t>
                  </w:r>
                </w:p>
              </w:tc>
              <w:tc>
                <w:tcPr>
                  <w:tcW w:w="2880" w:type="dxa"/>
                  <w:vMerge w:val="restart"/>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总悬浮颗粒物</w:t>
                  </w:r>
                </w:p>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（TSP）</w:t>
                  </w: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年平均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200μg/m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69"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880" w:type="dxa"/>
                  <w:vMerge w:val="continue"/>
                  <w:vAlign w:val="center"/>
                </w:tcPr>
                <w:p>
                  <w:pPr>
                    <w:pStyle w:val="44"/>
                    <w:spacing w:beforeLines="0" w:line="240" w:lineRule="auto"/>
                    <w:ind w:firstLine="476"/>
                    <w:rPr>
                      <w:rFonts w:hint="default" w:ascii="Times New Roman" w:hAnsi="Times New Roman" w:cs="Times New Roman"/>
                      <w:color w:val="auto"/>
                      <w:kern w:val="2"/>
                      <w:sz w:val="21"/>
                      <w:szCs w:val="21"/>
                      <w:lang w:val="en-US" w:eastAsia="zh-CN"/>
                    </w:rPr>
                  </w:pPr>
                </w:p>
              </w:tc>
              <w:tc>
                <w:tcPr>
                  <w:tcW w:w="208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24小时平均</w:t>
                  </w:r>
                </w:p>
              </w:tc>
              <w:tc>
                <w:tcPr>
                  <w:tcW w:w="2063" w:type="dxa"/>
                  <w:vAlign w:val="center"/>
                </w:tcPr>
                <w:p>
                  <w:pPr>
                    <w:pStyle w:val="44"/>
                    <w:spacing w:beforeLines="0" w:line="240" w:lineRule="auto"/>
                    <w:ind w:firstLine="0"/>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300μg/m</w:t>
                  </w:r>
                  <w:r>
                    <w:rPr>
                      <w:rFonts w:hint="default" w:ascii="Times New Roman" w:hAnsi="Times New Roman" w:cs="Times New Roman"/>
                      <w:color w:val="auto"/>
                      <w:kern w:val="2"/>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5" w:type="dxa"/>
                  <w:gridSpan w:val="4"/>
                  <w:vAlign w:val="center"/>
                </w:tcPr>
                <w:p>
                  <w:pPr>
                    <w:pStyle w:val="44"/>
                    <w:spacing w:beforeLines="0" w:line="240" w:lineRule="auto"/>
                    <w:ind w:firstLine="0"/>
                    <w:jc w:val="both"/>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说明：1~6项目为环境空气污染物基本项目，第7项为环境空气污染物其他项目。</w:t>
                  </w:r>
                </w:p>
              </w:tc>
            </w:tr>
          </w:tbl>
          <w:p>
            <w:pPr>
              <w:spacing w:line="480" w:lineRule="exact"/>
              <w:ind w:firstLine="480" w:firstLineChars="200"/>
              <w:rPr>
                <w:rFonts w:hint="default" w:ascii="Times New Roman" w:hAnsi="Times New Roman" w:cs="Times New Roman"/>
                <w:b w:val="0"/>
                <w:bCs/>
                <w:snapToGrid w:val="0"/>
                <w:color w:val="auto"/>
                <w:sz w:val="24"/>
              </w:rPr>
            </w:pPr>
            <w:r>
              <w:rPr>
                <w:rFonts w:hint="default" w:ascii="Times New Roman" w:hAnsi="Times New Roman" w:cs="Times New Roman"/>
                <w:b w:val="0"/>
                <w:bCs/>
                <w:snapToGrid w:val="0"/>
                <w:color w:val="auto"/>
                <w:sz w:val="24"/>
              </w:rPr>
              <w:t>非甲烷总烃环境质量标准参考《大气污染物综合排放标准详解》</w:t>
            </w:r>
            <w:r>
              <w:rPr>
                <w:rFonts w:hint="default" w:ascii="Times New Roman" w:hAnsi="Times New Roman" w:cs="Times New Roman"/>
                <w:b w:val="0"/>
                <w:bCs/>
                <w:snapToGrid w:val="0"/>
                <w:color w:val="auto"/>
                <w:sz w:val="24"/>
                <w:lang w:eastAsia="zh-CN"/>
              </w:rPr>
              <w:t>，</w:t>
            </w:r>
            <w:r>
              <w:rPr>
                <w:rFonts w:hint="default" w:ascii="Times New Roman" w:hAnsi="Times New Roman" w:cs="Times New Roman"/>
                <w:b w:val="0"/>
                <w:bCs/>
                <w:snapToGrid w:val="0"/>
                <w:color w:val="auto"/>
                <w:sz w:val="24"/>
                <w:vertAlign w:val="baseline"/>
                <w:lang w:eastAsia="zh-CN"/>
              </w:rPr>
              <w:t>原文为：</w:t>
            </w:r>
            <w:r>
              <w:rPr>
                <w:rFonts w:hint="default" w:ascii="Times New Roman" w:hAnsi="Times New Roman" w:cs="Times New Roman"/>
                <w:b w:val="0"/>
                <w:bCs/>
                <w:snapToGrid w:val="0"/>
                <w:color w:val="auto"/>
                <w:sz w:val="24"/>
              </w:rPr>
              <w:t xml:space="preserve"> 由于我国目前没有“非甲烷总烃”的环境质量标准，美国的同类标准已废除，故我国石化部门和若干地区通常采用以色列同类标准的短期平均值，为5mg/m</w:t>
            </w:r>
            <w:r>
              <w:rPr>
                <w:rFonts w:hint="default" w:ascii="Times New Roman" w:hAnsi="Times New Roman" w:cs="Times New Roman"/>
                <w:b w:val="0"/>
                <w:bCs/>
                <w:snapToGrid w:val="0"/>
                <w:color w:val="auto"/>
                <w:sz w:val="24"/>
                <w:vertAlign w:val="superscript"/>
              </w:rPr>
              <w:t>3</w:t>
            </w:r>
            <w:r>
              <w:rPr>
                <w:rFonts w:hint="default" w:ascii="Times New Roman" w:hAnsi="Times New Roman" w:cs="Times New Roman"/>
                <w:b w:val="0"/>
                <w:bCs/>
                <w:snapToGrid w:val="0"/>
                <w:color w:val="auto"/>
                <w:sz w:val="24"/>
              </w:rPr>
              <w:t>。但考虑到我国多数地区的实测值，“非甲烷总烃”的环境浓度一般不超过1.0mg/m</w:t>
            </w:r>
            <w:r>
              <w:rPr>
                <w:rFonts w:hint="default" w:ascii="Times New Roman" w:hAnsi="Times New Roman" w:cs="Times New Roman"/>
                <w:b w:val="0"/>
                <w:bCs/>
                <w:snapToGrid w:val="0"/>
                <w:color w:val="auto"/>
                <w:sz w:val="24"/>
                <w:vertAlign w:val="superscript"/>
              </w:rPr>
              <w:t>3</w:t>
            </w:r>
            <w:r>
              <w:rPr>
                <w:rFonts w:hint="default" w:ascii="Times New Roman" w:hAnsi="Times New Roman" w:cs="Times New Roman"/>
                <w:b w:val="0"/>
                <w:bCs/>
                <w:snapToGrid w:val="0"/>
                <w:color w:val="auto"/>
                <w:sz w:val="24"/>
              </w:rPr>
              <w:t>，因此在制定本标准时选用2mg/m</w:t>
            </w:r>
            <w:r>
              <w:rPr>
                <w:rFonts w:hint="default" w:ascii="Times New Roman" w:hAnsi="Times New Roman" w:cs="Times New Roman"/>
                <w:b w:val="0"/>
                <w:bCs/>
                <w:snapToGrid w:val="0"/>
                <w:color w:val="auto"/>
                <w:sz w:val="24"/>
                <w:vertAlign w:val="superscript"/>
              </w:rPr>
              <w:t>3</w:t>
            </w:r>
            <w:r>
              <w:rPr>
                <w:rFonts w:hint="default" w:ascii="Times New Roman" w:hAnsi="Times New Roman" w:cs="Times New Roman"/>
                <w:b w:val="0"/>
                <w:bCs/>
                <w:snapToGrid w:val="0"/>
                <w:color w:val="auto"/>
                <w:sz w:val="24"/>
              </w:rPr>
              <w:t>作为计算依据。</w:t>
            </w:r>
          </w:p>
          <w:p>
            <w:pPr>
              <w:spacing w:line="480" w:lineRule="exact"/>
              <w:ind w:firstLine="482" w:firstLineChars="200"/>
              <w:rPr>
                <w:rFonts w:hint="default" w:ascii="Times New Roman" w:hAnsi="Times New Roman" w:cs="Times New Roman"/>
                <w:b/>
                <w:snapToGrid w:val="0"/>
                <w:color w:val="auto"/>
                <w:sz w:val="24"/>
              </w:rPr>
            </w:pPr>
            <w:r>
              <w:rPr>
                <w:rFonts w:hint="default" w:ascii="Times New Roman" w:hAnsi="Times New Roman" w:cs="Times New Roman"/>
                <w:b/>
                <w:snapToGrid w:val="0"/>
                <w:color w:val="auto"/>
                <w:sz w:val="24"/>
              </w:rPr>
              <w:t>3、声环境</w:t>
            </w:r>
          </w:p>
          <w:p>
            <w:pPr>
              <w:spacing w:line="480" w:lineRule="exact"/>
              <w:ind w:firstLine="480" w:firstLineChars="200"/>
              <w:rPr>
                <w:rFonts w:hint="default" w:ascii="Times New Roman" w:hAnsi="Times New Roman" w:cs="Times New Roman"/>
                <w:snapToGrid w:val="0"/>
                <w:color w:val="auto"/>
                <w:sz w:val="24"/>
              </w:rPr>
            </w:pPr>
            <w:r>
              <w:rPr>
                <w:rFonts w:hint="default" w:ascii="Times New Roman" w:hAnsi="Times New Roman" w:cs="Times New Roman"/>
                <w:color w:val="auto"/>
                <w:sz w:val="24"/>
              </w:rPr>
              <w:t>项目区域属于</w:t>
            </w:r>
            <w:r>
              <w:rPr>
                <w:rFonts w:hint="default" w:ascii="Times New Roman" w:hAnsi="Times New Roman" w:cs="Times New Roman"/>
                <w:color w:val="auto"/>
                <w:sz w:val="24"/>
                <w:lang w:eastAsia="zh-CN"/>
              </w:rPr>
              <w:t>城市近郊</w:t>
            </w:r>
            <w:r>
              <w:rPr>
                <w:rFonts w:hint="default" w:ascii="Times New Roman" w:hAnsi="Times New Roman" w:cs="Times New Roman"/>
                <w:color w:val="auto"/>
                <w:sz w:val="24"/>
              </w:rPr>
              <w:t>环境，环境噪声执行《声环境质量标准》(GB3096-2008)中的2类标准，</w:t>
            </w:r>
            <w:r>
              <w:rPr>
                <w:rFonts w:hint="default" w:ascii="Times New Roman" w:hAnsi="Times New Roman" w:cs="Times New Roman"/>
                <w:snapToGrid w:val="0"/>
                <w:color w:val="auto"/>
                <w:sz w:val="24"/>
              </w:rPr>
              <w:t>具体见表</w:t>
            </w:r>
            <w:r>
              <w:rPr>
                <w:rFonts w:hint="default" w:ascii="Times New Roman" w:hAnsi="Times New Roman" w:cs="Times New Roman"/>
                <w:snapToGrid w:val="0"/>
                <w:color w:val="auto"/>
                <w:sz w:val="24"/>
                <w:lang w:val="en-US" w:eastAsia="zh-CN"/>
              </w:rPr>
              <w:t>4-4</w:t>
            </w:r>
            <w:r>
              <w:rPr>
                <w:rFonts w:hint="default" w:ascii="Times New Roman" w:hAnsi="Times New Roman" w:cs="Times New Roman"/>
                <w:snapToGrid w:val="0"/>
                <w:color w:val="auto"/>
                <w:sz w:val="24"/>
              </w:rPr>
              <w:t>。</w:t>
            </w:r>
          </w:p>
          <w:tbl>
            <w:tblPr>
              <w:tblStyle w:val="23"/>
              <w:tblW w:w="7530"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2928"/>
              <w:gridCol w:w="1938"/>
              <w:gridCol w:w="266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87" w:hRule="atLeast"/>
                <w:jc w:val="center"/>
              </w:trPr>
              <w:tc>
                <w:tcPr>
                  <w:tcW w:w="7530" w:type="dxa"/>
                  <w:gridSpan w:val="3"/>
                  <w:tcBorders>
                    <w:top w:val="nil"/>
                    <w:left w:val="nil"/>
                    <w:bottom w:val="single" w:color="000000" w:sz="4" w:space="0"/>
                    <w:right w:val="nil"/>
                  </w:tcBorders>
                  <w:vAlign w:val="center"/>
                </w:tcPr>
                <w:p>
                  <w:pPr>
                    <w:spacing w:line="280" w:lineRule="exact"/>
                    <w:jc w:val="center"/>
                    <w:textAlignment w:val="baseline"/>
                    <w:rPr>
                      <w:rFonts w:hint="default" w:ascii="Times New Roman" w:hAnsi="Times New Roman" w:cs="Times New Roman"/>
                      <w:b/>
                      <w:snapToGrid w:val="0"/>
                      <w:color w:val="auto"/>
                      <w:szCs w:val="21"/>
                    </w:rPr>
                  </w:pPr>
                  <w:r>
                    <w:rPr>
                      <w:rFonts w:hint="default" w:ascii="Times New Roman" w:hAnsi="Times New Roman" w:cs="Times New Roman"/>
                      <w:b/>
                      <w:color w:val="auto"/>
                      <w:szCs w:val="21"/>
                    </w:rPr>
                    <w:t>表4-</w:t>
                  </w:r>
                  <w:r>
                    <w:rPr>
                      <w:rFonts w:hint="default" w:ascii="Times New Roman" w:hAnsi="Times New Roman" w:cs="Times New Roman"/>
                      <w:b/>
                      <w:color w:val="auto"/>
                      <w:szCs w:val="21"/>
                      <w:lang w:val="en-US" w:eastAsia="zh-CN"/>
                    </w:rPr>
                    <w:t>4</w:t>
                  </w:r>
                  <w:r>
                    <w:rPr>
                      <w:rFonts w:hint="default" w:ascii="Times New Roman" w:hAnsi="Times New Roman" w:cs="Times New Roman"/>
                      <w:b/>
                      <w:color w:val="auto"/>
                      <w:szCs w:val="21"/>
                    </w:rPr>
                    <w:t xml:space="preserve"> 《声环境质量标准》(GB3096-2008)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87" w:hRule="atLeast"/>
                <w:jc w:val="center"/>
              </w:trPr>
              <w:tc>
                <w:tcPr>
                  <w:tcW w:w="2928" w:type="dxa"/>
                  <w:vMerge w:val="restart"/>
                  <w:tcBorders>
                    <w:top w:val="single" w:color="000000" w:sz="4" w:space="0"/>
                  </w:tcBorders>
                  <w:vAlign w:val="center"/>
                </w:tcPr>
                <w:p>
                  <w:pPr>
                    <w:spacing w:line="280" w:lineRule="exact"/>
                    <w:ind w:left="-418" w:leftChars="-199" w:firstLine="365" w:firstLineChars="174"/>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适用区域</w:t>
                  </w:r>
                </w:p>
              </w:tc>
              <w:tc>
                <w:tcPr>
                  <w:tcW w:w="4602" w:type="dxa"/>
                  <w:gridSpan w:val="2"/>
                  <w:tcBorders>
                    <w:top w:val="single" w:color="000000" w:sz="4" w:space="0"/>
                  </w:tcBorders>
                  <w:vAlign w:val="center"/>
                </w:tcPr>
                <w:p>
                  <w:pPr>
                    <w:spacing w:line="280" w:lineRule="exact"/>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标准值（Leq：dB（A））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87" w:hRule="atLeast"/>
                <w:jc w:val="center"/>
              </w:trPr>
              <w:tc>
                <w:tcPr>
                  <w:tcW w:w="2928" w:type="dxa"/>
                  <w:vMerge w:val="continue"/>
                  <w:vAlign w:val="center"/>
                </w:tcPr>
                <w:p>
                  <w:pPr>
                    <w:spacing w:line="280" w:lineRule="exact"/>
                    <w:jc w:val="center"/>
                    <w:textAlignment w:val="baseline"/>
                    <w:rPr>
                      <w:rFonts w:hint="default" w:ascii="Times New Roman" w:hAnsi="Times New Roman" w:cs="Times New Roman"/>
                      <w:snapToGrid w:val="0"/>
                      <w:color w:val="auto"/>
                      <w:szCs w:val="21"/>
                    </w:rPr>
                  </w:pPr>
                </w:p>
              </w:tc>
              <w:tc>
                <w:tcPr>
                  <w:tcW w:w="1938" w:type="dxa"/>
                  <w:vAlign w:val="center"/>
                </w:tcPr>
                <w:p>
                  <w:pPr>
                    <w:spacing w:line="280" w:lineRule="exact"/>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昼间</w:t>
                  </w:r>
                </w:p>
              </w:tc>
              <w:tc>
                <w:tcPr>
                  <w:tcW w:w="2664" w:type="dxa"/>
                  <w:vAlign w:val="center"/>
                </w:tcPr>
                <w:p>
                  <w:pPr>
                    <w:spacing w:line="280" w:lineRule="exact"/>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夜间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87" w:hRule="atLeast"/>
                <w:jc w:val="center"/>
              </w:trPr>
              <w:tc>
                <w:tcPr>
                  <w:tcW w:w="2928" w:type="dxa"/>
                  <w:vAlign w:val="center"/>
                </w:tcPr>
                <w:p>
                  <w:pPr>
                    <w:spacing w:line="280" w:lineRule="exact"/>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2类</w:t>
                  </w:r>
                </w:p>
              </w:tc>
              <w:tc>
                <w:tcPr>
                  <w:tcW w:w="1938" w:type="dxa"/>
                  <w:vAlign w:val="center"/>
                </w:tcPr>
                <w:p>
                  <w:pPr>
                    <w:spacing w:line="280" w:lineRule="exact"/>
                    <w:ind w:firstLine="945" w:firstLineChars="450"/>
                    <w:textAlignment w:val="baseline"/>
                    <w:rPr>
                      <w:rFonts w:hint="default" w:ascii="Times New Roman" w:hAnsi="Times New Roman" w:cs="Times New Roman"/>
                      <w:snapToGrid w:val="0"/>
                      <w:color w:val="auto"/>
                      <w:szCs w:val="21"/>
                    </w:rPr>
                  </w:pPr>
                  <w:r>
                    <w:rPr>
                      <w:rFonts w:hint="default" w:ascii="Times New Roman" w:hAnsi="Times New Roman" w:cs="Times New Roman"/>
                      <w:color w:val="auto"/>
                      <w:szCs w:val="21"/>
                    </w:rPr>
                    <w:t>60</w:t>
                  </w:r>
                </w:p>
              </w:tc>
              <w:tc>
                <w:tcPr>
                  <w:tcW w:w="2664" w:type="dxa"/>
                  <w:vAlign w:val="center"/>
                </w:tcPr>
                <w:p>
                  <w:pPr>
                    <w:spacing w:line="280" w:lineRule="exact"/>
                    <w:ind w:firstLine="1365" w:firstLineChars="650"/>
                    <w:textAlignment w:val="baseline"/>
                    <w:rPr>
                      <w:rFonts w:hint="default" w:ascii="Times New Roman" w:hAnsi="Times New Roman" w:cs="Times New Roman"/>
                      <w:snapToGrid w:val="0"/>
                      <w:color w:val="auto"/>
                      <w:szCs w:val="21"/>
                    </w:rPr>
                  </w:pPr>
                  <w:r>
                    <w:rPr>
                      <w:rFonts w:hint="default" w:ascii="Times New Roman" w:hAnsi="Times New Roman" w:cs="Times New Roman"/>
                      <w:color w:val="auto"/>
                      <w:szCs w:val="21"/>
                    </w:rPr>
                    <w:t>50</w:t>
                  </w:r>
                </w:p>
              </w:tc>
            </w:tr>
          </w:tbl>
          <w:p>
            <w:pPr>
              <w:numPr>
                <w:ilvl w:val="0"/>
                <w:numId w:val="0"/>
              </w:numPr>
              <w:spacing w:line="480" w:lineRule="exact"/>
              <w:ind w:firstLine="482" w:firstLineChars="200"/>
              <w:rPr>
                <w:rFonts w:hint="eastAsia"/>
                <w:b/>
                <w:snapToGrid w:val="0"/>
                <w:color w:val="auto"/>
                <w:sz w:val="24"/>
              </w:rPr>
            </w:pPr>
            <w:r>
              <w:rPr>
                <w:rFonts w:hint="eastAsia"/>
                <w:b/>
                <w:snapToGrid w:val="0"/>
                <w:color w:val="auto"/>
                <w:sz w:val="24"/>
                <w:lang w:val="en-US" w:eastAsia="zh-CN"/>
              </w:rPr>
              <w:t>4、</w:t>
            </w:r>
            <w:r>
              <w:rPr>
                <w:rFonts w:hint="eastAsia"/>
                <w:b/>
                <w:snapToGrid w:val="0"/>
                <w:color w:val="auto"/>
                <w:sz w:val="24"/>
              </w:rPr>
              <w:t>城市区域环境振动标准</w:t>
            </w:r>
          </w:p>
          <w:p>
            <w:pPr>
              <w:spacing w:line="360" w:lineRule="auto"/>
              <w:ind w:firstLine="600" w:firstLineChars="250"/>
              <w:rPr>
                <w:rFonts w:hint="eastAsia"/>
                <w:color w:val="auto"/>
              </w:rPr>
            </w:pPr>
            <w:r>
              <w:rPr>
                <w:rFonts w:hint="eastAsia" w:ascii="宋体" w:hAnsi="宋体"/>
                <w:color w:val="auto"/>
                <w:sz w:val="24"/>
              </w:rPr>
              <w:t>本项目在施工和运营期对周围环境还有振动影响，所以，执行《城市区域环境振动标准》(GB10070－88)，具体见表</w:t>
            </w:r>
            <w:r>
              <w:rPr>
                <w:rFonts w:hint="eastAsia" w:ascii="宋体" w:hAnsi="宋体"/>
                <w:color w:val="auto"/>
                <w:sz w:val="24"/>
                <w:lang w:val="en-US" w:eastAsia="zh-CN"/>
              </w:rPr>
              <w:t>4-5</w:t>
            </w:r>
            <w:r>
              <w:rPr>
                <w:rFonts w:hint="eastAsia" w:ascii="宋体" w:hAnsi="宋体"/>
                <w:color w:val="auto"/>
                <w:sz w:val="24"/>
              </w:rPr>
              <w:t>。</w:t>
            </w:r>
          </w:p>
          <w:tbl>
            <w:tblPr>
              <w:tblStyle w:val="23"/>
              <w:tblW w:w="7244" w:type="dxa"/>
              <w:jc w:val="center"/>
              <w:tblLayout w:type="fixed"/>
              <w:tblCellMar>
                <w:top w:w="0" w:type="dxa"/>
                <w:left w:w="108" w:type="dxa"/>
                <w:bottom w:w="0" w:type="dxa"/>
                <w:right w:w="108" w:type="dxa"/>
              </w:tblCellMar>
            </w:tblPr>
            <w:tblGrid>
              <w:gridCol w:w="3139"/>
              <w:gridCol w:w="3142"/>
              <w:gridCol w:w="963"/>
            </w:tblGrid>
            <w:tr>
              <w:tblPrEx>
                <w:tblCellMar>
                  <w:top w:w="0" w:type="dxa"/>
                  <w:left w:w="108" w:type="dxa"/>
                  <w:bottom w:w="0" w:type="dxa"/>
                  <w:right w:w="108" w:type="dxa"/>
                </w:tblCellMar>
              </w:tblPrEx>
              <w:trPr>
                <w:jc w:val="center"/>
              </w:trPr>
              <w:tc>
                <w:tcPr>
                  <w:tcW w:w="7244" w:type="dxa"/>
                  <w:gridSpan w:val="3"/>
                  <w:tcBorders>
                    <w:bottom w:val="single" w:color="auto" w:sz="4" w:space="0"/>
                  </w:tcBorders>
                  <w:vAlign w:val="center"/>
                </w:tcPr>
                <w:p>
                  <w:pPr>
                    <w:spacing w:line="260" w:lineRule="exact"/>
                    <w:jc w:val="center"/>
                    <w:rPr>
                      <w:b/>
                      <w:color w:val="auto"/>
                    </w:rPr>
                  </w:pPr>
                  <w:r>
                    <w:rPr>
                      <w:rFonts w:hAnsi="宋体"/>
                      <w:b/>
                      <w:color w:val="auto"/>
                    </w:rPr>
                    <w:t>表</w:t>
                  </w:r>
                  <w:r>
                    <w:rPr>
                      <w:rFonts w:hint="eastAsia"/>
                      <w:b/>
                      <w:color w:val="auto"/>
                      <w:lang w:val="en-US" w:eastAsia="zh-CN"/>
                    </w:rPr>
                    <w:t>4-5</w:t>
                  </w:r>
                  <w:r>
                    <w:rPr>
                      <w:rFonts w:hAnsi="宋体"/>
                      <w:b/>
                      <w:color w:val="auto"/>
                    </w:rPr>
                    <w:t>《城市区域环境振动标准》</w:t>
                  </w:r>
                  <w:r>
                    <w:rPr>
                      <w:b/>
                      <w:color w:val="auto"/>
                    </w:rPr>
                    <w:t>(GB10070</w:t>
                  </w:r>
                  <w:r>
                    <w:rPr>
                      <w:rFonts w:hAnsi="宋体"/>
                      <w:b/>
                      <w:color w:val="auto"/>
                    </w:rPr>
                    <w:t>－</w:t>
                  </w:r>
                  <w:r>
                    <w:rPr>
                      <w:b/>
                      <w:color w:val="auto"/>
                    </w:rPr>
                    <w:t>88)</w:t>
                  </w:r>
                </w:p>
              </w:tc>
            </w:tr>
            <w:tr>
              <w:tblPrEx>
                <w:tblCellMar>
                  <w:top w:w="0" w:type="dxa"/>
                  <w:left w:w="108" w:type="dxa"/>
                  <w:bottom w:w="0" w:type="dxa"/>
                  <w:right w:w="108" w:type="dxa"/>
                </w:tblCellMar>
              </w:tblPrEx>
              <w:trPr>
                <w:jc w:val="center"/>
              </w:trPr>
              <w:tc>
                <w:tcPr>
                  <w:tcW w:w="313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rFonts w:hAnsi="宋体"/>
                      <w:color w:val="auto"/>
                    </w:rPr>
                    <w:t>适用地带范围</w:t>
                  </w:r>
                </w:p>
              </w:tc>
              <w:tc>
                <w:tcPr>
                  <w:tcW w:w="31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rFonts w:hAnsi="宋体"/>
                      <w:color w:val="auto"/>
                    </w:rPr>
                    <w:t>昼间</w:t>
                  </w:r>
                </w:p>
              </w:tc>
              <w:tc>
                <w:tcPr>
                  <w:tcW w:w="96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rFonts w:hAnsi="宋体"/>
                      <w:color w:val="auto"/>
                    </w:rPr>
                    <w:t>夜间</w:t>
                  </w:r>
                </w:p>
              </w:tc>
            </w:tr>
            <w:tr>
              <w:tblPrEx>
                <w:tblCellMar>
                  <w:top w:w="0" w:type="dxa"/>
                  <w:left w:w="108" w:type="dxa"/>
                  <w:bottom w:w="0" w:type="dxa"/>
                  <w:right w:w="108" w:type="dxa"/>
                </w:tblCellMar>
              </w:tblPrEx>
              <w:trPr>
                <w:jc w:val="center"/>
              </w:trPr>
              <w:tc>
                <w:tcPr>
                  <w:tcW w:w="313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rFonts w:hAnsi="宋体"/>
                      <w:color w:val="auto"/>
                    </w:rPr>
                    <w:t>居民、文教区</w:t>
                  </w:r>
                </w:p>
              </w:tc>
              <w:tc>
                <w:tcPr>
                  <w:tcW w:w="31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color w:val="auto"/>
                    </w:rPr>
                    <w:t>70</w:t>
                  </w:r>
                </w:p>
              </w:tc>
              <w:tc>
                <w:tcPr>
                  <w:tcW w:w="96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color w:val="auto"/>
                    </w:rPr>
                    <w:t>67</w:t>
                  </w:r>
                </w:p>
              </w:tc>
            </w:tr>
            <w:tr>
              <w:tblPrEx>
                <w:tblCellMar>
                  <w:top w:w="0" w:type="dxa"/>
                  <w:left w:w="108" w:type="dxa"/>
                  <w:bottom w:w="0" w:type="dxa"/>
                  <w:right w:w="108" w:type="dxa"/>
                </w:tblCellMar>
              </w:tblPrEx>
              <w:trPr>
                <w:jc w:val="center"/>
              </w:trPr>
              <w:tc>
                <w:tcPr>
                  <w:tcW w:w="313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rFonts w:hAnsi="宋体"/>
                      <w:color w:val="auto"/>
                    </w:rPr>
                    <w:t>混合区、商业中心区</w:t>
                  </w:r>
                </w:p>
              </w:tc>
              <w:tc>
                <w:tcPr>
                  <w:tcW w:w="31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color w:val="auto"/>
                    </w:rPr>
                    <w:t>75</w:t>
                  </w:r>
                </w:p>
              </w:tc>
              <w:tc>
                <w:tcPr>
                  <w:tcW w:w="96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color w:val="auto"/>
                    </w:rPr>
                    <w:t>72</w:t>
                  </w:r>
                </w:p>
              </w:tc>
            </w:tr>
            <w:tr>
              <w:tblPrEx>
                <w:tblCellMar>
                  <w:top w:w="0" w:type="dxa"/>
                  <w:left w:w="108" w:type="dxa"/>
                  <w:bottom w:w="0" w:type="dxa"/>
                  <w:right w:w="108" w:type="dxa"/>
                </w:tblCellMar>
              </w:tblPrEx>
              <w:trPr>
                <w:jc w:val="center"/>
              </w:trPr>
              <w:tc>
                <w:tcPr>
                  <w:tcW w:w="313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rFonts w:hAnsi="宋体"/>
                      <w:color w:val="auto"/>
                    </w:rPr>
                    <w:t>交通干线道路两侧</w:t>
                  </w:r>
                </w:p>
              </w:tc>
              <w:tc>
                <w:tcPr>
                  <w:tcW w:w="31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color w:val="auto"/>
                    </w:rPr>
                    <w:t>75</w:t>
                  </w:r>
                </w:p>
              </w:tc>
              <w:tc>
                <w:tcPr>
                  <w:tcW w:w="96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color w:val="auto"/>
                    </w:rPr>
                  </w:pPr>
                  <w:r>
                    <w:rPr>
                      <w:color w:val="auto"/>
                    </w:rPr>
                    <w:t>72</w:t>
                  </w:r>
                </w:p>
              </w:tc>
            </w:tr>
          </w:tbl>
          <w:p>
            <w:pPr>
              <w:spacing w:line="360" w:lineRule="auto"/>
              <w:rPr>
                <w:rFonts w:hint="eastAsia" w:ascii="宋体" w:hAnsi="宋体"/>
                <w:b/>
                <w:color w:val="auto"/>
                <w:sz w:val="24"/>
              </w:rPr>
            </w:pPr>
            <w:r>
              <w:rPr>
                <w:rFonts w:hint="eastAsia"/>
                <w:b/>
                <w:snapToGrid w:val="0"/>
                <w:color w:val="auto"/>
                <w:sz w:val="24"/>
                <w:lang w:val="en-US" w:eastAsia="zh-CN"/>
              </w:rPr>
              <w:t>5</w:t>
            </w:r>
            <w:r>
              <w:rPr>
                <w:rFonts w:hint="eastAsia"/>
                <w:b/>
                <w:snapToGrid w:val="0"/>
                <w:color w:val="auto"/>
                <w:sz w:val="24"/>
              </w:rPr>
              <w:t>、</w:t>
            </w:r>
            <w:r>
              <w:rPr>
                <w:rFonts w:hint="eastAsia" w:ascii="宋体" w:hAnsi="宋体"/>
                <w:b/>
                <w:color w:val="auto"/>
                <w:sz w:val="24"/>
              </w:rPr>
              <w:t>土壤侵蚀标准</w:t>
            </w:r>
          </w:p>
          <w:p>
            <w:pPr>
              <w:spacing w:line="360" w:lineRule="auto"/>
              <w:ind w:firstLine="480" w:firstLineChars="200"/>
              <w:rPr>
                <w:rFonts w:hint="eastAsia" w:ascii="宋体" w:hAnsi="宋体"/>
                <w:color w:val="auto"/>
                <w:sz w:val="24"/>
              </w:rPr>
            </w:pPr>
            <w:r>
              <w:rPr>
                <w:rFonts w:hint="eastAsia" w:ascii="宋体" w:hAnsi="宋体"/>
                <w:color w:val="auto"/>
                <w:sz w:val="24"/>
              </w:rPr>
              <w:t>土壤水力侵蚀的影响执行《土壤侵蚀分类分级标准》（SL190-2007），</w:t>
            </w:r>
            <w:r>
              <w:rPr>
                <w:color w:val="auto"/>
                <w:sz w:val="24"/>
              </w:rPr>
              <w:t>按照国家水利部《土壤侵蚀分类分级标准》（SL190-2007）划分，项目区域属轻度侵蚀区</w:t>
            </w:r>
            <w:r>
              <w:rPr>
                <w:rFonts w:hint="eastAsia"/>
                <w:color w:val="auto"/>
                <w:sz w:val="24"/>
              </w:rPr>
              <w:t>，</w:t>
            </w:r>
            <w:r>
              <w:rPr>
                <w:rFonts w:hint="eastAsia" w:ascii="宋体" w:hAnsi="宋体"/>
                <w:color w:val="auto"/>
                <w:sz w:val="24"/>
              </w:rPr>
              <w:t>具体见表4-</w:t>
            </w:r>
            <w:r>
              <w:rPr>
                <w:rFonts w:hint="eastAsia" w:ascii="宋体" w:hAnsi="宋体"/>
                <w:color w:val="auto"/>
                <w:sz w:val="24"/>
                <w:lang w:val="en-US" w:eastAsia="zh-CN"/>
              </w:rPr>
              <w:t>6</w:t>
            </w:r>
            <w:r>
              <w:rPr>
                <w:rFonts w:hint="eastAsia" w:ascii="宋体" w:hAnsi="宋体"/>
                <w:color w:val="auto"/>
                <w:sz w:val="24"/>
              </w:rPr>
              <w:t>。</w:t>
            </w:r>
          </w:p>
          <w:tbl>
            <w:tblPr>
              <w:tblStyle w:val="23"/>
              <w:tblW w:w="7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3259"/>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704" w:type="dxa"/>
                  <w:gridSpan w:val="3"/>
                  <w:tcBorders>
                    <w:top w:val="nil"/>
                    <w:left w:val="nil"/>
                    <w:right w:val="nil"/>
                  </w:tcBorders>
                  <w:vAlign w:val="center"/>
                </w:tcPr>
                <w:p>
                  <w:pPr>
                    <w:spacing w:line="280" w:lineRule="exact"/>
                    <w:ind w:firstLine="1476" w:firstLineChars="700"/>
                    <w:rPr>
                      <w:color w:val="auto"/>
                      <w:szCs w:val="21"/>
                    </w:rPr>
                  </w:pPr>
                  <w:r>
                    <w:rPr>
                      <w:b/>
                      <w:color w:val="auto"/>
                      <w:szCs w:val="21"/>
                    </w:rPr>
                    <w:t>表</w:t>
                  </w:r>
                  <w:r>
                    <w:rPr>
                      <w:rFonts w:hint="eastAsia"/>
                      <w:b/>
                      <w:color w:val="auto"/>
                      <w:szCs w:val="21"/>
                    </w:rPr>
                    <w:t>4-</w:t>
                  </w:r>
                  <w:r>
                    <w:rPr>
                      <w:rFonts w:hint="eastAsia"/>
                      <w:b/>
                      <w:color w:val="auto"/>
                      <w:szCs w:val="21"/>
                      <w:lang w:val="en-US" w:eastAsia="zh-CN"/>
                    </w:rPr>
                    <w:t>6</w:t>
                  </w:r>
                  <w:r>
                    <w:rPr>
                      <w:rFonts w:hint="eastAsia"/>
                      <w:b/>
                      <w:color w:val="auto"/>
                      <w:szCs w:val="21"/>
                    </w:rPr>
                    <w:t xml:space="preserve"> </w:t>
                  </w:r>
                  <w:r>
                    <w:rPr>
                      <w:b/>
                      <w:color w:val="auto"/>
                      <w:szCs w:val="21"/>
                    </w:rPr>
                    <w:t>《土壤侵蚀分类分级标准》（SL190-2007）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66" w:type="dxa"/>
                  <w:vAlign w:val="center"/>
                </w:tcPr>
                <w:p>
                  <w:pPr>
                    <w:spacing w:line="280" w:lineRule="exact"/>
                    <w:jc w:val="center"/>
                    <w:rPr>
                      <w:color w:val="auto"/>
                      <w:szCs w:val="21"/>
                    </w:rPr>
                  </w:pPr>
                  <w:r>
                    <w:rPr>
                      <w:color w:val="auto"/>
                      <w:szCs w:val="21"/>
                    </w:rPr>
                    <w:t>级别</w:t>
                  </w:r>
                </w:p>
              </w:tc>
              <w:tc>
                <w:tcPr>
                  <w:tcW w:w="3259" w:type="dxa"/>
                  <w:vAlign w:val="center"/>
                </w:tcPr>
                <w:p>
                  <w:pPr>
                    <w:spacing w:line="280" w:lineRule="exact"/>
                    <w:jc w:val="center"/>
                    <w:rPr>
                      <w:color w:val="auto"/>
                      <w:szCs w:val="21"/>
                    </w:rPr>
                  </w:pPr>
                  <w:r>
                    <w:rPr>
                      <w:color w:val="auto"/>
                      <w:szCs w:val="21"/>
                    </w:rPr>
                    <w:t>平均侵蚀模数[t/(km</w:t>
                  </w:r>
                  <w:r>
                    <w:rPr>
                      <w:color w:val="auto"/>
                      <w:szCs w:val="21"/>
                      <w:vertAlign w:val="superscript"/>
                    </w:rPr>
                    <w:t>2</w:t>
                  </w:r>
                  <w:r>
                    <w:rPr>
                      <w:color w:val="auto"/>
                      <w:szCs w:val="21"/>
                    </w:rPr>
                    <w:t>·a)]</w:t>
                  </w:r>
                </w:p>
              </w:tc>
              <w:tc>
                <w:tcPr>
                  <w:tcW w:w="3279" w:type="dxa"/>
                  <w:vAlign w:val="center"/>
                </w:tcPr>
                <w:p>
                  <w:pPr>
                    <w:spacing w:line="280" w:lineRule="exact"/>
                    <w:jc w:val="center"/>
                    <w:rPr>
                      <w:color w:val="auto"/>
                      <w:szCs w:val="21"/>
                    </w:rPr>
                  </w:pPr>
                  <w:r>
                    <w:rPr>
                      <w:color w:val="auto"/>
                      <w:szCs w:val="21"/>
                    </w:rPr>
                    <w:t>平均流失厚度（mm/a）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66" w:type="dxa"/>
                  <w:vAlign w:val="center"/>
                </w:tcPr>
                <w:p>
                  <w:pPr>
                    <w:spacing w:line="280" w:lineRule="exact"/>
                    <w:jc w:val="center"/>
                    <w:rPr>
                      <w:b/>
                      <w:color w:val="auto"/>
                      <w:szCs w:val="21"/>
                    </w:rPr>
                  </w:pPr>
                  <w:r>
                    <w:rPr>
                      <w:b/>
                      <w:color w:val="auto"/>
                      <w:szCs w:val="21"/>
                    </w:rPr>
                    <w:t>微度</w:t>
                  </w:r>
                </w:p>
              </w:tc>
              <w:tc>
                <w:tcPr>
                  <w:tcW w:w="3259" w:type="dxa"/>
                  <w:vAlign w:val="center"/>
                </w:tcPr>
                <w:p>
                  <w:pPr>
                    <w:spacing w:line="280" w:lineRule="exact"/>
                    <w:jc w:val="center"/>
                    <w:rPr>
                      <w:b/>
                      <w:color w:val="auto"/>
                      <w:szCs w:val="21"/>
                    </w:rPr>
                  </w:pPr>
                  <w:r>
                    <w:rPr>
                      <w:b/>
                      <w:color w:val="auto"/>
                      <w:szCs w:val="21"/>
                    </w:rPr>
                    <w:t>＜200，＜500，＜1000</w:t>
                  </w:r>
                </w:p>
              </w:tc>
              <w:tc>
                <w:tcPr>
                  <w:tcW w:w="3279" w:type="dxa"/>
                  <w:vAlign w:val="center"/>
                </w:tcPr>
                <w:p>
                  <w:pPr>
                    <w:spacing w:line="280" w:lineRule="exact"/>
                    <w:jc w:val="center"/>
                    <w:rPr>
                      <w:b/>
                      <w:color w:val="auto"/>
                      <w:szCs w:val="21"/>
                    </w:rPr>
                  </w:pPr>
                  <w:r>
                    <w:rPr>
                      <w:b/>
                      <w:color w:val="auto"/>
                      <w:szCs w:val="21"/>
                    </w:rPr>
                    <w:t>＜0.15，＜0.37，＜0.74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66" w:type="dxa"/>
                  <w:vAlign w:val="center"/>
                </w:tcPr>
                <w:p>
                  <w:pPr>
                    <w:spacing w:line="280" w:lineRule="exact"/>
                    <w:jc w:val="center"/>
                    <w:rPr>
                      <w:color w:val="auto"/>
                      <w:szCs w:val="21"/>
                    </w:rPr>
                  </w:pPr>
                  <w:r>
                    <w:rPr>
                      <w:color w:val="auto"/>
                      <w:szCs w:val="21"/>
                    </w:rPr>
                    <w:t>轻度</w:t>
                  </w:r>
                </w:p>
              </w:tc>
              <w:tc>
                <w:tcPr>
                  <w:tcW w:w="3259" w:type="dxa"/>
                  <w:vAlign w:val="center"/>
                </w:tcPr>
                <w:p>
                  <w:pPr>
                    <w:spacing w:line="280" w:lineRule="exact"/>
                    <w:jc w:val="center"/>
                    <w:rPr>
                      <w:color w:val="auto"/>
                      <w:szCs w:val="21"/>
                    </w:rPr>
                  </w:pPr>
                  <w:r>
                    <w:rPr>
                      <w:color w:val="auto"/>
                      <w:szCs w:val="21"/>
                    </w:rPr>
                    <w:t>200,500,1000～2500</w:t>
                  </w:r>
                </w:p>
              </w:tc>
              <w:tc>
                <w:tcPr>
                  <w:tcW w:w="3279" w:type="dxa"/>
                  <w:vAlign w:val="center"/>
                </w:tcPr>
                <w:p>
                  <w:pPr>
                    <w:spacing w:line="280" w:lineRule="exact"/>
                    <w:jc w:val="center"/>
                    <w:rPr>
                      <w:color w:val="auto"/>
                      <w:szCs w:val="21"/>
                    </w:rPr>
                  </w:pPr>
                  <w:r>
                    <w:rPr>
                      <w:color w:val="auto"/>
                      <w:szCs w:val="21"/>
                    </w:rPr>
                    <w:t>0.15,0.37, 0.74～1.9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66" w:type="dxa"/>
                  <w:vAlign w:val="center"/>
                </w:tcPr>
                <w:p>
                  <w:pPr>
                    <w:spacing w:line="280" w:lineRule="exact"/>
                    <w:jc w:val="center"/>
                    <w:rPr>
                      <w:color w:val="auto"/>
                      <w:szCs w:val="21"/>
                    </w:rPr>
                  </w:pPr>
                  <w:r>
                    <w:rPr>
                      <w:color w:val="auto"/>
                      <w:szCs w:val="21"/>
                    </w:rPr>
                    <w:t>中度</w:t>
                  </w:r>
                </w:p>
              </w:tc>
              <w:tc>
                <w:tcPr>
                  <w:tcW w:w="3259" w:type="dxa"/>
                  <w:vAlign w:val="center"/>
                </w:tcPr>
                <w:p>
                  <w:pPr>
                    <w:spacing w:line="280" w:lineRule="exact"/>
                    <w:jc w:val="center"/>
                    <w:rPr>
                      <w:color w:val="auto"/>
                      <w:szCs w:val="21"/>
                    </w:rPr>
                  </w:pPr>
                  <w:r>
                    <w:rPr>
                      <w:color w:val="auto"/>
                      <w:szCs w:val="21"/>
                    </w:rPr>
                    <w:t>2500～5000</w:t>
                  </w:r>
                </w:p>
              </w:tc>
              <w:tc>
                <w:tcPr>
                  <w:tcW w:w="3279" w:type="dxa"/>
                  <w:vAlign w:val="center"/>
                </w:tcPr>
                <w:p>
                  <w:pPr>
                    <w:spacing w:line="280" w:lineRule="exact"/>
                    <w:jc w:val="center"/>
                    <w:rPr>
                      <w:color w:val="auto"/>
                      <w:szCs w:val="21"/>
                    </w:rPr>
                  </w:pPr>
                  <w:r>
                    <w:rPr>
                      <w:color w:val="auto"/>
                      <w:szCs w:val="21"/>
                    </w:rPr>
                    <w:t>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66" w:type="dxa"/>
                  <w:vAlign w:val="center"/>
                </w:tcPr>
                <w:p>
                  <w:pPr>
                    <w:spacing w:line="280" w:lineRule="exact"/>
                    <w:jc w:val="center"/>
                    <w:rPr>
                      <w:color w:val="auto"/>
                      <w:szCs w:val="21"/>
                    </w:rPr>
                  </w:pPr>
                  <w:r>
                    <w:rPr>
                      <w:color w:val="auto"/>
                      <w:szCs w:val="21"/>
                    </w:rPr>
                    <w:t>强烈</w:t>
                  </w:r>
                </w:p>
              </w:tc>
              <w:tc>
                <w:tcPr>
                  <w:tcW w:w="3259" w:type="dxa"/>
                  <w:vAlign w:val="center"/>
                </w:tcPr>
                <w:p>
                  <w:pPr>
                    <w:spacing w:line="280" w:lineRule="exact"/>
                    <w:jc w:val="center"/>
                    <w:rPr>
                      <w:color w:val="auto"/>
                      <w:szCs w:val="21"/>
                    </w:rPr>
                  </w:pPr>
                  <w:r>
                    <w:rPr>
                      <w:color w:val="auto"/>
                      <w:szCs w:val="21"/>
                    </w:rPr>
                    <w:t>5000～8000</w:t>
                  </w:r>
                </w:p>
              </w:tc>
              <w:tc>
                <w:tcPr>
                  <w:tcW w:w="3279" w:type="dxa"/>
                  <w:vAlign w:val="center"/>
                </w:tcPr>
                <w:p>
                  <w:pPr>
                    <w:spacing w:line="280" w:lineRule="exact"/>
                    <w:jc w:val="center"/>
                    <w:rPr>
                      <w:color w:val="auto"/>
                      <w:szCs w:val="21"/>
                    </w:rPr>
                  </w:pPr>
                  <w:r>
                    <w:rPr>
                      <w:color w:val="auto"/>
                      <w:szCs w:val="21"/>
                    </w:rPr>
                    <w:t>3.7～5.9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66" w:type="dxa"/>
                  <w:vAlign w:val="center"/>
                </w:tcPr>
                <w:p>
                  <w:pPr>
                    <w:spacing w:line="280" w:lineRule="exact"/>
                    <w:jc w:val="center"/>
                    <w:rPr>
                      <w:color w:val="auto"/>
                      <w:szCs w:val="21"/>
                    </w:rPr>
                  </w:pPr>
                  <w:r>
                    <w:rPr>
                      <w:color w:val="auto"/>
                      <w:szCs w:val="21"/>
                    </w:rPr>
                    <w:t>极强烈</w:t>
                  </w:r>
                </w:p>
              </w:tc>
              <w:tc>
                <w:tcPr>
                  <w:tcW w:w="3259" w:type="dxa"/>
                  <w:vAlign w:val="center"/>
                </w:tcPr>
                <w:p>
                  <w:pPr>
                    <w:spacing w:line="280" w:lineRule="exact"/>
                    <w:jc w:val="center"/>
                    <w:rPr>
                      <w:color w:val="auto"/>
                      <w:szCs w:val="21"/>
                    </w:rPr>
                  </w:pPr>
                  <w:r>
                    <w:rPr>
                      <w:color w:val="auto"/>
                      <w:szCs w:val="21"/>
                    </w:rPr>
                    <w:t>8000～15000</w:t>
                  </w:r>
                </w:p>
              </w:tc>
              <w:tc>
                <w:tcPr>
                  <w:tcW w:w="3279" w:type="dxa"/>
                  <w:vAlign w:val="center"/>
                </w:tcPr>
                <w:p>
                  <w:pPr>
                    <w:spacing w:line="280" w:lineRule="exact"/>
                    <w:jc w:val="center"/>
                    <w:rPr>
                      <w:color w:val="auto"/>
                      <w:szCs w:val="21"/>
                    </w:rPr>
                  </w:pPr>
                  <w:r>
                    <w:rPr>
                      <w:color w:val="auto"/>
                      <w:szCs w:val="21"/>
                    </w:rPr>
                    <w:t>5.9～11.1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66" w:type="dxa"/>
                  <w:vAlign w:val="center"/>
                </w:tcPr>
                <w:p>
                  <w:pPr>
                    <w:spacing w:line="280" w:lineRule="exact"/>
                    <w:jc w:val="center"/>
                    <w:rPr>
                      <w:color w:val="auto"/>
                      <w:szCs w:val="21"/>
                    </w:rPr>
                  </w:pPr>
                  <w:r>
                    <w:rPr>
                      <w:color w:val="auto"/>
                      <w:szCs w:val="21"/>
                    </w:rPr>
                    <w:t>剧烈</w:t>
                  </w:r>
                </w:p>
              </w:tc>
              <w:tc>
                <w:tcPr>
                  <w:tcW w:w="3259" w:type="dxa"/>
                  <w:vAlign w:val="center"/>
                </w:tcPr>
                <w:p>
                  <w:pPr>
                    <w:spacing w:line="280" w:lineRule="exact"/>
                    <w:jc w:val="center"/>
                    <w:rPr>
                      <w:color w:val="auto"/>
                      <w:szCs w:val="21"/>
                    </w:rPr>
                  </w:pPr>
                  <w:r>
                    <w:rPr>
                      <w:color w:val="auto"/>
                      <w:szCs w:val="21"/>
                    </w:rPr>
                    <w:t>﹥15000</w:t>
                  </w:r>
                </w:p>
              </w:tc>
              <w:tc>
                <w:tcPr>
                  <w:tcW w:w="3279" w:type="dxa"/>
                  <w:vAlign w:val="center"/>
                </w:tcPr>
                <w:p>
                  <w:pPr>
                    <w:spacing w:line="280" w:lineRule="exact"/>
                    <w:jc w:val="center"/>
                    <w:rPr>
                      <w:color w:val="auto"/>
                      <w:szCs w:val="21"/>
                    </w:rPr>
                  </w:pPr>
                  <w:r>
                    <w:rPr>
                      <w:color w:val="auto"/>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704" w:type="dxa"/>
                  <w:gridSpan w:val="3"/>
                  <w:vAlign w:val="center"/>
                </w:tcPr>
                <w:p>
                  <w:pPr>
                    <w:spacing w:line="280" w:lineRule="exact"/>
                    <w:jc w:val="center"/>
                    <w:rPr>
                      <w:color w:val="auto"/>
                      <w:szCs w:val="21"/>
                    </w:rPr>
                  </w:pPr>
                  <w:r>
                    <w:rPr>
                      <w:color w:val="auto"/>
                      <w:szCs w:val="21"/>
                    </w:rPr>
                    <w:t>注：本表流失厚度系按土的干密度1.35g/cm</w:t>
                  </w:r>
                  <w:r>
                    <w:rPr>
                      <w:color w:val="auto"/>
                      <w:szCs w:val="21"/>
                      <w:vertAlign w:val="superscript"/>
                    </w:rPr>
                    <w:t>3</w:t>
                  </w:r>
                  <w:r>
                    <w:rPr>
                      <w:color w:val="auto"/>
                      <w:szCs w:val="21"/>
                    </w:rPr>
                    <w:t>折算，各地可按当地土壤干密度计算。</w:t>
                  </w:r>
                </w:p>
              </w:tc>
            </w:tr>
          </w:tbl>
          <w:p>
            <w:pPr>
              <w:rPr>
                <w:rFonts w:hint="eastAsia"/>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污</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染</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物</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排</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放</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标</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准</w:t>
            </w:r>
          </w:p>
          <w:p>
            <w:pPr>
              <w:jc w:val="center"/>
              <w:rPr>
                <w:rFonts w:hint="default" w:ascii="Times New Roman" w:hAnsi="Times New Roman" w:cs="Times New Roman"/>
                <w:color w:val="auto"/>
              </w:rPr>
            </w:pPr>
          </w:p>
        </w:tc>
        <w:tc>
          <w:tcPr>
            <w:tcW w:w="8734" w:type="dxa"/>
            <w:vAlign w:val="top"/>
          </w:tcPr>
          <w:p>
            <w:pPr>
              <w:spacing w:line="360" w:lineRule="auto"/>
              <w:rPr>
                <w:rFonts w:hint="default" w:ascii="Times New Roman" w:hAnsi="Times New Roman" w:cs="Times New Roman"/>
                <w:b/>
                <w:snapToGrid w:val="0"/>
                <w:color w:val="auto"/>
                <w:sz w:val="24"/>
              </w:rPr>
            </w:pPr>
            <w:r>
              <w:rPr>
                <w:rFonts w:hint="default" w:ascii="Times New Roman" w:hAnsi="Times New Roman" w:cs="Times New Roman"/>
                <w:b/>
                <w:snapToGrid w:val="0"/>
                <w:color w:val="auto"/>
                <w:sz w:val="24"/>
              </w:rPr>
              <w:t>1、废水</w:t>
            </w:r>
          </w:p>
          <w:p>
            <w:pPr>
              <w:spacing w:line="480" w:lineRule="exact"/>
              <w:rPr>
                <w:rFonts w:hint="default" w:ascii="Times New Roman" w:hAnsi="Times New Roman" w:cs="Times New Roman"/>
                <w:color w:val="auto"/>
                <w:sz w:val="24"/>
                <w:lang w:eastAsia="zh-CN"/>
              </w:rPr>
            </w:pPr>
            <w:r>
              <w:rPr>
                <w:rFonts w:hint="default" w:ascii="Times New Roman" w:hAnsi="Times New Roman" w:cs="Times New Roman"/>
                <w:color w:val="auto"/>
                <w:sz w:val="24"/>
              </w:rPr>
              <w:t>项目工程实施后，站内实行雨污分流排水制度，站内雨水经雨水收集管网收集汇入水封井后外排至地表沟渠；生活污水经化粪池</w:t>
            </w:r>
            <w:r>
              <w:rPr>
                <w:rFonts w:hint="eastAsia" w:ascii="Times New Roman" w:hAnsi="Times New Roman" w:cs="Times New Roman"/>
                <w:color w:val="auto"/>
                <w:sz w:val="24"/>
                <w:lang w:eastAsia="zh-CN"/>
              </w:rPr>
              <w:t>处理后提供给周边的农户用作农肥</w:t>
            </w:r>
            <w:r>
              <w:rPr>
                <w:rFonts w:hint="default" w:ascii="Times New Roman" w:hAnsi="Times New Roman" w:cs="Times New Roman"/>
                <w:color w:val="auto"/>
                <w:sz w:val="24"/>
                <w:lang w:eastAsia="zh-CN"/>
              </w:rPr>
              <w:t>，废水不外排。</w:t>
            </w:r>
          </w:p>
          <w:p>
            <w:pPr>
              <w:spacing w:line="480" w:lineRule="exact"/>
              <w:rPr>
                <w:rFonts w:hint="default" w:ascii="Times New Roman" w:hAnsi="Times New Roman" w:cs="Times New Roman"/>
                <w:b/>
                <w:snapToGrid w:val="0"/>
                <w:color w:val="auto"/>
                <w:sz w:val="24"/>
              </w:rPr>
            </w:pPr>
            <w:r>
              <w:rPr>
                <w:rFonts w:hint="default" w:ascii="Times New Roman" w:hAnsi="Times New Roman" w:cs="Times New Roman"/>
                <w:b/>
                <w:snapToGrid w:val="0"/>
                <w:color w:val="auto"/>
                <w:sz w:val="24"/>
              </w:rPr>
              <w:t>2、废气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（1）颗粒物</w:t>
            </w:r>
            <w:r>
              <w:rPr>
                <w:rFonts w:hint="default" w:ascii="Times New Roman" w:hAnsi="Times New Roman" w:cs="Times New Roman"/>
                <w:color w:val="auto"/>
                <w:sz w:val="24"/>
                <w:lang w:eastAsia="zh-CN"/>
              </w:rPr>
              <w:t>和周界外非甲烷烃</w:t>
            </w:r>
            <w:r>
              <w:rPr>
                <w:rFonts w:hint="default" w:ascii="Times New Roman" w:hAnsi="Times New Roman" w:cs="Times New Roman"/>
                <w:color w:val="auto"/>
                <w:sz w:val="24"/>
              </w:rPr>
              <w:t>排放执行《大气污染物综合排放标准》（GB16297－1996）中新建“无组织排放监控浓度值”，具体值见表4-</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w:t>
            </w:r>
          </w:p>
          <w:tbl>
            <w:tblPr>
              <w:tblStyle w:val="23"/>
              <w:tblW w:w="73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8"/>
              <w:gridCol w:w="3200"/>
              <w:gridCol w:w="2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7356" w:type="dxa"/>
                  <w:gridSpan w:val="3"/>
                  <w:tcBorders>
                    <w:top w:val="nil"/>
                    <w:left w:val="nil"/>
                    <w:right w:val="nil"/>
                  </w:tcBorders>
                  <w:vAlign w:val="center"/>
                </w:tcPr>
                <w:p>
                  <w:pPr>
                    <w:snapToGrid w:val="0"/>
                    <w:spacing w:line="280" w:lineRule="exact"/>
                    <w:jc w:val="center"/>
                    <w:rPr>
                      <w:rFonts w:hint="default" w:ascii="Times New Roman" w:hAnsi="Times New Roman" w:cs="Times New Roman"/>
                      <w:b/>
                      <w:bCs/>
                      <w:color w:val="auto"/>
                      <w:szCs w:val="21"/>
                    </w:rPr>
                  </w:pPr>
                  <w:r>
                    <w:rPr>
                      <w:rFonts w:hint="default" w:ascii="Times New Roman" w:hAnsi="Times New Roman" w:cs="Times New Roman"/>
                      <w:b/>
                      <w:color w:val="auto"/>
                      <w:szCs w:val="21"/>
                    </w:rPr>
                    <w:t xml:space="preserve">  表4-</w:t>
                  </w:r>
                  <w:r>
                    <w:rPr>
                      <w:rFonts w:hint="eastAsia" w:ascii="Times New Roman" w:hAnsi="Times New Roman" w:cs="Times New Roman"/>
                      <w:b/>
                      <w:color w:val="auto"/>
                      <w:szCs w:val="21"/>
                      <w:lang w:val="en-US" w:eastAsia="zh-CN"/>
                    </w:rPr>
                    <w:t>7</w:t>
                  </w:r>
                  <w:r>
                    <w:rPr>
                      <w:rFonts w:hint="default" w:ascii="Times New Roman" w:hAnsi="Times New Roman" w:cs="Times New Roman"/>
                      <w:b/>
                      <w:color w:val="auto"/>
                      <w:szCs w:val="21"/>
                    </w:rPr>
                    <w:t xml:space="preserve"> 《大气污染物综合排放标准》（GB16297-1996）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1428" w:type="dxa"/>
                  <w:vMerge w:val="restart"/>
                  <w:vAlign w:val="center"/>
                </w:tcPr>
                <w:p>
                  <w:pPr>
                    <w:snapToGrid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5928" w:type="dxa"/>
                  <w:gridSpan w:val="2"/>
                  <w:vAlign w:val="center"/>
                </w:tcPr>
                <w:p>
                  <w:pPr>
                    <w:snapToGrid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无组织排放监控浓度限值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1428" w:type="dxa"/>
                  <w:vMerge w:val="continue"/>
                  <w:vAlign w:val="center"/>
                </w:tcPr>
                <w:p>
                  <w:pPr>
                    <w:snapToGrid w:val="0"/>
                    <w:spacing w:line="280" w:lineRule="exact"/>
                    <w:jc w:val="center"/>
                    <w:rPr>
                      <w:rFonts w:hint="default" w:ascii="Times New Roman" w:hAnsi="Times New Roman" w:cs="Times New Roman"/>
                      <w:color w:val="auto"/>
                      <w:szCs w:val="21"/>
                    </w:rPr>
                  </w:pPr>
                </w:p>
              </w:tc>
              <w:tc>
                <w:tcPr>
                  <w:tcW w:w="3200" w:type="dxa"/>
                  <w:vAlign w:val="center"/>
                </w:tcPr>
                <w:p>
                  <w:pPr>
                    <w:snapToGrid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监控点</w:t>
                  </w:r>
                </w:p>
              </w:tc>
              <w:tc>
                <w:tcPr>
                  <w:tcW w:w="2728" w:type="dxa"/>
                  <w:vAlign w:val="center"/>
                </w:tcPr>
                <w:p>
                  <w:pPr>
                    <w:snapToGrid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浓度（mg/m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1428" w:type="dxa"/>
                  <w:vAlign w:val="center"/>
                </w:tcPr>
                <w:p>
                  <w:pPr>
                    <w:snapToGrid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3200" w:type="dxa"/>
                  <w:vAlign w:val="center"/>
                </w:tcPr>
                <w:p>
                  <w:pPr>
                    <w:snapToGrid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周界外浓度最高点</w:t>
                  </w:r>
                </w:p>
              </w:tc>
              <w:tc>
                <w:tcPr>
                  <w:tcW w:w="2728" w:type="dxa"/>
                  <w:vAlign w:val="center"/>
                </w:tcPr>
                <w:p>
                  <w:pPr>
                    <w:snapToGrid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1428" w:type="dxa"/>
                  <w:vAlign w:val="center"/>
                </w:tcPr>
                <w:p>
                  <w:pPr>
                    <w:snapToGrid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3200" w:type="dxa"/>
                  <w:vAlign w:val="center"/>
                </w:tcPr>
                <w:p>
                  <w:pPr>
                    <w:snapToGrid w:val="0"/>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周界外浓度最高点</w:t>
                  </w:r>
                </w:p>
              </w:tc>
              <w:tc>
                <w:tcPr>
                  <w:tcW w:w="2728" w:type="dxa"/>
                  <w:vAlign w:val="center"/>
                </w:tcPr>
                <w:p>
                  <w:pPr>
                    <w:snapToGrid w:val="0"/>
                    <w:spacing w:line="2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4.0</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snapToGrid w:val="0"/>
                <w:color w:val="auto"/>
                <w:sz w:val="24"/>
              </w:rPr>
              <w:t>（2）</w:t>
            </w:r>
            <w:r>
              <w:rPr>
                <w:rFonts w:hint="default" w:ascii="Times New Roman" w:hAnsi="Times New Roman" w:cs="Times New Roman"/>
                <w:color w:val="auto"/>
                <w:sz w:val="24"/>
              </w:rPr>
              <w:t>处理装置的油气排放浓度</w:t>
            </w:r>
            <w:r>
              <w:rPr>
                <w:rFonts w:hint="default" w:ascii="Times New Roman" w:hAnsi="Times New Roman" w:cs="Times New Roman"/>
                <w:snapToGrid w:val="0"/>
                <w:color w:val="auto"/>
                <w:sz w:val="24"/>
              </w:rPr>
              <w:t>执行</w:t>
            </w:r>
            <w:r>
              <w:rPr>
                <w:rFonts w:hint="default" w:ascii="Times New Roman" w:hAnsi="Times New Roman" w:cs="Times New Roman"/>
                <w:color w:val="auto"/>
                <w:sz w:val="24"/>
              </w:rPr>
              <w:t>《加油站大气污染物排放标准》（GB 20952 -2007）中的限值，即非甲烷总烃排放浓度≤25g/m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，排放口距地平面高度应不低于4m，加油产生的油气应采用真空辅助方式密闭收集。</w:t>
            </w:r>
          </w:p>
          <w:p>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（3）化粪池、垃圾收集桶等会产生少量异味，《恶臭污染物排放标准》（GB14554-93）中二级新改扩建标准：臭气浓度≤20。</w:t>
            </w:r>
          </w:p>
          <w:p>
            <w:pPr>
              <w:spacing w:line="480" w:lineRule="exact"/>
              <w:ind w:firstLine="354" w:firstLineChars="147"/>
              <w:rPr>
                <w:rFonts w:hint="default" w:ascii="Times New Roman" w:hAnsi="Times New Roman" w:cs="Times New Roman"/>
                <w:b/>
                <w:snapToGrid w:val="0"/>
                <w:color w:val="auto"/>
                <w:sz w:val="24"/>
              </w:rPr>
            </w:pPr>
            <w:r>
              <w:rPr>
                <w:rFonts w:hint="default" w:ascii="Times New Roman" w:hAnsi="Times New Roman" w:cs="Times New Roman"/>
                <w:b/>
                <w:snapToGrid w:val="0"/>
                <w:color w:val="auto"/>
                <w:sz w:val="24"/>
              </w:rPr>
              <w:t>3、噪声</w:t>
            </w:r>
          </w:p>
          <w:p>
            <w:pPr>
              <w:spacing w:line="360" w:lineRule="auto"/>
              <w:ind w:firstLine="240" w:firstLineChars="1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（1）施工期噪声执行《建筑施工场界环境噪声排放标准》（GB12523-2011）标准：施工阶段昼间等效声级≤70 dB（A）、夜间等效声级≤55 dB（A）；</w:t>
            </w:r>
          </w:p>
          <w:p>
            <w:pPr>
              <w:spacing w:line="360" w:lineRule="auto"/>
              <w:ind w:firstLine="240" w:firstLineChars="1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（2）项目运营期，噪声执行《</w:t>
            </w:r>
            <w:r>
              <w:rPr>
                <w:rFonts w:hint="default" w:ascii="Times New Roman" w:hAnsi="Times New Roman" w:cs="Times New Roman"/>
                <w:color w:val="auto"/>
                <w:sz w:val="24"/>
              </w:rPr>
              <w:t>工业企业厂界环境噪声排放标准》（GB12348－2008）</w:t>
            </w:r>
            <w:r>
              <w:rPr>
                <w:rFonts w:hint="default" w:ascii="Times New Roman" w:hAnsi="Times New Roman" w:cs="Times New Roman"/>
                <w:snapToGrid w:val="0"/>
                <w:color w:val="auto"/>
                <w:sz w:val="24"/>
              </w:rPr>
              <w:t>中</w:t>
            </w:r>
            <w:r>
              <w:rPr>
                <w:rFonts w:hint="default" w:ascii="Times New Roman" w:hAnsi="Times New Roman" w:cs="Times New Roman"/>
                <w:snapToGrid w:val="0"/>
                <w:color w:val="auto"/>
                <w:sz w:val="24"/>
                <w:lang w:val="en-US" w:eastAsia="zh-CN"/>
              </w:rPr>
              <w:t>2类和</w:t>
            </w:r>
            <w:r>
              <w:rPr>
                <w:rFonts w:hint="default" w:ascii="Times New Roman" w:hAnsi="Times New Roman" w:cs="Times New Roman"/>
                <w:snapToGrid w:val="0"/>
                <w:color w:val="auto"/>
                <w:sz w:val="24"/>
              </w:rPr>
              <w:t>4类标准，具体见表4-</w:t>
            </w:r>
            <w:r>
              <w:rPr>
                <w:rFonts w:hint="eastAsia" w:ascii="Times New Roman" w:hAnsi="Times New Roman" w:cs="Times New Roman"/>
                <w:snapToGrid w:val="0"/>
                <w:color w:val="auto"/>
                <w:sz w:val="24"/>
                <w:lang w:val="en-US" w:eastAsia="zh-CN"/>
              </w:rPr>
              <w:t>8</w:t>
            </w:r>
            <w:r>
              <w:rPr>
                <w:rFonts w:hint="default" w:ascii="Times New Roman" w:hAnsi="Times New Roman" w:cs="Times New Roman"/>
                <w:snapToGrid w:val="0"/>
                <w:color w:val="auto"/>
                <w:sz w:val="24"/>
              </w:rPr>
              <w:t>。</w:t>
            </w:r>
          </w:p>
          <w:tbl>
            <w:tblPr>
              <w:tblStyle w:val="23"/>
              <w:tblW w:w="7398"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3264"/>
              <w:gridCol w:w="2067"/>
              <w:gridCol w:w="206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90" w:hRule="atLeast"/>
                <w:jc w:val="center"/>
              </w:trPr>
              <w:tc>
                <w:tcPr>
                  <w:tcW w:w="7398" w:type="dxa"/>
                  <w:gridSpan w:val="3"/>
                  <w:tcBorders>
                    <w:top w:val="nil"/>
                    <w:left w:val="nil"/>
                    <w:bottom w:val="single" w:color="000000" w:sz="4" w:space="0"/>
                    <w:right w:val="nil"/>
                  </w:tcBorders>
                  <w:vAlign w:val="center"/>
                </w:tcPr>
                <w:p>
                  <w:pPr>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        表4-</w:t>
                  </w:r>
                  <w:r>
                    <w:rPr>
                      <w:rFonts w:hint="eastAsia" w:ascii="Times New Roman" w:hAnsi="Times New Roman" w:cs="Times New Roman"/>
                      <w:b/>
                      <w:color w:val="auto"/>
                      <w:szCs w:val="21"/>
                      <w:lang w:val="en-US" w:eastAsia="zh-CN"/>
                    </w:rPr>
                    <w:t>8</w:t>
                  </w:r>
                  <w:r>
                    <w:rPr>
                      <w:rFonts w:hint="default" w:ascii="Times New Roman" w:hAnsi="Times New Roman" w:cs="Times New Roman"/>
                      <w:b/>
                      <w:color w:val="auto"/>
                      <w:szCs w:val="21"/>
                    </w:rPr>
                    <w:t xml:space="preserve"> 《工业企业厂界环境噪声排放标准》（GB12348－2008）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90" w:hRule="atLeast"/>
                <w:jc w:val="center"/>
              </w:trPr>
              <w:tc>
                <w:tcPr>
                  <w:tcW w:w="3264" w:type="dxa"/>
                  <w:vMerge w:val="restart"/>
                  <w:tcBorders>
                    <w:top w:val="single" w:color="000000" w:sz="4" w:space="0"/>
                  </w:tcBorders>
                  <w:vAlign w:val="center"/>
                </w:tcPr>
                <w:p>
                  <w:pPr>
                    <w:spacing w:line="280" w:lineRule="exact"/>
                    <w:ind w:left="-418" w:leftChars="-199" w:firstLine="365" w:firstLineChars="174"/>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适用区域</w:t>
                  </w:r>
                </w:p>
              </w:tc>
              <w:tc>
                <w:tcPr>
                  <w:tcW w:w="4134" w:type="dxa"/>
                  <w:gridSpan w:val="2"/>
                  <w:tcBorders>
                    <w:top w:val="single" w:color="000000" w:sz="4" w:space="0"/>
                  </w:tcBorders>
                  <w:vAlign w:val="center"/>
                </w:tcPr>
                <w:p>
                  <w:pPr>
                    <w:spacing w:line="280" w:lineRule="exact"/>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标准值：dB（A）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90" w:hRule="atLeast"/>
                <w:jc w:val="center"/>
              </w:trPr>
              <w:tc>
                <w:tcPr>
                  <w:tcW w:w="3264" w:type="dxa"/>
                  <w:vMerge w:val="continue"/>
                  <w:vAlign w:val="center"/>
                </w:tcPr>
                <w:p>
                  <w:pPr>
                    <w:spacing w:line="280" w:lineRule="exact"/>
                    <w:jc w:val="center"/>
                    <w:textAlignment w:val="baseline"/>
                    <w:rPr>
                      <w:rFonts w:hint="default" w:ascii="Times New Roman" w:hAnsi="Times New Roman" w:cs="Times New Roman"/>
                      <w:snapToGrid w:val="0"/>
                      <w:color w:val="auto"/>
                      <w:szCs w:val="21"/>
                    </w:rPr>
                  </w:pPr>
                </w:p>
              </w:tc>
              <w:tc>
                <w:tcPr>
                  <w:tcW w:w="2067" w:type="dxa"/>
                  <w:vAlign w:val="center"/>
                </w:tcPr>
                <w:p>
                  <w:pPr>
                    <w:spacing w:line="280" w:lineRule="exact"/>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昼间</w:t>
                  </w:r>
                </w:p>
              </w:tc>
              <w:tc>
                <w:tcPr>
                  <w:tcW w:w="2067" w:type="dxa"/>
                  <w:vAlign w:val="center"/>
                </w:tcPr>
                <w:p>
                  <w:pPr>
                    <w:spacing w:line="280" w:lineRule="exact"/>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夜间</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90" w:hRule="atLeast"/>
                <w:jc w:val="center"/>
              </w:trPr>
              <w:tc>
                <w:tcPr>
                  <w:tcW w:w="3264" w:type="dxa"/>
                  <w:vAlign w:val="center"/>
                </w:tcPr>
                <w:p>
                  <w:pPr>
                    <w:spacing w:line="280" w:lineRule="exact"/>
                    <w:jc w:val="center"/>
                    <w:textAlignment w:val="baseline"/>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2类区域</w:t>
                  </w:r>
                </w:p>
              </w:tc>
              <w:tc>
                <w:tcPr>
                  <w:tcW w:w="2067" w:type="dxa"/>
                  <w:vAlign w:val="center"/>
                </w:tcPr>
                <w:p>
                  <w:pPr>
                    <w:spacing w:line="28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w:t>
                  </w:r>
                </w:p>
              </w:tc>
              <w:tc>
                <w:tcPr>
                  <w:tcW w:w="2067" w:type="dxa"/>
                  <w:vAlign w:val="center"/>
                </w:tcPr>
                <w:p>
                  <w:pPr>
                    <w:spacing w:line="280" w:lineRule="exact"/>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trHeight w:val="290" w:hRule="atLeast"/>
                <w:jc w:val="center"/>
              </w:trPr>
              <w:tc>
                <w:tcPr>
                  <w:tcW w:w="3264" w:type="dxa"/>
                  <w:vAlign w:val="center"/>
                </w:tcPr>
                <w:p>
                  <w:pPr>
                    <w:spacing w:line="280" w:lineRule="exact"/>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4类区域</w:t>
                  </w:r>
                </w:p>
              </w:tc>
              <w:tc>
                <w:tcPr>
                  <w:tcW w:w="2067" w:type="dxa"/>
                  <w:vAlign w:val="center"/>
                </w:tcPr>
                <w:p>
                  <w:pPr>
                    <w:spacing w:line="280" w:lineRule="exact"/>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2067" w:type="dxa"/>
                  <w:vAlign w:val="center"/>
                </w:tcPr>
                <w:p>
                  <w:pPr>
                    <w:spacing w:line="280" w:lineRule="exact"/>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55</w:t>
                  </w:r>
                </w:p>
              </w:tc>
            </w:tr>
          </w:tbl>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4、其它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40" w:firstLineChars="1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（1）《汽车加油加气站设计与施工规范（2014版）》（GB50156-2012）；</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40" w:firstLineChars="100"/>
              <w:jc w:val="both"/>
              <w:textAlignment w:val="auto"/>
              <w:outlineLvl w:val="9"/>
              <w:rPr>
                <w:rFonts w:hint="default" w:ascii="Times New Roman" w:hAnsi="Times New Roman" w:cs="Times New Roman"/>
                <w:bCs/>
                <w:color w:val="auto"/>
                <w:sz w:val="24"/>
              </w:rPr>
            </w:pP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rPr>
              <w:t>）危险废物执行《危险废物贮存污染控制标准》</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GB18957-2001</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lang w:eastAsia="zh-CN"/>
              </w:rPr>
              <w:t>及</w:t>
            </w:r>
            <w:r>
              <w:rPr>
                <w:rFonts w:hint="default" w:ascii="Times New Roman" w:hAnsi="Times New Roman" w:cs="Times New Roman"/>
                <w:bCs/>
                <w:color w:val="auto"/>
                <w:sz w:val="24"/>
                <w:lang w:val="en-US" w:eastAsia="zh-CN"/>
              </w:rPr>
              <w:t>2013年修改单要求</w:t>
            </w:r>
            <w:r>
              <w:rPr>
                <w:rFonts w:hint="default" w:ascii="Times New Roman" w:hAnsi="Times New Roman" w:cs="Times New Roman"/>
                <w:bCs/>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40" w:firstLineChars="100"/>
              <w:jc w:val="both"/>
              <w:textAlignment w:val="auto"/>
              <w:outlineLvl w:val="9"/>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（3）《储油库大气污染物排放标准》（GB 20950－2007）。</w:t>
            </w:r>
          </w:p>
          <w:p>
            <w:pPr>
              <w:ind w:firstLine="240" w:firstLineChars="100"/>
              <w:rPr>
                <w:rFonts w:hint="default" w:ascii="Times New Roman" w:hAnsi="Times New Roman" w:cs="Times New Roman"/>
                <w:color w:val="auto"/>
              </w:rPr>
            </w:pPr>
            <w:r>
              <w:rPr>
                <w:rFonts w:hint="eastAsia" w:ascii="Times New Roman" w:hAnsi="Times New Roman" w:cs="Times New Roman"/>
                <w:bCs/>
                <w:color w:val="auto"/>
                <w:sz w:val="24"/>
                <w:lang w:val="en-US" w:eastAsia="zh-CN"/>
              </w:rPr>
              <w:t>（4）《散装液态石油产品损耗》（GB 11085－89）。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总</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量</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控</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制</w:t>
            </w:r>
          </w:p>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指</w:t>
            </w:r>
          </w:p>
          <w:p>
            <w:pPr>
              <w:jc w:val="center"/>
              <w:rPr>
                <w:rFonts w:hint="default" w:ascii="Times New Roman" w:hAnsi="Times New Roman" w:cs="Times New Roman"/>
                <w:color w:val="auto"/>
              </w:rPr>
            </w:pPr>
            <w:r>
              <w:rPr>
                <w:rFonts w:hint="default" w:ascii="Times New Roman" w:hAnsi="Times New Roman" w:cs="Times New Roman"/>
                <w:b/>
                <w:color w:val="auto"/>
                <w:sz w:val="28"/>
                <w:szCs w:val="28"/>
              </w:rPr>
              <w:t>标</w:t>
            </w:r>
          </w:p>
        </w:tc>
        <w:tc>
          <w:tcPr>
            <w:tcW w:w="8734" w:type="dxa"/>
            <w:vAlign w:val="top"/>
          </w:tcPr>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1、废气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加油站内的油罐大小呼吸、卸油、加油机作业等排放的非甲烷总烃，通过采用密闭卸油方式、埋地式油罐及自封式电动机</w:t>
            </w:r>
            <w:r>
              <w:rPr>
                <w:rFonts w:hint="eastAsia" w:ascii="Times New Roman" w:hAnsi="Times New Roman" w:cs="Times New Roman"/>
                <w:color w:val="auto"/>
                <w:kern w:val="0"/>
                <w:sz w:val="24"/>
                <w:lang w:eastAsia="zh-CN"/>
              </w:rPr>
              <w:t>及二级油气回收系统处理</w:t>
            </w:r>
            <w:r>
              <w:rPr>
                <w:rFonts w:hint="default" w:ascii="Times New Roman" w:hAnsi="Times New Roman" w:cs="Times New Roman"/>
                <w:color w:val="auto"/>
                <w:kern w:val="0"/>
                <w:sz w:val="24"/>
              </w:rPr>
              <w:t>后，排放浓度</w:t>
            </w:r>
            <w:r>
              <w:rPr>
                <w:rFonts w:hint="default" w:ascii="Times New Roman" w:hAnsi="Times New Roman" w:cs="Times New Roman"/>
                <w:color w:val="auto"/>
                <w:sz w:val="24"/>
              </w:rPr>
              <w:t>≤4 mg/m</w:t>
            </w:r>
            <w:r>
              <w:rPr>
                <w:rFonts w:hint="default" w:ascii="Times New Roman" w:hAnsi="Times New Roman" w:cs="Times New Roman"/>
                <w:color w:val="auto"/>
                <w:sz w:val="24"/>
                <w:vertAlign w:val="superscript"/>
              </w:rPr>
              <w:t xml:space="preserve">3  </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总</w:t>
            </w:r>
            <w:r>
              <w:rPr>
                <w:rFonts w:hint="default" w:ascii="Times New Roman" w:hAnsi="Times New Roman" w:cs="Times New Roman"/>
                <w:color w:val="auto"/>
                <w:kern w:val="0"/>
                <w:sz w:val="24"/>
              </w:rPr>
              <w:t>排放量</w:t>
            </w:r>
            <w:r>
              <w:rPr>
                <w:rFonts w:hint="eastAsia" w:ascii="Times New Roman" w:hAnsi="Times New Roman" w:cs="Times New Roman"/>
                <w:color w:val="auto"/>
                <w:kern w:val="0"/>
                <w:sz w:val="24"/>
                <w:lang w:val="en-US" w:eastAsia="zh-CN"/>
              </w:rPr>
              <w:t>0.</w:t>
            </w:r>
            <w:r>
              <w:rPr>
                <w:rFonts w:hint="eastAsia" w:ascii="Times New Roman" w:hAnsi="Times New Roman" w:cs="Times New Roman"/>
                <w:color w:val="auto"/>
                <w:sz w:val="24"/>
                <w:lang w:val="en-US" w:eastAsia="zh-CN"/>
              </w:rPr>
              <w:t>531t</w:t>
            </w:r>
            <w:r>
              <w:rPr>
                <w:rFonts w:hint="default" w:ascii="Times New Roman" w:hAnsi="Times New Roman" w:cs="Times New Roman"/>
                <w:color w:val="auto"/>
                <w:sz w:val="24"/>
              </w:rPr>
              <w:t>/a。</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2、废水</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w:t>
            </w:r>
            <w:r>
              <w:rPr>
                <w:rFonts w:hint="default" w:ascii="Times New Roman" w:hAnsi="Times New Roman" w:cs="Times New Roman"/>
                <w:color w:val="auto"/>
                <w:sz w:val="24"/>
              </w:rPr>
              <w:t>实行雨污分流排水制度，站内雨水经雨水收集管网收集汇入水封井后外排至地表沟渠；生活污水经化粪池处理后</w:t>
            </w:r>
            <w:r>
              <w:rPr>
                <w:rFonts w:hint="eastAsia" w:ascii="Times New Roman" w:hAnsi="Times New Roman" w:cs="Times New Roman"/>
                <w:color w:val="auto"/>
                <w:sz w:val="24"/>
                <w:lang w:eastAsia="zh-CN"/>
              </w:rPr>
              <w:t>提供给周边的农户用作农肥</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lang w:eastAsia="zh-CN"/>
              </w:rPr>
              <w:t>废水</w:t>
            </w:r>
            <w:r>
              <w:rPr>
                <w:rFonts w:hint="default" w:ascii="Times New Roman" w:hAnsi="Times New Roman" w:cs="Times New Roman"/>
                <w:color w:val="auto"/>
                <w:kern w:val="0"/>
                <w:sz w:val="24"/>
              </w:rPr>
              <w:t>不外排</w:t>
            </w:r>
            <w:r>
              <w:rPr>
                <w:rFonts w:hint="default" w:ascii="Times New Roman" w:hAnsi="Times New Roman" w:cs="Times New Roman"/>
                <w:color w:val="auto"/>
                <w:kern w:val="0"/>
                <w:sz w:val="24"/>
                <w:lang w:eastAsia="zh-CN"/>
              </w:rPr>
              <w:t>，</w:t>
            </w:r>
            <w:r>
              <w:rPr>
                <w:rFonts w:hint="default" w:ascii="Times New Roman" w:hAnsi="Times New Roman" w:cs="Times New Roman"/>
                <w:color w:val="auto"/>
                <w:sz w:val="24"/>
              </w:rPr>
              <w:t>因此不设置废水总量控制指标</w:t>
            </w:r>
            <w:r>
              <w:rPr>
                <w:rFonts w:hint="default" w:ascii="Times New Roman" w:hAnsi="Times New Roman" w:cs="Times New Roman"/>
                <w:color w:val="auto"/>
                <w:kern w:val="0"/>
                <w:sz w:val="24"/>
              </w:rPr>
              <w:t>。</w:t>
            </w:r>
          </w:p>
          <w:p>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3、固体废物</w:t>
            </w:r>
          </w:p>
          <w:p>
            <w:pPr>
              <w:adjustRightInd w:val="0"/>
              <w:snapToGrid w:val="0"/>
              <w:spacing w:line="360" w:lineRule="auto"/>
              <w:ind w:firstLine="480" w:firstLineChars="200"/>
              <w:rPr>
                <w:color w:val="auto"/>
                <w:kern w:val="0"/>
                <w:sz w:val="24"/>
              </w:rPr>
            </w:pPr>
            <w:r>
              <w:rPr>
                <w:rFonts w:hint="default" w:ascii="Times New Roman" w:hAnsi="Times New Roman" w:cs="Times New Roman"/>
                <w:color w:val="auto"/>
                <w:kern w:val="0"/>
                <w:sz w:val="24"/>
              </w:rPr>
              <w:t>固体废物处置率为100%</w:t>
            </w:r>
            <w:r>
              <w:rPr>
                <w:rFonts w:hint="eastAsia" w:ascii="Times New Roman" w:hAnsi="Times New Roman" w:cs="Times New Roman"/>
                <w:color w:val="auto"/>
                <w:kern w:val="0"/>
                <w:sz w:val="24"/>
                <w:lang w:eastAsia="zh-CN"/>
              </w:rPr>
              <w:t>，</w:t>
            </w:r>
            <w:r>
              <w:rPr>
                <w:color w:val="auto"/>
                <w:kern w:val="0"/>
                <w:sz w:val="24"/>
              </w:rPr>
              <w:t>固体废物处置率为100%</w:t>
            </w:r>
            <w:r>
              <w:rPr>
                <w:rFonts w:hint="eastAsia"/>
                <w:color w:val="auto"/>
                <w:kern w:val="0"/>
                <w:sz w:val="24"/>
                <w:lang w:eastAsia="zh-CN"/>
              </w:rPr>
              <w:t>，危废委托有资质单位处置</w:t>
            </w:r>
            <w:r>
              <w:rPr>
                <w:color w:val="auto"/>
                <w:kern w:val="0"/>
                <w:sz w:val="24"/>
              </w:rPr>
              <w:t>。</w:t>
            </w:r>
          </w:p>
          <w:p>
            <w:pPr>
              <w:adjustRightInd w:val="0"/>
              <w:snapToGrid w:val="0"/>
              <w:spacing w:line="360" w:lineRule="auto"/>
              <w:ind w:firstLine="480" w:firstLineChars="200"/>
              <w:rPr>
                <w:rFonts w:hint="default" w:ascii="Times New Roman" w:hAnsi="Times New Roman" w:cs="Times New Roman"/>
                <w:color w:val="auto"/>
                <w:kern w:val="0"/>
                <w:sz w:val="24"/>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tc>
      </w:tr>
    </w:tbl>
    <w:tbl>
      <w:tblPr>
        <w:tblStyle w:val="23"/>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645"/>
        <w:gridCol w:w="1515"/>
        <w:gridCol w:w="1292"/>
        <w:gridCol w:w="1292"/>
        <w:gridCol w:w="543"/>
        <w:gridCol w:w="1292"/>
        <w:gridCol w:w="2055"/>
        <w:gridCol w:w="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jc w:val="center"/>
        </w:trPr>
        <w:tc>
          <w:tcPr>
            <w:tcW w:w="9444" w:type="dxa"/>
            <w:gridSpan w:val="8"/>
            <w:tcBorders>
              <w:top w:val="nil"/>
              <w:left w:val="nil"/>
              <w:bottom w:val="single" w:color="auto" w:sz="4" w:space="0"/>
              <w:right w:val="nil"/>
            </w:tcBorders>
            <w:vAlign w:val="top"/>
          </w:tcPr>
          <w:p>
            <w:pPr>
              <w:rPr>
                <w:rFonts w:hint="default" w:ascii="Times New Roman" w:hAnsi="Times New Roman" w:cs="Times New Roman"/>
                <w:color w:val="auto"/>
              </w:rPr>
            </w:pPr>
            <w:r>
              <w:rPr>
                <w:rFonts w:hint="default" w:ascii="Times New Roman" w:hAnsi="Times New Roman" w:cs="Times New Roman"/>
                <w:b/>
                <w:bCs/>
                <w:color w:val="auto"/>
                <w:sz w:val="32"/>
                <w:szCs w:val="32"/>
              </w:rPr>
              <w:t>表五、建设项目工程分析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13649" w:hRule="atLeast"/>
          <w:jc w:val="center"/>
        </w:trPr>
        <w:tc>
          <w:tcPr>
            <w:tcW w:w="9444" w:type="dxa"/>
            <w:gridSpan w:val="8"/>
            <w:tcBorders>
              <w:top w:val="single" w:color="auto" w:sz="4" w:space="0"/>
            </w:tcBorders>
            <w:vAlign w:val="top"/>
          </w:tcPr>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工艺流程及污染工序简述（图示）：</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一、项目施工工艺流程图</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项目施工期包括拆除、新建、改建等工序，具体带污染物产生节点的施工流程图见图5-1。</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rPr>
              <mc:AlternateContent>
                <mc:Choice Requires="wpg">
                  <w:drawing>
                    <wp:inline distT="0" distB="0" distL="114300" distR="114300">
                      <wp:extent cx="5908040" cy="1684020"/>
                      <wp:effectExtent l="0" t="0" r="16510" b="0"/>
                      <wp:docPr id="26" name="组合 1076"/>
                      <wp:cNvGraphicFramePr/>
                      <a:graphic xmlns:a="http://schemas.openxmlformats.org/drawingml/2006/main">
                        <a:graphicData uri="http://schemas.microsoft.com/office/word/2010/wordprocessingGroup">
                          <wpg:wgp>
                            <wpg:cNvGrpSpPr/>
                            <wpg:grpSpPr>
                              <a:xfrm>
                                <a:off x="0" y="0"/>
                                <a:ext cx="5908040" cy="1684020"/>
                                <a:chOff x="0" y="0"/>
                                <a:chExt cx="9304" cy="2652"/>
                              </a:xfrm>
                            </wpg:grpSpPr>
                            <wps:wsp>
                              <wps:cNvPr id="2" name="图片 1077"/>
                              <wps:cNvSpPr>
                                <a:spLocks noChangeAspect="1" noTextEdit="1"/>
                              </wps:cNvSpPr>
                              <wps:spPr>
                                <a:xfrm>
                                  <a:off x="0" y="0"/>
                                  <a:ext cx="9304" cy="2652"/>
                                </a:xfrm>
                                <a:prstGeom prst="rect">
                                  <a:avLst/>
                                </a:prstGeom>
                                <a:noFill/>
                                <a:ln w="9525">
                                  <a:noFill/>
                                </a:ln>
                              </wps:spPr>
                              <wps:bodyPr wrap="square" upright="1"/>
                            </wps:wsp>
                            <wps:wsp>
                              <wps:cNvPr id="3" name="直线 1078"/>
                              <wps:cNvCnPr/>
                              <wps:spPr>
                                <a:xfrm>
                                  <a:off x="1405" y="1200"/>
                                  <a:ext cx="630" cy="1"/>
                                </a:xfrm>
                                <a:prstGeom prst="line">
                                  <a:avLst/>
                                </a:prstGeom>
                                <a:ln w="9525" cap="flat" cmpd="sng">
                                  <a:solidFill>
                                    <a:srgbClr val="000000"/>
                                  </a:solidFill>
                                  <a:prstDash val="solid"/>
                                  <a:headEnd type="none" w="med" len="med"/>
                                  <a:tailEnd type="triangle" w="med" len="med"/>
                                </a:ln>
                              </wps:spPr>
                              <wps:bodyPr upright="1"/>
                            </wps:wsp>
                            <wps:wsp>
                              <wps:cNvPr id="4" name="直线 1079"/>
                              <wps:cNvCnPr/>
                              <wps:spPr>
                                <a:xfrm>
                                  <a:off x="5008" y="1184"/>
                                  <a:ext cx="629" cy="3"/>
                                </a:xfrm>
                                <a:prstGeom prst="line">
                                  <a:avLst/>
                                </a:prstGeom>
                                <a:ln w="9525" cap="flat" cmpd="sng">
                                  <a:solidFill>
                                    <a:srgbClr val="000000"/>
                                  </a:solidFill>
                                  <a:prstDash val="solid"/>
                                  <a:headEnd type="none" w="med" len="med"/>
                                  <a:tailEnd type="triangle" w="med" len="med"/>
                                </a:ln>
                              </wps:spPr>
                              <wps:bodyPr upright="1"/>
                            </wps:wsp>
                            <wps:wsp>
                              <wps:cNvPr id="5" name="直线 1080"/>
                              <wps:cNvCnPr/>
                              <wps:spPr>
                                <a:xfrm>
                                  <a:off x="6791" y="1172"/>
                                  <a:ext cx="629" cy="1"/>
                                </a:xfrm>
                                <a:prstGeom prst="line">
                                  <a:avLst/>
                                </a:prstGeom>
                                <a:ln w="9525" cap="flat" cmpd="sng">
                                  <a:solidFill>
                                    <a:srgbClr val="000000"/>
                                  </a:solidFill>
                                  <a:prstDash val="solid"/>
                                  <a:headEnd type="none" w="med" len="med"/>
                                  <a:tailEnd type="triangle" w="med" len="med"/>
                                </a:ln>
                              </wps:spPr>
                              <wps:bodyPr upright="1"/>
                            </wps:wsp>
                            <wps:wsp>
                              <wps:cNvPr id="6" name="直线 1081"/>
                              <wps:cNvCnPr/>
                              <wps:spPr>
                                <a:xfrm flipV="1">
                                  <a:off x="2379" y="665"/>
                                  <a:ext cx="286" cy="283"/>
                                </a:xfrm>
                                <a:prstGeom prst="line">
                                  <a:avLst/>
                                </a:prstGeom>
                                <a:ln w="9525" cap="flat" cmpd="sng">
                                  <a:solidFill>
                                    <a:srgbClr val="000000"/>
                                  </a:solidFill>
                                  <a:prstDash val="dash"/>
                                  <a:headEnd type="none" w="med" len="med"/>
                                  <a:tailEnd type="triangle" w="med" len="med"/>
                                </a:ln>
                              </wps:spPr>
                              <wps:bodyPr upright="1"/>
                            </wps:wsp>
                            <wps:wsp>
                              <wps:cNvPr id="7" name="直线 1082"/>
                              <wps:cNvCnPr/>
                              <wps:spPr>
                                <a:xfrm flipV="1">
                                  <a:off x="4269" y="664"/>
                                  <a:ext cx="286" cy="286"/>
                                </a:xfrm>
                                <a:prstGeom prst="line">
                                  <a:avLst/>
                                </a:prstGeom>
                                <a:ln w="9525" cap="flat" cmpd="sng">
                                  <a:solidFill>
                                    <a:srgbClr val="000000"/>
                                  </a:solidFill>
                                  <a:prstDash val="dash"/>
                                  <a:headEnd type="none" w="med" len="med"/>
                                  <a:tailEnd type="triangle" w="med" len="med"/>
                                </a:ln>
                              </wps:spPr>
                              <wps:bodyPr upright="1"/>
                            </wps:wsp>
                            <wps:wsp>
                              <wps:cNvPr id="8" name="Rectangle 115"/>
                              <wps:cNvSpPr/>
                              <wps:spPr>
                                <a:xfrm>
                                  <a:off x="3760" y="322"/>
                                  <a:ext cx="1464" cy="385"/>
                                </a:xfrm>
                                <a:prstGeom prst="rect">
                                  <a:avLst/>
                                </a:prstGeom>
                                <a:noFill/>
                                <a:ln w="9525">
                                  <a:noFill/>
                                </a:ln>
                              </wps:spPr>
                              <wps:txbx>
                                <w:txbxContent>
                                  <w:p>
                                    <w:pPr>
                                      <w:jc w:val="center"/>
                                      <w:rPr>
                                        <w:rFonts w:hint="eastAsia"/>
                                      </w:rPr>
                                    </w:pPr>
                                    <w:r>
                                      <w:t>N、G、S</w:t>
                                    </w:r>
                                    <w:r>
                                      <w:rPr>
                                        <w:rFonts w:hint="eastAsia"/>
                                      </w:rPr>
                                      <w:t>、W</w:t>
                                    </w:r>
                                  </w:p>
                                </w:txbxContent>
                              </wps:txbx>
                              <wps:bodyPr wrap="square" upright="1"/>
                            </wps:wsp>
                            <wps:wsp>
                              <wps:cNvPr id="9" name="直线 1084"/>
                              <wps:cNvCnPr/>
                              <wps:spPr>
                                <a:xfrm flipV="1">
                                  <a:off x="6069" y="649"/>
                                  <a:ext cx="286" cy="285"/>
                                </a:xfrm>
                                <a:prstGeom prst="line">
                                  <a:avLst/>
                                </a:prstGeom>
                                <a:ln w="9525" cap="flat" cmpd="sng">
                                  <a:solidFill>
                                    <a:srgbClr val="000000"/>
                                  </a:solidFill>
                                  <a:prstDash val="dash"/>
                                  <a:headEnd type="none" w="med" len="med"/>
                                  <a:tailEnd type="triangle" w="med" len="med"/>
                                </a:ln>
                              </wps:spPr>
                              <wps:bodyPr upright="1"/>
                            </wps:wsp>
                            <wps:wsp>
                              <wps:cNvPr id="10" name="Rectangle 93"/>
                              <wps:cNvSpPr/>
                              <wps:spPr>
                                <a:xfrm>
                                  <a:off x="3815" y="970"/>
                                  <a:ext cx="1175" cy="468"/>
                                </a:xfrm>
                                <a:prstGeom prst="rect">
                                  <a:avLst/>
                                </a:prstGeom>
                                <a:noFill/>
                                <a:ln w="12700" cap="flat" cmpd="sng">
                                  <a:solidFill>
                                    <a:srgbClr val="000000"/>
                                  </a:solidFill>
                                  <a:prstDash val="solid"/>
                                  <a:miter/>
                                  <a:headEnd type="none" w="med" len="med"/>
                                  <a:tailEnd type="none" w="med" len="med"/>
                                </a:ln>
                              </wps:spPr>
                              <wps:txbx>
                                <w:txbxContent>
                                  <w:p>
                                    <w:r>
                                      <w:t>主体工程</w:t>
                                    </w:r>
                                  </w:p>
                                </w:txbxContent>
                              </wps:txbx>
                              <wps:bodyPr wrap="square" upright="1"/>
                            </wps:wsp>
                            <wps:wsp>
                              <wps:cNvPr id="11" name="Rectangle 94"/>
                              <wps:cNvSpPr/>
                              <wps:spPr>
                                <a:xfrm>
                                  <a:off x="5614" y="956"/>
                                  <a:ext cx="1178" cy="467"/>
                                </a:xfrm>
                                <a:prstGeom prst="rect">
                                  <a:avLst/>
                                </a:prstGeom>
                                <a:noFill/>
                                <a:ln w="12700" cap="flat" cmpd="sng">
                                  <a:solidFill>
                                    <a:srgbClr val="000000"/>
                                  </a:solidFill>
                                  <a:prstDash val="solid"/>
                                  <a:miter/>
                                  <a:headEnd type="none" w="med" len="med"/>
                                  <a:tailEnd type="none" w="med" len="med"/>
                                </a:ln>
                              </wps:spPr>
                              <wps:txbx>
                                <w:txbxContent>
                                  <w:p>
                                    <w:r>
                                      <w:rPr>
                                        <w:rFonts w:hint="eastAsia"/>
                                      </w:rPr>
                                      <w:t>设备安装</w:t>
                                    </w:r>
                                  </w:p>
                                </w:txbxContent>
                              </wps:txbx>
                              <wps:bodyPr wrap="square" upright="1"/>
                            </wps:wsp>
                            <wps:wsp>
                              <wps:cNvPr id="12" name="Rectangle 95"/>
                              <wps:cNvSpPr/>
                              <wps:spPr>
                                <a:xfrm>
                                  <a:off x="7442" y="946"/>
                                  <a:ext cx="1768" cy="468"/>
                                </a:xfrm>
                                <a:prstGeom prst="rect">
                                  <a:avLst/>
                                </a:prstGeom>
                                <a:noFill/>
                                <a:ln w="12700" cap="flat" cmpd="sng">
                                  <a:solidFill>
                                    <a:srgbClr val="000000"/>
                                  </a:solidFill>
                                  <a:prstDash val="solid"/>
                                  <a:miter/>
                                  <a:headEnd type="none" w="med" len="med"/>
                                  <a:tailEnd type="none" w="med" len="med"/>
                                </a:ln>
                              </wps:spPr>
                              <wps:txbx>
                                <w:txbxContent>
                                  <w:p>
                                    <w:r>
                                      <w:rPr>
                                        <w:rFonts w:hint="eastAsia"/>
                                      </w:rPr>
                                      <w:t>绿化</w:t>
                                    </w:r>
                                    <w:r>
                                      <w:t>、</w:t>
                                    </w:r>
                                    <w:r>
                                      <w:rPr>
                                        <w:rFonts w:hint="eastAsia"/>
                                      </w:rPr>
                                      <w:t>地面</w:t>
                                    </w:r>
                                    <w:r>
                                      <w:t>硬化</w:t>
                                    </w:r>
                                  </w:p>
                                </w:txbxContent>
                              </wps:txbx>
                              <wps:bodyPr wrap="square" upright="1"/>
                            </wps:wsp>
                            <wps:wsp>
                              <wps:cNvPr id="13" name="Rectangle 92"/>
                              <wps:cNvSpPr/>
                              <wps:spPr>
                                <a:xfrm>
                                  <a:off x="230" y="962"/>
                                  <a:ext cx="1176" cy="475"/>
                                </a:xfrm>
                                <a:prstGeom prst="rect">
                                  <a:avLst/>
                                </a:prstGeom>
                                <a:noFill/>
                                <a:ln w="12700" cap="flat" cmpd="sng">
                                  <a:solidFill>
                                    <a:srgbClr val="000000"/>
                                  </a:solidFill>
                                  <a:prstDash val="solid"/>
                                  <a:miter/>
                                  <a:headEnd type="none" w="med" len="med"/>
                                  <a:tailEnd type="none" w="med" len="med"/>
                                </a:ln>
                              </wps:spPr>
                              <wps:txbx>
                                <w:txbxContent>
                                  <w:p>
                                    <w:pPr>
                                      <w:rPr>
                                        <w:rFonts w:hint="eastAsia"/>
                                      </w:rPr>
                                    </w:pPr>
                                    <w:r>
                                      <w:rPr>
                                        <w:rFonts w:hint="eastAsia"/>
                                      </w:rPr>
                                      <w:t>拆除工程</w:t>
                                    </w:r>
                                  </w:p>
                                </w:txbxContent>
                              </wps:txbx>
                              <wps:bodyPr wrap="square" upright="1"/>
                            </wps:wsp>
                            <wps:wsp>
                              <wps:cNvPr id="14" name="AutoShape 110"/>
                              <wps:cNvCnPr/>
                              <wps:spPr>
                                <a:xfrm>
                                  <a:off x="8348" y="1424"/>
                                  <a:ext cx="1" cy="507"/>
                                </a:xfrm>
                                <a:prstGeom prst="straightConnector1">
                                  <a:avLst/>
                                </a:prstGeom>
                                <a:ln w="9525" cap="flat" cmpd="sng">
                                  <a:solidFill>
                                    <a:srgbClr val="000000"/>
                                  </a:solidFill>
                                  <a:prstDash val="solid"/>
                                  <a:headEnd type="none" w="med" len="med"/>
                                  <a:tailEnd type="triangle" w="med" len="med"/>
                                </a:ln>
                              </wps:spPr>
                              <wps:bodyPr/>
                            </wps:wsp>
                            <wps:wsp>
                              <wps:cNvPr id="15" name="Rectangle 111"/>
                              <wps:cNvSpPr/>
                              <wps:spPr>
                                <a:xfrm>
                                  <a:off x="7711" y="1931"/>
                                  <a:ext cx="1232" cy="437"/>
                                </a:xfrm>
                                <a:prstGeom prst="rect">
                                  <a:avLst/>
                                </a:prstGeom>
                                <a:noFill/>
                                <a:ln w="9525" cap="flat" cmpd="sng">
                                  <a:solidFill>
                                    <a:srgbClr val="000000"/>
                                  </a:solidFill>
                                  <a:prstDash val="solid"/>
                                  <a:miter/>
                                  <a:headEnd type="none" w="med" len="med"/>
                                  <a:tailEnd type="none" w="med" len="med"/>
                                </a:ln>
                              </wps:spPr>
                              <wps:txbx>
                                <w:txbxContent>
                                  <w:p>
                                    <w:pPr>
                                      <w:jc w:val="center"/>
                                    </w:pPr>
                                    <w:r>
                                      <w:t>清理竣工</w:t>
                                    </w:r>
                                  </w:p>
                                </w:txbxContent>
                              </wps:txbx>
                              <wps:bodyPr wrap="square" upright="1"/>
                            </wps:wsp>
                            <wps:wsp>
                              <wps:cNvPr id="16" name="Rectangle 119"/>
                              <wps:cNvSpPr/>
                              <wps:spPr>
                                <a:xfrm>
                                  <a:off x="5634" y="327"/>
                                  <a:ext cx="1291" cy="391"/>
                                </a:xfrm>
                                <a:prstGeom prst="rect">
                                  <a:avLst/>
                                </a:prstGeom>
                                <a:noFill/>
                                <a:ln w="9525">
                                  <a:noFill/>
                                </a:ln>
                              </wps:spPr>
                              <wps:txbx>
                                <w:txbxContent>
                                  <w:p>
                                    <w:pPr>
                                      <w:jc w:val="center"/>
                                    </w:pPr>
                                    <w:r>
                                      <w:t xml:space="preserve"> N</w:t>
                                    </w:r>
                                    <w:r>
                                      <w:rPr>
                                        <w:rFonts w:hint="eastAsia"/>
                                      </w:rPr>
                                      <w:t>、</w:t>
                                    </w:r>
                                    <w:r>
                                      <w:t>G、</w:t>
                                    </w:r>
                                    <w:r>
                                      <w:rPr>
                                        <w:rFonts w:hint="eastAsia"/>
                                      </w:rPr>
                                      <w:t>S</w:t>
                                    </w:r>
                                  </w:p>
                                </w:txbxContent>
                              </wps:txbx>
                              <wps:bodyPr wrap="square" upright="1"/>
                            </wps:wsp>
                            <wps:wsp>
                              <wps:cNvPr id="17" name="直线 1092"/>
                              <wps:cNvCnPr/>
                              <wps:spPr>
                                <a:xfrm flipV="1">
                                  <a:off x="7434" y="2118"/>
                                  <a:ext cx="287" cy="286"/>
                                </a:xfrm>
                                <a:prstGeom prst="line">
                                  <a:avLst/>
                                </a:prstGeom>
                                <a:ln w="9525" cap="flat" cmpd="sng">
                                  <a:solidFill>
                                    <a:srgbClr val="000000"/>
                                  </a:solidFill>
                                  <a:prstDash val="dash"/>
                                  <a:headEnd type="triangle" w="med" len="med"/>
                                  <a:tailEnd type="none" w="med" len="med"/>
                                </a:ln>
                              </wps:spPr>
                              <wps:bodyPr upright="1"/>
                            </wps:wsp>
                            <wps:wsp>
                              <wps:cNvPr id="18" name="Rectangle 119"/>
                              <wps:cNvSpPr/>
                              <wps:spPr>
                                <a:xfrm>
                                  <a:off x="6969" y="2234"/>
                                  <a:ext cx="660" cy="368"/>
                                </a:xfrm>
                                <a:prstGeom prst="rect">
                                  <a:avLst/>
                                </a:prstGeom>
                                <a:noFill/>
                                <a:ln w="9525">
                                  <a:noFill/>
                                </a:ln>
                              </wps:spPr>
                              <wps:txbx>
                                <w:txbxContent>
                                  <w:p>
                                    <w:pPr>
                                      <w:jc w:val="center"/>
                                    </w:pPr>
                                    <w:r>
                                      <w:t>S</w:t>
                                    </w:r>
                                  </w:p>
                                </w:txbxContent>
                              </wps:txbx>
                              <wps:bodyPr wrap="square" upright="1"/>
                            </wps:wsp>
                            <wps:wsp>
                              <wps:cNvPr id="19" name="Rectangle 93"/>
                              <wps:cNvSpPr/>
                              <wps:spPr>
                                <a:xfrm>
                                  <a:off x="2014" y="984"/>
                                  <a:ext cx="1175" cy="469"/>
                                </a:xfrm>
                                <a:prstGeom prst="rect">
                                  <a:avLst/>
                                </a:prstGeom>
                                <a:noFill/>
                                <a:ln w="12700" cap="flat" cmpd="sng">
                                  <a:solidFill>
                                    <a:srgbClr val="000000"/>
                                  </a:solidFill>
                                  <a:prstDash val="solid"/>
                                  <a:miter/>
                                  <a:headEnd type="none" w="med" len="med"/>
                                  <a:tailEnd type="none" w="med" len="med"/>
                                </a:ln>
                              </wps:spPr>
                              <wps:txbx>
                                <w:txbxContent>
                                  <w:p>
                                    <w:r>
                                      <w:rPr>
                                        <w:rFonts w:hint="eastAsia"/>
                                      </w:rPr>
                                      <w:t>基础</w:t>
                                    </w:r>
                                    <w:r>
                                      <w:t>工程</w:t>
                                    </w:r>
                                  </w:p>
                                </w:txbxContent>
                              </wps:txbx>
                              <wps:bodyPr wrap="square" upright="1"/>
                            </wps:wsp>
                            <wps:wsp>
                              <wps:cNvPr id="20" name="直线 1095"/>
                              <wps:cNvCnPr/>
                              <wps:spPr>
                                <a:xfrm>
                                  <a:off x="3175" y="1184"/>
                                  <a:ext cx="631" cy="3"/>
                                </a:xfrm>
                                <a:prstGeom prst="line">
                                  <a:avLst/>
                                </a:prstGeom>
                                <a:ln w="9525" cap="flat" cmpd="sng">
                                  <a:solidFill>
                                    <a:srgbClr val="000000"/>
                                  </a:solidFill>
                                  <a:prstDash val="solid"/>
                                  <a:headEnd type="none" w="med" len="med"/>
                                  <a:tailEnd type="triangle" w="med" len="med"/>
                                </a:ln>
                              </wps:spPr>
                              <wps:bodyPr upright="1"/>
                            </wps:wsp>
                            <wps:wsp>
                              <wps:cNvPr id="21" name="直线 1096"/>
                              <wps:cNvCnPr/>
                              <wps:spPr>
                                <a:xfrm flipV="1">
                                  <a:off x="579" y="665"/>
                                  <a:ext cx="285" cy="283"/>
                                </a:xfrm>
                                <a:prstGeom prst="line">
                                  <a:avLst/>
                                </a:prstGeom>
                                <a:ln w="9525" cap="flat" cmpd="sng">
                                  <a:solidFill>
                                    <a:srgbClr val="000000"/>
                                  </a:solidFill>
                                  <a:prstDash val="dash"/>
                                  <a:headEnd type="none" w="med" len="med"/>
                                  <a:tailEnd type="triangle" w="med" len="med"/>
                                </a:ln>
                              </wps:spPr>
                              <wps:bodyPr upright="1"/>
                            </wps:wsp>
                            <wps:wsp>
                              <wps:cNvPr id="22" name="Rectangle 115"/>
                              <wps:cNvSpPr/>
                              <wps:spPr>
                                <a:xfrm>
                                  <a:off x="0" y="322"/>
                                  <a:ext cx="1630" cy="427"/>
                                </a:xfrm>
                                <a:prstGeom prst="rect">
                                  <a:avLst/>
                                </a:prstGeom>
                                <a:noFill/>
                                <a:ln w="9525">
                                  <a:noFill/>
                                </a:ln>
                              </wps:spPr>
                              <wps:txbx>
                                <w:txbxContent>
                                  <w:p>
                                    <w:pPr>
                                      <w:jc w:val="center"/>
                                    </w:pPr>
                                    <w:r>
                                      <w:t>N、G、S</w:t>
                                    </w:r>
                                  </w:p>
                                </w:txbxContent>
                              </wps:txbx>
                              <wps:bodyPr wrap="square" upright="1"/>
                            </wps:wsp>
                            <wps:wsp>
                              <wps:cNvPr id="23" name="直线 1098"/>
                              <wps:cNvCnPr/>
                              <wps:spPr>
                                <a:xfrm flipV="1">
                                  <a:off x="8139" y="663"/>
                                  <a:ext cx="286" cy="286"/>
                                </a:xfrm>
                                <a:prstGeom prst="line">
                                  <a:avLst/>
                                </a:prstGeom>
                                <a:ln w="9525" cap="flat" cmpd="sng">
                                  <a:solidFill>
                                    <a:srgbClr val="000000"/>
                                  </a:solidFill>
                                  <a:prstDash val="dash"/>
                                  <a:headEnd type="none" w="med" len="med"/>
                                  <a:tailEnd type="triangle" w="med" len="med"/>
                                </a:ln>
                              </wps:spPr>
                              <wps:bodyPr upright="1"/>
                            </wps:wsp>
                            <wps:wsp>
                              <wps:cNvPr id="24" name="Rectangle 119"/>
                              <wps:cNvSpPr/>
                              <wps:spPr>
                                <a:xfrm>
                                  <a:off x="8150" y="367"/>
                                  <a:ext cx="650" cy="374"/>
                                </a:xfrm>
                                <a:prstGeom prst="rect">
                                  <a:avLst/>
                                </a:prstGeom>
                                <a:noFill/>
                                <a:ln w="9525">
                                  <a:noFill/>
                                </a:ln>
                              </wps:spPr>
                              <wps:txbx>
                                <w:txbxContent>
                                  <w:p>
                                    <w:pPr>
                                      <w:jc w:val="center"/>
                                    </w:pPr>
                                    <w:r>
                                      <w:t xml:space="preserve"> G</w:t>
                                    </w:r>
                                  </w:p>
                                </w:txbxContent>
                              </wps:txbx>
                              <wps:bodyPr wrap="square" upright="1"/>
                            </wps:wsp>
                            <wps:wsp>
                              <wps:cNvPr id="25" name="Rectangle 115"/>
                              <wps:cNvSpPr/>
                              <wps:spPr>
                                <a:xfrm>
                                  <a:off x="1950" y="303"/>
                                  <a:ext cx="1464" cy="385"/>
                                </a:xfrm>
                                <a:prstGeom prst="rect">
                                  <a:avLst/>
                                </a:prstGeom>
                                <a:noFill/>
                                <a:ln w="9525">
                                  <a:noFill/>
                                </a:ln>
                              </wps:spPr>
                              <wps:txbx>
                                <w:txbxContent>
                                  <w:p>
                                    <w:pPr>
                                      <w:jc w:val="center"/>
                                      <w:rPr>
                                        <w:rFonts w:hint="eastAsia"/>
                                      </w:rPr>
                                    </w:pPr>
                                    <w:r>
                                      <w:t>N、G、S</w:t>
                                    </w:r>
                                    <w:r>
                                      <w:rPr>
                                        <w:rFonts w:hint="eastAsia"/>
                                      </w:rPr>
                                      <w:t>、W</w:t>
                                    </w:r>
                                  </w:p>
                                </w:txbxContent>
                              </wps:txbx>
                              <wps:bodyPr wrap="square" upright="1"/>
                            </wps:wsp>
                          </wpg:wgp>
                        </a:graphicData>
                      </a:graphic>
                    </wp:inline>
                  </w:drawing>
                </mc:Choice>
                <mc:Fallback>
                  <w:pict>
                    <v:group id="组合 1076" o:spid="_x0000_s1026" o:spt="203" style="height:132.6pt;width:465.2pt;" coordsize="9304,2652" o:gfxdata="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AAAAAGRycy9QSwECFAAUAAAACACHTuJAl6Rv3tcAAAAFAQAADwAAAAAAAAABACAA&#10;AAAiAAAAZHJzL2Rvd25yZXYueG1sUEsBAhQAFAAAAAgAh07iQLo50jNJBgAAbzEAAA4AAAAAAAAA&#10;AQAgAAAAJgEAAGRycy9lMm9Eb2MueG1sUEsFBgAAAAAGAAYAWQEAAOEJAAAAAA==&#10;">
                      <o:lock v:ext="edit" aspectratio="f"/>
                      <v:rect id="图片 1077" o:spid="_x0000_s1026" o:spt="1" style="position:absolute;left:0;top:0;height:2652;width:9304;"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text="t" aspectratio="t"/>
                      </v:rect>
                      <v:line id="直线 1078" o:spid="_x0000_s1026" o:spt="20" style="position:absolute;left:1405;top:1200;height:1;width:630;" filled="f" stroked="t" coordsize="21600,21600"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079" o:spid="_x0000_s1026" o:spt="20" style="position:absolute;left:5008;top:1184;height:3;width:629;" filled="f" stroked="t" coordsize="21600,21600" o:gfxdata="UEsDBAoAAAAAAIdO4kAAAAAAAAAAAAAAAAAEAAAAZHJzL1BLAwQUAAAACACHTuJAaTVbhr4AAADa&#10;AAAADwAAAGRycy9kb3ducmV2LnhtbEWPT2vCQBTE74V+h+UVvNVNR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Vbh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080" o:spid="_x0000_s1026" o:spt="20" style="position:absolute;left:6791;top:1172;height:1;width:629;"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081" o:spid="_x0000_s1026" o:spt="20" style="position:absolute;left:2379;top:665;flip:y;height:283;width:286;" filled="f" stroked="t" coordsize="21600,21600" o:gfxdata="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Llm+22AAAA2g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line>
                      <v:line id="直线 1082" o:spid="_x0000_s1026" o:spt="20" style="position:absolute;left:4269;top:664;flip:y;height:286;width:286;" filled="f" stroked="t" coordsize="21600,21600" o:gfxdata="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2pPna5AAAA2g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rect id="Rectangle 115" o:spid="_x0000_s1026" o:spt="1" style="position:absolute;left:3760;top:322;height:385;width:1464;" filled="f" stroked="f" coordsize="21600,21600" o:gfxdata="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0CgNC5AAAA2g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eastAsia"/>
                                </w:rPr>
                              </w:pPr>
                              <w:r>
                                <w:t>N、G、S</w:t>
                              </w:r>
                              <w:r>
                                <w:rPr>
                                  <w:rFonts w:hint="eastAsia"/>
                                </w:rPr>
                                <w:t>、W</w:t>
                              </w:r>
                            </w:p>
                          </w:txbxContent>
                        </v:textbox>
                      </v:rect>
                      <v:line id="直线 1084" o:spid="_x0000_s1026" o:spt="20" style="position:absolute;left:6069;top:649;flip:y;height:285;width:286;" filled="f" stroked="t" coordsize="21600,21600" o:gfxdata="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6D5+5AAAA2g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rect id="Rectangle 93" o:spid="_x0000_s1026" o:spt="1" style="position:absolute;left:3815;top:970;height:468;width:1175;" filled="f" stroked="t" coordsize="21600,21600" o:gfxdata="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jkEm/&#10;AAAA2wAAAA8AAAAAAAAAAQAgAAAAIgAAAGRycy9kb3ducmV2LnhtbFBLAQIUABQAAAAIAIdO4kAz&#10;LwWeOwAAADkAAAAQAAAAAAAAAAEAIAAAAA4BAABkcnMvc2hhcGV4bWwueG1sUEsFBgAAAAAGAAYA&#10;WwEAALgDAAAAAA==&#10;">
                        <v:fill on="f" focussize="0,0"/>
                        <v:stroke weight="1pt" color="#000000" joinstyle="miter"/>
                        <v:imagedata o:title=""/>
                        <o:lock v:ext="edit" aspectratio="f"/>
                        <v:textbox>
                          <w:txbxContent>
                            <w:p>
                              <w:r>
                                <w:t>主体工程</w:t>
                              </w:r>
                            </w:p>
                          </w:txbxContent>
                        </v:textbox>
                      </v:rect>
                      <v:rect id="Rectangle 94" o:spid="_x0000_s1026" o:spt="1" style="position:absolute;left:5614;top:956;height:467;width:1178;" filled="f" stroked="t" coordsize="21600,21600" o:gfxdata="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vNdK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r>
                                <w:rPr>
                                  <w:rFonts w:hint="eastAsia"/>
                                </w:rPr>
                                <w:t>设备安装</w:t>
                              </w:r>
                            </w:p>
                          </w:txbxContent>
                        </v:textbox>
                      </v:rect>
                      <v:rect id="Rectangle 95" o:spid="_x0000_s1026" o:spt="1" style="position:absolute;left:7442;top:946;height:468;width:1768;" filled="f" stroked="t" coordsize="21600,21600" o:gfxdata="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Paul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r>
                                <w:rPr>
                                  <w:rFonts w:hint="eastAsia"/>
                                </w:rPr>
                                <w:t>绿化</w:t>
                              </w:r>
                              <w:r>
                                <w:t>、</w:t>
                              </w:r>
                              <w:r>
                                <w:rPr>
                                  <w:rFonts w:hint="eastAsia"/>
                                </w:rPr>
                                <w:t>地面</w:t>
                              </w:r>
                              <w:r>
                                <w:t>硬化</w:t>
                              </w:r>
                            </w:p>
                          </w:txbxContent>
                        </v:textbox>
                      </v:rect>
                      <v:rect id="Rectangle 92" o:spid="_x0000_s1026" o:spt="1" style="position:absolute;left:230;top:962;height:475;width:1176;" filled="f" stroked="t" coordsize="21600,21600" o:gfxdata="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Q4+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w:txbxContent>
                            <w:p>
                              <w:pPr>
                                <w:rPr>
                                  <w:rFonts w:hint="eastAsia"/>
                                </w:rPr>
                              </w:pPr>
                              <w:r>
                                <w:rPr>
                                  <w:rFonts w:hint="eastAsia"/>
                                </w:rPr>
                                <w:t>拆除工程</w:t>
                              </w:r>
                            </w:p>
                          </w:txbxContent>
                        </v:textbox>
                      </v:rect>
                      <v:shape id="AutoShape 110" o:spid="_x0000_s1026" o:spt="32" type="#_x0000_t32" style="position:absolute;left:8348;top:1424;height:507;width:1;" filled="f" stroked="t" coordsize="21600,21600"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Rectangle 111" o:spid="_x0000_s1026" o:spt="1" style="position:absolute;left:7711;top:1931;height:437;width:1232;" filled="f" stroked="t" coordsize="21600,21600" o:gfxdata="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ice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pPr>
                              <w:r>
                                <w:t>清理竣工</w:t>
                              </w:r>
                            </w:p>
                          </w:txbxContent>
                        </v:textbox>
                      </v:rect>
                      <v:rect id="Rectangle 119" o:spid="_x0000_s1026" o:spt="1" style="position:absolute;left:5634;top:327;height:391;width:1291;" filled="f" stroked="f" coordsize="21600,21600" o:gfxdata="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amf+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pPr>
                              <w:r>
                                <w:t xml:space="preserve"> N</w:t>
                              </w:r>
                              <w:r>
                                <w:rPr>
                                  <w:rFonts w:hint="eastAsia"/>
                                </w:rPr>
                                <w:t>、</w:t>
                              </w:r>
                              <w:r>
                                <w:t>G、</w:t>
                              </w:r>
                              <w:r>
                                <w:rPr>
                                  <w:rFonts w:hint="eastAsia"/>
                                </w:rPr>
                                <w:t>S</w:t>
                              </w:r>
                            </w:p>
                          </w:txbxContent>
                        </v:textbox>
                      </v:rect>
                      <v:line id="直线 1092" o:spid="_x0000_s1026" o:spt="20" style="position:absolute;left:7434;top:2118;flip:y;height:286;width:287;" filled="f" stroked="t" coordsize="21600,21600" o:gfxdata="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Gw2lugAAANsA&#10;AAAPAAAAAAAAAAEAIAAAACIAAABkcnMvZG93bnJldi54bWxQSwECFAAUAAAACACHTuJAMy8FnjsA&#10;AAA5AAAAEAAAAAAAAAABACAAAAAJAQAAZHJzL3NoYXBleG1sLnhtbFBLBQYAAAAABgAGAFsBAACz&#10;AwAAAAA=&#10;">
                        <v:fill on="f" focussize="0,0"/>
                        <v:stroke color="#000000" joinstyle="round" dashstyle="dash" startarrow="block"/>
                        <v:imagedata o:title=""/>
                        <o:lock v:ext="edit" aspectratio="f"/>
                      </v:line>
                      <v:rect id="Rectangle 119" o:spid="_x0000_s1026" o:spt="1" style="position:absolute;left:6969;top:2234;height:368;width:660;" filled="f" stroked="f" coordsize="21600,21600" o:gfxdata="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ag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t>S</w:t>
                              </w:r>
                            </w:p>
                          </w:txbxContent>
                        </v:textbox>
                      </v:rect>
                      <v:rect id="Rectangle 93" o:spid="_x0000_s1026" o:spt="1" style="position:absolute;left:2014;top:984;height:469;width:1175;" filled="f" stroked="t" coordsize="21600,21600" o:gfxdata="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k51LsAAADb&#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r>
                                <w:rPr>
                                  <w:rFonts w:hint="eastAsia"/>
                                </w:rPr>
                                <w:t>基础</w:t>
                              </w:r>
                              <w:r>
                                <w:t>工程</w:t>
                              </w:r>
                            </w:p>
                          </w:txbxContent>
                        </v:textbox>
                      </v:rect>
                      <v:line id="直线 1095" o:spid="_x0000_s1026" o:spt="20" style="position:absolute;left:3175;top:1184;height:3;width:631;"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1096" o:spid="_x0000_s1026" o:spt="20" style="position:absolute;left:579;top:665;flip:y;height:283;width:285;" filled="f" stroked="t" coordsize="21600,21600" o:gfxdata="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SqDL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rect id="Rectangle 115" o:spid="_x0000_s1026" o:spt="1" style="position:absolute;left:0;top:322;height:427;width:1630;" filled="f" stroked="f" coordsize="21600,21600" o:gfxdata="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VQ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pPr>
                              <w:r>
                                <w:t>N、G、S</w:t>
                              </w:r>
                            </w:p>
                          </w:txbxContent>
                        </v:textbox>
                      </v:rect>
                      <v:line id="直线 1098" o:spid="_x0000_s1026" o:spt="20" style="position:absolute;left:8139;top:663;flip:y;height:286;width:286;" filled="f" stroked="t" coordsize="21600,21600" o:gfxdata="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Hg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rect id="Rectangle 119" o:spid="_x0000_s1026" o:spt="1" style="position:absolute;left:8150;top:367;height:374;width:650;"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t xml:space="preserve"> G</w:t>
                              </w:r>
                            </w:p>
                          </w:txbxContent>
                        </v:textbox>
                      </v:rect>
                      <v:rect id="Rectangle 115" o:spid="_x0000_s1026" o:spt="1" style="position:absolute;left:1950;top:303;height:385;width:1464;" filled="f" stroked="f" coordsize="21600,21600" o:gfxdata="UEsDBAoAAAAAAIdO4kAAAAAAAAAAAAAAAAAEAAAAZHJzL1BLAwQUAAAACACHTuJAziTNNb0AAADb&#10;AAAADwAAAGRycy9kb3ducmV2LnhtbEWPQYvCMBSE7wv+h/CEvSyaKqx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M0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rPr>
                              </w:pPr>
                              <w:r>
                                <w:t>N、G、S</w:t>
                              </w:r>
                              <w:r>
                                <w:rPr>
                                  <w:rFonts w:hint="eastAsia"/>
                                </w:rPr>
                                <w:t>、W</w:t>
                              </w:r>
                            </w:p>
                          </w:txbxContent>
                        </v:textbox>
                      </v:rect>
                      <w10:wrap type="none"/>
                      <w10:anchorlock/>
                    </v:group>
                  </w:pict>
                </mc:Fallback>
              </mc:AlternateContent>
            </w:r>
          </w:p>
          <w:p>
            <w:pPr>
              <w:spacing w:line="360" w:lineRule="auto"/>
              <w:jc w:val="center"/>
              <w:rPr>
                <w:rFonts w:hint="default" w:ascii="Times New Roman" w:hAnsi="Times New Roman" w:cs="Times New Roman"/>
                <w:color w:val="auto"/>
              </w:rPr>
            </w:pPr>
            <w:r>
              <w:rPr>
                <w:rFonts w:hint="default" w:ascii="Times New Roman" w:hAnsi="Times New Roman" w:cs="Times New Roman"/>
                <w:b/>
                <w:color w:val="auto"/>
                <w:szCs w:val="21"/>
              </w:rPr>
              <w:t>图5-1 项目施工期带污染物产生节点的施工流程图</w:t>
            </w:r>
          </w:p>
          <w:p>
            <w:pPr>
              <w:jc w:val="center"/>
              <w:rPr>
                <w:rFonts w:hint="default" w:ascii="Times New Roman" w:hAnsi="Times New Roman" w:cs="Times New Roman"/>
                <w:color w:val="auto"/>
              </w:rPr>
            </w:pPr>
            <w:r>
              <w:rPr>
                <w:rFonts w:hint="default" w:ascii="Times New Roman" w:hAnsi="Times New Roman" w:cs="Times New Roman"/>
                <w:color w:val="auto"/>
              </w:rPr>
              <w:t>注：图中N表噪声；W表废水；G表废气；S表固体废弃物</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1、施工内容</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w:t>
            </w:r>
            <w:r>
              <w:rPr>
                <w:rFonts w:hint="default" w:ascii="Times New Roman" w:hAnsi="Times New Roman" w:cs="Times New Roman"/>
                <w:color w:val="auto"/>
                <w:kern w:val="0"/>
                <w:sz w:val="24"/>
                <w:lang w:eastAsia="zh-CN"/>
              </w:rPr>
              <w:t>拆除工程，将原单层储罐、加油机等构筑物，设备全部拆除。</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lang w:eastAsia="zh-CN"/>
              </w:rPr>
              <w:t>②改建危废暂存间</w:t>
            </w:r>
            <w:r>
              <w:rPr>
                <w:rFonts w:hint="default" w:ascii="Times New Roman" w:hAnsi="Times New Roman" w:cs="Times New Roman"/>
                <w:color w:val="auto"/>
                <w:kern w:val="0"/>
                <w:sz w:val="24"/>
              </w:rPr>
              <w:t>。</w:t>
            </w:r>
          </w:p>
          <w:p>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kern w:val="0"/>
                <w:sz w:val="24"/>
                <w:lang w:eastAsia="zh-CN"/>
              </w:rPr>
              <w:t>③</w:t>
            </w:r>
            <w:r>
              <w:rPr>
                <w:rFonts w:hint="default" w:ascii="Times New Roman" w:hAnsi="Times New Roman" w:cs="Times New Roman"/>
                <w:color w:val="auto"/>
                <w:kern w:val="0"/>
                <w:sz w:val="24"/>
              </w:rPr>
              <w:t>储油罐建设，加油岛设备安装</w:t>
            </w:r>
            <w:r>
              <w:rPr>
                <w:rFonts w:hint="default" w:ascii="Times New Roman" w:hAnsi="Times New Roman" w:cs="Times New Roman"/>
                <w:color w:val="auto"/>
                <w:sz w:val="24"/>
                <w:lang w:bidi="ar"/>
              </w:rPr>
              <w:t>。</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④</w:t>
            </w:r>
            <w:r>
              <w:rPr>
                <w:rFonts w:hint="default" w:ascii="Times New Roman" w:hAnsi="Times New Roman" w:cs="Times New Roman"/>
                <w:color w:val="auto"/>
                <w:kern w:val="0"/>
                <w:sz w:val="24"/>
              </w:rPr>
              <w:t>油泵、卸油、加油、储油油气回收装置建设。</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⑤</w:t>
            </w:r>
            <w:r>
              <w:rPr>
                <w:rFonts w:hint="default" w:ascii="Times New Roman" w:hAnsi="Times New Roman" w:cs="Times New Roman"/>
                <w:color w:val="auto"/>
                <w:kern w:val="0"/>
                <w:sz w:val="24"/>
              </w:rPr>
              <w:t>水封井</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引水沟建设。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cs="Times New Roman"/>
                <w:color w:val="auto"/>
                <w:kern w:val="0"/>
                <w:sz w:val="24"/>
              </w:rPr>
            </w:pPr>
            <w:r>
              <w:rPr>
                <w:rFonts w:hint="default" w:ascii="Times New Roman" w:hAnsi="Times New Roman" w:cs="Times New Roman"/>
                <w:color w:val="auto"/>
                <w:kern w:val="0"/>
                <w:sz w:val="24"/>
                <w:lang w:eastAsia="zh-CN"/>
              </w:rPr>
              <w:t>⑥</w:t>
            </w:r>
            <w:r>
              <w:rPr>
                <w:rFonts w:hint="default" w:ascii="Times New Roman" w:hAnsi="Times New Roman" w:cs="Times New Roman"/>
                <w:color w:val="auto"/>
                <w:kern w:val="0"/>
                <w:sz w:val="24"/>
              </w:rPr>
              <w:t>其他附属工程建设，如电气线路、应急灯、罩棚灯、标识牌、地面硬化防渗等。</w:t>
            </w:r>
          </w:p>
          <w:p>
            <w:pPr>
              <w:keepNext w:val="0"/>
              <w:keepLines w:val="0"/>
              <w:pageBreakBefore w:val="0"/>
              <w:widowControl w:val="0"/>
              <w:kinsoku/>
              <w:wordWrap/>
              <w:overflowPunct/>
              <w:topLinePunct w:val="0"/>
              <w:autoSpaceDE/>
              <w:autoSpaceDN/>
              <w:bidi w:val="0"/>
              <w:spacing w:line="360" w:lineRule="auto"/>
              <w:ind w:left="0" w:leftChars="0" w:right="0" w:rightChars="0"/>
              <w:textAlignment w:val="auto"/>
              <w:outlineLvl w:val="9"/>
              <w:rPr>
                <w:rFonts w:hint="default" w:ascii="Times New Roman" w:hAnsi="Times New Roman" w:cs="Times New Roman"/>
                <w:b/>
                <w:color w:val="auto"/>
                <w:sz w:val="24"/>
              </w:rPr>
            </w:pPr>
            <w:r>
              <w:rPr>
                <w:rFonts w:hint="default" w:ascii="Times New Roman" w:hAnsi="Times New Roman" w:cs="Times New Roman"/>
                <w:b/>
                <w:color w:val="auto"/>
                <w:sz w:val="24"/>
              </w:rPr>
              <w:t xml:space="preserve">    2、施工进度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rPr>
              <w:t xml:space="preserve"> </w:t>
            </w:r>
            <w:r>
              <w:rPr>
                <w:rFonts w:hint="default" w:ascii="Times New Roman" w:hAnsi="Times New Roman" w:cs="Times New Roman"/>
                <w:color w:val="auto"/>
                <w:sz w:val="24"/>
              </w:rPr>
              <w:t>项目预计201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月开始施工，于201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月施工完毕（约</w:t>
            </w:r>
            <w:r>
              <w:rPr>
                <w:rFonts w:hint="default" w:ascii="Times New Roman" w:hAnsi="Times New Roman" w:cs="Times New Roman"/>
                <w:color w:val="auto"/>
                <w:sz w:val="24"/>
                <w:lang w:val="en-US" w:eastAsia="zh-CN"/>
              </w:rPr>
              <w:t>90</w:t>
            </w:r>
            <w:r>
              <w:rPr>
                <w:rFonts w:hint="default" w:ascii="Times New Roman" w:hAnsi="Times New Roman" w:cs="Times New Roman"/>
                <w:color w:val="auto"/>
                <w:sz w:val="24"/>
              </w:rPr>
              <w:t>天）。</w:t>
            </w:r>
          </w:p>
          <w:p>
            <w:pPr>
              <w:keepNext w:val="0"/>
              <w:keepLines w:val="0"/>
              <w:pageBreakBefore w:val="0"/>
              <w:widowControl w:val="0"/>
              <w:kinsoku/>
              <w:wordWrap/>
              <w:overflowPunct/>
              <w:topLinePunct w:val="0"/>
              <w:autoSpaceDE/>
              <w:autoSpaceDN/>
              <w:bidi w:val="0"/>
              <w:spacing w:line="360" w:lineRule="auto"/>
              <w:ind w:left="0" w:leftChars="0" w:right="0" w:rightChars="0"/>
              <w:jc w:val="left"/>
              <w:textAlignment w:val="auto"/>
              <w:outlineLvl w:val="9"/>
              <w:rPr>
                <w:rFonts w:hint="default" w:ascii="Times New Roman" w:hAnsi="Times New Roman" w:cs="Times New Roman"/>
                <w:b/>
                <w:color w:val="auto"/>
                <w:sz w:val="24"/>
              </w:rPr>
            </w:pPr>
            <w:r>
              <w:rPr>
                <w:rFonts w:hint="default" w:ascii="Times New Roman" w:hAnsi="Times New Roman" w:cs="Times New Roman"/>
                <w:b/>
                <w:color w:val="auto"/>
                <w:sz w:val="24"/>
              </w:rPr>
              <w:t>二、项目营运期工艺流程图</w:t>
            </w:r>
          </w:p>
          <w:p>
            <w:pPr>
              <w:spacing w:line="480" w:lineRule="exact"/>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1、运营工艺流程</w:t>
            </w:r>
          </w:p>
          <w:p>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项目运营期主要涉及卸油过程、加油过程、油气回收过程。</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（1）卸油工艺</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采用自流密闭卸油方式卸油。油罐车与泄油接口、蒸汽回收管口与油罐车油气回收管口均通过快速接头软管相连接，油罐车与埋地油罐便形成了封闭卸油空间。员工打开卸油阀后油品因液位差便自流进入相应的埋地储油罐，同容积的油气因正压被压回油罐车。回收至油罐车内的油气由罐车带回油库。</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（2）储油工艺</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项目设置</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座埋地双层油罐，每具油罐均设有液位仪，用于预防溢油事故，有效保障加油站安全。</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（3）加油工艺</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加油机为自动税控计量加油，加油枪为油气回收型加油枪。员工根据顾客需要的品种和数量在加油机上预置，确认油品无误后提枪加油，完毕后收枪复位。潜油泵将储罐内的油品抽出，通过加油管道输送给带计量的加油机，最后由加油枪加入到汽车油箱里，从而实现为汽车油箱加装汽油或柴油的作业。</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（4）油气回收工艺</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建成</w:t>
            </w:r>
            <w:r>
              <w:rPr>
                <w:rFonts w:hint="default" w:ascii="Times New Roman" w:hAnsi="Times New Roman" w:cs="Times New Roman"/>
                <w:color w:val="auto"/>
                <w:sz w:val="24"/>
              </w:rPr>
              <w:t>后设置油气回收系统</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套</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92#汽油</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套</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由卸油油气回收系统、加油储油混合油气回收系统组成。该系统的作用是通过相关油气回收工艺，将加油站在卸油、储油和加油过程中产生的油气进行密闭收集、储存和回收处理，抑制油气无控逸散挥发，达到保护环境及顾客、员工身体健康的目的。</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①卸油油气回收（一次回收）</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卸油油气回收阶段是通过压力平衡原理，将在卸油过程中挥发的油气收集到油罐车内，运回储油库进行油气回收处理的过程。该阶段油气回收实现过程：在油罐车卸油过程中，储油车内压力减小，地下储罐内压力增加，地下储罐与油罐车内的压力差，使卸油过程中挥发的油气通过管线回到油罐车内，达到油气收集的目的。待卸油结束，地下储罐与油罐车内压力达到平衡状态，卸油油气回收阶段结束。</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项目拟在汽油卸油口建设</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套汽油卸油油气回收装置。卸油油气回收工艺流程图见图5-2。</w:t>
            </w:r>
          </w:p>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345305" cy="1830705"/>
                  <wp:effectExtent l="0" t="0" r="17145" b="17145"/>
                  <wp:docPr id="19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 descr="1"/>
                          <pic:cNvPicPr>
                            <a:picLocks noChangeAspect="1"/>
                          </pic:cNvPicPr>
                        </pic:nvPicPr>
                        <pic:blipFill>
                          <a:blip r:embed="rId14"/>
                          <a:stretch>
                            <a:fillRect/>
                          </a:stretch>
                        </pic:blipFill>
                        <pic:spPr>
                          <a:xfrm>
                            <a:off x="0" y="0"/>
                            <a:ext cx="4345305" cy="1830705"/>
                          </a:xfrm>
                          <a:prstGeom prst="rect">
                            <a:avLst/>
                          </a:prstGeom>
                          <a:noFill/>
                          <a:ln w="9525">
                            <a:noFill/>
                          </a:ln>
                        </pic:spPr>
                      </pic:pic>
                    </a:graphicData>
                  </a:graphic>
                </wp:inline>
              </w:drawing>
            </w: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color w:val="auto"/>
                <w:sz w:val="24"/>
              </w:rPr>
              <w:t>图</w:t>
            </w:r>
            <w:r>
              <w:rPr>
                <w:rFonts w:hint="default" w:ascii="Times New Roman" w:hAnsi="Times New Roman" w:cs="Times New Roman"/>
                <w:b/>
                <w:bCs/>
                <w:color w:val="auto"/>
                <w:sz w:val="24"/>
              </w:rPr>
              <w:t xml:space="preserve"> 5-2   </w:t>
            </w:r>
            <w:r>
              <w:rPr>
                <w:rFonts w:hint="default" w:ascii="Times New Roman" w:hAnsi="Times New Roman" w:cs="Times New Roman"/>
                <w:b/>
                <w:color w:val="auto"/>
                <w:sz w:val="24"/>
              </w:rPr>
              <w:t>卸油油气回收系统工艺流程图</w:t>
            </w:r>
          </w:p>
          <w:p>
            <w:pPr>
              <w:autoSpaceDE w:val="0"/>
              <w:autoSpaceDN w:val="0"/>
              <w:adjustRightInd w:val="0"/>
              <w:snapToGrid w:val="0"/>
              <w:spacing w:before="156"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②加油储油混合油气回收（二次回收）</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加油储油混合油气回收阶段是采用真空辅助式油气回收设备，将在加油过程和储油过程中挥发的油气通过地下油气回收管线收集到地下储罐内的油气回收过程。该阶段油气回收实现过程：加油站加油过程中，通过真空泵产生一定真空度，经加油枪、油气回收管、真空泵等油气回收设备。同时也可将储罐储油产生的油气通过油气回收管进行回收，将加油过程和储油过程挥发的油气回收到油罐内。加油过程是经常但不连续的发生，储油产生油气一般是在温度较高时会产生，即一般是在白天发生，加油会使储罐内气压降低，可用储油产生的油气平衡气压，同时也减少了储油产生的油气外排。因此，也起到了回收储油油气的作用。</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项目拟在汽油储罐及汽油加油机设置</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套加油储油混合油气回收装置。加油储油混合油气回收工艺流程图见图5-3。</w:t>
            </w:r>
          </w:p>
          <w:p>
            <w:pPr>
              <w:autoSpaceDE w:val="0"/>
              <w:autoSpaceDN w:val="0"/>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25770" cy="2706370"/>
                  <wp:effectExtent l="0" t="0" r="17780" b="17780"/>
                  <wp:docPr id="196"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7" descr="2"/>
                          <pic:cNvPicPr>
                            <a:picLocks noChangeAspect="1"/>
                          </pic:cNvPicPr>
                        </pic:nvPicPr>
                        <pic:blipFill>
                          <a:blip r:embed="rId15"/>
                          <a:stretch>
                            <a:fillRect/>
                          </a:stretch>
                        </pic:blipFill>
                        <pic:spPr>
                          <a:xfrm>
                            <a:off x="0" y="0"/>
                            <a:ext cx="5525770" cy="2706370"/>
                          </a:xfrm>
                          <a:prstGeom prst="rect">
                            <a:avLst/>
                          </a:prstGeom>
                          <a:noFill/>
                          <a:ln w="9525">
                            <a:noFill/>
                          </a:ln>
                        </pic:spPr>
                      </pic:pic>
                    </a:graphicData>
                  </a:graphic>
                </wp:inline>
              </w:drawing>
            </w:r>
          </w:p>
          <w:p>
            <w:pPr>
              <w:autoSpaceDE w:val="0"/>
              <w:autoSpaceDN w:val="0"/>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图</w:t>
            </w:r>
            <w:r>
              <w:rPr>
                <w:rFonts w:hint="default" w:ascii="Times New Roman" w:hAnsi="Times New Roman" w:cs="Times New Roman"/>
                <w:b/>
                <w:bCs/>
                <w:color w:val="auto"/>
                <w:sz w:val="24"/>
              </w:rPr>
              <w:t xml:space="preserve"> 5-3</w:t>
            </w:r>
            <w:r>
              <w:rPr>
                <w:rFonts w:hint="default" w:ascii="Times New Roman" w:hAnsi="Times New Roman" w:cs="Times New Roman"/>
                <w:b/>
                <w:color w:val="auto"/>
                <w:sz w:val="24"/>
              </w:rPr>
              <w:t xml:space="preserve">  加油储油混合油气回收工艺流程示意图</w:t>
            </w:r>
          </w:p>
          <w:p>
            <w:pPr>
              <w:adjustRightInd w:val="0"/>
              <w:snapToGrid w:val="0"/>
              <w:spacing w:before="312" w:beforeLines="10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运营期加油工艺流程图见图5-4</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5-5</w:t>
            </w:r>
            <w:r>
              <w:rPr>
                <w:rFonts w:hint="default" w:ascii="Times New Roman" w:hAnsi="Times New Roman" w:cs="Times New Roman"/>
                <w:color w:val="auto"/>
                <w:sz w:val="24"/>
              </w:rPr>
              <w:t>。</w:t>
            </w:r>
          </w:p>
          <w:p>
            <w:pPr>
              <w:adjustRightInd w:val="0"/>
              <w:snapToGrid w:val="0"/>
              <w:spacing w:before="312" w:beforeLines="100" w:line="360" w:lineRule="auto"/>
              <w:rPr>
                <w:rFonts w:hint="default" w:ascii="Times New Roman" w:hAnsi="Times New Roman" w:cs="Times New Roman"/>
                <w:color w:val="auto"/>
                <w:sz w:val="24"/>
              </w:rPr>
            </w:pPr>
          </w:p>
          <w:p>
            <w:pPr>
              <w:adjustRightInd w:val="0"/>
              <w:snapToGrid w:val="0"/>
              <w:spacing w:before="312" w:beforeLines="100" w:line="360" w:lineRule="auto"/>
              <w:rPr>
                <w:rFonts w:hint="default" w:ascii="Times New Roman" w:hAnsi="Times New Roman" w:cs="Times New Roman"/>
                <w:color w:val="auto"/>
                <w:sz w:val="24"/>
              </w:rPr>
            </w:pPr>
          </w:p>
          <w:p>
            <w:pPr>
              <w:adjustRightInd w:val="0"/>
              <w:snapToGrid w:val="0"/>
              <w:spacing w:before="312" w:beforeLines="100" w:line="360" w:lineRule="auto"/>
              <w:rPr>
                <w:rFonts w:hint="default" w:ascii="Times New Roman" w:hAnsi="Times New Roman" w:cs="Times New Roman"/>
                <w:color w:val="auto"/>
                <w:sz w:val="24"/>
              </w:rPr>
            </w:pPr>
          </w:p>
          <w:p>
            <w:pPr>
              <w:adjustRightInd w:val="0"/>
              <w:snapToGrid w:val="0"/>
              <w:spacing w:before="312" w:beforeLines="100" w:line="360" w:lineRule="auto"/>
              <w:rPr>
                <w:rFonts w:hint="default" w:ascii="Times New Roman" w:hAnsi="Times New Roman" w:cs="Times New Roman"/>
                <w:color w:val="auto"/>
                <w:sz w:val="24"/>
              </w:rPr>
            </w:pPr>
          </w:p>
          <w:p>
            <w:pPr>
              <w:spacing w:before="156" w:beforeLines="50" w:line="360" w:lineRule="auto"/>
              <w:jc w:val="center"/>
              <w:rPr>
                <w:rFonts w:hint="default" w:ascii="Times New Roman" w:hAnsi="Times New Roman" w:cs="Times New Roman"/>
                <w:color w:val="auto"/>
              </w:rPr>
            </w:pPr>
            <w:r>
              <w:rPr>
                <w:rFonts w:hint="default" w:ascii="Times New Roman" w:hAnsi="Times New Roman" w:cs="Times New Roman"/>
                <w:b/>
                <w:color w:val="auto"/>
                <w:sz w:val="24"/>
              </w:rPr>
              <mc:AlternateContent>
                <mc:Choice Requires="wps">
                  <w:drawing>
                    <wp:anchor distT="0" distB="0" distL="114300" distR="114300" simplePos="0" relativeHeight="251664384" behindDoc="0" locked="0" layoutInCell="1" allowOverlap="1">
                      <wp:simplePos x="0" y="0"/>
                      <wp:positionH relativeFrom="column">
                        <wp:posOffset>1842770</wp:posOffset>
                      </wp:positionH>
                      <wp:positionV relativeFrom="paragraph">
                        <wp:posOffset>2365375</wp:posOffset>
                      </wp:positionV>
                      <wp:extent cx="95250" cy="609600"/>
                      <wp:effectExtent l="4445" t="4445" r="14605" b="14605"/>
                      <wp:wrapNone/>
                      <wp:docPr id="100" name="矩形 411"/>
                      <wp:cNvGraphicFramePr/>
                      <a:graphic xmlns:a="http://schemas.openxmlformats.org/drawingml/2006/main">
                        <a:graphicData uri="http://schemas.microsoft.com/office/word/2010/wordprocessingShape">
                          <wps:wsp>
                            <wps:cNvSpPr/>
                            <wps:spPr>
                              <a:xfrm>
                                <a:off x="0" y="0"/>
                                <a:ext cx="95250" cy="609600"/>
                              </a:xfrm>
                              <a:prstGeom prst="rect">
                                <a:avLst/>
                              </a:prstGeom>
                              <a:solidFill>
                                <a:srgbClr val="FFFFFF"/>
                              </a:solidFill>
                              <a:ln w="3175" cap="flat" cmpd="sng">
                                <a:solidFill>
                                  <a:srgbClr val="FFFFFF"/>
                                </a:solidFill>
                                <a:prstDash val="solid"/>
                                <a:miter/>
                                <a:headEnd type="none" w="med" len="med"/>
                                <a:tailEnd type="none" w="med" len="med"/>
                              </a:ln>
                            </wps:spPr>
                            <wps:bodyPr wrap="square" upright="1"/>
                          </wps:wsp>
                        </a:graphicData>
                      </a:graphic>
                    </wp:anchor>
                  </w:drawing>
                </mc:Choice>
                <mc:Fallback>
                  <w:pict>
                    <v:rect id="矩形 411" o:spid="_x0000_s1026" o:spt="1" style="position:absolute;left:0pt;margin-left:145.1pt;margin-top:186.25pt;height:48pt;width:7.5pt;z-index:251664384;mso-width-relative:page;mso-height-relative:page;" fillcolor="#FFFFFF" filled="t" stroked="t" coordsize="21600,21600" o:gfxdata="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kb30raAAAACwEAAA8AAAAAAAAAAQAgAAAAIgAAAGRycy9k&#10;b3ducmV2LnhtbFBLAQIUABQAAAAIAIdO4kCWFxIPAAIAAC4EAAAOAAAAAAAAAAEAIAAAACkBAABk&#10;cnMvZTJvRG9jLnhtbFBLBQYAAAAABgAGAFkBAACbBQAAAAA=&#10;">
                      <v:fill on="t" focussize="0,0"/>
                      <v:stroke weight="0.25pt" color="#FFFFFF" joinstyle="miter"/>
                      <v:imagedata o:title=""/>
                      <o:lock v:ext="edit" aspectratio="f"/>
                    </v:rect>
                  </w:pict>
                </mc:Fallback>
              </mc:AlternateContent>
            </w:r>
            <w:r>
              <w:rPr>
                <w:rFonts w:hint="default" w:ascii="Times New Roman" w:hAnsi="Times New Roman" w:cs="Times New Roman"/>
                <w:b/>
                <w:color w:val="auto"/>
                <w:sz w:val="24"/>
              </w:rPr>
              <mc:AlternateContent>
                <mc:Choice Requires="wps">
                  <w:drawing>
                    <wp:anchor distT="0" distB="0" distL="114300" distR="114300" simplePos="0" relativeHeight="251665408" behindDoc="0" locked="0" layoutInCell="1" allowOverlap="1">
                      <wp:simplePos x="0" y="0"/>
                      <wp:positionH relativeFrom="column">
                        <wp:posOffset>1366520</wp:posOffset>
                      </wp:positionH>
                      <wp:positionV relativeFrom="paragraph">
                        <wp:posOffset>2155825</wp:posOffset>
                      </wp:positionV>
                      <wp:extent cx="238125" cy="371475"/>
                      <wp:effectExtent l="0" t="38100" r="9525" b="9525"/>
                      <wp:wrapNone/>
                      <wp:docPr id="101" name="任意多边形 413"/>
                      <wp:cNvGraphicFramePr/>
                      <a:graphic xmlns:a="http://schemas.openxmlformats.org/drawingml/2006/main">
                        <a:graphicData uri="http://schemas.microsoft.com/office/word/2010/wordprocessingShape">
                          <wps:wsp>
                            <wps:cNvSpPr/>
                            <wps:spPr>
                              <a:xfrm>
                                <a:off x="0" y="0"/>
                                <a:ext cx="238125" cy="371475"/>
                              </a:xfrm>
                              <a:custGeom>
                                <a:avLst/>
                                <a:gdLst/>
                                <a:ahLst/>
                                <a:cxnLst/>
                                <a:pathLst>
                                  <a:path w="375" h="585">
                                    <a:moveTo>
                                      <a:pt x="375" y="585"/>
                                    </a:moveTo>
                                    <a:lnTo>
                                      <a:pt x="375" y="0"/>
                                    </a:lnTo>
                                    <a:lnTo>
                                      <a:pt x="0" y="0"/>
                                    </a:lnTo>
                                  </a:path>
                                </a:pathLst>
                              </a:custGeom>
                              <a:noFill/>
                              <a:ln w="3175" cap="flat" cmpd="sng">
                                <a:solidFill>
                                  <a:srgbClr val="000000"/>
                                </a:solidFill>
                                <a:prstDash val="dash"/>
                                <a:headEnd type="none" w="med" len="med"/>
                                <a:tailEnd type="triangle" w="med" len="med"/>
                              </a:ln>
                            </wps:spPr>
                            <wps:bodyPr wrap="square" upright="1"/>
                          </wps:wsp>
                        </a:graphicData>
                      </a:graphic>
                    </wp:anchor>
                  </w:drawing>
                </mc:Choice>
                <mc:Fallback>
                  <w:pict>
                    <v:shape id="任意多边形 413" o:spid="_x0000_s1026" o:spt="100" style="position:absolute;left:0pt;margin-left:107.6pt;margin-top:169.75pt;height:29.25pt;width:18.75pt;z-index:251665408;mso-width-relative:page;mso-height-relative:page;" filled="f" stroked="t" coordsize="375,585" o:gfxdata="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VH51NgAAAALAQAA&#10;DwAAAAAAAAABACAAAAAiAAAAZHJzL2Rvd25yZXYueG1sUEsBAhQAFAAAAAgAh07iQHHwGgxSAgAA&#10;yQQAAA4AAAAAAAAAAQAgAAAAJwEAAGRycy9lMm9Eb2MueG1sUEsFBgAAAAAGAAYAWQEAAOsFAAAA&#10;AA==&#10;" path="m375,585l375,0,0,0e">
                      <v:fill on="f" focussize="0,0"/>
                      <v:stroke weight="0.25pt" color="#000000" joinstyle="round" dashstyle="dash" endarrow="block"/>
                      <v:imagedata o:title=""/>
                      <o:lock v:ext="edit" aspectratio="f"/>
                    </v:shape>
                  </w:pict>
                </mc:Fallback>
              </mc:AlternateContent>
            </w:r>
            <w:r>
              <w:rPr>
                <w:rFonts w:hint="default" w:ascii="Times New Roman" w:hAnsi="Times New Roman" w:cs="Times New Roman"/>
                <w:b/>
                <w:color w:val="auto"/>
                <w:sz w:val="24"/>
              </w:rPr>
              <mc:AlternateContent>
                <mc:Choice Requires="wps">
                  <w:drawing>
                    <wp:anchor distT="0" distB="0" distL="114300" distR="114300" simplePos="0" relativeHeight="251663360" behindDoc="0" locked="0" layoutInCell="1" allowOverlap="1">
                      <wp:simplePos x="0" y="0"/>
                      <wp:positionH relativeFrom="column">
                        <wp:posOffset>1385570</wp:posOffset>
                      </wp:positionH>
                      <wp:positionV relativeFrom="paragraph">
                        <wp:posOffset>1831975</wp:posOffset>
                      </wp:positionV>
                      <wp:extent cx="581025" cy="542925"/>
                      <wp:effectExtent l="4445" t="4445" r="5080" b="5080"/>
                      <wp:wrapNone/>
                      <wp:docPr id="99" name="矩形 410"/>
                      <wp:cNvGraphicFramePr/>
                      <a:graphic xmlns:a="http://schemas.openxmlformats.org/drawingml/2006/main">
                        <a:graphicData uri="http://schemas.microsoft.com/office/word/2010/wordprocessingShape">
                          <wps:wsp>
                            <wps:cNvSpPr/>
                            <wps:spPr>
                              <a:xfrm>
                                <a:off x="0" y="0"/>
                                <a:ext cx="581025" cy="542925"/>
                              </a:xfrm>
                              <a:prstGeom prst="rect">
                                <a:avLst/>
                              </a:prstGeom>
                              <a:solidFill>
                                <a:srgbClr val="FFFFFF"/>
                              </a:solidFill>
                              <a:ln w="3175" cap="flat" cmpd="sng">
                                <a:solidFill>
                                  <a:srgbClr val="FFFFFF"/>
                                </a:solidFill>
                                <a:prstDash val="solid"/>
                                <a:miter/>
                                <a:headEnd type="none" w="med" len="med"/>
                                <a:tailEnd type="none" w="med" len="med"/>
                              </a:ln>
                            </wps:spPr>
                            <wps:bodyPr wrap="square" upright="1"/>
                          </wps:wsp>
                        </a:graphicData>
                      </a:graphic>
                    </wp:anchor>
                  </w:drawing>
                </mc:Choice>
                <mc:Fallback>
                  <w:pict>
                    <v:rect id="矩形 410" o:spid="_x0000_s1026" o:spt="1" style="position:absolute;left:0pt;margin-left:109.1pt;margin-top:144.25pt;height:42.75pt;width:45.75pt;z-index:251663360;mso-width-relative:page;mso-height-relative:page;" fillcolor="#FFFFFF" filled="t" stroked="t" coordsize="21600,21600" o:gfxdata="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k0m9oAAAALAQAADwAAAAAAAAABACAAAAAiAAAAZHJzL2Rv&#10;d25yZXYueG1sUEsBAhQAFAAAAAgAh07iQMkpkIb/AQAALgQAAA4AAAAAAAAAAQAgAAAAKQEAAGRy&#10;cy9lMm9Eb2MueG1sUEsFBgAAAAAGAAYAWQEAAJoFAAAAAA==&#10;">
                      <v:fill on="t" focussize="0,0"/>
                      <v:stroke weight="0.25pt" color="#FFFFFF" joinstyle="miter"/>
                      <v:imagedata o:title=""/>
                      <o:lock v:ext="edit" aspectratio="f"/>
                    </v:rect>
                  </w:pict>
                </mc:Fallback>
              </mc:AlternateContent>
            </w:r>
            <w:r>
              <w:rPr>
                <w:rFonts w:hint="default" w:ascii="Times New Roman" w:hAnsi="Times New Roman" w:cs="Times New Roman"/>
                <w:b/>
                <w:color w:val="auto"/>
                <w:sz w:val="24"/>
              </w:rPr>
              <mc:AlternateContent>
                <mc:Choice Requires="wpg">
                  <w:drawing>
                    <wp:inline distT="0" distB="0" distL="114300" distR="114300">
                      <wp:extent cx="5925185" cy="3825875"/>
                      <wp:effectExtent l="0" t="0" r="18415" b="0"/>
                      <wp:docPr id="96" name="画布 1170"/>
                      <wp:cNvGraphicFramePr/>
                      <a:graphic xmlns:a="http://schemas.openxmlformats.org/drawingml/2006/main">
                        <a:graphicData uri="http://schemas.microsoft.com/office/word/2010/wordprocessingGroup">
                          <wpg:wgp>
                            <wpg:cNvGrpSpPr>
                              <a:grpSpLocks noRot="1"/>
                            </wpg:cNvGrpSpPr>
                            <wpg:grpSpPr>
                              <a:xfrm>
                                <a:off x="0" y="0"/>
                                <a:ext cx="5925185" cy="3825875"/>
                                <a:chOff x="0" y="0"/>
                                <a:chExt cx="9331" cy="6025"/>
                              </a:xfrm>
                            </wpg:grpSpPr>
                            <wps:wsp>
                              <wps:cNvPr id="27" name="图片 194"/>
                              <wps:cNvSpPr>
                                <a:spLocks noRot="1" noChangeAspect="1" noTextEdit="1"/>
                              </wps:cNvSpPr>
                              <wps:spPr>
                                <a:xfrm>
                                  <a:off x="0" y="0"/>
                                  <a:ext cx="9331" cy="6025"/>
                                </a:xfrm>
                                <a:prstGeom prst="rect">
                                  <a:avLst/>
                                </a:prstGeom>
                                <a:noFill/>
                                <a:ln w="9525">
                                  <a:noFill/>
                                </a:ln>
                              </wps:spPr>
                              <wps:bodyPr vert="horz" wrap="square" anchor="t" upright="1"/>
                            </wps:wsp>
                            <wps:wsp>
                              <wps:cNvPr id="28" name="矩形 1194"/>
                              <wps:cNvSpPr/>
                              <wps:spPr>
                                <a:xfrm>
                                  <a:off x="3914" y="3569"/>
                                  <a:ext cx="660" cy="705"/>
                                </a:xfrm>
                                <a:prstGeom prst="rect">
                                  <a:avLst/>
                                </a:prstGeom>
                                <a:solidFill>
                                  <a:srgbClr val="FFFFFF"/>
                                </a:solidFill>
                                <a:ln w="9525">
                                  <a:noFill/>
                                </a:ln>
                              </wps:spPr>
                              <wps:txbx>
                                <w:txbxContent>
                                  <w:p>
                                    <w:pPr>
                                      <w:jc w:val="center"/>
                                      <w:rPr>
                                        <w:rFonts w:hint="eastAsia"/>
                                        <w:sz w:val="18"/>
                                        <w:szCs w:val="18"/>
                                      </w:rPr>
                                    </w:pPr>
                                    <w:r>
                                      <w:rPr>
                                        <w:rFonts w:hint="eastAsia"/>
                                        <w:sz w:val="18"/>
                                        <w:szCs w:val="18"/>
                                      </w:rPr>
                                      <w:t>油</w:t>
                                    </w:r>
                                  </w:p>
                                  <w:p>
                                    <w:pPr>
                                      <w:jc w:val="center"/>
                                      <w:rPr>
                                        <w:sz w:val="18"/>
                                        <w:szCs w:val="18"/>
                                      </w:rPr>
                                    </w:pPr>
                                    <w:r>
                                      <w:rPr>
                                        <w:rFonts w:hint="eastAsia"/>
                                        <w:sz w:val="18"/>
                                        <w:szCs w:val="18"/>
                                      </w:rPr>
                                      <w:t>气</w:t>
                                    </w:r>
                                  </w:p>
                                </w:txbxContent>
                              </wps:txbx>
                              <wps:bodyPr vert="horz" wrap="square" anchor="t" upright="1"/>
                            </wps:wsp>
                            <wps:wsp>
                              <wps:cNvPr id="29" name="矩形 1194"/>
                              <wps:cNvSpPr/>
                              <wps:spPr>
                                <a:xfrm>
                                  <a:off x="2909" y="3540"/>
                                  <a:ext cx="974" cy="840"/>
                                </a:xfrm>
                                <a:prstGeom prst="rect">
                                  <a:avLst/>
                                </a:prstGeom>
                                <a:solidFill>
                                  <a:srgbClr val="FFFFFF"/>
                                </a:solidFill>
                                <a:ln w="9525">
                                  <a:noFill/>
                                </a:ln>
                              </wps:spPr>
                              <wps:txbx>
                                <w:txbxContent>
                                  <w:p>
                                    <w:pPr>
                                      <w:ind w:left="-210" w:leftChars="-100" w:right="-210" w:rightChars="-100"/>
                                      <w:jc w:val="center"/>
                                      <w:rPr>
                                        <w:rFonts w:hint="eastAsia"/>
                                        <w:sz w:val="18"/>
                                        <w:szCs w:val="18"/>
                                      </w:rPr>
                                    </w:pPr>
                                    <w:r>
                                      <w:rPr>
                                        <w:rFonts w:hint="eastAsia"/>
                                        <w:sz w:val="18"/>
                                        <w:szCs w:val="18"/>
                                      </w:rPr>
                                      <w:t>油气</w:t>
                                    </w:r>
                                  </w:p>
                                  <w:p>
                                    <w:pPr>
                                      <w:ind w:left="-210" w:leftChars="-100" w:right="-210" w:rightChars="-100"/>
                                      <w:jc w:val="center"/>
                                      <w:rPr>
                                        <w:rFonts w:hint="eastAsia"/>
                                        <w:sz w:val="18"/>
                                        <w:szCs w:val="18"/>
                                      </w:rPr>
                                    </w:pPr>
                                    <w:r>
                                      <w:rPr>
                                        <w:rFonts w:hint="eastAsia"/>
                                        <w:sz w:val="15"/>
                                        <w:szCs w:val="15"/>
                                      </w:rPr>
                                      <w:t>（大呼吸）</w:t>
                                    </w:r>
                                  </w:p>
                                  <w:p>
                                    <w:pPr>
                                      <w:ind w:left="-210" w:leftChars="-100" w:right="-210" w:rightChars="-100"/>
                                      <w:jc w:val="center"/>
                                      <w:rPr>
                                        <w:rFonts w:hint="eastAsia"/>
                                        <w:sz w:val="18"/>
                                        <w:szCs w:val="18"/>
                                      </w:rPr>
                                    </w:pPr>
                                  </w:p>
                                </w:txbxContent>
                              </wps:txbx>
                              <wps:bodyPr vert="horz" wrap="square" anchor="t" upright="1"/>
                            </wps:wsp>
                            <wps:wsp>
                              <wps:cNvPr id="30" name="矩形 1325"/>
                              <wps:cNvSpPr/>
                              <wps:spPr>
                                <a:xfrm>
                                  <a:off x="959" y="5474"/>
                                  <a:ext cx="1223" cy="450"/>
                                </a:xfrm>
                                <a:prstGeom prst="rect">
                                  <a:avLst/>
                                </a:prstGeom>
                                <a:solidFill>
                                  <a:srgbClr val="FFFFFF"/>
                                </a:solidFill>
                                <a:ln w="9525">
                                  <a:noFill/>
                                </a:ln>
                              </wps:spPr>
                              <wps:txbx>
                                <w:txbxContent>
                                  <w:p>
                                    <w:pPr>
                                      <w:jc w:val="center"/>
                                      <w:rPr>
                                        <w:rFonts w:hint="eastAsia"/>
                                        <w:sz w:val="18"/>
                                        <w:szCs w:val="18"/>
                                      </w:rPr>
                                    </w:pPr>
                                    <w:r>
                                      <w:rPr>
                                        <w:rFonts w:hint="eastAsia"/>
                                        <w:sz w:val="18"/>
                                        <w:szCs w:val="18"/>
                                      </w:rPr>
                                      <w:t>车辆</w:t>
                                    </w:r>
                                    <w:r>
                                      <w:rPr>
                                        <w:sz w:val="18"/>
                                        <w:szCs w:val="18"/>
                                      </w:rPr>
                                      <w:t>尾气</w:t>
                                    </w:r>
                                  </w:p>
                                </w:txbxContent>
                              </wps:txbx>
                              <wps:bodyPr vert="horz" wrap="square" anchor="t" upright="1"/>
                            </wps:wsp>
                            <wps:wsp>
                              <wps:cNvPr id="31" name="矩形 1324"/>
                              <wps:cNvSpPr/>
                              <wps:spPr>
                                <a:xfrm>
                                  <a:off x="7934" y="5474"/>
                                  <a:ext cx="1223" cy="450"/>
                                </a:xfrm>
                                <a:prstGeom prst="rect">
                                  <a:avLst/>
                                </a:prstGeom>
                                <a:solidFill>
                                  <a:srgbClr val="FFFFFF"/>
                                </a:solidFill>
                                <a:ln w="9525">
                                  <a:noFill/>
                                </a:ln>
                              </wps:spPr>
                              <wps:txbx>
                                <w:txbxContent>
                                  <w:p>
                                    <w:pPr>
                                      <w:jc w:val="center"/>
                                      <w:rPr>
                                        <w:rFonts w:hint="eastAsia"/>
                                        <w:sz w:val="18"/>
                                        <w:szCs w:val="18"/>
                                      </w:rPr>
                                    </w:pPr>
                                    <w:r>
                                      <w:rPr>
                                        <w:rFonts w:hint="eastAsia"/>
                                        <w:sz w:val="18"/>
                                        <w:szCs w:val="18"/>
                                      </w:rPr>
                                      <w:t>车辆</w:t>
                                    </w:r>
                                    <w:r>
                                      <w:rPr>
                                        <w:sz w:val="18"/>
                                        <w:szCs w:val="18"/>
                                      </w:rPr>
                                      <w:t>尾气</w:t>
                                    </w:r>
                                  </w:p>
                                </w:txbxContent>
                              </wps:txbx>
                              <wps:bodyPr vert="horz" wrap="square" anchor="t" upright="1"/>
                            </wps:wsp>
                            <wps:wsp>
                              <wps:cNvPr id="32" name="矩形 1320"/>
                              <wps:cNvSpPr/>
                              <wps:spPr>
                                <a:xfrm>
                                  <a:off x="7252" y="541"/>
                                  <a:ext cx="1223" cy="450"/>
                                </a:xfrm>
                                <a:prstGeom prst="rect">
                                  <a:avLst/>
                                </a:prstGeom>
                                <a:solidFill>
                                  <a:srgbClr val="FFFFFF"/>
                                </a:solidFill>
                                <a:ln w="9525">
                                  <a:noFill/>
                                </a:ln>
                              </wps:spPr>
                              <wps:txbx>
                                <w:txbxContent>
                                  <w:p>
                                    <w:pPr>
                                      <w:jc w:val="center"/>
                                      <w:rPr>
                                        <w:rFonts w:hint="eastAsia"/>
                                        <w:sz w:val="18"/>
                                        <w:szCs w:val="18"/>
                                      </w:rPr>
                                    </w:pPr>
                                    <w:r>
                                      <w:rPr>
                                        <w:rFonts w:hint="eastAsia"/>
                                        <w:sz w:val="18"/>
                                        <w:szCs w:val="18"/>
                                      </w:rPr>
                                      <w:t>车辆</w:t>
                                    </w:r>
                                    <w:r>
                                      <w:rPr>
                                        <w:sz w:val="18"/>
                                        <w:szCs w:val="18"/>
                                      </w:rPr>
                                      <w:t>尾气</w:t>
                                    </w:r>
                                  </w:p>
                                </w:txbxContent>
                              </wps:txbx>
                              <wps:bodyPr vert="horz" wrap="square" anchor="t" upright="1"/>
                            </wps:wsp>
                            <wps:wsp>
                              <wps:cNvPr id="33" name="矩形 1276"/>
                              <wps:cNvSpPr/>
                              <wps:spPr>
                                <a:xfrm>
                                  <a:off x="0" y="3705"/>
                                  <a:ext cx="645" cy="795"/>
                                </a:xfrm>
                                <a:prstGeom prst="rect">
                                  <a:avLst/>
                                </a:prstGeom>
                                <a:solidFill>
                                  <a:srgbClr val="FFFFFF"/>
                                </a:solidFill>
                                <a:ln w="9525">
                                  <a:noFill/>
                                </a:ln>
                              </wps:spPr>
                              <wps:txbx>
                                <w:txbxContent>
                                  <w:p>
                                    <w:pPr>
                                      <w:jc w:val="center"/>
                                      <w:rPr>
                                        <w:rFonts w:hint="eastAsia"/>
                                        <w:b/>
                                        <w:sz w:val="24"/>
                                      </w:rPr>
                                    </w:pPr>
                                    <w:r>
                                      <w:rPr>
                                        <w:rFonts w:hint="eastAsia"/>
                                        <w:b/>
                                        <w:sz w:val="24"/>
                                      </w:rPr>
                                      <w:t>汽油</w:t>
                                    </w:r>
                                  </w:p>
                                </w:txbxContent>
                              </wps:txbx>
                              <wps:bodyPr vert="horz" wrap="square" anchor="t" upright="1"/>
                            </wps:wsp>
                            <wps:wsp>
                              <wps:cNvPr id="34" name="矩形 1275"/>
                              <wps:cNvSpPr/>
                              <wps:spPr>
                                <a:xfrm>
                                  <a:off x="0" y="810"/>
                                  <a:ext cx="645" cy="795"/>
                                </a:xfrm>
                                <a:prstGeom prst="rect">
                                  <a:avLst/>
                                </a:prstGeom>
                                <a:solidFill>
                                  <a:srgbClr val="FFFFFF"/>
                                </a:solidFill>
                                <a:ln w="9525">
                                  <a:noFill/>
                                </a:ln>
                              </wps:spPr>
                              <wps:txbx>
                                <w:txbxContent>
                                  <w:p>
                                    <w:pPr>
                                      <w:jc w:val="center"/>
                                      <w:rPr>
                                        <w:rFonts w:hint="eastAsia"/>
                                        <w:b/>
                                        <w:sz w:val="24"/>
                                      </w:rPr>
                                    </w:pPr>
                                    <w:r>
                                      <w:rPr>
                                        <w:rFonts w:hint="eastAsia"/>
                                        <w:b/>
                                        <w:sz w:val="24"/>
                                      </w:rPr>
                                      <w:t>柴油</w:t>
                                    </w:r>
                                  </w:p>
                                </w:txbxContent>
                              </wps:txbx>
                              <wps:bodyPr vert="horz" wrap="square" anchor="t" upright="1"/>
                            </wps:wsp>
                            <wps:wsp>
                              <wps:cNvPr id="35" name="矩形 1271"/>
                              <wps:cNvSpPr/>
                              <wps:spPr>
                                <a:xfrm>
                                  <a:off x="2776" y="5457"/>
                                  <a:ext cx="1140" cy="465"/>
                                </a:xfrm>
                                <a:prstGeom prst="rect">
                                  <a:avLst/>
                                </a:prstGeom>
                                <a:solidFill>
                                  <a:srgbClr val="FFFFFF"/>
                                </a:solidFill>
                                <a:ln w="9525">
                                  <a:noFill/>
                                </a:ln>
                              </wps:spPr>
                              <wps:txbx>
                                <w:txbxContent>
                                  <w:p>
                                    <w:pPr>
                                      <w:jc w:val="center"/>
                                      <w:rPr>
                                        <w:sz w:val="18"/>
                                        <w:szCs w:val="18"/>
                                      </w:rPr>
                                    </w:pPr>
                                    <w:r>
                                      <w:rPr>
                                        <w:rFonts w:hint="eastAsia"/>
                                        <w:sz w:val="18"/>
                                        <w:szCs w:val="18"/>
                                      </w:rPr>
                                      <w:t>含油废渣</w:t>
                                    </w:r>
                                  </w:p>
                                </w:txbxContent>
                              </wps:txbx>
                              <wps:bodyPr vert="horz" wrap="square" anchor="t" upright="1"/>
                            </wps:wsp>
                            <wps:wsp>
                              <wps:cNvPr id="36" name="矩形 1270"/>
                              <wps:cNvSpPr/>
                              <wps:spPr>
                                <a:xfrm>
                                  <a:off x="6059" y="5474"/>
                                  <a:ext cx="765" cy="465"/>
                                </a:xfrm>
                                <a:prstGeom prst="rect">
                                  <a:avLst/>
                                </a:prstGeom>
                                <a:solidFill>
                                  <a:srgbClr val="FFFFFF"/>
                                </a:solidFill>
                                <a:ln w="9525">
                                  <a:noFill/>
                                </a:ln>
                              </wps:spPr>
                              <wps:txbx>
                                <w:txbxContent>
                                  <w:p>
                                    <w:pPr>
                                      <w:jc w:val="center"/>
                                      <w:rPr>
                                        <w:sz w:val="18"/>
                                        <w:szCs w:val="18"/>
                                      </w:rPr>
                                    </w:pPr>
                                    <w:r>
                                      <w:rPr>
                                        <w:rFonts w:hint="eastAsia"/>
                                        <w:sz w:val="18"/>
                                        <w:szCs w:val="18"/>
                                      </w:rPr>
                                      <w:t>噪声</w:t>
                                    </w:r>
                                  </w:p>
                                </w:txbxContent>
                              </wps:txbx>
                              <wps:bodyPr vert="horz" wrap="square" anchor="t" upright="1"/>
                            </wps:wsp>
                            <wps:wsp>
                              <wps:cNvPr id="37" name="矩形 1267"/>
                              <wps:cNvSpPr/>
                              <wps:spPr>
                                <a:xfrm>
                                  <a:off x="5144" y="360"/>
                                  <a:ext cx="765" cy="465"/>
                                </a:xfrm>
                                <a:prstGeom prst="rect">
                                  <a:avLst/>
                                </a:prstGeom>
                                <a:solidFill>
                                  <a:srgbClr val="FFFFFF"/>
                                </a:solidFill>
                                <a:ln w="9525">
                                  <a:noFill/>
                                </a:ln>
                              </wps:spPr>
                              <wps:txbx>
                                <w:txbxContent>
                                  <w:p>
                                    <w:pPr>
                                      <w:jc w:val="center"/>
                                      <w:rPr>
                                        <w:sz w:val="18"/>
                                        <w:szCs w:val="18"/>
                                      </w:rPr>
                                    </w:pPr>
                                    <w:r>
                                      <w:rPr>
                                        <w:rFonts w:hint="eastAsia"/>
                                        <w:sz w:val="18"/>
                                        <w:szCs w:val="18"/>
                                      </w:rPr>
                                      <w:t>噪声</w:t>
                                    </w:r>
                                  </w:p>
                                </w:txbxContent>
                              </wps:txbx>
                              <wps:bodyPr vert="horz" wrap="square" anchor="t" upright="1"/>
                            </wps:wsp>
                            <wps:wsp>
                              <wps:cNvPr id="38" name="矩形 1266"/>
                              <wps:cNvSpPr/>
                              <wps:spPr>
                                <a:xfrm>
                                  <a:off x="6839" y="4125"/>
                                  <a:ext cx="660" cy="451"/>
                                </a:xfrm>
                                <a:prstGeom prst="rect">
                                  <a:avLst/>
                                </a:prstGeom>
                                <a:solidFill>
                                  <a:srgbClr val="FFFFFF"/>
                                </a:solidFill>
                                <a:ln w="9525">
                                  <a:noFill/>
                                </a:ln>
                              </wps:spPr>
                              <wps:txbx>
                                <w:txbxContent>
                                  <w:p>
                                    <w:pPr>
                                      <w:jc w:val="center"/>
                                      <w:rPr>
                                        <w:sz w:val="18"/>
                                        <w:szCs w:val="18"/>
                                      </w:rPr>
                                    </w:pPr>
                                    <w:r>
                                      <w:rPr>
                                        <w:rFonts w:hint="eastAsia"/>
                                        <w:sz w:val="18"/>
                                        <w:szCs w:val="18"/>
                                      </w:rPr>
                                      <w:t>油气</w:t>
                                    </w:r>
                                  </w:p>
                                </w:txbxContent>
                              </wps:txbx>
                              <wps:bodyPr vert="horz" wrap="square" anchor="t" upright="1"/>
                            </wps:wsp>
                            <wps:wsp>
                              <wps:cNvPr id="39" name="矩形 1265"/>
                              <wps:cNvSpPr/>
                              <wps:spPr>
                                <a:xfrm>
                                  <a:off x="6839" y="3451"/>
                                  <a:ext cx="1155" cy="450"/>
                                </a:xfrm>
                                <a:prstGeom prst="rect">
                                  <a:avLst/>
                                </a:prstGeom>
                                <a:solidFill>
                                  <a:srgbClr val="FFFFFF"/>
                                </a:solidFill>
                                <a:ln w="9525">
                                  <a:noFill/>
                                </a:ln>
                              </wps:spPr>
                              <wps:txbx>
                                <w:txbxContent>
                                  <w:p>
                                    <w:pPr>
                                      <w:jc w:val="center"/>
                                      <w:rPr>
                                        <w:rFonts w:hint="eastAsia"/>
                                        <w:sz w:val="18"/>
                                        <w:szCs w:val="18"/>
                                      </w:rPr>
                                    </w:pPr>
                                    <w:r>
                                      <w:rPr>
                                        <w:rFonts w:hint="eastAsia"/>
                                        <w:sz w:val="18"/>
                                        <w:szCs w:val="18"/>
                                      </w:rPr>
                                      <w:t>逸散油气</w:t>
                                    </w:r>
                                  </w:p>
                                </w:txbxContent>
                              </wps:txbx>
                              <wps:bodyPr vert="horz" wrap="square" anchor="t" upright="1"/>
                            </wps:wsp>
                            <wps:wsp>
                              <wps:cNvPr id="40" name="矩形 1262"/>
                              <wps:cNvSpPr/>
                              <wps:spPr>
                                <a:xfrm>
                                  <a:off x="7019" y="4605"/>
                                  <a:ext cx="765" cy="465"/>
                                </a:xfrm>
                                <a:prstGeom prst="rect">
                                  <a:avLst/>
                                </a:prstGeom>
                                <a:solidFill>
                                  <a:srgbClr val="FFFFFF"/>
                                </a:solidFill>
                                <a:ln w="9525">
                                  <a:noFill/>
                                </a:ln>
                              </wps:spPr>
                              <wps:txbx>
                                <w:txbxContent>
                                  <w:p>
                                    <w:pPr>
                                      <w:jc w:val="center"/>
                                      <w:rPr>
                                        <w:sz w:val="18"/>
                                        <w:szCs w:val="18"/>
                                      </w:rPr>
                                    </w:pPr>
                                    <w:r>
                                      <w:rPr>
                                        <w:rFonts w:hint="eastAsia"/>
                                        <w:sz w:val="18"/>
                                        <w:szCs w:val="18"/>
                                      </w:rPr>
                                      <w:t>加油</w:t>
                                    </w:r>
                                  </w:p>
                                </w:txbxContent>
                              </wps:txbx>
                              <wps:bodyPr vert="horz" wrap="square" anchor="t" upright="1"/>
                            </wps:wsp>
                            <wps:wsp>
                              <wps:cNvPr id="41" name="矩形 1261"/>
                              <wps:cNvSpPr/>
                              <wps:spPr>
                                <a:xfrm>
                                  <a:off x="6119" y="1485"/>
                                  <a:ext cx="765" cy="465"/>
                                </a:xfrm>
                                <a:prstGeom prst="rect">
                                  <a:avLst/>
                                </a:prstGeom>
                                <a:solidFill>
                                  <a:srgbClr val="FFFFFF"/>
                                </a:solidFill>
                                <a:ln w="9525">
                                  <a:noFill/>
                                </a:ln>
                              </wps:spPr>
                              <wps:txbx>
                                <w:txbxContent>
                                  <w:p>
                                    <w:pPr>
                                      <w:jc w:val="center"/>
                                      <w:rPr>
                                        <w:sz w:val="18"/>
                                        <w:szCs w:val="18"/>
                                      </w:rPr>
                                    </w:pPr>
                                    <w:r>
                                      <w:rPr>
                                        <w:rFonts w:hint="eastAsia"/>
                                        <w:sz w:val="18"/>
                                        <w:szCs w:val="18"/>
                                      </w:rPr>
                                      <w:t>加油</w:t>
                                    </w:r>
                                  </w:p>
                                </w:txbxContent>
                              </wps:txbx>
                              <wps:bodyPr vert="horz" wrap="square" anchor="t" upright="1"/>
                            </wps:wsp>
                            <wps:wsp>
                              <wps:cNvPr id="42" name="矩形 1260"/>
                              <wps:cNvSpPr/>
                              <wps:spPr>
                                <a:xfrm>
                                  <a:off x="5714" y="331"/>
                                  <a:ext cx="1620" cy="450"/>
                                </a:xfrm>
                                <a:prstGeom prst="rect">
                                  <a:avLst/>
                                </a:prstGeom>
                                <a:solidFill>
                                  <a:srgbClr val="FFFFFF"/>
                                </a:solidFill>
                                <a:ln w="9525">
                                  <a:noFill/>
                                </a:ln>
                              </wps:spPr>
                              <wps:txbx>
                                <w:txbxContent>
                                  <w:p>
                                    <w:pPr>
                                      <w:jc w:val="center"/>
                                      <w:rPr>
                                        <w:rFonts w:hint="eastAsia"/>
                                        <w:sz w:val="18"/>
                                        <w:szCs w:val="18"/>
                                      </w:rPr>
                                    </w:pPr>
                                    <w:r>
                                      <w:rPr>
                                        <w:rFonts w:hint="eastAsia"/>
                                        <w:sz w:val="18"/>
                                        <w:szCs w:val="18"/>
                                      </w:rPr>
                                      <w:t>零售</w:t>
                                    </w:r>
                                    <w:r>
                                      <w:rPr>
                                        <w:sz w:val="18"/>
                                        <w:szCs w:val="18"/>
                                      </w:rPr>
                                      <w:t>损耗油气</w:t>
                                    </w:r>
                                  </w:p>
                                </w:txbxContent>
                              </wps:txbx>
                              <wps:bodyPr vert="horz" wrap="square" anchor="t" upright="1"/>
                            </wps:wsp>
                            <wps:wsp>
                              <wps:cNvPr id="43" name="矩形 1217"/>
                              <wps:cNvSpPr/>
                              <wps:spPr>
                                <a:xfrm>
                                  <a:off x="2534" y="30"/>
                                  <a:ext cx="1620" cy="810"/>
                                </a:xfrm>
                                <a:prstGeom prst="rect">
                                  <a:avLst/>
                                </a:prstGeom>
                                <a:solidFill>
                                  <a:srgbClr val="FFFFFF"/>
                                </a:solidFill>
                                <a:ln w="9525">
                                  <a:noFill/>
                                </a:ln>
                              </wps:spPr>
                              <wps:txbx>
                                <w:txbxContent>
                                  <w:p>
                                    <w:pPr>
                                      <w:jc w:val="center"/>
                                      <w:rPr>
                                        <w:sz w:val="18"/>
                                        <w:szCs w:val="18"/>
                                      </w:rPr>
                                    </w:pPr>
                                    <w:r>
                                      <w:rPr>
                                        <w:rFonts w:hint="eastAsia"/>
                                        <w:sz w:val="18"/>
                                        <w:szCs w:val="18"/>
                                      </w:rPr>
                                      <w:t>储存</w:t>
                                    </w:r>
                                    <w:r>
                                      <w:rPr>
                                        <w:sz w:val="18"/>
                                        <w:szCs w:val="18"/>
                                      </w:rPr>
                                      <w:t>损耗油气</w:t>
                                    </w:r>
                                  </w:p>
                                  <w:p>
                                    <w:pPr>
                                      <w:jc w:val="center"/>
                                      <w:rPr>
                                        <w:rFonts w:hint="eastAsia"/>
                                        <w:sz w:val="18"/>
                                        <w:szCs w:val="18"/>
                                      </w:rPr>
                                    </w:pPr>
                                    <w:r>
                                      <w:rPr>
                                        <w:rFonts w:hint="eastAsia"/>
                                        <w:sz w:val="18"/>
                                        <w:szCs w:val="18"/>
                                      </w:rPr>
                                      <w:t>含油废渣</w:t>
                                    </w:r>
                                  </w:p>
                                </w:txbxContent>
                              </wps:txbx>
                              <wps:bodyPr vert="horz" wrap="square" anchor="t" upright="1"/>
                            </wps:wsp>
                            <wps:wsp>
                              <wps:cNvPr id="44" name="矩形 1215"/>
                              <wps:cNvSpPr/>
                              <wps:spPr>
                                <a:xfrm>
                                  <a:off x="6344" y="3780"/>
                                  <a:ext cx="660" cy="451"/>
                                </a:xfrm>
                                <a:prstGeom prst="rect">
                                  <a:avLst/>
                                </a:prstGeom>
                                <a:solidFill>
                                  <a:srgbClr val="FFFFFF"/>
                                </a:solidFill>
                                <a:ln w="9525">
                                  <a:noFill/>
                                </a:ln>
                              </wps:spPr>
                              <wps:txbx>
                                <w:txbxContent>
                                  <w:p>
                                    <w:pPr>
                                      <w:jc w:val="center"/>
                                      <w:rPr>
                                        <w:sz w:val="18"/>
                                        <w:szCs w:val="18"/>
                                      </w:rPr>
                                    </w:pPr>
                                    <w:r>
                                      <w:rPr>
                                        <w:rFonts w:hint="eastAsia"/>
                                        <w:sz w:val="18"/>
                                        <w:szCs w:val="18"/>
                                      </w:rPr>
                                      <w:t>油气</w:t>
                                    </w:r>
                                  </w:p>
                                </w:txbxContent>
                              </wps:txbx>
                              <wps:bodyPr vert="horz" wrap="square" anchor="t" upright="1"/>
                            </wps:wsp>
                            <wps:wsp>
                              <wps:cNvPr id="45" name="矩形 1214"/>
                              <wps:cNvSpPr/>
                              <wps:spPr>
                                <a:xfrm>
                                  <a:off x="5114" y="3015"/>
                                  <a:ext cx="660" cy="451"/>
                                </a:xfrm>
                                <a:prstGeom prst="rect">
                                  <a:avLst/>
                                </a:prstGeom>
                                <a:solidFill>
                                  <a:srgbClr val="FFFFFF"/>
                                </a:solidFill>
                                <a:ln w="9525">
                                  <a:noFill/>
                                </a:ln>
                              </wps:spPr>
                              <wps:txbx>
                                <w:txbxContent>
                                  <w:p>
                                    <w:pPr>
                                      <w:jc w:val="center"/>
                                      <w:rPr>
                                        <w:sz w:val="18"/>
                                        <w:szCs w:val="18"/>
                                      </w:rPr>
                                    </w:pPr>
                                    <w:r>
                                      <w:rPr>
                                        <w:rFonts w:hint="eastAsia"/>
                                        <w:sz w:val="18"/>
                                        <w:szCs w:val="18"/>
                                      </w:rPr>
                                      <w:t>油气</w:t>
                                    </w:r>
                                  </w:p>
                                </w:txbxContent>
                              </wps:txbx>
                              <wps:bodyPr vert="horz" wrap="square" anchor="t" upright="1"/>
                            </wps:wsp>
                            <wps:wsp>
                              <wps:cNvPr id="46" name="矩形 1213"/>
                              <wps:cNvSpPr/>
                              <wps:spPr>
                                <a:xfrm>
                                  <a:off x="4334" y="3180"/>
                                  <a:ext cx="450" cy="1066"/>
                                </a:xfrm>
                                <a:prstGeom prst="rect">
                                  <a:avLst/>
                                </a:prstGeom>
                                <a:solidFill>
                                  <a:srgbClr val="FFFFFF"/>
                                </a:solidFill>
                                <a:ln w="9525">
                                  <a:noFill/>
                                </a:ln>
                              </wps:spPr>
                              <wps:txbx>
                                <w:txbxContent>
                                  <w:p>
                                    <w:pPr>
                                      <w:rPr>
                                        <w:rFonts w:hint="eastAsia"/>
                                        <w:sz w:val="18"/>
                                        <w:szCs w:val="18"/>
                                      </w:rPr>
                                    </w:pPr>
                                    <w:r>
                                      <w:rPr>
                                        <w:rFonts w:hint="eastAsia"/>
                                        <w:sz w:val="18"/>
                                        <w:szCs w:val="18"/>
                                      </w:rPr>
                                      <w:t>通气管</w:t>
                                    </w:r>
                                  </w:p>
                                </w:txbxContent>
                              </wps:txbx>
                              <wps:bodyPr vert="horz" wrap="square" anchor="t" upright="1"/>
                            </wps:wsp>
                            <wps:wsp>
                              <wps:cNvPr id="47" name="矩形 1177"/>
                              <wps:cNvSpPr/>
                              <wps:spPr>
                                <a:xfrm>
                                  <a:off x="1109" y="360"/>
                                  <a:ext cx="1620" cy="482"/>
                                </a:xfrm>
                                <a:prstGeom prst="rect">
                                  <a:avLst/>
                                </a:prstGeom>
                                <a:solidFill>
                                  <a:srgbClr val="FFFFFF"/>
                                </a:solidFill>
                                <a:ln w="9525">
                                  <a:noFill/>
                                </a:ln>
                              </wps:spPr>
                              <wps:txbx>
                                <w:txbxContent>
                                  <w:p>
                                    <w:pPr>
                                      <w:jc w:val="center"/>
                                      <w:rPr>
                                        <w:rFonts w:hint="eastAsia"/>
                                        <w:sz w:val="18"/>
                                        <w:szCs w:val="18"/>
                                      </w:rPr>
                                    </w:pPr>
                                    <w:r>
                                      <w:rPr>
                                        <w:rFonts w:hint="eastAsia"/>
                                        <w:sz w:val="18"/>
                                        <w:szCs w:val="18"/>
                                      </w:rPr>
                                      <w:t>卸油</w:t>
                                    </w:r>
                                    <w:r>
                                      <w:rPr>
                                        <w:sz w:val="18"/>
                                        <w:szCs w:val="18"/>
                                      </w:rPr>
                                      <w:t>损耗油气</w:t>
                                    </w:r>
                                  </w:p>
                                </w:txbxContent>
                              </wps:txbx>
                              <wps:bodyPr vert="horz" wrap="square" anchor="t" upright="1"/>
                            </wps:wsp>
                            <wps:wsp>
                              <wps:cNvPr id="48" name="矩形 1208"/>
                              <wps:cNvSpPr/>
                              <wps:spPr>
                                <a:xfrm>
                                  <a:off x="1994" y="2640"/>
                                  <a:ext cx="1230" cy="826"/>
                                </a:xfrm>
                                <a:prstGeom prst="rect">
                                  <a:avLst/>
                                </a:prstGeom>
                                <a:solidFill>
                                  <a:srgbClr val="FFFFFF"/>
                                </a:solidFill>
                                <a:ln w="9525">
                                  <a:noFill/>
                                </a:ln>
                              </wps:spPr>
                              <wps:txbx>
                                <w:txbxContent>
                                  <w:p>
                                    <w:pPr>
                                      <w:jc w:val="center"/>
                                      <w:rPr>
                                        <w:sz w:val="18"/>
                                        <w:szCs w:val="18"/>
                                      </w:rPr>
                                    </w:pPr>
                                    <w:r>
                                      <w:rPr>
                                        <w:rFonts w:hint="eastAsia"/>
                                        <w:sz w:val="18"/>
                                        <w:szCs w:val="18"/>
                                      </w:rPr>
                                      <w:t>油气</w:t>
                                    </w:r>
                                  </w:p>
                                  <w:p>
                                    <w:pPr>
                                      <w:jc w:val="center"/>
                                      <w:rPr>
                                        <w:rFonts w:hint="eastAsia"/>
                                        <w:sz w:val="15"/>
                                        <w:szCs w:val="15"/>
                                      </w:rPr>
                                    </w:pPr>
                                    <w:r>
                                      <w:rPr>
                                        <w:rFonts w:hint="eastAsia"/>
                                        <w:sz w:val="15"/>
                                        <w:szCs w:val="15"/>
                                      </w:rPr>
                                      <w:t>（大呼吸</w:t>
                                    </w:r>
                                    <w:r>
                                      <w:rPr>
                                        <w:sz w:val="15"/>
                                        <w:szCs w:val="15"/>
                                      </w:rPr>
                                      <w:t>）</w:t>
                                    </w:r>
                                  </w:p>
                                </w:txbxContent>
                              </wps:txbx>
                              <wps:bodyPr vert="horz" wrap="square" anchor="t" upright="1"/>
                            </wps:wsp>
                            <wps:wsp>
                              <wps:cNvPr id="49" name="矩形 1207"/>
                              <wps:cNvSpPr/>
                              <wps:spPr>
                                <a:xfrm>
                                  <a:off x="4379" y="2409"/>
                                  <a:ext cx="1583" cy="446"/>
                                </a:xfrm>
                                <a:prstGeom prst="rect">
                                  <a:avLst/>
                                </a:prstGeom>
                                <a:solidFill>
                                  <a:srgbClr val="FFFFFF"/>
                                </a:solidFill>
                                <a:ln w="9525">
                                  <a:noFill/>
                                </a:ln>
                              </wps:spPr>
                              <wps:txbx>
                                <w:txbxContent>
                                  <w:p>
                                    <w:pPr>
                                      <w:jc w:val="center"/>
                                      <w:rPr>
                                        <w:rFonts w:hint="eastAsia"/>
                                        <w:sz w:val="18"/>
                                        <w:szCs w:val="18"/>
                                      </w:rPr>
                                    </w:pPr>
                                    <w:r>
                                      <w:rPr>
                                        <w:rFonts w:hint="eastAsia"/>
                                        <w:sz w:val="18"/>
                                        <w:szCs w:val="18"/>
                                      </w:rPr>
                                      <w:t>油气</w:t>
                                    </w:r>
                                    <w:r>
                                      <w:rPr>
                                        <w:rFonts w:hint="eastAsia"/>
                                        <w:sz w:val="15"/>
                                        <w:szCs w:val="15"/>
                                      </w:rPr>
                                      <w:t>（小呼吸</w:t>
                                    </w:r>
                                    <w:r>
                                      <w:rPr>
                                        <w:sz w:val="15"/>
                                        <w:szCs w:val="15"/>
                                      </w:rPr>
                                      <w:t>）</w:t>
                                    </w:r>
                                  </w:p>
                                </w:txbxContent>
                              </wps:txbx>
                              <wps:bodyPr vert="horz" wrap="square" anchor="t" upright="1"/>
                            </wps:wsp>
                            <wps:wsp>
                              <wps:cNvPr id="50" name="矩形 1203"/>
                              <wps:cNvSpPr/>
                              <wps:spPr>
                                <a:xfrm>
                                  <a:off x="1709" y="3690"/>
                                  <a:ext cx="1185" cy="451"/>
                                </a:xfrm>
                                <a:prstGeom prst="rect">
                                  <a:avLst/>
                                </a:prstGeom>
                                <a:solidFill>
                                  <a:srgbClr val="FFFFFF"/>
                                </a:solidFill>
                                <a:ln w="9525">
                                  <a:noFill/>
                                </a:ln>
                              </wps:spPr>
                              <wps:txbx>
                                <w:txbxContent>
                                  <w:p>
                                    <w:pPr>
                                      <w:jc w:val="center"/>
                                      <w:rPr>
                                        <w:sz w:val="18"/>
                                        <w:szCs w:val="18"/>
                                      </w:rPr>
                                    </w:pPr>
                                    <w:r>
                                      <w:rPr>
                                        <w:rFonts w:hint="eastAsia"/>
                                        <w:sz w:val="18"/>
                                        <w:szCs w:val="18"/>
                                      </w:rPr>
                                      <w:t>逸散油气</w:t>
                                    </w:r>
                                  </w:p>
                                </w:txbxContent>
                              </wps:txbx>
                              <wps:bodyPr vert="horz" wrap="square" anchor="t" upright="1"/>
                            </wps:wsp>
                            <wps:wsp>
                              <wps:cNvPr id="51" name="矩形 1198"/>
                              <wps:cNvSpPr/>
                              <wps:spPr>
                                <a:xfrm>
                                  <a:off x="1949" y="4605"/>
                                  <a:ext cx="765" cy="465"/>
                                </a:xfrm>
                                <a:prstGeom prst="rect">
                                  <a:avLst/>
                                </a:prstGeom>
                                <a:solidFill>
                                  <a:srgbClr val="FFFFFF"/>
                                </a:solidFill>
                                <a:ln w="9525">
                                  <a:noFill/>
                                </a:ln>
                              </wps:spPr>
                              <wps:txbx>
                                <w:txbxContent>
                                  <w:p>
                                    <w:pPr>
                                      <w:jc w:val="center"/>
                                      <w:rPr>
                                        <w:sz w:val="18"/>
                                        <w:szCs w:val="18"/>
                                      </w:rPr>
                                    </w:pPr>
                                    <w:r>
                                      <w:rPr>
                                        <w:rFonts w:hint="eastAsia"/>
                                        <w:sz w:val="18"/>
                                        <w:szCs w:val="18"/>
                                      </w:rPr>
                                      <w:t>卸油</w:t>
                                    </w:r>
                                  </w:p>
                                </w:txbxContent>
                              </wps:txbx>
                              <wps:bodyPr vert="horz" wrap="square" anchor="t" upright="1"/>
                            </wps:wsp>
                            <wps:wsp>
                              <wps:cNvPr id="52" name="矩形 1179"/>
                              <wps:cNvSpPr/>
                              <wps:spPr>
                                <a:xfrm>
                                  <a:off x="1949" y="1500"/>
                                  <a:ext cx="765" cy="465"/>
                                </a:xfrm>
                                <a:prstGeom prst="rect">
                                  <a:avLst/>
                                </a:prstGeom>
                                <a:solidFill>
                                  <a:srgbClr val="FFFFFF"/>
                                </a:solidFill>
                                <a:ln w="9525">
                                  <a:noFill/>
                                </a:ln>
                              </wps:spPr>
                              <wps:txbx>
                                <w:txbxContent>
                                  <w:p>
                                    <w:pPr>
                                      <w:jc w:val="center"/>
                                      <w:rPr>
                                        <w:sz w:val="18"/>
                                        <w:szCs w:val="18"/>
                                      </w:rPr>
                                    </w:pPr>
                                    <w:r>
                                      <w:rPr>
                                        <w:rFonts w:hint="eastAsia"/>
                                        <w:sz w:val="18"/>
                                        <w:szCs w:val="18"/>
                                      </w:rPr>
                                      <w:t>卸油</w:t>
                                    </w:r>
                                  </w:p>
                                </w:txbxContent>
                              </wps:txbx>
                              <wps:bodyPr vert="horz" wrap="square" anchor="t" upright="1"/>
                            </wps:wsp>
                            <wps:wsp>
                              <wps:cNvPr id="53" name="矩形 1171"/>
                              <wps:cNvSpPr/>
                              <wps:spPr>
                                <a:xfrm>
                                  <a:off x="1049" y="1620"/>
                                  <a:ext cx="975" cy="48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油罐车</w:t>
                                    </w:r>
                                  </w:p>
                                </w:txbxContent>
                              </wps:txbx>
                              <wps:bodyPr vert="horz" wrap="square" anchor="t" upright="1"/>
                            </wps:wsp>
                            <wps:wsp>
                              <wps:cNvPr id="54" name="矩形 1172"/>
                              <wps:cNvSpPr/>
                              <wps:spPr>
                                <a:xfrm>
                                  <a:off x="1064" y="4454"/>
                                  <a:ext cx="975" cy="482"/>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油罐车</w:t>
                                    </w:r>
                                  </w:p>
                                </w:txbxContent>
                              </wps:txbx>
                              <wps:bodyPr vert="horz" wrap="square" anchor="t" upright="1"/>
                            </wps:wsp>
                            <wps:wsp>
                              <wps:cNvPr id="55" name="自选图形 1178"/>
                              <wps:cNvCnPr/>
                              <wps:spPr>
                                <a:xfrm>
                                  <a:off x="2039" y="1845"/>
                                  <a:ext cx="630" cy="1"/>
                                </a:xfrm>
                                <a:prstGeom prst="straightConnector1">
                                  <a:avLst/>
                                </a:prstGeom>
                                <a:ln w="6350" cap="flat" cmpd="sng">
                                  <a:solidFill>
                                    <a:srgbClr val="000000"/>
                                  </a:solidFill>
                                  <a:prstDash val="solid"/>
                                  <a:headEnd type="none" w="med" len="med"/>
                                  <a:tailEnd type="triangle" w="med" len="med"/>
                                </a:ln>
                              </wps:spPr>
                              <wps:bodyPr vert="horz" wrap="square" anchor="t" upright="1"/>
                            </wps:wsp>
                            <wps:wsp>
                              <wps:cNvPr id="56" name="矩形 1180"/>
                              <wps:cNvSpPr/>
                              <wps:spPr>
                                <a:xfrm>
                                  <a:off x="2669" y="1605"/>
                                  <a:ext cx="1395" cy="48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油储罐</w:t>
                                    </w:r>
                                  </w:p>
                                </w:txbxContent>
                              </wps:txbx>
                              <wps:bodyPr vert="horz" wrap="square" anchor="t" upright="1"/>
                            </wps:wsp>
                            <wps:wsp>
                              <wps:cNvPr id="57" name="自选图形 1182"/>
                              <wps:cNvCnPr/>
                              <wps:spPr>
                                <a:xfrm>
                                  <a:off x="6044" y="1814"/>
                                  <a:ext cx="990" cy="1"/>
                                </a:xfrm>
                                <a:prstGeom prst="straightConnector1">
                                  <a:avLst/>
                                </a:prstGeom>
                                <a:ln w="6350" cap="flat" cmpd="sng">
                                  <a:solidFill>
                                    <a:srgbClr val="000000"/>
                                  </a:solidFill>
                                  <a:prstDash val="solid"/>
                                  <a:headEnd type="none" w="med" len="med"/>
                                  <a:tailEnd type="triangle" w="med" len="med"/>
                                </a:ln>
                              </wps:spPr>
                              <wps:bodyPr vert="horz" wrap="square" anchor="t" upright="1"/>
                            </wps:wsp>
                            <wps:wsp>
                              <wps:cNvPr id="58" name="自选图形 1184"/>
                              <wps:cNvCnPr/>
                              <wps:spPr>
                                <a:xfrm>
                                  <a:off x="2039" y="4679"/>
                                  <a:ext cx="630" cy="1"/>
                                </a:xfrm>
                                <a:prstGeom prst="straightConnector1">
                                  <a:avLst/>
                                </a:prstGeom>
                                <a:ln w="6350" cap="flat" cmpd="sng">
                                  <a:solidFill>
                                    <a:srgbClr val="000000"/>
                                  </a:solidFill>
                                  <a:prstDash val="solid"/>
                                  <a:headEnd type="none" w="med" len="med"/>
                                  <a:tailEnd type="triangle" w="med" len="med"/>
                                </a:ln>
                              </wps:spPr>
                              <wps:bodyPr vert="horz" wrap="square" anchor="t" upright="1"/>
                            </wps:wsp>
                            <wps:wsp>
                              <wps:cNvPr id="59" name="矩形 1185"/>
                              <wps:cNvSpPr/>
                              <wps:spPr>
                                <a:xfrm>
                                  <a:off x="5054" y="1590"/>
                                  <a:ext cx="975" cy="48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加油机</w:t>
                                    </w:r>
                                  </w:p>
                                </w:txbxContent>
                              </wps:txbx>
                              <wps:bodyPr vert="horz" wrap="square" anchor="t" upright="1"/>
                            </wps:wsp>
                            <wps:wsp>
                              <wps:cNvPr id="60" name="矩形 1186"/>
                              <wps:cNvSpPr/>
                              <wps:spPr>
                                <a:xfrm>
                                  <a:off x="7019" y="1575"/>
                                  <a:ext cx="1275" cy="48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加油车辆</w:t>
                                    </w:r>
                                  </w:p>
                                </w:txbxContent>
                              </wps:txbx>
                              <wps:bodyPr vert="horz" wrap="square" anchor="t" upright="1"/>
                            </wps:wsp>
                            <wps:wsp>
                              <wps:cNvPr id="61" name="自选图形 1189"/>
                              <wps:cNvCnPr/>
                              <wps:spPr>
                                <a:xfrm flipV="1">
                                  <a:off x="2309" y="4035"/>
                                  <a:ext cx="1" cy="614"/>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62" name="自选图形 1193"/>
                              <wps:cNvCnPr/>
                              <wps:spPr>
                                <a:xfrm>
                                  <a:off x="4079" y="1829"/>
                                  <a:ext cx="990" cy="1"/>
                                </a:xfrm>
                                <a:prstGeom prst="straightConnector1">
                                  <a:avLst/>
                                </a:prstGeom>
                                <a:ln w="6350" cap="flat" cmpd="sng">
                                  <a:solidFill>
                                    <a:srgbClr val="000000"/>
                                  </a:solidFill>
                                  <a:prstDash val="solid"/>
                                  <a:headEnd type="none" w="med" len="med"/>
                                  <a:tailEnd type="triangle" w="med" len="med"/>
                                </a:ln>
                              </wps:spPr>
                              <wps:bodyPr vert="horz" wrap="square" anchor="t" upright="1"/>
                            </wps:wsp>
                            <wps:wsp>
                              <wps:cNvPr id="63" name="矩形 1194"/>
                              <wps:cNvSpPr/>
                              <wps:spPr>
                                <a:xfrm>
                                  <a:off x="1019" y="3704"/>
                                  <a:ext cx="660" cy="451"/>
                                </a:xfrm>
                                <a:prstGeom prst="rect">
                                  <a:avLst/>
                                </a:prstGeom>
                                <a:solidFill>
                                  <a:srgbClr val="FFFFFF"/>
                                </a:solidFill>
                                <a:ln w="9525">
                                  <a:noFill/>
                                </a:ln>
                              </wps:spPr>
                              <wps:txbx>
                                <w:txbxContent>
                                  <w:p>
                                    <w:pPr>
                                      <w:jc w:val="center"/>
                                      <w:rPr>
                                        <w:sz w:val="18"/>
                                        <w:szCs w:val="18"/>
                                      </w:rPr>
                                    </w:pPr>
                                    <w:r>
                                      <w:rPr>
                                        <w:rFonts w:hint="eastAsia"/>
                                        <w:sz w:val="18"/>
                                        <w:szCs w:val="18"/>
                                      </w:rPr>
                                      <w:t>油气</w:t>
                                    </w:r>
                                  </w:p>
                                </w:txbxContent>
                              </wps:txbx>
                              <wps:bodyPr vert="horz" wrap="square" anchor="t" upright="1"/>
                            </wps:wsp>
                            <wps:wsp>
                              <wps:cNvPr id="64" name="矩形 1195"/>
                              <wps:cNvSpPr/>
                              <wps:spPr>
                                <a:xfrm>
                                  <a:off x="914" y="2489"/>
                                  <a:ext cx="1245" cy="106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left="-210" w:leftChars="-100" w:right="-210" w:rightChars="-100"/>
                                      <w:jc w:val="center"/>
                                      <w:rPr>
                                        <w:color w:val="auto"/>
                                      </w:rPr>
                                    </w:pPr>
                                    <w:r>
                                      <w:rPr>
                                        <w:rFonts w:hint="eastAsia"/>
                                        <w:color w:val="auto"/>
                                      </w:rPr>
                                      <w:t>一次油气</w:t>
                                    </w:r>
                                  </w:p>
                                  <w:p>
                                    <w:pPr>
                                      <w:ind w:left="-210" w:leftChars="-100" w:right="-210" w:rightChars="-100"/>
                                      <w:jc w:val="center"/>
                                      <w:rPr>
                                        <w:color w:val="auto"/>
                                      </w:rPr>
                                    </w:pPr>
                                    <w:r>
                                      <w:rPr>
                                        <w:rFonts w:hint="eastAsia"/>
                                        <w:color w:val="auto"/>
                                      </w:rPr>
                                      <w:t>回收系统</w:t>
                                    </w:r>
                                  </w:p>
                                </w:txbxContent>
                              </wps:txbx>
                              <wps:bodyPr vert="horz" wrap="square" anchor="t" upright="1"/>
                            </wps:wsp>
                            <wps:wsp>
                              <wps:cNvPr id="65" name="自选图形 1196"/>
                              <wps:cNvCnPr/>
                              <wps:spPr>
                                <a:xfrm flipV="1">
                                  <a:off x="1559" y="3541"/>
                                  <a:ext cx="2" cy="884"/>
                                </a:xfrm>
                                <a:prstGeom prst="straightConnector1">
                                  <a:avLst/>
                                </a:prstGeom>
                                <a:ln w="6350" cap="flat" cmpd="sng">
                                  <a:solidFill>
                                    <a:srgbClr val="000000"/>
                                  </a:solidFill>
                                  <a:prstDash val="dash"/>
                                  <a:headEnd type="triangle" w="med" len="med"/>
                                  <a:tailEnd type="none" w="med" len="med"/>
                                </a:ln>
                              </wps:spPr>
                              <wps:bodyPr vert="horz" wrap="square" anchor="t" upright="1"/>
                            </wps:wsp>
                            <wps:wsp>
                              <wps:cNvPr id="66" name="矩形 1197"/>
                              <wps:cNvSpPr/>
                              <wps:spPr>
                                <a:xfrm>
                                  <a:off x="2654" y="4440"/>
                                  <a:ext cx="2685" cy="48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油储罐</w:t>
                                    </w:r>
                                  </w:p>
                                </w:txbxContent>
                              </wps:txbx>
                              <wps:bodyPr vert="horz" wrap="square" anchor="t" upright="1"/>
                            </wps:wsp>
                            <wps:wsp>
                              <wps:cNvPr id="67" name="自选图形 1200"/>
                              <wps:cNvCnPr/>
                              <wps:spPr>
                                <a:xfrm>
                                  <a:off x="6959" y="4694"/>
                                  <a:ext cx="990" cy="1"/>
                                </a:xfrm>
                                <a:prstGeom prst="straightConnector1">
                                  <a:avLst/>
                                </a:prstGeom>
                                <a:ln w="6350" cap="flat" cmpd="sng">
                                  <a:solidFill>
                                    <a:srgbClr val="000000"/>
                                  </a:solidFill>
                                  <a:prstDash val="solid"/>
                                  <a:headEnd type="none" w="med" len="med"/>
                                  <a:tailEnd type="triangle" w="med" len="med"/>
                                </a:ln>
                              </wps:spPr>
                              <wps:bodyPr vert="horz" wrap="square" anchor="t" upright="1"/>
                            </wps:wsp>
                            <wps:wsp>
                              <wps:cNvPr id="68" name="矩形 1201"/>
                              <wps:cNvSpPr/>
                              <wps:spPr>
                                <a:xfrm>
                                  <a:off x="5969" y="4455"/>
                                  <a:ext cx="975" cy="48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加油机</w:t>
                                    </w:r>
                                  </w:p>
                                </w:txbxContent>
                              </wps:txbx>
                              <wps:bodyPr vert="horz" wrap="square" anchor="t" upright="1"/>
                            </wps:wsp>
                            <wps:wsp>
                              <wps:cNvPr id="69" name="矩形 1202"/>
                              <wps:cNvSpPr/>
                              <wps:spPr>
                                <a:xfrm>
                                  <a:off x="7949" y="4455"/>
                                  <a:ext cx="1275" cy="48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加油车辆</w:t>
                                    </w:r>
                                  </w:p>
                                </w:txbxContent>
                              </wps:txbx>
                              <wps:bodyPr vert="horz" wrap="square" anchor="t" upright="1"/>
                            </wps:wsp>
                            <wps:wsp>
                              <wps:cNvPr id="70" name="自选图形 1204"/>
                              <wps:cNvCnPr/>
                              <wps:spPr>
                                <a:xfrm flipH="1">
                                  <a:off x="2146" y="3330"/>
                                  <a:ext cx="838" cy="1"/>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71" name="自选图形 1205"/>
                              <wps:cNvCnPr/>
                              <wps:spPr>
                                <a:xfrm flipV="1">
                                  <a:off x="2983" y="3330"/>
                                  <a:ext cx="1" cy="1095"/>
                                </a:xfrm>
                                <a:prstGeom prst="straightConnector1">
                                  <a:avLst/>
                                </a:prstGeom>
                                <a:ln w="6350" cap="flat" cmpd="sng">
                                  <a:solidFill>
                                    <a:srgbClr val="000000"/>
                                  </a:solidFill>
                                  <a:prstDash val="dash"/>
                                  <a:headEnd type="none" w="med" len="med"/>
                                  <a:tailEnd type="none" w="med" len="med"/>
                                </a:ln>
                              </wps:spPr>
                              <wps:bodyPr vert="horz" wrap="square" anchor="t" upright="1"/>
                            </wps:wsp>
                            <wps:wsp>
                              <wps:cNvPr id="72" name="自选图形 1206"/>
                              <wps:cNvCnPr/>
                              <wps:spPr>
                                <a:xfrm flipV="1">
                                  <a:off x="4738" y="2776"/>
                                  <a:ext cx="1" cy="1664"/>
                                </a:xfrm>
                                <a:prstGeom prst="straightConnector1">
                                  <a:avLst/>
                                </a:prstGeom>
                                <a:ln w="6350" cap="flat" cmpd="sng">
                                  <a:solidFill>
                                    <a:srgbClr val="000000"/>
                                  </a:solidFill>
                                  <a:prstDash val="solid"/>
                                  <a:headEnd type="none" w="med" len="med"/>
                                  <a:tailEnd type="triangle" w="med" len="med"/>
                                </a:ln>
                              </wps:spPr>
                              <wps:bodyPr vert="horz" wrap="square" anchor="t" upright="1"/>
                            </wps:wsp>
                            <wps:wsp>
                              <wps:cNvPr id="73" name="自选图形 1209"/>
                              <wps:cNvCnPr/>
                              <wps:spPr>
                                <a:xfrm flipV="1">
                                  <a:off x="4994" y="3345"/>
                                  <a:ext cx="1" cy="1095"/>
                                </a:xfrm>
                                <a:prstGeom prst="straightConnector1">
                                  <a:avLst/>
                                </a:prstGeom>
                                <a:ln w="6350" cap="flat" cmpd="sng">
                                  <a:solidFill>
                                    <a:srgbClr val="000000"/>
                                  </a:solidFill>
                                  <a:prstDash val="dash"/>
                                  <a:headEnd type="triangle" w="med" len="med"/>
                                  <a:tailEnd type="none" w="med" len="med"/>
                                </a:ln>
                              </wps:spPr>
                              <wps:bodyPr vert="horz" wrap="square" anchor="t" upright="1"/>
                            </wps:wsp>
                            <wps:wsp>
                              <wps:cNvPr id="74" name="自选图形 1212"/>
                              <wps:cNvCnPr/>
                              <wps:spPr>
                                <a:xfrm flipV="1">
                                  <a:off x="6449" y="3571"/>
                                  <a:ext cx="2" cy="884"/>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75" name="自选图形 1216"/>
                              <wps:cNvCnPr/>
                              <wps:spPr>
                                <a:xfrm flipV="1">
                                  <a:off x="3342" y="706"/>
                                  <a:ext cx="2" cy="884"/>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76" name="自选图形 1218"/>
                              <wps:cNvCnPr/>
                              <wps:spPr>
                                <a:xfrm flipV="1">
                                  <a:off x="5536" y="691"/>
                                  <a:ext cx="2" cy="884"/>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77" name="自选图形 1259"/>
                              <wps:cNvCnPr/>
                              <wps:spPr>
                                <a:xfrm flipV="1">
                                  <a:off x="6524" y="676"/>
                                  <a:ext cx="2" cy="884"/>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78" name="自选图形 1263"/>
                              <wps:cNvCnPr/>
                              <wps:spPr>
                                <a:xfrm flipV="1">
                                  <a:off x="7591" y="3795"/>
                                  <a:ext cx="2" cy="884"/>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79" name="自选图形 1264"/>
                              <wps:cNvCnPr/>
                              <wps:spPr>
                                <a:xfrm flipH="1">
                                  <a:off x="6948" y="4531"/>
                                  <a:ext cx="624" cy="1"/>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80" name="自选图形 1272"/>
                              <wps:cNvCnPr/>
                              <wps:spPr>
                                <a:xfrm>
                                  <a:off x="644" y="30"/>
                                  <a:ext cx="1" cy="2205"/>
                                </a:xfrm>
                                <a:prstGeom prst="straightConnector1">
                                  <a:avLst/>
                                </a:prstGeom>
                                <a:ln w="15875" cap="flat" cmpd="sng">
                                  <a:solidFill>
                                    <a:srgbClr val="000000"/>
                                  </a:solidFill>
                                  <a:prstDash val="solid"/>
                                  <a:headEnd type="none" w="med" len="med"/>
                                  <a:tailEnd type="none" w="med" len="med"/>
                                </a:ln>
                              </wps:spPr>
                              <wps:bodyPr vert="horz" wrap="square" anchor="t" upright="1"/>
                            </wps:wsp>
                            <wps:wsp>
                              <wps:cNvPr id="81" name="自选图形 1319"/>
                              <wps:cNvCnPr/>
                              <wps:spPr>
                                <a:xfrm>
                                  <a:off x="7866" y="916"/>
                                  <a:ext cx="1" cy="629"/>
                                </a:xfrm>
                                <a:prstGeom prst="straightConnector1">
                                  <a:avLst/>
                                </a:prstGeom>
                                <a:ln w="6350" cap="flat" cmpd="sng">
                                  <a:solidFill>
                                    <a:srgbClr val="000000"/>
                                  </a:solidFill>
                                  <a:prstDash val="dash"/>
                                  <a:headEnd type="triangle" w="med" len="med"/>
                                  <a:tailEnd type="none" w="med" len="med"/>
                                </a:ln>
                              </wps:spPr>
                              <wps:bodyPr vert="horz" wrap="square" anchor="t" upright="1"/>
                            </wps:wsp>
                            <wps:wsp>
                              <wps:cNvPr id="82" name="矩形 1321"/>
                              <wps:cNvSpPr/>
                              <wps:spPr>
                                <a:xfrm>
                                  <a:off x="719" y="616"/>
                                  <a:ext cx="1073" cy="450"/>
                                </a:xfrm>
                                <a:prstGeom prst="rect">
                                  <a:avLst/>
                                </a:prstGeom>
                                <a:noFill/>
                                <a:ln w="9525">
                                  <a:noFill/>
                                </a:ln>
                              </wps:spPr>
                              <wps:txbx>
                                <w:txbxContent>
                                  <w:p>
                                    <w:pPr>
                                      <w:jc w:val="center"/>
                                      <w:rPr>
                                        <w:rFonts w:hint="eastAsia"/>
                                        <w:sz w:val="18"/>
                                        <w:szCs w:val="18"/>
                                      </w:rPr>
                                    </w:pPr>
                                    <w:r>
                                      <w:rPr>
                                        <w:rFonts w:hint="eastAsia"/>
                                        <w:sz w:val="18"/>
                                        <w:szCs w:val="18"/>
                                      </w:rPr>
                                      <w:t>车辆</w:t>
                                    </w:r>
                                    <w:r>
                                      <w:rPr>
                                        <w:sz w:val="18"/>
                                        <w:szCs w:val="18"/>
                                      </w:rPr>
                                      <w:t>尾气</w:t>
                                    </w:r>
                                  </w:p>
                                </w:txbxContent>
                              </wps:txbx>
                              <wps:bodyPr vert="horz" wrap="square" anchor="t" upright="1"/>
                            </wps:wsp>
                            <wps:wsp>
                              <wps:cNvPr id="83" name="自选图形 1322"/>
                              <wps:cNvCnPr/>
                              <wps:spPr>
                                <a:xfrm>
                                  <a:off x="1221" y="976"/>
                                  <a:ext cx="1" cy="629"/>
                                </a:xfrm>
                                <a:prstGeom prst="straightConnector1">
                                  <a:avLst/>
                                </a:prstGeom>
                                <a:ln w="6350" cap="flat" cmpd="sng">
                                  <a:solidFill>
                                    <a:srgbClr val="000000"/>
                                  </a:solidFill>
                                  <a:prstDash val="dash"/>
                                  <a:headEnd type="triangle" w="med" len="med"/>
                                  <a:tailEnd type="none" w="med" len="med"/>
                                </a:ln>
                              </wps:spPr>
                              <wps:bodyPr vert="horz" wrap="square" anchor="t" upright="1"/>
                            </wps:wsp>
                            <wps:wsp>
                              <wps:cNvPr id="84" name="自选图形 1189"/>
                              <wps:cNvCnPr/>
                              <wps:spPr>
                                <a:xfrm flipV="1">
                                  <a:off x="1561" y="4936"/>
                                  <a:ext cx="1" cy="614"/>
                                </a:xfrm>
                                <a:prstGeom prst="straightConnector1">
                                  <a:avLst/>
                                </a:prstGeom>
                                <a:ln w="6350" cap="flat" cmpd="sng">
                                  <a:solidFill>
                                    <a:srgbClr val="000000"/>
                                  </a:solidFill>
                                  <a:prstDash val="dash"/>
                                  <a:headEnd type="triangle" w="med" len="med"/>
                                  <a:tailEnd type="none" w="med" len="med"/>
                                </a:ln>
                              </wps:spPr>
                              <wps:bodyPr vert="horz" wrap="square" anchor="t" upright="1"/>
                            </wps:wsp>
                            <wps:wsp>
                              <wps:cNvPr id="85" name="自选图形 1189"/>
                              <wps:cNvCnPr/>
                              <wps:spPr>
                                <a:xfrm flipV="1">
                                  <a:off x="3344" y="4921"/>
                                  <a:ext cx="1" cy="614"/>
                                </a:xfrm>
                                <a:prstGeom prst="straightConnector1">
                                  <a:avLst/>
                                </a:prstGeom>
                                <a:ln w="6350" cap="flat" cmpd="sng">
                                  <a:solidFill>
                                    <a:srgbClr val="000000"/>
                                  </a:solidFill>
                                  <a:prstDash val="dash"/>
                                  <a:headEnd type="triangle" w="med" len="med"/>
                                  <a:tailEnd type="none" w="med" len="med"/>
                                </a:ln>
                              </wps:spPr>
                              <wps:bodyPr vert="horz" wrap="square" anchor="t" upright="1"/>
                            </wps:wsp>
                            <wps:wsp>
                              <wps:cNvPr id="86" name="自选图形 1189"/>
                              <wps:cNvCnPr/>
                              <wps:spPr>
                                <a:xfrm flipV="1">
                                  <a:off x="6448" y="4936"/>
                                  <a:ext cx="1" cy="614"/>
                                </a:xfrm>
                                <a:prstGeom prst="straightConnector1">
                                  <a:avLst/>
                                </a:prstGeom>
                                <a:ln w="6350" cap="flat" cmpd="sng">
                                  <a:solidFill>
                                    <a:srgbClr val="000000"/>
                                  </a:solidFill>
                                  <a:prstDash val="dash"/>
                                  <a:headEnd type="triangle" w="med" len="med"/>
                                  <a:tailEnd type="none" w="med" len="med"/>
                                </a:ln>
                              </wps:spPr>
                              <wps:bodyPr vert="horz" wrap="square" anchor="t" upright="1"/>
                            </wps:wsp>
                            <wps:wsp>
                              <wps:cNvPr id="87" name="自选图形 1189"/>
                              <wps:cNvCnPr/>
                              <wps:spPr>
                                <a:xfrm flipV="1">
                                  <a:off x="8534" y="4936"/>
                                  <a:ext cx="1" cy="614"/>
                                </a:xfrm>
                                <a:prstGeom prst="straightConnector1">
                                  <a:avLst/>
                                </a:prstGeom>
                                <a:ln w="6350" cap="flat" cmpd="sng">
                                  <a:solidFill>
                                    <a:srgbClr val="000000"/>
                                  </a:solidFill>
                                  <a:prstDash val="dash"/>
                                  <a:headEnd type="triangle" w="med" len="med"/>
                                  <a:tailEnd type="none" w="med" len="med"/>
                                </a:ln>
                              </wps:spPr>
                              <wps:bodyPr vert="horz" wrap="square" anchor="t" upright="1"/>
                            </wps:wsp>
                            <wps:wsp>
                              <wps:cNvPr id="88" name="自选图形 1272"/>
                              <wps:cNvCnPr/>
                              <wps:spPr>
                                <a:xfrm>
                                  <a:off x="658" y="2989"/>
                                  <a:ext cx="1" cy="2205"/>
                                </a:xfrm>
                                <a:prstGeom prst="straightConnector1">
                                  <a:avLst/>
                                </a:prstGeom>
                                <a:ln w="15875" cap="flat" cmpd="sng">
                                  <a:solidFill>
                                    <a:srgbClr val="000000"/>
                                  </a:solidFill>
                                  <a:prstDash val="solid"/>
                                  <a:headEnd type="none" w="med" len="med"/>
                                  <a:tailEnd type="none" w="med" len="med"/>
                                </a:ln>
                              </wps:spPr>
                              <wps:bodyPr vert="horz" wrap="square" anchor="t" upright="1"/>
                            </wps:wsp>
                            <wps:wsp>
                              <wps:cNvPr id="89" name="自选图形 1176"/>
                              <wps:cNvCnPr/>
                              <wps:spPr>
                                <a:xfrm flipV="1">
                                  <a:off x="1889" y="721"/>
                                  <a:ext cx="2" cy="884"/>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90" name="自选图形 1204"/>
                              <wps:cNvCnPr/>
                              <wps:spPr>
                                <a:xfrm flipH="1">
                                  <a:off x="4989" y="3375"/>
                                  <a:ext cx="838" cy="1"/>
                                </a:xfrm>
                                <a:prstGeom prst="straightConnector1">
                                  <a:avLst/>
                                </a:prstGeom>
                                <a:ln w="6350" cap="flat" cmpd="sng">
                                  <a:solidFill>
                                    <a:srgbClr val="000000"/>
                                  </a:solidFill>
                                  <a:prstDash val="dash"/>
                                  <a:headEnd type="none" w="med" len="med"/>
                                  <a:tailEnd type="none" w="med" len="med"/>
                                </a:ln>
                              </wps:spPr>
                              <wps:bodyPr vert="horz" wrap="square" anchor="t" upright="1"/>
                            </wps:wsp>
                            <wps:wsp>
                              <wps:cNvPr id="91" name="自选图形 1184"/>
                              <wps:cNvCnPr/>
                              <wps:spPr>
                                <a:xfrm>
                                  <a:off x="5339" y="4695"/>
                                  <a:ext cx="630" cy="1"/>
                                </a:xfrm>
                                <a:prstGeom prst="straightConnector1">
                                  <a:avLst/>
                                </a:prstGeom>
                                <a:ln w="6350" cap="flat" cmpd="sng">
                                  <a:solidFill>
                                    <a:srgbClr val="000000"/>
                                  </a:solidFill>
                                  <a:prstDash val="solid"/>
                                  <a:headEnd type="none" w="med" len="med"/>
                                  <a:tailEnd type="triangle" w="med" len="med"/>
                                </a:ln>
                              </wps:spPr>
                              <wps:bodyPr vert="horz" wrap="square" anchor="t" upright="1"/>
                            </wps:wsp>
                            <wps:wsp>
                              <wps:cNvPr id="92" name="矩形 1211"/>
                              <wps:cNvSpPr/>
                              <wps:spPr>
                                <a:xfrm>
                                  <a:off x="3119" y="2489"/>
                                  <a:ext cx="1245" cy="106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left="-210" w:leftChars="-100" w:right="-210" w:rightChars="-100"/>
                                      <w:jc w:val="center"/>
                                      <w:rPr>
                                        <w:color w:val="auto"/>
                                      </w:rPr>
                                    </w:pPr>
                                    <w:r>
                                      <w:rPr>
                                        <w:rFonts w:hint="eastAsia"/>
                                        <w:color w:val="auto"/>
                                      </w:rPr>
                                      <w:t>二次</w:t>
                                    </w:r>
                                    <w:r>
                                      <w:rPr>
                                        <w:color w:val="auto"/>
                                      </w:rPr>
                                      <w:t>油气</w:t>
                                    </w:r>
                                  </w:p>
                                  <w:p>
                                    <w:pPr>
                                      <w:ind w:left="-210" w:leftChars="-100" w:right="-210" w:rightChars="-100"/>
                                      <w:jc w:val="center"/>
                                      <w:rPr>
                                        <w:color w:val="auto"/>
                                      </w:rPr>
                                    </w:pPr>
                                    <w:r>
                                      <w:rPr>
                                        <w:color w:val="auto"/>
                                      </w:rPr>
                                      <w:t>回收系统</w:t>
                                    </w:r>
                                  </w:p>
                                </w:txbxContent>
                              </wps:txbx>
                              <wps:bodyPr vert="horz" wrap="square" anchor="t" upright="1"/>
                            </wps:wsp>
                            <wps:wsp>
                              <wps:cNvPr id="93" name="矩形 1211"/>
                              <wps:cNvSpPr/>
                              <wps:spPr>
                                <a:xfrm>
                                  <a:off x="5834" y="2489"/>
                                  <a:ext cx="1245" cy="106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left="-210" w:leftChars="-100" w:right="-210" w:rightChars="-100"/>
                                      <w:jc w:val="center"/>
                                    </w:pPr>
                                    <w:r>
                                      <w:rPr>
                                        <w:rFonts w:hint="eastAsia"/>
                                      </w:rPr>
                                      <w:t>二次</w:t>
                                    </w:r>
                                    <w:r>
                                      <w:t>油气</w:t>
                                    </w:r>
                                  </w:p>
                                  <w:p>
                                    <w:pPr>
                                      <w:ind w:left="-210" w:leftChars="-100" w:right="-210" w:rightChars="-100"/>
                                      <w:jc w:val="center"/>
                                    </w:pPr>
                                    <w:r>
                                      <w:t>回收系统</w:t>
                                    </w:r>
                                  </w:p>
                                </w:txbxContent>
                              </wps:txbx>
                              <wps:bodyPr vert="horz" wrap="square" anchor="t" upright="1"/>
                            </wps:wsp>
                            <wps:wsp>
                              <wps:cNvPr id="94" name="自选图形 1212"/>
                              <wps:cNvCnPr/>
                              <wps:spPr>
                                <a:xfrm flipV="1">
                                  <a:off x="3710" y="3556"/>
                                  <a:ext cx="2" cy="884"/>
                                </a:xfrm>
                                <a:prstGeom prst="straightConnector1">
                                  <a:avLst/>
                                </a:prstGeom>
                                <a:ln w="6350" cap="flat" cmpd="sng">
                                  <a:solidFill>
                                    <a:srgbClr val="000000"/>
                                  </a:solidFill>
                                  <a:prstDash val="dash"/>
                                  <a:headEnd type="none" w="med" len="med"/>
                                  <a:tailEnd type="triangle" w="med" len="med"/>
                                </a:ln>
                              </wps:spPr>
                              <wps:bodyPr vert="horz" wrap="square" anchor="t" upright="1"/>
                            </wps:wsp>
                            <wps:wsp>
                              <wps:cNvPr id="95" name="自选图形 1212"/>
                              <wps:cNvCnPr/>
                              <wps:spPr>
                                <a:xfrm flipV="1">
                                  <a:off x="4130" y="3541"/>
                                  <a:ext cx="2" cy="884"/>
                                </a:xfrm>
                                <a:prstGeom prst="straightConnector1">
                                  <a:avLst/>
                                </a:prstGeom>
                                <a:ln w="6350" cap="flat" cmpd="sng">
                                  <a:solidFill>
                                    <a:srgbClr val="000000"/>
                                  </a:solidFill>
                                  <a:prstDash val="dash"/>
                                  <a:headEnd type="triangle" w="med" len="med"/>
                                  <a:tailEnd type="none" w="med" len="med"/>
                                </a:ln>
                              </wps:spPr>
                              <wps:bodyPr vert="horz" wrap="square" anchor="t" upright="1"/>
                            </wps:wsp>
                          </wpg:wgp>
                        </a:graphicData>
                      </a:graphic>
                    </wp:inline>
                  </w:drawing>
                </mc:Choice>
                <mc:Fallback>
                  <w:pict>
                    <v:group id="画布 1170" o:spid="_x0000_s1026" o:spt="203" style="height:301.25pt;width:466.55pt;" coordsize="9331,6025" o:gfxdata="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">
                      <o:lock v:ext="edit" rotation="t" aspectratio="f"/>
                      <v:rect id="图片 194" o:spid="_x0000_s1026" o:spt="1" style="position:absolute;left:0;top:0;height:6025;width:9331;" filled="f" stroked="f" coordsize="21600,21600" o:gfxdata="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vbZvQAA&#10;ANsAAAAPAAAAAAAAAAEAIAAAACIAAABkcnMvZG93bnJldi54bWxQSwECFAAUAAAACACHTuJAMy8F&#10;njsAAAA5AAAAEAAAAAAAAAABACAAAAAMAQAAZHJzL3NoYXBleG1sLnhtbFBLBQYAAAAABgAGAFsB&#10;AAC2AwAAAAA=&#10;">
                        <v:fill on="f" focussize="0,0"/>
                        <v:stroke on="f"/>
                        <v:imagedata o:title=""/>
                        <o:lock v:ext="edit" rotation="t" text="t" aspectratio="t"/>
                      </v:rect>
                      <v:rect id="矩形 1194" o:spid="_x0000_s1026" o:spt="1" style="position:absolute;left:3914;top:3569;height:705;width:660;" fillcolor="#FFFFFF" filled="t" stroked="f" coordsize="21600,21600" o:gfxdata="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sEOkr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eastAsia"/>
                                  <w:sz w:val="18"/>
                                  <w:szCs w:val="18"/>
                                </w:rPr>
                              </w:pPr>
                              <w:r>
                                <w:rPr>
                                  <w:rFonts w:hint="eastAsia"/>
                                  <w:sz w:val="18"/>
                                  <w:szCs w:val="18"/>
                                </w:rPr>
                                <w:t>油</w:t>
                              </w:r>
                            </w:p>
                            <w:p>
                              <w:pPr>
                                <w:jc w:val="center"/>
                                <w:rPr>
                                  <w:sz w:val="18"/>
                                  <w:szCs w:val="18"/>
                                </w:rPr>
                              </w:pPr>
                              <w:r>
                                <w:rPr>
                                  <w:rFonts w:hint="eastAsia"/>
                                  <w:sz w:val="18"/>
                                  <w:szCs w:val="18"/>
                                </w:rPr>
                                <w:t>气</w:t>
                              </w:r>
                            </w:p>
                          </w:txbxContent>
                        </v:textbox>
                      </v:rect>
                      <v:rect id="矩形 1194" o:spid="_x0000_s1026" o:spt="1" style="position:absolute;left:2909;top:3540;height:840;width:974;" fillcolor="#FFFFFF" filled="t" stroked="f" coordsize="21600,21600" o:gfxdata="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asJ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ind w:left="-210" w:leftChars="-100" w:right="-210" w:rightChars="-100"/>
                                <w:jc w:val="center"/>
                                <w:rPr>
                                  <w:rFonts w:hint="eastAsia"/>
                                  <w:sz w:val="18"/>
                                  <w:szCs w:val="18"/>
                                </w:rPr>
                              </w:pPr>
                              <w:r>
                                <w:rPr>
                                  <w:rFonts w:hint="eastAsia"/>
                                  <w:sz w:val="18"/>
                                  <w:szCs w:val="18"/>
                                </w:rPr>
                                <w:t>油气</w:t>
                              </w:r>
                            </w:p>
                            <w:p>
                              <w:pPr>
                                <w:ind w:left="-210" w:leftChars="-100" w:right="-210" w:rightChars="-100"/>
                                <w:jc w:val="center"/>
                                <w:rPr>
                                  <w:rFonts w:hint="eastAsia"/>
                                  <w:sz w:val="18"/>
                                  <w:szCs w:val="18"/>
                                </w:rPr>
                              </w:pPr>
                              <w:r>
                                <w:rPr>
                                  <w:rFonts w:hint="eastAsia"/>
                                  <w:sz w:val="15"/>
                                  <w:szCs w:val="15"/>
                                </w:rPr>
                                <w:t>（大呼吸）</w:t>
                              </w:r>
                            </w:p>
                            <w:p>
                              <w:pPr>
                                <w:ind w:left="-210" w:leftChars="-100" w:right="-210" w:rightChars="-100"/>
                                <w:jc w:val="center"/>
                                <w:rPr>
                                  <w:rFonts w:hint="eastAsia"/>
                                  <w:sz w:val="18"/>
                                  <w:szCs w:val="18"/>
                                </w:rPr>
                              </w:pPr>
                            </w:p>
                          </w:txbxContent>
                        </v:textbox>
                      </v:rect>
                      <v:rect id="矩形 1325" o:spid="_x0000_s1026" o:spt="1" style="position:absolute;left:959;top:5474;height:450;width:1223;" fillcolor="#FFFFFF" filled="t" stroked="f" coordsize="21600,21600" o:gfxdata="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bpRJ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rFonts w:hint="eastAsia"/>
                                  <w:sz w:val="18"/>
                                  <w:szCs w:val="18"/>
                                </w:rPr>
                              </w:pPr>
                              <w:r>
                                <w:rPr>
                                  <w:rFonts w:hint="eastAsia"/>
                                  <w:sz w:val="18"/>
                                  <w:szCs w:val="18"/>
                                </w:rPr>
                                <w:t>车辆</w:t>
                              </w:r>
                              <w:r>
                                <w:rPr>
                                  <w:sz w:val="18"/>
                                  <w:szCs w:val="18"/>
                                </w:rPr>
                                <w:t>尾气</w:t>
                              </w:r>
                            </w:p>
                          </w:txbxContent>
                        </v:textbox>
                      </v:rect>
                      <v:rect id="矩形 1324" o:spid="_x0000_s1026" o:spt="1" style="position:absolute;left:7934;top:5474;height:450;width:1223;" fillcolor="#FFFFFF" filled="t" stroked="f" coordsize="21600,21600" o:gfxdata="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iMdK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 w:val="18"/>
                                  <w:szCs w:val="18"/>
                                </w:rPr>
                              </w:pPr>
                              <w:r>
                                <w:rPr>
                                  <w:rFonts w:hint="eastAsia"/>
                                  <w:sz w:val="18"/>
                                  <w:szCs w:val="18"/>
                                </w:rPr>
                                <w:t>车辆</w:t>
                              </w:r>
                              <w:r>
                                <w:rPr>
                                  <w:sz w:val="18"/>
                                  <w:szCs w:val="18"/>
                                </w:rPr>
                                <w:t>尾气</w:t>
                              </w:r>
                            </w:p>
                          </w:txbxContent>
                        </v:textbox>
                      </v:rect>
                      <v:rect id="矩形 1320" o:spid="_x0000_s1026" o:spt="1" style="position:absolute;left:7252;top:541;height:450;width:1223;" fillcolor="#FFFFFF" filled="t" stroked="f" coordsize="21600,21600" o:gfxdata="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r6W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 w:val="18"/>
                                  <w:szCs w:val="18"/>
                                </w:rPr>
                              </w:pPr>
                              <w:r>
                                <w:rPr>
                                  <w:rFonts w:hint="eastAsia"/>
                                  <w:sz w:val="18"/>
                                  <w:szCs w:val="18"/>
                                </w:rPr>
                                <w:t>车辆</w:t>
                              </w:r>
                              <w:r>
                                <w:rPr>
                                  <w:sz w:val="18"/>
                                  <w:szCs w:val="18"/>
                                </w:rPr>
                                <w:t>尾气</w:t>
                              </w:r>
                            </w:p>
                          </w:txbxContent>
                        </v:textbox>
                      </v:rect>
                      <v:rect id="矩形 1276" o:spid="_x0000_s1026" o:spt="1" style="position:absolute;left:0;top:3705;height:795;width:645;" fillcolor="#FFFFFF" filled="t" stroked="f" coordsize="21600,21600" o:gfxdata="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8Cj6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b/>
                                  <w:sz w:val="24"/>
                                </w:rPr>
                              </w:pPr>
                              <w:r>
                                <w:rPr>
                                  <w:rFonts w:hint="eastAsia"/>
                                  <w:b/>
                                  <w:sz w:val="24"/>
                                </w:rPr>
                                <w:t>汽油</w:t>
                              </w:r>
                            </w:p>
                          </w:txbxContent>
                        </v:textbox>
                      </v:rect>
                      <v:rect id="矩形 1275" o:spid="_x0000_s1026" o:spt="1" style="position:absolute;left:0;top:810;height:795;width:645;" fillcolor="#FFFFFF" filled="t" stroked="f" coordsize="21600,21600" o:gfxdata="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WSSr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rFonts w:hint="eastAsia"/>
                                  <w:b/>
                                  <w:sz w:val="24"/>
                                </w:rPr>
                              </w:pPr>
                              <w:r>
                                <w:rPr>
                                  <w:rFonts w:hint="eastAsia"/>
                                  <w:b/>
                                  <w:sz w:val="24"/>
                                </w:rPr>
                                <w:t>柴油</w:t>
                              </w:r>
                            </w:p>
                          </w:txbxContent>
                        </v:textbox>
                      </v:rect>
                      <v:rect id="矩形 1271" o:spid="_x0000_s1026" o:spt="1" style="position:absolute;left:2776;top:5457;height:465;width:1140;" fillcolor="#FFFFFF" filled="t" stroked="f" coordsize="21600,21600" o:gfxdata="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30b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sz w:val="18"/>
                                  <w:szCs w:val="18"/>
                                </w:rPr>
                              </w:pPr>
                              <w:r>
                                <w:rPr>
                                  <w:rFonts w:hint="eastAsia"/>
                                  <w:sz w:val="18"/>
                                  <w:szCs w:val="18"/>
                                </w:rPr>
                                <w:t>含油废渣</w:t>
                              </w:r>
                            </w:p>
                          </w:txbxContent>
                        </v:textbox>
                      </v:rect>
                      <v:rect id="矩形 1270" o:spid="_x0000_s1026" o:spt="1" style="position:absolute;left:6059;top:5474;height:465;width:765;" fillcolor="#FFFFFF" filled="t" stroked="f" coordsize="21600,21600" o:gfxdata="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uppr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sz w:val="18"/>
                                  <w:szCs w:val="18"/>
                                </w:rPr>
                              </w:pPr>
                              <w:r>
                                <w:rPr>
                                  <w:rFonts w:hint="eastAsia"/>
                                  <w:sz w:val="18"/>
                                  <w:szCs w:val="18"/>
                                </w:rPr>
                                <w:t>噪声</w:t>
                              </w:r>
                            </w:p>
                          </w:txbxContent>
                        </v:textbox>
                      </v:rect>
                      <v:rect id="矩形 1267" o:spid="_x0000_s1026" o:spt="1" style="position:absolute;left:5144;top:360;height:465;width:765;" fillcolor="#FFFFFF" filled="t" stroked="f" coordsize="21600,21600" o:gfxdata="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cMPb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sz w:val="18"/>
                                  <w:szCs w:val="18"/>
                                </w:rPr>
                              </w:pPr>
                              <w:r>
                                <w:rPr>
                                  <w:rFonts w:hint="eastAsia"/>
                                  <w:sz w:val="18"/>
                                  <w:szCs w:val="18"/>
                                </w:rPr>
                                <w:t>噪声</w:t>
                              </w:r>
                            </w:p>
                          </w:txbxContent>
                        </v:textbox>
                      </v:rect>
                      <v:rect id="矩形 1266" o:spid="_x0000_s1026" o:spt="1" style="position:absolute;left:6839;top:4125;height:451;width:660;" fillcolor="#FFFFFF" filled="t" stroked="f" coordsize="21600,21600" o:gfxdata="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JhP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sz w:val="18"/>
                                  <w:szCs w:val="18"/>
                                </w:rPr>
                              </w:pPr>
                              <w:r>
                                <w:rPr>
                                  <w:rFonts w:hint="eastAsia"/>
                                  <w:sz w:val="18"/>
                                  <w:szCs w:val="18"/>
                                </w:rPr>
                                <w:t>油气</w:t>
                              </w:r>
                            </w:p>
                          </w:txbxContent>
                        </v:textbox>
                      </v:rect>
                      <v:rect id="矩形 1265" o:spid="_x0000_s1026" o:spt="1" style="position:absolute;left:6839;top:3451;height:450;width:1155;" fillcolor="#FFFFFF" filled="t" stroked="f" coordsize="21600,21600" o:gfxdata="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UPdS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 w:val="18"/>
                                  <w:szCs w:val="18"/>
                                </w:rPr>
                              </w:pPr>
                              <w:r>
                                <w:rPr>
                                  <w:rFonts w:hint="eastAsia"/>
                                  <w:sz w:val="18"/>
                                  <w:szCs w:val="18"/>
                                </w:rPr>
                                <w:t>逸散油气</w:t>
                              </w:r>
                            </w:p>
                          </w:txbxContent>
                        </v:textbox>
                      </v:rect>
                      <v:rect id="矩形 1262" o:spid="_x0000_s1026" o:spt="1" style="position:absolute;left:7019;top:4605;height:465;width:765;" fillcolor="#FFFFFF" filled="t" stroked="f" coordsize="21600,21600" o:gfxdata="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Oc0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sz w:val="18"/>
                                  <w:szCs w:val="18"/>
                                </w:rPr>
                              </w:pPr>
                              <w:r>
                                <w:rPr>
                                  <w:rFonts w:hint="eastAsia"/>
                                  <w:sz w:val="18"/>
                                  <w:szCs w:val="18"/>
                                </w:rPr>
                                <w:t>加油</w:t>
                              </w:r>
                            </w:p>
                          </w:txbxContent>
                        </v:textbox>
                      </v:rect>
                      <v:rect id="矩形 1261" o:spid="_x0000_s1026" o:spt="1" style="position:absolute;left:6119;top:1485;height:465;width:765;" fillcolor="#FFFFFF" filled="t" stroked="f" coordsize="21600,21600" o:gfxdata="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Qq+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sz w:val="18"/>
                                  <w:szCs w:val="18"/>
                                </w:rPr>
                              </w:pPr>
                              <w:r>
                                <w:rPr>
                                  <w:rFonts w:hint="eastAsia"/>
                                  <w:sz w:val="18"/>
                                  <w:szCs w:val="18"/>
                                </w:rPr>
                                <w:t>加油</w:t>
                              </w:r>
                            </w:p>
                          </w:txbxContent>
                        </v:textbox>
                      </v:rect>
                      <v:rect id="矩形 1260" o:spid="_x0000_s1026" o:spt="1" style="position:absolute;left:5714;top:331;height:450;width:1620;" fillcolor="#FFFFFF" filled="t" stroked="f" coordsize="21600,21600" o:gfxdata="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23Ni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 w:val="18"/>
                                  <w:szCs w:val="18"/>
                                </w:rPr>
                              </w:pPr>
                              <w:r>
                                <w:rPr>
                                  <w:rFonts w:hint="eastAsia"/>
                                  <w:sz w:val="18"/>
                                  <w:szCs w:val="18"/>
                                </w:rPr>
                                <w:t>零售</w:t>
                              </w:r>
                              <w:r>
                                <w:rPr>
                                  <w:sz w:val="18"/>
                                  <w:szCs w:val="18"/>
                                </w:rPr>
                                <w:t>损耗油气</w:t>
                              </w:r>
                            </w:p>
                          </w:txbxContent>
                        </v:textbox>
                      </v:rect>
                      <v:rect id="矩形 1217" o:spid="_x0000_s1026" o:spt="1" style="position:absolute;left:2534;top:30;height:810;width:1620;" fillcolor="#FFFFFF" filled="t" stroked="f" coordsize="21600,21600" o:gfxdata="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p5Q7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sz w:val="18"/>
                                  <w:szCs w:val="18"/>
                                </w:rPr>
                              </w:pPr>
                              <w:r>
                                <w:rPr>
                                  <w:rFonts w:hint="eastAsia"/>
                                  <w:sz w:val="18"/>
                                  <w:szCs w:val="18"/>
                                </w:rPr>
                                <w:t>储存</w:t>
                              </w:r>
                              <w:r>
                                <w:rPr>
                                  <w:sz w:val="18"/>
                                  <w:szCs w:val="18"/>
                                </w:rPr>
                                <w:t>损耗油气</w:t>
                              </w:r>
                            </w:p>
                            <w:p>
                              <w:pPr>
                                <w:jc w:val="center"/>
                                <w:rPr>
                                  <w:rFonts w:hint="eastAsia"/>
                                  <w:sz w:val="18"/>
                                  <w:szCs w:val="18"/>
                                </w:rPr>
                              </w:pPr>
                              <w:r>
                                <w:rPr>
                                  <w:rFonts w:hint="eastAsia"/>
                                  <w:sz w:val="18"/>
                                  <w:szCs w:val="18"/>
                                </w:rPr>
                                <w:t>含油废渣</w:t>
                              </w:r>
                            </w:p>
                          </w:txbxContent>
                        </v:textbox>
                      </v:rect>
                      <v:rect id="矩形 1215" o:spid="_x0000_s1026" o:spt="1" style="position:absolute;left:6344;top:3780;height:451;width:660;" fillcolor="#FFFFFF" filled="t" stroked="f" coordsize="21600,21600" o:gfxdata="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T4Te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sz w:val="18"/>
                                  <w:szCs w:val="18"/>
                                </w:rPr>
                              </w:pPr>
                              <w:r>
                                <w:rPr>
                                  <w:rFonts w:hint="eastAsia"/>
                                  <w:sz w:val="18"/>
                                  <w:szCs w:val="18"/>
                                </w:rPr>
                                <w:t>油气</w:t>
                              </w:r>
                            </w:p>
                          </w:txbxContent>
                        </v:textbox>
                      </v:rect>
                      <v:rect id="矩形 1214" o:spid="_x0000_s1026" o:spt="1" style="position:absolute;left:5114;top:3015;height:451;width:660;" fillcolor="#FFFFFF" filled="t" stroked="f" coordsize="21600,21600" o:gfxdata="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0Ss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sz w:val="18"/>
                                  <w:szCs w:val="18"/>
                                </w:rPr>
                              </w:pPr>
                              <w:r>
                                <w:rPr>
                                  <w:rFonts w:hint="eastAsia"/>
                                  <w:sz w:val="18"/>
                                  <w:szCs w:val="18"/>
                                </w:rPr>
                                <w:t>油气</w:t>
                              </w:r>
                            </w:p>
                          </w:txbxContent>
                        </v:textbox>
                      </v:rect>
                      <v:rect id="矩形 1213" o:spid="_x0000_s1026" o:spt="1" style="position:absolute;left:4334;top:3180;height:1066;width:450;" fillcolor="#FFFFFF" filled="t" stroked="f" coordsize="21600,21600" o:gfxdata="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zdrb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sz w:val="18"/>
                                  <w:szCs w:val="18"/>
                                </w:rPr>
                              </w:pPr>
                              <w:r>
                                <w:rPr>
                                  <w:rFonts w:hint="eastAsia"/>
                                  <w:sz w:val="18"/>
                                  <w:szCs w:val="18"/>
                                </w:rPr>
                                <w:t>通气管</w:t>
                              </w:r>
                            </w:p>
                          </w:txbxContent>
                        </v:textbox>
                      </v:rect>
                      <v:rect id="矩形 1177" o:spid="_x0000_s1026" o:spt="1" style="position:absolute;left:1109;top:360;height:482;width:1620;" fillcolor="#FFFFFF" filled="t" stroked="f" coordsize="21600,21600" o:gfxdata="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gX9A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rFonts w:hint="eastAsia"/>
                                  <w:sz w:val="18"/>
                                  <w:szCs w:val="18"/>
                                </w:rPr>
                              </w:pPr>
                              <w:r>
                                <w:rPr>
                                  <w:rFonts w:hint="eastAsia"/>
                                  <w:sz w:val="18"/>
                                  <w:szCs w:val="18"/>
                                </w:rPr>
                                <w:t>卸油</w:t>
                              </w:r>
                              <w:r>
                                <w:rPr>
                                  <w:sz w:val="18"/>
                                  <w:szCs w:val="18"/>
                                </w:rPr>
                                <w:t>损耗油气</w:t>
                              </w:r>
                            </w:p>
                          </w:txbxContent>
                        </v:textbox>
                      </v:rect>
                      <v:rect id="矩形 1208" o:spid="_x0000_s1026" o:spt="1" style="position:absolute;left:1994;top:2640;height:826;width:1230;" fillcolor="#FFFFFF" filled="t" stroked="f" coordsize="21600,21600" o:gfxdata="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Husy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sz w:val="18"/>
                                  <w:szCs w:val="18"/>
                                </w:rPr>
                              </w:pPr>
                              <w:r>
                                <w:rPr>
                                  <w:rFonts w:hint="eastAsia"/>
                                  <w:sz w:val="18"/>
                                  <w:szCs w:val="18"/>
                                </w:rPr>
                                <w:t>油气</w:t>
                              </w:r>
                            </w:p>
                            <w:p>
                              <w:pPr>
                                <w:jc w:val="center"/>
                                <w:rPr>
                                  <w:rFonts w:hint="eastAsia"/>
                                  <w:sz w:val="15"/>
                                  <w:szCs w:val="15"/>
                                </w:rPr>
                              </w:pPr>
                              <w:r>
                                <w:rPr>
                                  <w:rFonts w:hint="eastAsia"/>
                                  <w:sz w:val="15"/>
                                  <w:szCs w:val="15"/>
                                </w:rPr>
                                <w:t>（大呼吸</w:t>
                              </w:r>
                              <w:r>
                                <w:rPr>
                                  <w:sz w:val="15"/>
                                  <w:szCs w:val="15"/>
                                </w:rPr>
                                <w:t>）</w:t>
                              </w:r>
                            </w:p>
                          </w:txbxContent>
                        </v:textbox>
                      </v:rect>
                      <v:rect id="矩形 1207" o:spid="_x0000_s1026" o:spt="1" style="position:absolute;left:4379;top:2409;height:446;width:1583;" fillcolor="#FFFFFF" filled="t" stroked="f" coordsize="21600,21600" o:gfxdata="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STqm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hint="eastAsia"/>
                                  <w:sz w:val="18"/>
                                  <w:szCs w:val="18"/>
                                </w:rPr>
                              </w:pPr>
                              <w:r>
                                <w:rPr>
                                  <w:rFonts w:hint="eastAsia"/>
                                  <w:sz w:val="18"/>
                                  <w:szCs w:val="18"/>
                                </w:rPr>
                                <w:t>油气</w:t>
                              </w:r>
                              <w:r>
                                <w:rPr>
                                  <w:rFonts w:hint="eastAsia"/>
                                  <w:sz w:val="15"/>
                                  <w:szCs w:val="15"/>
                                </w:rPr>
                                <w:t>（小呼吸</w:t>
                              </w:r>
                              <w:r>
                                <w:rPr>
                                  <w:sz w:val="15"/>
                                  <w:szCs w:val="15"/>
                                </w:rPr>
                                <w:t>）</w:t>
                              </w:r>
                            </w:p>
                          </w:txbxContent>
                        </v:textbox>
                      </v:rect>
                      <v:rect id="矩形 1203" o:spid="_x0000_s1026" o:spt="1" style="position:absolute;left:1709;top:3690;height:451;width:1185;" fillcolor="#FFFFFF" filled="t" stroked="f" coordsize="21600,21600" o:gfxdata="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XHp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sz w:val="18"/>
                                  <w:szCs w:val="18"/>
                                </w:rPr>
                              </w:pPr>
                              <w:r>
                                <w:rPr>
                                  <w:rFonts w:hint="eastAsia"/>
                                  <w:sz w:val="18"/>
                                  <w:szCs w:val="18"/>
                                </w:rPr>
                                <w:t>逸散油气</w:t>
                              </w:r>
                            </w:p>
                          </w:txbxContent>
                        </v:textbox>
                      </v:rect>
                      <v:rect id="矩形 1198" o:spid="_x0000_s1026" o:spt="1" style="position:absolute;left:1949;top:4605;height:465;width:765;" fillcolor="#FFFFFF" filled="t" stroked="f" coordsize="21600,21600" o:gfxdata="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Ucr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sz w:val="18"/>
                                  <w:szCs w:val="18"/>
                                </w:rPr>
                              </w:pPr>
                              <w:r>
                                <w:rPr>
                                  <w:rFonts w:hint="eastAsia"/>
                                  <w:sz w:val="18"/>
                                  <w:szCs w:val="18"/>
                                </w:rPr>
                                <w:t>卸油</w:t>
                              </w:r>
                            </w:p>
                          </w:txbxContent>
                        </v:textbox>
                      </v:rect>
                      <v:rect id="矩形 1179" o:spid="_x0000_s1026" o:spt="1" style="position:absolute;left:1949;top:1500;height:465;width:765;" fillcolor="#FFFFFF" filled="t" stroked="f" coordsize="21600,21600" o:gfxdata="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9KBb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sz w:val="18"/>
                                  <w:szCs w:val="18"/>
                                </w:rPr>
                              </w:pPr>
                              <w:r>
                                <w:rPr>
                                  <w:rFonts w:hint="eastAsia"/>
                                  <w:sz w:val="18"/>
                                  <w:szCs w:val="18"/>
                                </w:rPr>
                                <w:t>卸油</w:t>
                              </w:r>
                            </w:p>
                          </w:txbxContent>
                        </v:textbox>
                      </v:rect>
                      <v:rect id="矩形 1171" o:spid="_x0000_s1026" o:spt="1" style="position:absolute;left:1049;top:1620;height:481;width:975;" fillcolor="#FFFFFF" filled="t" stroked="t" coordsize="21600,21600" o:gfxdata="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Osfu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pPr>
                              <w:r>
                                <w:rPr>
                                  <w:rFonts w:hint="eastAsia"/>
                                </w:rPr>
                                <w:t>油罐车</w:t>
                              </w:r>
                            </w:p>
                          </w:txbxContent>
                        </v:textbox>
                      </v:rect>
                      <v:rect id="矩形 1172" o:spid="_x0000_s1026" o:spt="1" style="position:absolute;left:1064;top:4454;height:482;width:975;" fillcolor="#FFFFFF" filled="t" stroked="t" coordsize="21600,21600" o:gfxdata="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nKY+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pPr>
                              <w:r>
                                <w:rPr>
                                  <w:rFonts w:hint="eastAsia"/>
                                </w:rPr>
                                <w:t>油罐车</w:t>
                              </w:r>
                            </w:p>
                          </w:txbxContent>
                        </v:textbox>
                      </v:rect>
                      <v:shape id="自选图形 1178" o:spid="_x0000_s1026" o:spt="32" type="#_x0000_t32" style="position:absolute;left:2039;top:1845;height:1;width:630;" filled="f" stroked="t" coordsize="21600,21600" o:gfxdata="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ludK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rect id="矩形 1180" o:spid="_x0000_s1026" o:spt="1" style="position:absolute;left:2669;top:1605;height:481;width:1395;" fillcolor="#FFFFFF" filled="t" stroked="t" coordsize="21600,21600" o:gfxdata="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5EmO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pPr>
                              <w:r>
                                <w:rPr>
                                  <w:rFonts w:hint="eastAsia"/>
                                </w:rPr>
                                <w:t>油储罐</w:t>
                              </w:r>
                            </w:p>
                          </w:txbxContent>
                        </v:textbox>
                      </v:rect>
                      <v:shape id="自选图形 1182" o:spid="_x0000_s1026" o:spt="32" type="#_x0000_t32" style="position:absolute;left:6044;top:1814;height:1;width:990;" filled="f" stroked="t" coordsize="21600,21600" o:gfxdata="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Nym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自选图形 1184" o:spid="_x0000_s1026" o:spt="32" type="#_x0000_t32" style="position:absolute;left:2039;top:4679;height:1;width:630;" filled="f" stroked="t" coordsize="21600,21600" o:gfxdata="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l0jUugAAANsA&#10;AAAPAAAAAAAAAAEAIAAAACIAAABkcnMvZG93bnJldi54bWxQSwECFAAUAAAACACHTuJAMy8FnjsA&#10;AAA5AAAAEAAAAAAAAAABACAAAAAJAQAAZHJzL3NoYXBleG1sLnhtbFBLBQYAAAAABgAGAFsBAACz&#10;AwAAAAA=&#10;">
                        <v:fill on="f" focussize="0,0"/>
                        <v:stroke weight="0.5pt" color="#000000" joinstyle="round" endarrow="block"/>
                        <v:imagedata o:title=""/>
                        <o:lock v:ext="edit" aspectratio="f"/>
                      </v:shape>
                      <v:rect id="矩形 1185" o:spid="_x0000_s1026" o:spt="1" style="position:absolute;left:5054;top:1590;height:481;width:975;" fillcolor="#FFFFFF" filled="t" stroked="t" coordsize="21600,21600" o:gfxdata="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mhhG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pPr>
                              <w:r>
                                <w:rPr>
                                  <w:rFonts w:hint="eastAsia"/>
                                </w:rPr>
                                <w:t>加油机</w:t>
                              </w:r>
                            </w:p>
                          </w:txbxContent>
                        </v:textbox>
                      </v:rect>
                      <v:rect id="矩形 1186" o:spid="_x0000_s1026" o:spt="1" style="position:absolute;left:7019;top:1575;height:481;width:1275;" fillcolor="#FFFFFF" filled="t" stroked="t" coordsize="21600,21600" o:gfxdata="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PDlMb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pPr>
                                <w:jc w:val="center"/>
                              </w:pPr>
                              <w:r>
                                <w:rPr>
                                  <w:rFonts w:hint="eastAsia"/>
                                </w:rPr>
                                <w:t>加油车辆</w:t>
                              </w:r>
                            </w:p>
                          </w:txbxContent>
                        </v:textbox>
                      </v:rect>
                      <v:shape id="自选图形 1189" o:spid="_x0000_s1026" o:spt="32" type="#_x0000_t32" style="position:absolute;left:2309;top:4035;flip:y;height:614;width:1;" filled="f" stroked="t" coordsize="21600,21600" o:gfxdata="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laC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shape>
                      <v:shape id="自选图形 1193" o:spid="_x0000_s1026" o:spt="32" type="#_x0000_t32" style="position:absolute;left:4079;top:1829;height:1;width:990;" filled="f" stroked="t" coordsize="21600,21600" o:gfxdata="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7WD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rect id="矩形 1194" o:spid="_x0000_s1026" o:spt="1" style="position:absolute;left:1019;top:3704;height:451;width:660;" fillcolor="#FFFFFF" filled="t" stroked="f" coordsize="21600,21600" o:gfxdata="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8lI7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rPr>
                                  <w:sz w:val="18"/>
                                  <w:szCs w:val="18"/>
                                </w:rPr>
                              </w:pPr>
                              <w:r>
                                <w:rPr>
                                  <w:rFonts w:hint="eastAsia"/>
                                  <w:sz w:val="18"/>
                                  <w:szCs w:val="18"/>
                                </w:rPr>
                                <w:t>油气</w:t>
                              </w:r>
                            </w:p>
                          </w:txbxContent>
                        </v:textbox>
                      </v:rect>
                      <v:rect id="矩形 1195" o:spid="_x0000_s1026" o:spt="1" style="position:absolute;left:914;top:2489;height:1067;width:1245;" fillcolor="#FFFFFF" filled="t" stroked="t" coordsize="21600,21600" o:gfxdata="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My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ind w:left="-210" w:leftChars="-100" w:right="-210" w:rightChars="-100"/>
                                <w:jc w:val="center"/>
                                <w:rPr>
                                  <w:color w:val="auto"/>
                                </w:rPr>
                              </w:pPr>
                              <w:r>
                                <w:rPr>
                                  <w:rFonts w:hint="eastAsia"/>
                                  <w:color w:val="auto"/>
                                </w:rPr>
                                <w:t>一次油气</w:t>
                              </w:r>
                            </w:p>
                            <w:p>
                              <w:pPr>
                                <w:ind w:left="-210" w:leftChars="-100" w:right="-210" w:rightChars="-100"/>
                                <w:jc w:val="center"/>
                                <w:rPr>
                                  <w:color w:val="auto"/>
                                </w:rPr>
                              </w:pPr>
                              <w:r>
                                <w:rPr>
                                  <w:rFonts w:hint="eastAsia"/>
                                  <w:color w:val="auto"/>
                                </w:rPr>
                                <w:t>回收系统</w:t>
                              </w:r>
                            </w:p>
                          </w:txbxContent>
                        </v:textbox>
                      </v:rect>
                      <v:shape id="自选图形 1196" o:spid="_x0000_s1026" o:spt="32" type="#_x0000_t32" style="position:absolute;left:1559;top:3541;flip:y;height:884;width:2;" filled="f" stroked="t" coordsize="21600,21600" o:gfxdata="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mADO/&#10;AAAA2wAAAA8AAAAAAAAAAQAgAAAAIgAAAGRycy9kb3ducmV2LnhtbFBLAQIUABQAAAAIAIdO4kAz&#10;LwWeOwAAADkAAAAQAAAAAAAAAAEAIAAAAA4BAABkcnMvc2hhcGV4bWwueG1sUEsFBgAAAAAGAAYA&#10;WwEAALgDAAAAAA==&#10;">
                        <v:fill on="f" focussize="0,0"/>
                        <v:stroke weight="0.5pt" color="#000000" joinstyle="round" dashstyle="dash" startarrow="block"/>
                        <v:imagedata o:title=""/>
                        <o:lock v:ext="edit" aspectratio="f"/>
                      </v:shape>
                      <v:rect id="矩形 1197" o:spid="_x0000_s1026" o:spt="1" style="position:absolute;left:2654;top:4440;height:481;width:2685;" fillcolor="#FFFFFF" filled="t" stroked="t" coordsize="21600,21600" o:gfxdata="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dje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pPr>
                              <w:r>
                                <w:rPr>
                                  <w:rFonts w:hint="eastAsia"/>
                                </w:rPr>
                                <w:t>油储罐</w:t>
                              </w:r>
                            </w:p>
                          </w:txbxContent>
                        </v:textbox>
                      </v:rect>
                      <v:shape id="自选图形 1200" o:spid="_x0000_s1026" o:spt="32" type="#_x0000_t32" style="position:absolute;left:6959;top:4694;height:1;width:990;" filled="f" stroked="t" coordsize="21600,21600" o:gfxdata="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BYb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rect id="矩形 1201" o:spid="_x0000_s1026" o:spt="1" style="position:absolute;left:5969;top:4455;height:481;width:975;" fillcolor="#FFFFFF" filled="t" stroked="t" coordsize="21600,21600" o:gfxdata="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obpN7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pPr>
                                <w:jc w:val="center"/>
                              </w:pPr>
                              <w:r>
                                <w:rPr>
                                  <w:rFonts w:hint="eastAsia"/>
                                </w:rPr>
                                <w:t>加油机</w:t>
                              </w:r>
                            </w:p>
                          </w:txbxContent>
                        </v:textbox>
                      </v:rect>
                      <v:rect id="矩形 1202" o:spid="_x0000_s1026" o:spt="1" style="position:absolute;left:7949;top:4455;height:481;width:1275;" fillcolor="#FFFFFF" filled="t" stroked="t" coordsize="21600,21600" o:gfxdata="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kys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pPr>
                              <w:r>
                                <w:rPr>
                                  <w:rFonts w:hint="eastAsia"/>
                                </w:rPr>
                                <w:t>加油车辆</w:t>
                              </w:r>
                            </w:p>
                          </w:txbxContent>
                        </v:textbox>
                      </v:rect>
                      <v:shape id="自选图形 1204" o:spid="_x0000_s1026" o:spt="32" type="#_x0000_t32" style="position:absolute;left:2146;top:3330;flip:x;height:1;width:838;" filled="f" stroked="t" coordsize="21600,21600" o:gfxdata="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2XEugAAANsA&#10;AAAPAAAAAAAAAAEAIAAAACIAAABkcnMvZG93bnJldi54bWxQSwECFAAUAAAACACHTuJAMy8FnjsA&#10;AAA5AAAAEAAAAAAAAAABACAAAAAJAQAAZHJzL3NoYXBleG1sLnhtbFBLBQYAAAAABgAGAFsBAACz&#10;AwAAAAA=&#10;">
                        <v:fill on="f" focussize="0,0"/>
                        <v:stroke weight="0.5pt" color="#000000" joinstyle="round" dashstyle="dash" endarrow="block"/>
                        <v:imagedata o:title=""/>
                        <o:lock v:ext="edit" aspectratio="f"/>
                      </v:shape>
                      <v:shape id="自选图形 1205" o:spid="_x0000_s1026" o:spt="32" type="#_x0000_t32" style="position:absolute;left:2983;top:3330;flip:y;height:1095;width:1;" filled="f" stroked="t" coordsize="21600,21600" o:gfxdata="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Bjzm8AAAA&#10;2wAAAA8AAAAAAAAAAQAgAAAAIgAAAGRycy9kb3ducmV2LnhtbFBLAQIUABQAAAAIAIdO4kAzLwWe&#10;OwAAADkAAAAQAAAAAAAAAAEAIAAAAAsBAABkcnMvc2hhcGV4bWwueG1sUEsFBgAAAAAGAAYAWwEA&#10;ALUDAAAAAA==&#10;">
                        <v:fill on="f" focussize="0,0"/>
                        <v:stroke weight="0.5pt" color="#000000" joinstyle="round" dashstyle="dash"/>
                        <v:imagedata o:title=""/>
                        <o:lock v:ext="edit" aspectratio="f"/>
                      </v:shape>
                      <v:shape id="自选图形 1206" o:spid="_x0000_s1026" o:spt="32" type="#_x0000_t32" style="position:absolute;left:4738;top:2776;flip:y;height:1664;width:1;" filled="f" stroked="t" coordsize="21600,21600" o:gfxdata="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nni8AAAA&#10;2w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shape id="自选图形 1209" o:spid="_x0000_s1026" o:spt="32" type="#_x0000_t32" style="position:absolute;left:4994;top:3345;flip:y;height:1095;width:1;" filled="f" stroked="t" coordsize="21600,21600" o:gfxdata="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mqsB&#10;wAAAANsAAAAPAAAAAAAAAAEAIAAAACIAAABkcnMvZG93bnJldi54bWxQSwECFAAUAAAACACHTuJA&#10;My8FnjsAAAA5AAAAEAAAAAAAAAABACAAAAAPAQAAZHJzL3NoYXBleG1sLnhtbFBLBQYAAAAABgAG&#10;AFsBAAC5AwAAAAA=&#10;">
                        <v:fill on="f" focussize="0,0"/>
                        <v:stroke weight="0.5pt" color="#000000" joinstyle="round" dashstyle="dash" startarrow="block"/>
                        <v:imagedata o:title=""/>
                        <o:lock v:ext="edit" aspectratio="f"/>
                      </v:shape>
                      <v:shape id="自选图形 1212" o:spid="_x0000_s1026" o:spt="32" type="#_x0000_t32" style="position:absolute;left:6449;top:3571;flip:y;height:884;width:2;" filled="f" stroked="t" coordsize="21600,21600" o:gfxdata="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Bjx74A&#10;AADb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shape>
                      <v:shape id="自选图形 1216" o:spid="_x0000_s1026" o:spt="32" type="#_x0000_t32" style="position:absolute;left:3342;top:706;flip:y;height:884;width:2;" filled="f" stroked="t" coordsize="21600,21600" o:gfxdata="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zGXL4A&#10;AADb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shape>
                      <v:shape id="自选图形 1218" o:spid="_x0000_s1026" o:spt="32" type="#_x0000_t32" style="position:absolute;left:5536;top:691;flip:y;height:884;width:2;" filled="f" stroked="t" coordsize="21600,21600" o:gfxdata="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Xlgr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shape>
                      <v:shape id="自选图形 1259" o:spid="_x0000_s1026" o:spt="32" type="#_x0000_t32" style="position:absolute;left:6524;top:676;flip:y;height:884;width:2;" filled="f" stroked="t" coordsize="21600,21600" o:gfxdata="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v2w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shape>
                      <v:shape id="自选图形 1263" o:spid="_x0000_s1026" o:spt="32" type="#_x0000_t32" style="position:absolute;left:7591;top:3795;flip:y;height:884;width:2;" filled="f" stroked="t" coordsize="21600,21600" o:gfxdata="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jWnCugAAANsA&#10;AAAPAAAAAAAAAAEAIAAAACIAAABkcnMvZG93bnJldi54bWxQSwECFAAUAAAACACHTuJAMy8FnjsA&#10;AAA5AAAAEAAAAAAAAAABACAAAAAJAQAAZHJzL3NoYXBleG1sLnhtbFBLBQYAAAAABgAGAFsBAACz&#10;AwAAAAA=&#10;">
                        <v:fill on="f" focussize="0,0"/>
                        <v:stroke weight="0.5pt" color="#000000" joinstyle="round" dashstyle="dash" endarrow="block"/>
                        <v:imagedata o:title=""/>
                        <o:lock v:ext="edit" aspectratio="f"/>
                      </v:shape>
                      <v:shape id="自选图形 1264" o:spid="_x0000_s1026" o:spt="32" type="#_x0000_t32" style="position:absolute;left:6948;top:4531;flip:x;height:1;width:624;" filled="f" stroked="t" coordsize="21600,21600" o:gfxdata="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HMWb4A&#10;AADb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shape>
                      <v:shape id="自选图形 1272" o:spid="_x0000_s1026" o:spt="32" type="#_x0000_t32" style="position:absolute;left:644;top:30;height:2205;width:1;" filled="f" stroked="t" coordsize="21600,21600" o:gfxdata="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0YNA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shape>
                      <v:shape id="自选图形 1319" o:spid="_x0000_s1026" o:spt="32" type="#_x0000_t32" style="position:absolute;left:7866;top:916;height:629;width:1;" filled="f" stroked="t" coordsize="21600,21600" o:gfxdata="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0Hd5S5AAAA2wAA&#10;AA8AAAAAAAAAAQAgAAAAIgAAAGRycy9kb3ducmV2LnhtbFBLAQIUABQAAAAIAIdO4kAzLwWeOwAA&#10;ADkAAAAQAAAAAAAAAAEAIAAAAAgBAABkcnMvc2hhcGV4bWwueG1sUEsFBgAAAAAGAAYAWwEAALID&#10;AAAAAA==&#10;">
                        <v:fill on="f" focussize="0,0"/>
                        <v:stroke weight="0.5pt" color="#000000" joinstyle="round" dashstyle="dash" startarrow="block"/>
                        <v:imagedata o:title=""/>
                        <o:lock v:ext="edit" aspectratio="f"/>
                      </v:shape>
                      <v:rect id="矩形 1321" o:spid="_x0000_s1026" o:spt="1" style="position:absolute;left:719;top:616;height:450;width:1073;" filled="f" stroked="f" coordsize="21600,21600" o:gfxdata="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rCnu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sz w:val="18"/>
                                  <w:szCs w:val="18"/>
                                </w:rPr>
                              </w:pPr>
                              <w:r>
                                <w:rPr>
                                  <w:rFonts w:hint="eastAsia"/>
                                  <w:sz w:val="18"/>
                                  <w:szCs w:val="18"/>
                                </w:rPr>
                                <w:t>车辆</w:t>
                              </w:r>
                              <w:r>
                                <w:rPr>
                                  <w:sz w:val="18"/>
                                  <w:szCs w:val="18"/>
                                </w:rPr>
                                <w:t>尾气</w:t>
                              </w:r>
                            </w:p>
                          </w:txbxContent>
                        </v:textbox>
                      </v:rect>
                      <v:shape id="自选图形 1322" o:spid="_x0000_s1026" o:spt="32" type="#_x0000_t32" style="position:absolute;left:1221;top:976;height:629;width:1;" filled="f" stroked="t" coordsize="21600,21600" o:gfxdata="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ZTHi5AAAA2wAA&#10;AA8AAAAAAAAAAQAgAAAAIgAAAGRycy9kb3ducmV2LnhtbFBLAQIUABQAAAAIAIdO4kAzLwWeOwAA&#10;ADkAAAAQAAAAAAAAAAEAIAAAAAgBAABkcnMvc2hhcGV4bWwueG1sUEsFBgAAAAAGAAYAWwEAALID&#10;AAAAAA==&#10;">
                        <v:fill on="f" focussize="0,0"/>
                        <v:stroke weight="0.5pt" color="#000000" joinstyle="round" dashstyle="dash" startarrow="block"/>
                        <v:imagedata o:title=""/>
                        <o:lock v:ext="edit" aspectratio="f"/>
                      </v:shape>
                      <v:shape id="自选图形 1189" o:spid="_x0000_s1026" o:spt="32" type="#_x0000_t32" style="position:absolute;left:1561;top:4936;flip:y;height:614;width:1;" filled="f" stroked="t" coordsize="21600,21600" o:gfxdata="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mQ1K/&#10;AAAA2wAAAA8AAAAAAAAAAQAgAAAAIgAAAGRycy9kb3ducmV2LnhtbFBLAQIUABQAAAAIAIdO4kAz&#10;LwWeOwAAADkAAAAQAAAAAAAAAAEAIAAAAA4BAABkcnMvc2hhcGV4bWwueG1sUEsFBgAAAAAGAAYA&#10;WwEAALgDAAAAAA==&#10;">
                        <v:fill on="f" focussize="0,0"/>
                        <v:stroke weight="0.5pt" color="#000000" joinstyle="round" dashstyle="dash" startarrow="block"/>
                        <v:imagedata o:title=""/>
                        <o:lock v:ext="edit" aspectratio="f"/>
                      </v:shape>
                      <v:shape id="自选图形 1189" o:spid="_x0000_s1026" o:spt="32" type="#_x0000_t32" style="position:absolute;left:3344;top:4921;flip:y;height:614;width:1;" filled="f" stroked="t" coordsize="21600,21600" o:gfxdata="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6ubJ&#10;wAAAANsAAAAPAAAAAAAAAAEAIAAAACIAAABkcnMvZG93bnJldi54bWxQSwECFAAUAAAACACHTuJA&#10;My8FnjsAAAA5AAAAEAAAAAAAAAABACAAAAAPAQAAZHJzL3NoYXBleG1sLnhtbFBLBQYAAAAABgAG&#10;AFsBAAC5AwAAAAA=&#10;">
                        <v:fill on="f" focussize="0,0"/>
                        <v:stroke weight="0.5pt" color="#000000" joinstyle="round" dashstyle="dash" startarrow="block"/>
                        <v:imagedata o:title=""/>
                        <o:lock v:ext="edit" aspectratio="f"/>
                      </v:shape>
                      <v:shape id="自选图形 1189" o:spid="_x0000_s1026" o:spt="32" type="#_x0000_t32" style="position:absolute;left:6448;top:4936;flip:y;height:614;width:1;" filled="f" stroked="t" coordsize="21600,21600" o:gfxdata="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OHi+&#10;wAAAANsAAAAPAAAAAAAAAAEAIAAAACIAAABkcnMvZG93bnJldi54bWxQSwECFAAUAAAACACHTuJA&#10;My8FnjsAAAA5AAAAEAAAAAAAAAABACAAAAAPAQAAZHJzL3NoYXBleG1sLnhtbFBLBQYAAAAABgAG&#10;AFsBAAC5AwAAAAA=&#10;">
                        <v:fill on="f" focussize="0,0"/>
                        <v:stroke weight="0.5pt" color="#000000" joinstyle="round" dashstyle="dash" startarrow="block"/>
                        <v:imagedata o:title=""/>
                        <o:lock v:ext="edit" aspectratio="f"/>
                      </v:shape>
                      <v:shape id="自选图形 1189" o:spid="_x0000_s1026" o:spt="32" type="#_x0000_t32" style="position:absolute;left:8534;top:4936;flip:y;height:614;width:1;" filled="f" stroked="t" coordsize="21600,21600" o:gfxdata="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03SW/&#10;AAAA2wAAAA8AAAAAAAAAAQAgAAAAIgAAAGRycy9kb3ducmV2LnhtbFBLAQIUABQAAAAIAIdO4kAz&#10;LwWeOwAAADkAAAAQAAAAAAAAAAEAIAAAAA4BAABkcnMvc2hhcGV4bWwueG1sUEsFBgAAAAAGAAYA&#10;WwEAALgDAAAAAA==&#10;">
                        <v:fill on="f" focussize="0,0"/>
                        <v:stroke weight="0.5pt" color="#000000" joinstyle="round" dashstyle="dash" startarrow="block"/>
                        <v:imagedata o:title=""/>
                        <o:lock v:ext="edit" aspectratio="f"/>
                      </v:shape>
                      <v:shape id="自选图形 1272" o:spid="_x0000_s1026" o:spt="32" type="#_x0000_t32" style="position:absolute;left:658;top:2989;height:2205;width:1;" filled="f" stroked="t" coordsize="21600,21600" o:gfxdata="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p49G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shape>
                      <v:shape id="自选图形 1176" o:spid="_x0000_s1026" o:spt="32" type="#_x0000_t32" style="position:absolute;left:1889;top:721;flip:y;height:884;width:2;" filled="f" stroked="t" coordsize="21600,21600" o:gfxdata="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Lx+vQAA&#10;ANsAAAAPAAAAAAAAAAEAIAAAACIAAABkcnMvZG93bnJldi54bWxQSwECFAAUAAAACACHTuJAMy8F&#10;njsAAAA5AAAAEAAAAAAAAAABACAAAAAMAQAAZHJzL3NoYXBleG1sLnhtbFBLBQYAAAAABgAGAFsB&#10;AAC2AwAAAAA=&#10;">
                        <v:fill on="f" focussize="0,0"/>
                        <v:stroke weight="0.5pt" color="#000000" joinstyle="round" dashstyle="dash" endarrow="block"/>
                        <v:imagedata o:title=""/>
                        <o:lock v:ext="edit" aspectratio="f"/>
                      </v:shape>
                      <v:shape id="自选图形 1204" o:spid="_x0000_s1026" o:spt="32" type="#_x0000_t32" style="position:absolute;left:4989;top:3375;flip:x;height:1;width:838;" filled="f" stroked="t" coordsize="21600,21600" o:gfxdata="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8HMWLgAAADbAAAA&#10;DwAAAAAAAAABACAAAAAiAAAAZHJzL2Rvd25yZXYueG1sUEsBAhQAFAAAAAgAh07iQDMvBZ47AAAA&#10;OQAAABAAAAAAAAAAAQAgAAAABwEAAGRycy9zaGFwZXhtbC54bWxQSwUGAAAAAAYABgBbAQAAsQMA&#10;AAAA&#10;">
                        <v:fill on="f" focussize="0,0"/>
                        <v:stroke weight="0.5pt" color="#000000" joinstyle="round" dashstyle="dash"/>
                        <v:imagedata o:title=""/>
                        <o:lock v:ext="edit" aspectratio="f"/>
                      </v:shape>
                      <v:shape id="自选图形 1184" o:spid="_x0000_s1026" o:spt="32" type="#_x0000_t32" style="position:absolute;left:5339;top:4695;height:1;width:630;" filled="f" stroked="t" coordsize="21600,21600" o:gfxdata="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FvT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rect id="矩形 1211" o:spid="_x0000_s1026" o:spt="1" style="position:absolute;left:3119;top:2489;height:1067;width:1245;" fillcolor="#FFFFFF" filled="t" stroked="t" coordsize="21600,21600" o:gfxdata="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u676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ind w:left="-210" w:leftChars="-100" w:right="-210" w:rightChars="-100"/>
                                <w:jc w:val="center"/>
                                <w:rPr>
                                  <w:color w:val="auto"/>
                                </w:rPr>
                              </w:pPr>
                              <w:r>
                                <w:rPr>
                                  <w:rFonts w:hint="eastAsia"/>
                                  <w:color w:val="auto"/>
                                </w:rPr>
                                <w:t>二次</w:t>
                              </w:r>
                              <w:r>
                                <w:rPr>
                                  <w:color w:val="auto"/>
                                </w:rPr>
                                <w:t>油气</w:t>
                              </w:r>
                            </w:p>
                            <w:p>
                              <w:pPr>
                                <w:ind w:left="-210" w:leftChars="-100" w:right="-210" w:rightChars="-100"/>
                                <w:jc w:val="center"/>
                                <w:rPr>
                                  <w:color w:val="auto"/>
                                </w:rPr>
                              </w:pPr>
                              <w:r>
                                <w:rPr>
                                  <w:color w:val="auto"/>
                                </w:rPr>
                                <w:t>回收系统</w:t>
                              </w:r>
                            </w:p>
                          </w:txbxContent>
                        </v:textbox>
                      </v:rect>
                      <v:rect id="矩形 1211" o:spid="_x0000_s1026" o:spt="1" style="position:absolute;left:5834;top:2489;height:1067;width:1245;" fillcolor="#FFFFFF" filled="t" stroked="t" coordsize="21600,21600" o:gfxdata="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3C2G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ind w:left="-210" w:leftChars="-100" w:right="-210" w:rightChars="-100"/>
                                <w:jc w:val="center"/>
                              </w:pPr>
                              <w:r>
                                <w:rPr>
                                  <w:rFonts w:hint="eastAsia"/>
                                </w:rPr>
                                <w:t>二次</w:t>
                              </w:r>
                              <w:r>
                                <w:t>油气</w:t>
                              </w:r>
                            </w:p>
                            <w:p>
                              <w:pPr>
                                <w:ind w:left="-210" w:leftChars="-100" w:right="-210" w:rightChars="-100"/>
                                <w:jc w:val="center"/>
                              </w:pPr>
                              <w:r>
                                <w:t>回收系统</w:t>
                              </w:r>
                            </w:p>
                          </w:txbxContent>
                        </v:textbox>
                      </v:rect>
                      <v:shape id="自选图形 1212" o:spid="_x0000_s1026" o:spt="32" type="#_x0000_t32" style="position:absolute;left:3710;top:3556;flip:y;height:884;width:2;" filled="f" stroked="t" coordsize="21600,21600" o:gfxdata="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yFPb4A&#10;AADbAAAADwAAAAAAAAABACAAAAAiAAAAZHJzL2Rvd25yZXYueG1sUEsBAhQAFAAAAAgAh07iQDMv&#10;BZ47AAAAOQAAABAAAAAAAAAAAQAgAAAADQEAAGRycy9zaGFwZXhtbC54bWxQSwUGAAAAAAYABgBb&#10;AQAAtwMAAAAA&#10;">
                        <v:fill on="f" focussize="0,0"/>
                        <v:stroke weight="0.5pt" color="#000000" joinstyle="round" dashstyle="dash" endarrow="block"/>
                        <v:imagedata o:title=""/>
                        <o:lock v:ext="edit" aspectratio="f"/>
                      </v:shape>
                      <v:shape id="自选图形 1212" o:spid="_x0000_s1026" o:spt="32" type="#_x0000_t32" style="position:absolute;left:4130;top:3541;flip:y;height:884;width:2;" filled="f" stroked="t" coordsize="21600,21600" o:gfxdata="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zcBS/&#10;AAAA2wAAAA8AAAAAAAAAAQAgAAAAIgAAAGRycy9kb3ducmV2LnhtbFBLAQIUABQAAAAIAIdO4kAz&#10;LwWeOwAAADkAAAAQAAAAAAAAAAEAIAAAAA4BAABkcnMvc2hhcGV4bWwueG1sUEsFBgAAAAAGAAYA&#10;WwEAALgDAAAAAA==&#10;">
                        <v:fill on="f" focussize="0,0"/>
                        <v:stroke weight="0.5pt" color="#000000" joinstyle="round" dashstyle="dash" startarrow="block"/>
                        <v:imagedata o:title=""/>
                        <o:lock v:ext="edit" aspectratio="f"/>
                      </v:shape>
                      <w10:wrap type="none"/>
                      <w10:anchorlock/>
                    </v:group>
                  </w:pict>
                </mc:Fallback>
              </mc:AlternateContent>
            </w: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图5-4  运营期工艺流程图</w:t>
            </w:r>
          </w:p>
          <w:p>
            <w:pPr>
              <w:spacing w:line="480" w:lineRule="exact"/>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72576" behindDoc="0" locked="0" layoutInCell="1" allowOverlap="1">
                      <wp:simplePos x="0" y="0"/>
                      <wp:positionH relativeFrom="column">
                        <wp:posOffset>2451735</wp:posOffset>
                      </wp:positionH>
                      <wp:positionV relativeFrom="paragraph">
                        <wp:posOffset>42545</wp:posOffset>
                      </wp:positionV>
                      <wp:extent cx="676275" cy="209550"/>
                      <wp:effectExtent l="0" t="0" r="0" b="0"/>
                      <wp:wrapNone/>
                      <wp:docPr id="138" name="文本框 1263"/>
                      <wp:cNvGraphicFramePr/>
                      <a:graphic xmlns:a="http://schemas.openxmlformats.org/drawingml/2006/main">
                        <a:graphicData uri="http://schemas.microsoft.com/office/word/2010/wordprocessingShape">
                          <wps:wsp>
                            <wps:cNvSpPr txBox="1"/>
                            <wps:spPr>
                              <a:xfrm>
                                <a:off x="0" y="0"/>
                                <a:ext cx="676275" cy="209550"/>
                              </a:xfrm>
                              <a:prstGeom prst="rect">
                                <a:avLst/>
                              </a:prstGeom>
                              <a:noFill/>
                              <a:ln w="9525">
                                <a:noFill/>
                              </a:ln>
                            </wps:spPr>
                            <wps:txbx>
                              <w:txbxContent>
                                <w:p>
                                  <w:pPr>
                                    <w:rPr>
                                      <w:rFonts w:hint="eastAsia" w:eastAsia="宋体"/>
                                      <w:lang w:eastAsia="zh-CN"/>
                                    </w:rPr>
                                  </w:pPr>
                                  <w:r>
                                    <w:rPr>
                                      <w:rFonts w:hint="eastAsia"/>
                                      <w:lang w:eastAsia="zh-CN"/>
                                    </w:rPr>
                                    <w:t>厨房废水</w:t>
                                  </w:r>
                                </w:p>
                              </w:txbxContent>
                            </wps:txbx>
                            <wps:bodyPr wrap="square" lIns="0" tIns="0" rIns="0" bIns="0" upright="1"/>
                          </wps:wsp>
                        </a:graphicData>
                      </a:graphic>
                    </wp:anchor>
                  </w:drawing>
                </mc:Choice>
                <mc:Fallback>
                  <w:pict>
                    <v:shape id="文本框 1263" o:spid="_x0000_s1026" o:spt="202" type="#_x0000_t202" style="position:absolute;left:0pt;margin-left:193.05pt;margin-top:3.35pt;height:16.5pt;width:53.25pt;z-index:251672576;mso-width-relative:page;mso-height-relative:page;" filled="f" stroked="f" coordsize="21600,21600" o:gfxdata="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PSp19cAAAAIAQAADwAAAAAAAAABACAAAAAi&#10;AAAAZHJzL2Rvd25yZXYueG1sUEsBAhQAFAAAAAgAh07iQMP+bOnSAQAAjQMAAA4AAAAAAAAAAQAg&#10;AAAAJgEAAGRycy9lMm9Eb2MueG1sUEsFBgAAAAAGAAYAWQEAAGoFAAAAAA==&#10;">
                      <v:fill on="f" focussize="0,0"/>
                      <v:stroke on="f"/>
                      <v:imagedata o:title=""/>
                      <o:lock v:ext="edit" aspectratio="f"/>
                      <v:textbox inset="0mm,0mm,0mm,0mm">
                        <w:txbxContent>
                          <w:p>
                            <w:pPr>
                              <w:rPr>
                                <w:rFonts w:hint="eastAsia" w:eastAsia="宋体"/>
                                <w:lang w:eastAsia="zh-CN"/>
                              </w:rPr>
                            </w:pPr>
                            <w:r>
                              <w:rPr>
                                <w:rFonts w:hint="eastAsia"/>
                                <w:lang w:eastAsia="zh-CN"/>
                              </w:rPr>
                              <w:t>厨房废水</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71552" behindDoc="0" locked="0" layoutInCell="1" allowOverlap="1">
                      <wp:simplePos x="0" y="0"/>
                      <wp:positionH relativeFrom="column">
                        <wp:posOffset>2366010</wp:posOffset>
                      </wp:positionH>
                      <wp:positionV relativeFrom="paragraph">
                        <wp:posOffset>245745</wp:posOffset>
                      </wp:positionV>
                      <wp:extent cx="2009775" cy="438150"/>
                      <wp:effectExtent l="4445" t="4445" r="43180" b="14605"/>
                      <wp:wrapNone/>
                      <wp:docPr id="137" name="任意多边形 1259"/>
                      <wp:cNvGraphicFramePr/>
                      <a:graphic xmlns:a="http://schemas.openxmlformats.org/drawingml/2006/main">
                        <a:graphicData uri="http://schemas.microsoft.com/office/word/2010/wordprocessingShape">
                          <wps:wsp>
                            <wps:cNvSpPr/>
                            <wps:spPr>
                              <a:xfrm>
                                <a:off x="0" y="0"/>
                                <a:ext cx="2009775" cy="438150"/>
                              </a:xfrm>
                              <a:custGeom>
                                <a:avLst/>
                                <a:gdLst/>
                                <a:ahLst/>
                                <a:cxnLst/>
                                <a:pathLst>
                                  <a:path w="3165" h="690">
                                    <a:moveTo>
                                      <a:pt x="0" y="375"/>
                                    </a:moveTo>
                                    <a:lnTo>
                                      <a:pt x="0" y="0"/>
                                    </a:lnTo>
                                    <a:lnTo>
                                      <a:pt x="885" y="0"/>
                                    </a:lnTo>
                                    <a:lnTo>
                                      <a:pt x="3165" y="0"/>
                                    </a:lnTo>
                                    <a:lnTo>
                                      <a:pt x="3165" y="690"/>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任意多边形 1259" o:spid="_x0000_s1026" o:spt="100" style="position:absolute;left:0pt;margin-left:186.3pt;margin-top:19.35pt;height:34.5pt;width:158.25pt;z-index:251671552;mso-width-relative:page;mso-height-relative:page;" filled="f" stroked="t" coordsize="3165,690" o:gfxdata="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Ln3X1gAAAAoBAAAPAAAAAAAAAAEAIAAAACIAAABkcnMvZG93bnJldi54bWxQSwECFAAU&#10;AAAACACHTuJAdYtXIGUCAAAbBQAADgAAAAAAAAABACAAAAAlAQAAZHJzL2Uyb0RvYy54bWxQSwUG&#10;AAAAAAYABgBZAQAA/AUAAAAA&#10;" path="m0,375l0,0,885,0,3165,0,3165,690e">
                      <v:fill on="f" focussize="0,0"/>
                      <v:stroke color="#000000" joinstyle="round" endarrow="block"/>
                      <v:imagedata o:title=""/>
                      <o:lock v:ext="edit" aspectratio="f"/>
                    </v:shape>
                  </w:pict>
                </mc:Fallback>
              </mc:AlternateContent>
            </w:r>
            <w:r>
              <w:rPr>
                <w:rFonts w:hint="default" w:ascii="Times New Roman" w:hAnsi="Times New Roman" w:cs="Times New Roman"/>
                <w:color w:val="auto"/>
                <w:sz w:val="24"/>
              </w:rPr>
              <w:t>③办公生活区和加油岛</w:t>
            </w:r>
          </w:p>
          <w:p>
            <w:pPr>
              <w:spacing w:line="360" w:lineRule="auto"/>
              <w:rPr>
                <w:rFonts w:hint="default" w:ascii="Times New Roman" w:hAnsi="Times New Roman" w:cs="Times New Roman"/>
                <w:color w:val="auto"/>
              </w:rPr>
            </w:pPr>
            <w:r>
              <w:rPr>
                <w:rFonts w:hint="default" w:ascii="Times New Roman" w:hAnsi="Times New Roman" w:cs="Times New Roman"/>
                <w:color w:val="auto"/>
              </w:rPr>
              <mc:AlternateContent>
                <mc:Choice Requires="wpc">
                  <w:drawing>
                    <wp:anchor distT="0" distB="0" distL="114300" distR="114300" simplePos="0" relativeHeight="251670528" behindDoc="0" locked="0" layoutInCell="1" allowOverlap="1">
                      <wp:simplePos x="0" y="0"/>
                      <wp:positionH relativeFrom="character">
                        <wp:posOffset>104140</wp:posOffset>
                      </wp:positionH>
                      <wp:positionV relativeFrom="line">
                        <wp:posOffset>94615</wp:posOffset>
                      </wp:positionV>
                      <wp:extent cx="5536565" cy="3541395"/>
                      <wp:effectExtent l="0" t="0" r="0" b="0"/>
                      <wp:wrapNone/>
                      <wp:docPr id="136" name="画布 1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06" name="文本框 1546"/>
                              <wps:cNvSpPr txBox="1"/>
                              <wps:spPr>
                                <a:xfrm>
                                  <a:off x="3009900" y="271975"/>
                                  <a:ext cx="675005" cy="224951"/>
                                </a:xfrm>
                                <a:prstGeom prst="rect">
                                  <a:avLst/>
                                </a:prstGeom>
                                <a:noFill/>
                                <a:ln w="9525">
                                  <a:noFill/>
                                </a:ln>
                              </wps:spPr>
                              <wps:txbx>
                                <w:txbxContent>
                                  <w:p>
                                    <w:pPr>
                                      <w:rPr>
                                        <w:rFonts w:hint="eastAsia" w:eastAsia="宋体"/>
                                        <w:lang w:eastAsia="zh-CN"/>
                                      </w:rPr>
                                    </w:pPr>
                                    <w:r>
                                      <w:rPr>
                                        <w:rFonts w:hint="eastAsia"/>
                                        <w:lang w:eastAsia="zh-CN"/>
                                      </w:rPr>
                                      <w:t>洗漱废水</w:t>
                                    </w:r>
                                  </w:p>
                                </w:txbxContent>
                              </wps:txbx>
                              <wps:bodyPr vert="horz" wrap="square" lIns="0" tIns="0" rIns="0" bIns="0" anchor="t" upright="1"/>
                            </wps:wsp>
                            <wps:wsp>
                              <wps:cNvPr id="107" name="文本框 1547"/>
                              <wps:cNvSpPr txBox="1"/>
                              <wps:spPr>
                                <a:xfrm>
                                  <a:off x="2628265" y="693918"/>
                                  <a:ext cx="915035" cy="198262"/>
                                </a:xfrm>
                                <a:prstGeom prst="rect">
                                  <a:avLst/>
                                </a:prstGeom>
                                <a:noFill/>
                                <a:ln w="9525">
                                  <a:noFill/>
                                </a:ln>
                              </wps:spPr>
                              <wps:txbx>
                                <w:txbxContent>
                                  <w:p>
                                    <w:r>
                                      <w:t>水冲厕废水</w:t>
                                    </w:r>
                                  </w:p>
                                </w:txbxContent>
                              </wps:txbx>
                              <wps:bodyPr vert="horz" wrap="square" lIns="0" tIns="0" rIns="0" bIns="0" anchor="t" upright="1"/>
                            </wps:wsp>
                            <wps:wsp>
                              <wps:cNvPr id="108" name="任意多边形 1548"/>
                              <wps:cNvSpPr/>
                              <wps:spPr>
                                <a:xfrm>
                                  <a:off x="2274570" y="588432"/>
                                  <a:ext cx="2171700" cy="297393"/>
                                </a:xfrm>
                                <a:custGeom>
                                  <a:avLst/>
                                  <a:gdLst/>
                                  <a:ahLst/>
                                  <a:cxnLst/>
                                  <a:pathLst>
                                    <a:path w="1980" h="624">
                                      <a:moveTo>
                                        <a:pt x="0" y="156"/>
                                      </a:moveTo>
                                      <a:lnTo>
                                        <a:pt x="0" y="624"/>
                                      </a:lnTo>
                                      <a:lnTo>
                                        <a:pt x="1980" y="624"/>
                                      </a:lnTo>
                                      <a:lnTo>
                                        <a:pt x="1980" y="0"/>
                                      </a:lnTo>
                                    </a:path>
                                  </a:pathLst>
                                </a:custGeom>
                                <a:noFill/>
                                <a:ln w="9525" cap="flat" cmpd="sng">
                                  <a:solidFill>
                                    <a:srgbClr val="000000"/>
                                  </a:solidFill>
                                  <a:prstDash val="solid"/>
                                  <a:headEnd type="none" w="med" len="med"/>
                                  <a:tailEnd type="triangle" w="med" len="med"/>
                                </a:ln>
                              </wps:spPr>
                              <wps:bodyPr vert="horz" wrap="square" anchor="t" upright="1"/>
                            </wps:wsp>
                            <wps:wsp>
                              <wps:cNvPr id="109" name="文本框 1549"/>
                              <wps:cNvSpPr txBox="1"/>
                              <wps:spPr>
                                <a:xfrm>
                                  <a:off x="4000500" y="297393"/>
                                  <a:ext cx="685800" cy="297393"/>
                                </a:xfrm>
                                <a:prstGeom prst="rect">
                                  <a:avLst/>
                                </a:prstGeom>
                                <a:solidFill>
                                  <a:srgbClr val="FFFFFF"/>
                                </a:solidFill>
                                <a:ln w="9525" cap="flat" cmpd="sng">
                                  <a:solidFill>
                                    <a:srgbClr val="000000"/>
                                  </a:solidFill>
                                  <a:prstDash val="solid"/>
                                  <a:miter/>
                                  <a:headEnd type="none" w="med" len="med"/>
                                  <a:tailEnd type="none" w="med" len="med"/>
                                </a:ln>
                              </wps:spPr>
                              <wps:txbx>
                                <w:txbxContent>
                                  <w:p>
                                    <w:r>
                                      <w:t>化粪池</w:t>
                                    </w:r>
                                  </w:p>
                                </w:txbxContent>
                              </wps:txbx>
                              <wps:bodyPr vert="horz" wrap="square" anchor="t" upright="1"/>
                            </wps:wsp>
                            <wps:wsp>
                              <wps:cNvPr id="110" name="直线 1550"/>
                              <wps:cNvCnPr/>
                              <wps:spPr>
                                <a:xfrm flipH="1">
                                  <a:off x="1257300" y="495655"/>
                                  <a:ext cx="800100" cy="635"/>
                                </a:xfrm>
                                <a:prstGeom prst="line">
                                  <a:avLst/>
                                </a:prstGeom>
                                <a:ln w="9525" cap="flat" cmpd="sng">
                                  <a:solidFill>
                                    <a:srgbClr val="000000"/>
                                  </a:solidFill>
                                  <a:prstDash val="solid"/>
                                  <a:headEnd type="none" w="med" len="med"/>
                                  <a:tailEnd type="triangle" w="med" len="med"/>
                                </a:ln>
                              </wps:spPr>
                              <wps:bodyPr upright="1"/>
                            </wps:wsp>
                            <wps:wsp>
                              <wps:cNvPr id="111" name="文本框 1551"/>
                              <wps:cNvSpPr txBox="1"/>
                              <wps:spPr>
                                <a:xfrm>
                                  <a:off x="1371600" y="297393"/>
                                  <a:ext cx="572135" cy="198262"/>
                                </a:xfrm>
                                <a:prstGeom prst="rect">
                                  <a:avLst/>
                                </a:prstGeom>
                                <a:noFill/>
                                <a:ln w="9525">
                                  <a:noFill/>
                                </a:ln>
                              </wps:spPr>
                              <wps:txbx>
                                <w:txbxContent>
                                  <w:p>
                                    <w:r>
                                      <w:t>厨房废</w:t>
                                    </w:r>
                                    <w:r>
                                      <w:rPr>
                                        <w:rFonts w:hint="eastAsia"/>
                                      </w:rPr>
                                      <w:t>气</w:t>
                                    </w:r>
                                  </w:p>
                                </w:txbxContent>
                              </wps:txbx>
                              <wps:bodyPr vert="horz" wrap="square" lIns="0" tIns="0" rIns="0" bIns="0" anchor="t" upright="1"/>
                            </wps:wsp>
                            <wps:wsp>
                              <wps:cNvPr id="112" name="文本框 1552"/>
                              <wps:cNvSpPr txBox="1"/>
                              <wps:spPr>
                                <a:xfrm>
                                  <a:off x="571500" y="297393"/>
                                  <a:ext cx="685800" cy="4956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油烟</w:t>
                                    </w:r>
                                    <w:r>
                                      <w:rPr>
                                        <w:rFonts w:hint="eastAsia"/>
                                        <w:lang w:eastAsia="zh-CN"/>
                                      </w:rPr>
                                      <w:t>抽排装置</w:t>
                                    </w:r>
                                  </w:p>
                                </w:txbxContent>
                              </wps:txbx>
                              <wps:bodyPr vert="horz" wrap="square" anchor="t" upright="1"/>
                            </wps:wsp>
                            <wps:wsp>
                              <wps:cNvPr id="113" name="任意多边形 1553"/>
                              <wps:cNvSpPr/>
                              <wps:spPr>
                                <a:xfrm>
                                  <a:off x="228600" y="297393"/>
                                  <a:ext cx="342900" cy="297393"/>
                                </a:xfrm>
                                <a:custGeom>
                                  <a:avLst/>
                                  <a:gdLst/>
                                  <a:ahLst/>
                                  <a:cxnLst/>
                                  <a:pathLst>
                                    <a:path w="540" h="468">
                                      <a:moveTo>
                                        <a:pt x="540" y="468"/>
                                      </a:moveTo>
                                      <a:lnTo>
                                        <a:pt x="0" y="468"/>
                                      </a:lnTo>
                                      <a:lnTo>
                                        <a:pt x="0" y="0"/>
                                      </a:lnTo>
                                    </a:path>
                                  </a:pathLst>
                                </a:custGeom>
                                <a:noFill/>
                                <a:ln w="9525" cap="flat" cmpd="sng">
                                  <a:solidFill>
                                    <a:srgbClr val="000000"/>
                                  </a:solidFill>
                                  <a:prstDash val="solid"/>
                                  <a:headEnd type="none" w="med" len="med"/>
                                  <a:tailEnd type="triangle" w="med" len="med"/>
                                </a:ln>
                              </wps:spPr>
                              <wps:bodyPr vert="horz" wrap="square" anchor="t" upright="1"/>
                            </wps:wsp>
                            <wps:wsp>
                              <wps:cNvPr id="114" name="文本框 1554"/>
                              <wps:cNvSpPr txBox="1"/>
                              <wps:spPr>
                                <a:xfrm>
                                  <a:off x="163195" y="0"/>
                                  <a:ext cx="572135" cy="198262"/>
                                </a:xfrm>
                                <a:prstGeom prst="rect">
                                  <a:avLst/>
                                </a:prstGeom>
                                <a:noFill/>
                                <a:ln w="9525">
                                  <a:noFill/>
                                </a:ln>
                              </wps:spPr>
                              <wps:txbx>
                                <w:txbxContent>
                                  <w:p>
                                    <w:r>
                                      <w:rPr>
                                        <w:rFonts w:hint="eastAsia"/>
                                      </w:rPr>
                                      <w:t>屋顶</w:t>
                                    </w:r>
                                    <w:r>
                                      <w:t>外排</w:t>
                                    </w:r>
                                  </w:p>
                                </w:txbxContent>
                              </wps:txbx>
                              <wps:bodyPr vert="horz" wrap="square" lIns="0" tIns="0" rIns="0" bIns="0" anchor="t" upright="1"/>
                            </wps:wsp>
                            <wps:wsp>
                              <wps:cNvPr id="115" name="直线 1555"/>
                              <wps:cNvCnPr/>
                              <wps:spPr>
                                <a:xfrm>
                                  <a:off x="4686300" y="396524"/>
                                  <a:ext cx="342900" cy="0"/>
                                </a:xfrm>
                                <a:prstGeom prst="line">
                                  <a:avLst/>
                                </a:prstGeom>
                                <a:ln w="9525" cap="flat" cmpd="sng">
                                  <a:solidFill>
                                    <a:srgbClr val="000000"/>
                                  </a:solidFill>
                                  <a:prstDash val="solid"/>
                                  <a:headEnd type="none" w="med" len="med"/>
                                  <a:tailEnd type="triangle" w="med" len="med"/>
                                </a:ln>
                              </wps:spPr>
                              <wps:bodyPr upright="1"/>
                            </wps:wsp>
                            <wps:wsp>
                              <wps:cNvPr id="116" name="文本框 1556"/>
                              <wps:cNvSpPr txBox="1"/>
                              <wps:spPr>
                                <a:xfrm>
                                  <a:off x="5078730" y="99131"/>
                                  <a:ext cx="393065" cy="1183219"/>
                                </a:xfrm>
                                <a:prstGeom prst="rect">
                                  <a:avLst/>
                                </a:prstGeom>
                                <a:noFill/>
                                <a:ln w="9525">
                                  <a:noFill/>
                                </a:ln>
                              </wps:spPr>
                              <wps:txbx>
                                <w:txbxContent>
                                  <w:p>
                                    <w:r>
                                      <w:rPr>
                                        <w:rFonts w:hint="eastAsia"/>
                                      </w:rPr>
                                      <w:t>提供给</w:t>
                                    </w:r>
                                    <w:r>
                                      <w:t>周边的农户用作农肥</w:t>
                                    </w:r>
                                  </w:p>
                                </w:txbxContent>
                              </wps:txbx>
                              <wps:bodyPr vert="horz" wrap="square" lIns="0" tIns="0" rIns="0" bIns="0" anchor="t" upright="1"/>
                            </wps:wsp>
                            <wps:wsp>
                              <wps:cNvPr id="117" name="矩形 1557"/>
                              <wps:cNvSpPr/>
                              <wps:spPr>
                                <a:xfrm>
                                  <a:off x="1143000" y="1973090"/>
                                  <a:ext cx="800100" cy="297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加油岛</w:t>
                                    </w:r>
                                  </w:p>
                                </w:txbxContent>
                              </wps:txbx>
                              <wps:bodyPr vert="horz" wrap="square" anchor="t" upright="1"/>
                            </wps:wsp>
                            <wps:wsp>
                              <wps:cNvPr id="118" name="直线 1558"/>
                              <wps:cNvCnPr/>
                              <wps:spPr>
                                <a:xfrm>
                                  <a:off x="2171700" y="594787"/>
                                  <a:ext cx="635" cy="594787"/>
                                </a:xfrm>
                                <a:prstGeom prst="line">
                                  <a:avLst/>
                                </a:prstGeom>
                                <a:ln w="9525" cap="flat" cmpd="sng">
                                  <a:solidFill>
                                    <a:srgbClr val="000000"/>
                                  </a:solidFill>
                                  <a:prstDash val="solid"/>
                                  <a:headEnd type="none" w="med" len="med"/>
                                  <a:tailEnd type="triangle" w="med" len="med"/>
                                </a:ln>
                              </wps:spPr>
                              <wps:bodyPr upright="1"/>
                            </wps:wsp>
                            <wps:wsp>
                              <wps:cNvPr id="119" name="文本框 1559"/>
                              <wps:cNvSpPr txBox="1"/>
                              <wps:spPr>
                                <a:xfrm>
                                  <a:off x="1943100" y="1189573"/>
                                  <a:ext cx="685800" cy="297393"/>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垃圾桶</w:t>
                                    </w:r>
                                  </w:p>
                                </w:txbxContent>
                              </wps:txbx>
                              <wps:bodyPr vert="horz" wrap="square" anchor="t" upright="1"/>
                            </wps:wsp>
                            <wps:wsp>
                              <wps:cNvPr id="120" name="文本框 1560"/>
                              <wps:cNvSpPr txBox="1"/>
                              <wps:spPr>
                                <a:xfrm>
                                  <a:off x="1600200" y="793049"/>
                                  <a:ext cx="572135" cy="198262"/>
                                </a:xfrm>
                                <a:prstGeom prst="rect">
                                  <a:avLst/>
                                </a:prstGeom>
                                <a:noFill/>
                                <a:ln w="9525">
                                  <a:noFill/>
                                </a:ln>
                              </wps:spPr>
                              <wps:txbx>
                                <w:txbxContent>
                                  <w:p>
                                    <w:r>
                                      <w:rPr>
                                        <w:rFonts w:hint="eastAsia"/>
                                      </w:rPr>
                                      <w:t>生活垃圾</w:t>
                                    </w:r>
                                  </w:p>
                                </w:txbxContent>
                              </wps:txbx>
                              <wps:bodyPr vert="horz" wrap="square" lIns="0" tIns="0" rIns="0" bIns="0" anchor="t" upright="1"/>
                            </wps:wsp>
                            <wps:wsp>
                              <wps:cNvPr id="121" name="直线 1561"/>
                              <wps:cNvCnPr/>
                              <wps:spPr>
                                <a:xfrm>
                                  <a:off x="2628900" y="1288704"/>
                                  <a:ext cx="457200" cy="635"/>
                                </a:xfrm>
                                <a:prstGeom prst="line">
                                  <a:avLst/>
                                </a:prstGeom>
                                <a:ln w="9525" cap="flat" cmpd="sng">
                                  <a:solidFill>
                                    <a:srgbClr val="000000"/>
                                  </a:solidFill>
                                  <a:prstDash val="solid"/>
                                  <a:headEnd type="none" w="med" len="med"/>
                                  <a:tailEnd type="triangle" w="med" len="med"/>
                                </a:ln>
                              </wps:spPr>
                              <wps:bodyPr upright="1"/>
                            </wps:wsp>
                            <wps:wsp>
                              <wps:cNvPr id="122" name="文本框 1562"/>
                              <wps:cNvSpPr txBox="1"/>
                              <wps:spPr>
                                <a:xfrm>
                                  <a:off x="3086100" y="1090442"/>
                                  <a:ext cx="685800" cy="594787"/>
                                </a:xfrm>
                                <a:prstGeom prst="rect">
                                  <a:avLst/>
                                </a:prstGeom>
                                <a:noFill/>
                                <a:ln w="9525">
                                  <a:noFill/>
                                </a:ln>
                              </wps:spPr>
                              <wps:txbx>
                                <w:txbxContent>
                                  <w:p>
                                    <w:pPr>
                                      <w:rPr>
                                        <w:rFonts w:hint="eastAsia" w:eastAsia="宋体"/>
                                        <w:color w:val="FF0000"/>
                                        <w:lang w:eastAsia="zh-CN"/>
                                      </w:rPr>
                                    </w:pPr>
                                    <w:r>
                                      <w:rPr>
                                        <w:rFonts w:hint="eastAsia"/>
                                        <w:color w:val="FF0000"/>
                                        <w:lang w:eastAsia="zh-CN"/>
                                      </w:rPr>
                                      <w:t>蚌峨垃圾处置点处理</w:t>
                                    </w:r>
                                  </w:p>
                                </w:txbxContent>
                              </wps:txbx>
                              <wps:bodyPr vert="horz" wrap="square" lIns="0" tIns="0" rIns="0" bIns="0" anchor="t" upright="1"/>
                            </wps:wsp>
                            <wps:wsp>
                              <wps:cNvPr id="123" name="直线 1563"/>
                              <wps:cNvCnPr/>
                              <wps:spPr>
                                <a:xfrm>
                                  <a:off x="1943100" y="2180884"/>
                                  <a:ext cx="1028700" cy="635"/>
                                </a:xfrm>
                                <a:prstGeom prst="line">
                                  <a:avLst/>
                                </a:prstGeom>
                                <a:ln w="9525" cap="flat" cmpd="sng">
                                  <a:solidFill>
                                    <a:srgbClr val="000000"/>
                                  </a:solidFill>
                                  <a:prstDash val="solid"/>
                                  <a:headEnd type="none" w="med" len="med"/>
                                  <a:tailEnd type="triangle" w="med" len="med"/>
                                </a:ln>
                              </wps:spPr>
                              <wps:bodyPr upright="1"/>
                            </wps:wsp>
                            <wps:wsp>
                              <wps:cNvPr id="124" name="文本框 1564"/>
                              <wps:cNvSpPr txBox="1"/>
                              <wps:spPr>
                                <a:xfrm>
                                  <a:off x="2056130" y="1965465"/>
                                  <a:ext cx="572135" cy="198262"/>
                                </a:xfrm>
                                <a:prstGeom prst="rect">
                                  <a:avLst/>
                                </a:prstGeom>
                                <a:noFill/>
                                <a:ln w="9525">
                                  <a:noFill/>
                                </a:ln>
                              </wps:spPr>
                              <wps:txbx>
                                <w:txbxContent>
                                  <w:p>
                                    <w:r>
                                      <w:rPr>
                                        <w:rFonts w:hint="eastAsia"/>
                                      </w:rPr>
                                      <w:t>场区雨水</w:t>
                                    </w:r>
                                  </w:p>
                                </w:txbxContent>
                              </wps:txbx>
                              <wps:bodyPr vert="horz" wrap="square" lIns="0" tIns="0" rIns="0" bIns="0" anchor="t" upright="1"/>
                            </wps:wsp>
                            <wps:wsp>
                              <wps:cNvPr id="125" name="矩形 1565"/>
                              <wps:cNvSpPr/>
                              <wps:spPr>
                                <a:xfrm>
                                  <a:off x="2971800" y="2081753"/>
                                  <a:ext cx="1028700" cy="2973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水封井</w:t>
                                    </w:r>
                                  </w:p>
                                </w:txbxContent>
                              </wps:txbx>
                              <wps:bodyPr vert="horz" wrap="square" anchor="t" upright="1"/>
                            </wps:wsp>
                            <wps:wsp>
                              <wps:cNvPr id="126" name="直线 1566"/>
                              <wps:cNvCnPr/>
                              <wps:spPr>
                                <a:xfrm>
                                  <a:off x="4000500" y="2180884"/>
                                  <a:ext cx="800100" cy="0"/>
                                </a:xfrm>
                                <a:prstGeom prst="line">
                                  <a:avLst/>
                                </a:prstGeom>
                                <a:ln w="9525" cap="flat" cmpd="sng">
                                  <a:solidFill>
                                    <a:srgbClr val="000000"/>
                                  </a:solidFill>
                                  <a:prstDash val="solid"/>
                                  <a:headEnd type="none" w="med" len="med"/>
                                  <a:tailEnd type="triangle" w="med" len="med"/>
                                </a:ln>
                              </wps:spPr>
                              <wps:bodyPr upright="1"/>
                            </wps:wsp>
                            <wps:wsp>
                              <wps:cNvPr id="127" name="文本框 1567"/>
                              <wps:cNvSpPr txBox="1"/>
                              <wps:spPr>
                                <a:xfrm>
                                  <a:off x="4800600" y="1883491"/>
                                  <a:ext cx="685800" cy="594787"/>
                                </a:xfrm>
                                <a:prstGeom prst="rect">
                                  <a:avLst/>
                                </a:prstGeom>
                                <a:noFill/>
                                <a:ln w="9525">
                                  <a:noFill/>
                                </a:ln>
                              </wps:spPr>
                              <wps:txbx>
                                <w:txbxContent>
                                  <w:p>
                                    <w:r>
                                      <w:rPr>
                                        <w:rFonts w:hint="eastAsia"/>
                                      </w:rPr>
                                      <w:t>排至场区外围的雨水沟</w:t>
                                    </w:r>
                                  </w:p>
                                </w:txbxContent>
                              </wps:txbx>
                              <wps:bodyPr vert="horz" wrap="square" lIns="0" tIns="0" rIns="0" bIns="0" anchor="t" upright="1"/>
                            </wps:wsp>
                            <wps:wsp>
                              <wps:cNvPr id="128" name="直线 1568"/>
                              <wps:cNvCnPr/>
                              <wps:spPr>
                                <a:xfrm>
                                  <a:off x="2617470" y="489301"/>
                                  <a:ext cx="1371600" cy="0"/>
                                </a:xfrm>
                                <a:prstGeom prst="line">
                                  <a:avLst/>
                                </a:prstGeom>
                                <a:ln w="9525" cap="flat" cmpd="sng">
                                  <a:solidFill>
                                    <a:srgbClr val="000000"/>
                                  </a:solidFill>
                                  <a:prstDash val="solid"/>
                                  <a:headEnd type="none" w="med" len="med"/>
                                  <a:tailEnd type="triangle" w="med" len="med"/>
                                </a:ln>
                              </wps:spPr>
                              <wps:bodyPr upright="1"/>
                            </wps:wsp>
                            <wps:wsp>
                              <wps:cNvPr id="129" name="矩形 1569"/>
                              <wps:cNvSpPr/>
                              <wps:spPr>
                                <a:xfrm>
                                  <a:off x="1931670" y="92777"/>
                                  <a:ext cx="696595" cy="501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办公生活区</w:t>
                                    </w:r>
                                  </w:p>
                                </w:txbxContent>
                              </wps:txbx>
                              <wps:bodyPr vert="horz" wrap="square" anchor="t" upright="1"/>
                            </wps:wsp>
                            <wps:wsp>
                              <wps:cNvPr id="130" name="直线 1570"/>
                              <wps:cNvCnPr/>
                              <wps:spPr>
                                <a:xfrm>
                                  <a:off x="3313430" y="2361989"/>
                                  <a:ext cx="635" cy="495655"/>
                                </a:xfrm>
                                <a:prstGeom prst="line">
                                  <a:avLst/>
                                </a:prstGeom>
                                <a:ln w="9525" cap="flat" cmpd="sng">
                                  <a:solidFill>
                                    <a:srgbClr val="000000"/>
                                  </a:solidFill>
                                  <a:prstDash val="solid"/>
                                  <a:headEnd type="none" w="med" len="med"/>
                                  <a:tailEnd type="triangle" w="med" len="med"/>
                                </a:ln>
                              </wps:spPr>
                              <wps:bodyPr upright="1"/>
                            </wps:wsp>
                            <wps:wsp>
                              <wps:cNvPr id="131" name="文本框 1571"/>
                              <wps:cNvSpPr txBox="1"/>
                              <wps:spPr>
                                <a:xfrm>
                                  <a:off x="3313430" y="2461120"/>
                                  <a:ext cx="572135" cy="198262"/>
                                </a:xfrm>
                                <a:prstGeom prst="rect">
                                  <a:avLst/>
                                </a:prstGeom>
                                <a:noFill/>
                                <a:ln w="9525">
                                  <a:noFill/>
                                </a:ln>
                              </wps:spPr>
                              <wps:txbx>
                                <w:txbxContent>
                                  <w:p>
                                    <w:r>
                                      <w:rPr>
                                        <w:rFonts w:hint="eastAsia"/>
                                      </w:rPr>
                                      <w:t>油污</w:t>
                                    </w:r>
                                  </w:p>
                                </w:txbxContent>
                              </wps:txbx>
                              <wps:bodyPr vert="horz" wrap="square" lIns="0" tIns="0" rIns="0" bIns="0" anchor="t" upright="1"/>
                            </wps:wsp>
                            <wps:wsp>
                              <wps:cNvPr id="132" name="文本框 1572"/>
                              <wps:cNvSpPr txBox="1"/>
                              <wps:spPr>
                                <a:xfrm>
                                  <a:off x="2970530" y="2857645"/>
                                  <a:ext cx="1600200" cy="366023"/>
                                </a:xfrm>
                                <a:prstGeom prst="rect">
                                  <a:avLst/>
                                </a:prstGeom>
                                <a:noFill/>
                                <a:ln w="9525">
                                  <a:noFill/>
                                </a:ln>
                              </wps:spPr>
                              <wps:txbx>
                                <w:txbxContent>
                                  <w:p>
                                    <w:pPr>
                                      <w:rPr>
                                        <w:color w:val="auto"/>
                                      </w:rPr>
                                    </w:pPr>
                                    <w:r>
                                      <w:rPr>
                                        <w:rFonts w:hint="eastAsia"/>
                                        <w:color w:val="auto"/>
                                      </w:rPr>
                                      <w:t>委托有资质的单位处理</w:t>
                                    </w:r>
                                    <w:r>
                                      <w:rPr>
                                        <w:rFonts w:hint="eastAsia"/>
                                        <w:color w:val="auto"/>
                                        <w:lang w:eastAsia="zh-CN"/>
                                      </w:rPr>
                                      <w:t>，不在场区存储</w:t>
                                    </w:r>
                                  </w:p>
                                </w:txbxContent>
                              </wps:txbx>
                              <wps:bodyPr vert="horz" wrap="square" lIns="0" tIns="0" rIns="0" bIns="0" anchor="t" upright="1"/>
                            </wps:wsp>
                            <wps:wsp>
                              <wps:cNvPr id="133" name="文本框 1573"/>
                              <wps:cNvSpPr txBox="1"/>
                              <wps:spPr>
                                <a:xfrm>
                                  <a:off x="1433830" y="2295266"/>
                                  <a:ext cx="571500" cy="761276"/>
                                </a:xfrm>
                                <a:prstGeom prst="rect">
                                  <a:avLst/>
                                </a:prstGeom>
                                <a:noFill/>
                                <a:ln w="9525">
                                  <a:noFill/>
                                </a:ln>
                              </wps:spPr>
                              <wps:txbx>
                                <w:txbxContent>
                                  <w:p>
                                    <w:pPr>
                                      <w:rPr>
                                        <w:rFonts w:hint="eastAsia" w:eastAsia="宋体"/>
                                        <w:lang w:eastAsia="zh-CN"/>
                                      </w:rPr>
                                    </w:pPr>
                                    <w:r>
                                      <w:rPr>
                                        <w:rFonts w:hint="eastAsia"/>
                                        <w:lang w:eastAsia="zh-CN"/>
                                      </w:rPr>
                                      <w:t>干洗，含油消防沙</w:t>
                                    </w:r>
                                  </w:p>
                                </w:txbxContent>
                              </wps:txbx>
                              <wps:bodyPr vert="horz" wrap="square" lIns="0" tIns="0" rIns="0" bIns="0" anchor="t" upright="1"/>
                            </wps:wsp>
                            <wps:wsp>
                              <wps:cNvPr id="134" name="直线 1574"/>
                              <wps:cNvCnPr/>
                              <wps:spPr>
                                <a:xfrm flipH="1">
                                  <a:off x="1405255" y="2278109"/>
                                  <a:ext cx="8255" cy="495020"/>
                                </a:xfrm>
                                <a:prstGeom prst="line">
                                  <a:avLst/>
                                </a:prstGeom>
                                <a:ln w="9525" cap="flat" cmpd="sng">
                                  <a:solidFill>
                                    <a:srgbClr val="000000"/>
                                  </a:solidFill>
                                  <a:prstDash val="solid"/>
                                  <a:headEnd type="none" w="med" len="med"/>
                                  <a:tailEnd type="triangle" w="med" len="med"/>
                                </a:ln>
                              </wps:spPr>
                              <wps:bodyPr upright="1"/>
                            </wps:wsp>
                            <wps:wsp>
                              <wps:cNvPr id="135" name="文本框 1575"/>
                              <wps:cNvSpPr txBox="1"/>
                              <wps:spPr>
                                <a:xfrm>
                                  <a:off x="1099185" y="2773129"/>
                                  <a:ext cx="767080" cy="251005"/>
                                </a:xfrm>
                                <a:prstGeom prst="rect">
                                  <a:avLst/>
                                </a:prstGeom>
                                <a:noFill/>
                                <a:ln w="9525">
                                  <a:noFill/>
                                </a:ln>
                              </wps:spPr>
                              <wps:txbx>
                                <w:txbxContent>
                                  <w:p>
                                    <w:pPr>
                                      <w:rPr>
                                        <w:rFonts w:hint="eastAsia" w:eastAsia="宋体"/>
                                        <w:color w:val="FF0000"/>
                                        <w:lang w:eastAsia="zh-CN"/>
                                      </w:rPr>
                                    </w:pPr>
                                    <w:r>
                                      <w:rPr>
                                        <w:rFonts w:hint="eastAsia"/>
                                        <w:color w:val="FF0000"/>
                                        <w:lang w:eastAsia="zh-CN"/>
                                      </w:rPr>
                                      <w:t>危废收集桶</w:t>
                                    </w:r>
                                  </w:p>
                                </w:txbxContent>
                              </wps:txbx>
                              <wps:bodyPr vert="horz" wrap="square" lIns="0" tIns="0" rIns="0" bIns="0" anchor="t" upright="1"/>
                            </wps:wsp>
                          </wpc:wpc>
                        </a:graphicData>
                      </a:graphic>
                    </wp:anchor>
                  </w:drawing>
                </mc:Choice>
                <mc:Fallback>
                  <w:pict>
                    <v:group id="画布 1183" o:spid="_x0000_s1026" o:spt="203" style="position:absolute;left:0pt;margin-left:8.2pt;margin-top:7.45pt;height:278.85pt;width:435.95pt;mso-position-horizontal-relative:char;mso-position-vertical-relative:line;z-index:251670528;mso-width-relative:page;mso-height-relative:page;" coordsize="5536565,3541395" editas="canvas" o:gfxdata="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LNWD&#10;YtoAAAAJAQAADwAAAAAAAAABACAAAAAiAAAAZHJzL2Rvd25yZXYueG1sUEsBAhQAFAAAAAgAh07i&#10;QP6Kr/ZcCAAA10IAAA4AAAAAAAAAAQAgAAAAKQEAAGRycy9lMm9Eb2MueG1sUEsFBgAAAAAGAAYA&#10;WQEAAPcLAAAAAA==&#10;">
                      <o:lock v:ext="edit" aspectratio="f"/>
                      <v:shape id="画布 1183" o:spid="_x0000_s1026" style="position:absolute;left:0;top:0;height:3541395;width:5536565;" filled="f" stroked="f" coordsize="21600,21600" o:gfxdata="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">
                        <v:fill on="f" focussize="0,0"/>
                        <v:stroke on="f"/>
                        <v:imagedata o:title=""/>
                        <o:lock v:ext="edit" aspectratio="t"/>
                      </v:shape>
                      <v:shape id="文本框 1546" o:spid="_x0000_s1026" o:spt="202" type="#_x0000_t202" style="position:absolute;left:3009900;top:271975;height:224951;width:675005;"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EwAD2QAAAAkBAAAPAAAAAAAAAAEAIAAAACIAAABkcnMvZG93bnJldi54bWxQSwECFAAUAAAACACH&#10;TuJAwAMNHuoBAACvAwAADgAAAAAAAAABACAAAAAoAQAAZHJzL2Uyb0RvYy54bWxQSwUGAAAAAAYA&#10;BgBZAQAAhAUAAAAA&#10;">
                        <v:fill on="f" focussize="0,0"/>
                        <v:stroke on="f"/>
                        <v:imagedata o:title=""/>
                        <o:lock v:ext="edit" aspectratio="f"/>
                        <v:textbox inset="0mm,0mm,0mm,0mm">
                          <w:txbxContent>
                            <w:p>
                              <w:pPr>
                                <w:rPr>
                                  <w:rFonts w:hint="eastAsia" w:eastAsia="宋体"/>
                                  <w:lang w:eastAsia="zh-CN"/>
                                </w:rPr>
                              </w:pPr>
                              <w:r>
                                <w:rPr>
                                  <w:rFonts w:hint="eastAsia"/>
                                  <w:lang w:eastAsia="zh-CN"/>
                                </w:rPr>
                                <w:t>洗漱废水</w:t>
                              </w:r>
                            </w:p>
                          </w:txbxContent>
                        </v:textbox>
                      </v:shape>
                      <v:shape id="文本框 1547" o:spid="_x0000_s1026" o:spt="202" type="#_x0000_t202" style="position:absolute;left:2628265;top:693918;height:198262;width:915035;"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8T&#10;AAPZAAAACQEAAA8AAAAAAAAAAQAgAAAAIgAAAGRycy9kb3ducmV2LnhtbFBLAQIUABQAAAAIAIdO&#10;4kBTegH56QEAAK8DAAAOAAAAAAAAAAEAIAAAACgBAABkcnMvZTJvRG9jLnhtbFBLBQYAAAAABgAG&#10;AFkBAACDBQAAAAA=&#10;">
                        <v:fill on="f" focussize="0,0"/>
                        <v:stroke on="f"/>
                        <v:imagedata o:title=""/>
                        <o:lock v:ext="edit" aspectratio="f"/>
                        <v:textbox inset="0mm,0mm,0mm,0mm">
                          <w:txbxContent>
                            <w:p>
                              <w:r>
                                <w:t>水冲厕废水</w:t>
                              </w:r>
                            </w:p>
                          </w:txbxContent>
                        </v:textbox>
                      </v:shape>
                      <v:shape id="任意多边形 1548" o:spid="_x0000_s1026" o:spt="100" style="position:absolute;left:2274570;top:588432;height:297393;width:2171700;" filled="f" stroked="t" coordsize="1980,624" o:gfxdata="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&#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Ra6cb2AAAAAkBAAAPAAAAAAAAAAEAIAAAACIAAABk&#10;cnMvZG93bnJldi54bWxQSwECFAAUAAAACACHTuJAm6J0f3gCAAAZBQAADgAAAAAAAAABACAAAAAn&#10;AQAAZHJzL2Uyb0RvYy54bWxQSwUGAAAAAAYABgBZAQAAEQYAAAAA&#10;" path="m0,156l0,624,1980,624,1980,0e">
                        <v:fill on="f" focussize="0,0"/>
                        <v:stroke color="#000000" joinstyle="round" endarrow="block"/>
                        <v:imagedata o:title=""/>
                        <o:lock v:ext="edit" aspectratio="f"/>
                      </v:shape>
                      <v:shape id="文本框 1549" o:spid="_x0000_s1026" o:spt="202" type="#_x0000_t202" style="position:absolute;left:4000500;top:297393;height:297393;width:685800;" fillcolor="#FFFFFF" filled="t" stroked="t" coordsize="21600,21600" o:gfxdata="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WX1x52AAAAAkBAAAPAAAAAAAAAAEAIAAAACIAAABkcnMvZG93bnJldi54bWxQSwEC&#10;FAAUAAAACACHTuJAwuZwey0CAABqBAAADgAAAAAAAAABACAAAAAnAQAAZHJzL2Uyb0RvYy54bWxQ&#10;SwUGAAAAAAYABgBZAQAAxgUAAAAA&#10;">
                        <v:fill on="t" focussize="0,0"/>
                        <v:stroke color="#000000" joinstyle="miter"/>
                        <v:imagedata o:title=""/>
                        <o:lock v:ext="edit" aspectratio="f"/>
                        <v:textbox>
                          <w:txbxContent>
                            <w:p>
                              <w:r>
                                <w:t>化粪池</w:t>
                              </w:r>
                            </w:p>
                          </w:txbxContent>
                        </v:textbox>
                      </v:shape>
                      <v:line id="直线 1550" o:spid="_x0000_s1026" o:spt="20" style="position:absolute;left:1257300;top:495655;flip:x;height:635;width:800100;" filled="f" stroked="t" coordsize="21600,21600" o:gfxdata="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Iz2vaAAAACQEAAA8AAAAAAAAAAQAgAAAAIgAA&#10;AGRycy9kb3ducmV2LnhtbFBLAQIUABQAAAAIAIdO4kA74DNjBgIAAPoDAAAOAAAAAAAAAAEAIAAA&#10;ACkBAABkcnMvZTJvRG9jLnhtbFBLBQYAAAAABgAGAFkBAAChBQAAAAA=&#10;">
                        <v:fill on="f" focussize="0,0"/>
                        <v:stroke color="#000000" joinstyle="round" endarrow="block"/>
                        <v:imagedata o:title=""/>
                        <o:lock v:ext="edit" aspectratio="f"/>
                      </v:line>
                      <v:shape id="文本框 1551" o:spid="_x0000_s1026" o:spt="202" type="#_x0000_t202" style="position:absolute;left:1371600;top:297393;height:198262;width:572135;"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8T&#10;AAPZAAAACQEAAA8AAAAAAAAAAQAgAAAAIgAAAGRycy9kb3ducmV2LnhtbFBLAQIUABQAAAAIAIdO&#10;4kD9IW816QEAAK8DAAAOAAAAAAAAAAEAIAAAACgBAABkcnMvZTJvRG9jLnhtbFBLBQYAAAAABgAG&#10;AFkBAACDBQAAAAA=&#10;">
                        <v:fill on="f" focussize="0,0"/>
                        <v:stroke on="f"/>
                        <v:imagedata o:title=""/>
                        <o:lock v:ext="edit" aspectratio="f"/>
                        <v:textbox inset="0mm,0mm,0mm,0mm">
                          <w:txbxContent>
                            <w:p>
                              <w:r>
                                <w:t>厨房废</w:t>
                              </w:r>
                              <w:r>
                                <w:rPr>
                                  <w:rFonts w:hint="eastAsia"/>
                                </w:rPr>
                                <w:t>气</w:t>
                              </w:r>
                            </w:p>
                          </w:txbxContent>
                        </v:textbox>
                      </v:shape>
                      <v:shape id="文本框 1552" o:spid="_x0000_s1026" o:spt="202" type="#_x0000_t202" style="position:absolute;left:571500;top:297393;height:495655;width:685800;" fillcolor="#FFFFFF" filled="t" stroked="t" coordsize="21600,21600" o:gfxdata="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ZfXHnYAAAACQEAAA8AAAAAAAAAAQAgAAAAIgAAAGRycy9kb3ducmV2LnhtbFBL&#10;AQIUABQAAAAIAIdO4kCf8LyILwIAAGkEAAAOAAAAAAAAAAEAIAAAACcBAABkcnMvZTJvRG9jLnht&#10;bFBLBQYAAAAABgAGAFkBAADIBQAAAAA=&#10;">
                        <v:fill on="t" focussize="0,0"/>
                        <v:stroke color="#000000" joinstyle="miter"/>
                        <v:imagedata o:title=""/>
                        <o:lock v:ext="edit" aspectratio="f"/>
                        <v:textbox>
                          <w:txbxContent>
                            <w:p>
                              <w:r>
                                <w:rPr>
                                  <w:rFonts w:hint="eastAsia"/>
                                </w:rPr>
                                <w:t>油烟</w:t>
                              </w:r>
                              <w:r>
                                <w:rPr>
                                  <w:rFonts w:hint="eastAsia"/>
                                  <w:lang w:eastAsia="zh-CN"/>
                                </w:rPr>
                                <w:t>抽排装置</w:t>
                              </w:r>
                            </w:p>
                          </w:txbxContent>
                        </v:textbox>
                      </v:shape>
                      <v:shape id="任意多边形 1553" o:spid="_x0000_s1026" o:spt="100" style="position:absolute;left:228600;top:297393;height:297393;width:342900;" filled="f" stroked="t" coordsize="540,468" o:gfxdata="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qDqc9kAAAAJAQAADwAAAAAAAAABACAAAAAiAAAAZHJzL2Rvd25yZXYueG1s&#10;UEsBAhQAFAAAAAgAh07iQE97mqFpAgAA7AQAAA4AAAAAAAAAAQAgAAAAKAEAAGRycy9lMm9Eb2Mu&#10;eG1sUEsFBgAAAAAGAAYAWQEAAAMGAAAAAA==&#10;" path="m540,468l0,468,0,0e">
                        <v:fill on="f" focussize="0,0"/>
                        <v:stroke color="#000000" joinstyle="round" endarrow="block"/>
                        <v:imagedata o:title=""/>
                        <o:lock v:ext="edit" aspectratio="f"/>
                      </v:shape>
                      <v:shape id="文本框 1554" o:spid="_x0000_s1026" o:spt="202" type="#_x0000_t202" style="position:absolute;left:163195;top:0;height:198262;width:572135;"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8TAAPZAAAA&#10;CQEAAA8AAAAAAAAAAQAgAAAAIgAAAGRycy9kb3ducmV2LnhtbFBLAQIUABQAAAAIAIdO4kDg6pTo&#10;4wEAAKkDAAAOAAAAAAAAAAEAIAAAACgBAABkcnMvZTJvRG9jLnhtbFBLBQYAAAAABgAGAFkBAAB9&#10;BQAAAAA=&#10;">
                        <v:fill on="f" focussize="0,0"/>
                        <v:stroke on="f"/>
                        <v:imagedata o:title=""/>
                        <o:lock v:ext="edit" aspectratio="f"/>
                        <v:textbox inset="0mm,0mm,0mm,0mm">
                          <w:txbxContent>
                            <w:p>
                              <w:r>
                                <w:rPr>
                                  <w:rFonts w:hint="eastAsia"/>
                                </w:rPr>
                                <w:t>屋顶</w:t>
                              </w:r>
                              <w:r>
                                <w:t>外排</w:t>
                              </w:r>
                            </w:p>
                          </w:txbxContent>
                        </v:textbox>
                      </v:shape>
                      <v:line id="直线 1555" o:spid="_x0000_s1026" o:spt="20" style="position:absolute;left:4686300;top:396524;height:0;width:342900;" filled="f" stroked="t" coordsize="21600,21600" o:gfxdata="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gqpmDaAAAACQEAAA8AAAAAAAAAAQAgAAAAIgAAAGRycy9k&#10;b3ducmV2LnhtbFBLAQIUABQAAAAIAIdO4kD1WVL2AAIAAO4DAAAOAAAAAAAAAAEAIAAAACkBAABk&#10;cnMvZTJvRG9jLnhtbFBLBQYAAAAABgAGAFkBAACbBQAAAAA=&#10;">
                        <v:fill on="f" focussize="0,0"/>
                        <v:stroke color="#000000" joinstyle="round" endarrow="block"/>
                        <v:imagedata o:title=""/>
                        <o:lock v:ext="edit" aspectratio="f"/>
                      </v:line>
                      <v:shape id="文本框 1556" o:spid="_x0000_s1026" o:spt="202" type="#_x0000_t202" style="position:absolute;left:5078730;top:99131;height:1183219;width:393065;"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EwAD2QAAAAkBAAAPAAAAAAAAAAEAIAAAACIAAABkcnMvZG93bnJldi54bWxQSwECFAAUAAAACACH&#10;TuJAmbCwreoBAACvAwAADgAAAAAAAAABACAAAAAoAQAAZHJzL2Uyb0RvYy54bWxQSwUGAAAAAAYA&#10;BgBZAQAAhAUAAAAA&#10;">
                        <v:fill on="f" focussize="0,0"/>
                        <v:stroke on="f"/>
                        <v:imagedata o:title=""/>
                        <o:lock v:ext="edit" aspectratio="f"/>
                        <v:textbox inset="0mm,0mm,0mm,0mm">
                          <w:txbxContent>
                            <w:p>
                              <w:r>
                                <w:rPr>
                                  <w:rFonts w:hint="eastAsia"/>
                                </w:rPr>
                                <w:t>提供给</w:t>
                              </w:r>
                              <w:r>
                                <w:t>周边的农户用作农肥</w:t>
                              </w:r>
                            </w:p>
                          </w:txbxContent>
                        </v:textbox>
                      </v:shape>
                      <v:rect id="矩形 1557" o:spid="_x0000_s1026" o:spt="1" style="position:absolute;left:1143000;top:1973090;height:297393;width:800100;" fillcolor="#FFFFFF" filled="t" stroked="t" coordsize="21600,21600" o:gfxdata="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43FMt2AAAAAkBAAAPAAAAAAAAAAEAIAAAACIAAABkcnMvZG93bnJldi54bWxQSwECFAAUAAAA&#10;CACHTuJAiUQicCcCAABeBAAADgAAAAAAAAABACAAAAAnAQAAZHJzL2Uyb0RvYy54bWxQSwUGAAAA&#10;AAYABgBZAQAAwAUAAAAA&#10;">
                        <v:fill on="t" focussize="0,0"/>
                        <v:stroke color="#000000" joinstyle="miter"/>
                        <v:imagedata o:title=""/>
                        <o:lock v:ext="edit" aspectratio="f"/>
                        <v:textbox>
                          <w:txbxContent>
                            <w:p>
                              <w:pPr>
                                <w:rPr>
                                  <w:rFonts w:hint="eastAsia"/>
                                  <w:b/>
                                </w:rPr>
                              </w:pPr>
                              <w:r>
                                <w:rPr>
                                  <w:rFonts w:hint="eastAsia"/>
                                  <w:b/>
                                </w:rPr>
                                <w:t>加油岛</w:t>
                              </w:r>
                            </w:p>
                          </w:txbxContent>
                        </v:textbox>
                      </v:rect>
                      <v:line id="直线 1558" o:spid="_x0000_s1026" o:spt="20" style="position:absolute;left:2171700;top:594787;height:594787;width:635;" filled="f" stroked="t" coordsize="21600,21600" o:gfxdata="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qpmDaAAAACQEAAA8AAAAAAAAAAQAgAAAAIgAAAGRycy9kb3du&#10;cmV2LnhtbFBLAQIUABQAAAAIAIdO4kCWvhd8/QEAAPADAAAOAAAAAAAAAAEAIAAAACkBAABkcnMv&#10;ZTJvRG9jLnhtbFBLBQYAAAAABgAGAFkBAACYBQAAAAA=&#10;">
                        <v:fill on="f" focussize="0,0"/>
                        <v:stroke color="#000000" joinstyle="round" endarrow="block"/>
                        <v:imagedata o:title=""/>
                        <o:lock v:ext="edit" aspectratio="f"/>
                      </v:line>
                      <v:shape id="文本框 1559" o:spid="_x0000_s1026" o:spt="202" type="#_x0000_t202" style="position:absolute;left:1943100;top:1189573;height:297393;width:685800;" fillcolor="#FFFFFF" filled="t" stroked="t" coordsize="21600,21600" o:gfxdata="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X1x52AAAAAkBAAAPAAAAAAAAAAEAIAAAACIAAABkcnMvZG93bnJldi54bWxQ&#10;SwECFAAUAAAACACHTuJANofdXDACAABrBAAADgAAAAAAAAABACAAAAAnAQAAZHJzL2Uyb0RvYy54&#10;bWxQSwUGAAAAAAYABgBZAQAAyQUAAAAA&#10;">
                        <v:fill on="t" focussize="0,0"/>
                        <v:stroke color="#000000" joinstyle="miter"/>
                        <v:imagedata o:title=""/>
                        <o:lock v:ext="edit" aspectratio="f"/>
                        <v:textbox>
                          <w:txbxContent>
                            <w:p>
                              <w:r>
                                <w:rPr>
                                  <w:rFonts w:hint="eastAsia"/>
                                </w:rPr>
                                <w:t>垃圾桶</w:t>
                              </w:r>
                            </w:p>
                          </w:txbxContent>
                        </v:textbox>
                      </v:shape>
                      <v:shape id="文本框 1560" o:spid="_x0000_s1026" o:spt="202" type="#_x0000_t202" style="position:absolute;left:1600200;top:793049;height:198262;width:572135;"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8T&#10;AAPZAAAACQEAAA8AAAAAAAAAAQAgAAAAIgAAAGRycy9kb3ducmV2LnhtbFBLAQIUABQAAAAIAIdO&#10;4kAPF43m6QEAAK8DAAAOAAAAAAAAAAEAIAAAACgBAABkcnMvZTJvRG9jLnhtbFBLBQYAAAAABgAG&#10;AFkBAACDBQAAAAA=&#10;">
                        <v:fill on="f" focussize="0,0"/>
                        <v:stroke on="f"/>
                        <v:imagedata o:title=""/>
                        <o:lock v:ext="edit" aspectratio="f"/>
                        <v:textbox inset="0mm,0mm,0mm,0mm">
                          <w:txbxContent>
                            <w:p>
                              <w:r>
                                <w:rPr>
                                  <w:rFonts w:hint="eastAsia"/>
                                </w:rPr>
                                <w:t>生活垃圾</w:t>
                              </w:r>
                            </w:p>
                          </w:txbxContent>
                        </v:textbox>
                      </v:shape>
                      <v:line id="直线 1561" o:spid="_x0000_s1026" o:spt="20" style="position:absolute;left:2628900;top:1288704;height:635;width:457200;" filled="f" stroked="t" coordsize="21600,21600" o:gfxdata="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gqpmDaAAAACQEAAA8AAAAAAAAAAQAgAAAAIgAAAGRycy9k&#10;b3ducmV2LnhtbFBLAQIUABQAAAAIAIdO4kCh/oAfAAIAAPEDAAAOAAAAAAAAAAEAIAAAACkBAABk&#10;cnMvZTJvRG9jLnhtbFBLBQYAAAAABgAGAFkBAACbBQAAAAA=&#10;">
                        <v:fill on="f" focussize="0,0"/>
                        <v:stroke color="#000000" joinstyle="round" endarrow="block"/>
                        <v:imagedata o:title=""/>
                        <o:lock v:ext="edit" aspectratio="f"/>
                      </v:line>
                      <v:shape id="文本框 1562" o:spid="_x0000_s1026" o:spt="202" type="#_x0000_t202" style="position:absolute;left:3086100;top:1090442;height:594787;width:685800;"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EwAD2QAAAAkBAAAPAAAAAAAAAAEAIAAAACIAAABkcnMvZG93bnJldi54bWxQSwECFAAUAAAACACH&#10;TuJANjtBL+oBAACwAwAADgAAAAAAAAABACAAAAAoAQAAZHJzL2Uyb0RvYy54bWxQSwUGAAAAAAYA&#10;BgBZAQAAhAUAAAAA&#10;">
                        <v:fill on="f" focussize="0,0"/>
                        <v:stroke on="f"/>
                        <v:imagedata o:title=""/>
                        <o:lock v:ext="edit" aspectratio="f"/>
                        <v:textbox inset="0mm,0mm,0mm,0mm">
                          <w:txbxContent>
                            <w:p>
                              <w:pPr>
                                <w:rPr>
                                  <w:rFonts w:hint="eastAsia" w:eastAsia="宋体"/>
                                  <w:color w:val="FF0000"/>
                                  <w:lang w:eastAsia="zh-CN"/>
                                </w:rPr>
                              </w:pPr>
                              <w:r>
                                <w:rPr>
                                  <w:rFonts w:hint="eastAsia"/>
                                  <w:color w:val="FF0000"/>
                                  <w:lang w:eastAsia="zh-CN"/>
                                </w:rPr>
                                <w:t>蚌峨垃圾处置点处理</w:t>
                              </w:r>
                            </w:p>
                          </w:txbxContent>
                        </v:textbox>
                      </v:shape>
                      <v:line id="直线 1563" o:spid="_x0000_s1026" o:spt="20" style="position:absolute;left:1943100;top:2180884;height:635;width:1028700;" filled="f" stroked="t" coordsize="21600,21600" o:gfxdata="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gqpmDaAAAACQEAAA8AAAAAAAAAAQAgAAAAIgAAAGRycy9k&#10;b3ducmV2LnhtbFBLAQIUABQAAAAIAIdO4kAcRFuAAAIAAPIDAAAOAAAAAAAAAAEAIAAAACkBAABk&#10;cnMvZTJvRG9jLnhtbFBLBQYAAAAABgAGAFkBAACbBQAAAAA=&#10;">
                        <v:fill on="f" focussize="0,0"/>
                        <v:stroke color="#000000" joinstyle="round" endarrow="block"/>
                        <v:imagedata o:title=""/>
                        <o:lock v:ext="edit" aspectratio="f"/>
                      </v:line>
                      <v:shape id="文本框 1564" o:spid="_x0000_s1026" o:spt="202" type="#_x0000_t202" style="position:absolute;left:2056130;top:1965465;height:198262;width:572135;"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8T&#10;AAPZAAAACQEAAA8AAAAAAAAAAQAgAAAAIgAAAGRycy9kb3ducmV2LnhtbFBLAQIUABQAAAAIAIdO&#10;4kBDRoJp6QEAALADAAAOAAAAAAAAAAEAIAAAACgBAABkcnMvZTJvRG9jLnhtbFBLBQYAAAAABgAG&#10;AFkBAACDBQAAAAA=&#10;">
                        <v:fill on="f" focussize="0,0"/>
                        <v:stroke on="f"/>
                        <v:imagedata o:title=""/>
                        <o:lock v:ext="edit" aspectratio="f"/>
                        <v:textbox inset="0mm,0mm,0mm,0mm">
                          <w:txbxContent>
                            <w:p>
                              <w:r>
                                <w:rPr>
                                  <w:rFonts w:hint="eastAsia"/>
                                </w:rPr>
                                <w:t>场区雨水</w:t>
                              </w:r>
                            </w:p>
                          </w:txbxContent>
                        </v:textbox>
                      </v:shape>
                      <v:rect id="矩形 1565" o:spid="_x0000_s1026" o:spt="1" style="position:absolute;left:2971800;top:2081753;height:297393;width:1028700;" fillcolor="#FFFFFF" filled="t" stroked="t" coordsize="21600,21600" o:gfxdata="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NxTLdgAAAAJAQAADwAAAAAAAAABACAAAAAiAAAAZHJzL2Rvd25yZXYueG1sUEsBAhQAFAAA&#10;AAgAh07iQLTZc3YoAgAAXwQAAA4AAAAAAAAAAQAgAAAAJwEAAGRycy9lMm9Eb2MueG1sUEsFBgAA&#10;AAAGAAYAWQEAAMEFAAAAAA==&#10;">
                        <v:fill on="t" focussize="0,0"/>
                        <v:stroke color="#000000" joinstyle="miter"/>
                        <v:imagedata o:title=""/>
                        <o:lock v:ext="edit" aspectratio="f"/>
                        <v:textbox>
                          <w:txbxContent>
                            <w:p>
                              <w:pPr>
                                <w:rPr>
                                  <w:rFonts w:hint="eastAsia"/>
                                  <w:b/>
                                </w:rPr>
                              </w:pPr>
                              <w:r>
                                <w:rPr>
                                  <w:rFonts w:hint="eastAsia"/>
                                  <w:b/>
                                </w:rPr>
                                <w:t>水封井</w:t>
                              </w:r>
                            </w:p>
                          </w:txbxContent>
                        </v:textbox>
                      </v:rect>
                      <v:line id="直线 1566" o:spid="_x0000_s1026" o:spt="20" style="position:absolute;left:4000500;top:2180884;height:0;width:800100;" filled="f" stroked="t" coordsize="21600,21600" o:gfxdata="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gqpmDaAAAACQEAAA8AAAAAAAAAAQAgAAAAIgAAAGRycy9k&#10;b3ducmV2LnhtbFBLAQIUABQAAAAIAIdO4kB+wt0KAAIAAO8DAAAOAAAAAAAAAAEAIAAAACkBAABk&#10;cnMvZTJvRG9jLnhtbFBLBQYAAAAABgAGAFkBAACbBQAAAAA=&#10;">
                        <v:fill on="f" focussize="0,0"/>
                        <v:stroke color="#000000" joinstyle="round" endarrow="block"/>
                        <v:imagedata o:title=""/>
                        <o:lock v:ext="edit" aspectratio="f"/>
                      </v:line>
                      <v:shape id="文本框 1567" o:spid="_x0000_s1026" o:spt="202" type="#_x0000_t202" style="position:absolute;left:4800600;top:1883491;height:594787;width:685800;"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xMAA9kAAAAJAQAADwAAAAAAAAABACAAAAAiAAAAZHJzL2Rvd25yZXYueG1sUEsBAhQAFAAAAAgA&#10;h07iQMl/xnnrAQAAsAMAAA4AAAAAAAAAAQAgAAAAKAEAAGRycy9lMm9Eb2MueG1sUEsFBgAAAAAG&#10;AAYAWQEAAIUFAAAAAA==&#10;">
                        <v:fill on="f" focussize="0,0"/>
                        <v:stroke on="f"/>
                        <v:imagedata o:title=""/>
                        <o:lock v:ext="edit" aspectratio="f"/>
                        <v:textbox inset="0mm,0mm,0mm,0mm">
                          <w:txbxContent>
                            <w:p>
                              <w:r>
                                <w:rPr>
                                  <w:rFonts w:hint="eastAsia"/>
                                </w:rPr>
                                <w:t>排至场区外围的雨水沟</w:t>
                              </w:r>
                            </w:p>
                          </w:txbxContent>
                        </v:textbox>
                      </v:shape>
                      <v:line id="直线 1568" o:spid="_x0000_s1026" o:spt="20" style="position:absolute;left:2617470;top:489301;height:0;width:1371600;" filled="f" stroked="t" coordsize="21600,21600" o:gfxdata="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4KqZg2gAAAAkBAAAPAAAAAAAAAAEAIAAAACIAAABkcnMv&#10;ZG93bnJldi54bWxQSwECFAAUAAAACACHTuJALYfhxAECAADvAwAADgAAAAAAAAABACAAAAApAQAA&#10;ZHJzL2Uyb0RvYy54bWxQSwUGAAAAAAYABgBZAQAAnAUAAAAA&#10;">
                        <v:fill on="f" focussize="0,0"/>
                        <v:stroke color="#000000" joinstyle="round" endarrow="block"/>
                        <v:imagedata o:title=""/>
                        <o:lock v:ext="edit" aspectratio="f"/>
                      </v:line>
                      <v:rect id="矩形 1569" o:spid="_x0000_s1026" o:spt="1" style="position:absolute;left:1931670;top:92777;height:501375;width:696595;" fillcolor="#FFFFFF" filled="t" stroked="t" coordsize="21600,21600" o:gfxdata="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43FMt2AAAAAkBAAAPAAAAAAAAAAEAIAAAACIAAABkcnMvZG93bnJldi54bWxQSwECFAAUAAAA&#10;CACHTuJAs6HEjycCAABcBAAADgAAAAAAAAABACAAAAAnAQAAZHJzL2Uyb0RvYy54bWxQSwUGAAAA&#10;AAYABgBZAQAAwAUAAAAA&#10;">
                        <v:fill on="t" focussize="0,0"/>
                        <v:stroke color="#000000" joinstyle="miter"/>
                        <v:imagedata o:title=""/>
                        <o:lock v:ext="edit" aspectratio="f"/>
                        <v:textbox>
                          <w:txbxContent>
                            <w:p>
                              <w:pPr>
                                <w:rPr>
                                  <w:rFonts w:hint="eastAsia"/>
                                  <w:b/>
                                </w:rPr>
                              </w:pPr>
                              <w:r>
                                <w:rPr>
                                  <w:rFonts w:hint="eastAsia"/>
                                  <w:b/>
                                </w:rPr>
                                <w:t>办公生活区</w:t>
                              </w:r>
                            </w:p>
                          </w:txbxContent>
                        </v:textbox>
                      </v:rect>
                      <v:line id="直线 1570" o:spid="_x0000_s1026" o:spt="20" style="position:absolute;left:3313430;top:2361989;height:495655;width:635;" filled="f" stroked="t" coordsize="21600,21600" o:gfxdata="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CqmYNoAAAAJAQAADwAAAAAAAAABACAAAAAiAAAAZHJzL2Rv&#10;d25yZXYueG1sUEsBAhQAFAAAAAgAh07iQPZWoqb/AQAA8QMAAA4AAAAAAAAAAQAgAAAAKQEAAGRy&#10;cy9lMm9Eb2MueG1sUEsFBgAAAAAGAAYAWQEAAJoFAAAAAA==&#10;">
                        <v:fill on="f" focussize="0,0"/>
                        <v:stroke color="#000000" joinstyle="round" endarrow="block"/>
                        <v:imagedata o:title=""/>
                        <o:lock v:ext="edit" aspectratio="f"/>
                      </v:line>
                      <v:shape id="文本框 1571" o:spid="_x0000_s1026" o:spt="202" type="#_x0000_t202" style="position:absolute;left:3313430;top:2461120;height:198262;width:572135;"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xMAA9kAAAAJAQAADwAAAAAAAAABACAAAAAiAAAAZHJzL2Rvd25yZXYueG1sUEsBAhQAFAAAAAgA&#10;h07iQAapn3zrAQAAsAMAAA4AAAAAAAAAAQAgAAAAKAEAAGRycy9lMm9Eb2MueG1sUEsFBgAAAAAG&#10;AAYAWQEAAIUFAAAAAA==&#10;">
                        <v:fill on="f" focussize="0,0"/>
                        <v:stroke on="f"/>
                        <v:imagedata o:title=""/>
                        <o:lock v:ext="edit" aspectratio="f"/>
                        <v:textbox inset="0mm,0mm,0mm,0mm">
                          <w:txbxContent>
                            <w:p>
                              <w:r>
                                <w:rPr>
                                  <w:rFonts w:hint="eastAsia"/>
                                </w:rPr>
                                <w:t>油污</w:t>
                              </w:r>
                            </w:p>
                          </w:txbxContent>
                        </v:textbox>
                      </v:shape>
                      <v:shape id="文本框 1572" o:spid="_x0000_s1026" o:spt="202" type="#_x0000_t202" style="position:absolute;left:2970530;top:2857645;height:366023;width:1600200;"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xMAA9kAAAAJAQAADwAAAAAAAAABACAAAAAiAAAAZHJzL2Rvd25yZXYueG1sUEsBAhQAFAAAAAgA&#10;h07iQPbPop/rAQAAsQMAAA4AAAAAAAAAAQAgAAAAKAEAAGRycy9lMm9Eb2MueG1sUEsFBgAAAAAG&#10;AAYAWQEAAIUFAAAAAA==&#10;">
                        <v:fill on="f" focussize="0,0"/>
                        <v:stroke on="f"/>
                        <v:imagedata o:title=""/>
                        <o:lock v:ext="edit" aspectratio="f"/>
                        <v:textbox inset="0mm,0mm,0mm,0mm">
                          <w:txbxContent>
                            <w:p>
                              <w:pPr>
                                <w:rPr>
                                  <w:color w:val="auto"/>
                                </w:rPr>
                              </w:pPr>
                              <w:r>
                                <w:rPr>
                                  <w:rFonts w:hint="eastAsia"/>
                                  <w:color w:val="auto"/>
                                </w:rPr>
                                <w:t>委托有资质的单位处理</w:t>
                              </w:r>
                              <w:r>
                                <w:rPr>
                                  <w:rFonts w:hint="eastAsia"/>
                                  <w:color w:val="auto"/>
                                  <w:lang w:eastAsia="zh-CN"/>
                                </w:rPr>
                                <w:t>，不在场区存储</w:t>
                              </w:r>
                            </w:p>
                          </w:txbxContent>
                        </v:textbox>
                      </v:shape>
                      <v:shape id="文本框 1573" o:spid="_x0000_s1026" o:spt="202" type="#_x0000_t202" style="position:absolute;left:1433830;top:2295266;height:761276;width:571500;"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8T&#10;AAPZAAAACQEAAA8AAAAAAAAAAQAgAAAAIgAAAGRycy9kb3ducmV2LnhtbFBLAQIUABQAAAAIAIdO&#10;4kC2r++16QEAALADAAAOAAAAAAAAAAEAIAAAACgBAABkcnMvZTJvRG9jLnhtbFBLBQYAAAAABgAG&#10;AFkBAACDBQAAAAA=&#10;">
                        <v:fill on="f" focussize="0,0"/>
                        <v:stroke on="f"/>
                        <v:imagedata o:title=""/>
                        <o:lock v:ext="edit" aspectratio="f"/>
                        <v:textbox inset="0mm,0mm,0mm,0mm">
                          <w:txbxContent>
                            <w:p>
                              <w:pPr>
                                <w:rPr>
                                  <w:rFonts w:hint="eastAsia" w:eastAsia="宋体"/>
                                  <w:lang w:eastAsia="zh-CN"/>
                                </w:rPr>
                              </w:pPr>
                              <w:r>
                                <w:rPr>
                                  <w:rFonts w:hint="eastAsia"/>
                                  <w:lang w:eastAsia="zh-CN"/>
                                </w:rPr>
                                <w:t>干洗，含油消防沙</w:t>
                              </w:r>
                            </w:p>
                          </w:txbxContent>
                        </v:textbox>
                      </v:shape>
                      <v:line id="直线 1574" o:spid="_x0000_s1026" o:spt="20" style="position:absolute;left:1405255;top:2278109;flip:x;height:495020;width:8255;" filled="f" stroked="t" coordsize="21600,21600" o:gfxdata="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CM9r2gAAAAkBAAAPAAAAAAAAAAEAIAAA&#10;ACIAAABkcnMvZG93bnJldi54bWxQSwECFAAUAAAACACHTuJA4KDPCgoCAAD8AwAADgAAAAAAAAAB&#10;ACAAAAApAQAAZHJzL2Uyb0RvYy54bWxQSwUGAAAAAAYABgBZAQAApQUAAAAA&#10;">
                        <v:fill on="f" focussize="0,0"/>
                        <v:stroke color="#000000" joinstyle="round" endarrow="block"/>
                        <v:imagedata o:title=""/>
                        <o:lock v:ext="edit" aspectratio="f"/>
                      </v:line>
                      <v:shape id="文本框 1575" o:spid="_x0000_s1026" o:spt="202" type="#_x0000_t202" style="position:absolute;left:1099185;top:2773129;height:251005;width:767080;" filled="f" stroked="f" coordsize="21600,21600" o:gfxdata="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EwAD2QAAAAkBAAAPAAAAAAAAAAEAIAAAACIAAABkcnMvZG93bnJldi54bWxQSwECFAAUAAAACACH&#10;TuJAKL4dgOoBAACwAwAADgAAAAAAAAABACAAAAAoAQAAZHJzL2Uyb0RvYy54bWxQSwUGAAAAAAYA&#10;BgBZAQAAhAUAAAAA&#10;">
                        <v:fill on="f" focussize="0,0"/>
                        <v:stroke on="f"/>
                        <v:imagedata o:title=""/>
                        <o:lock v:ext="edit" aspectratio="f"/>
                        <v:textbox inset="0mm,0mm,0mm,0mm">
                          <w:txbxContent>
                            <w:p>
                              <w:pPr>
                                <w:rPr>
                                  <w:rFonts w:hint="eastAsia" w:eastAsia="宋体"/>
                                  <w:color w:val="FF0000"/>
                                  <w:lang w:eastAsia="zh-CN"/>
                                </w:rPr>
                              </w:pPr>
                              <w:r>
                                <w:rPr>
                                  <w:rFonts w:hint="eastAsia"/>
                                  <w:color w:val="FF0000"/>
                                  <w:lang w:eastAsia="zh-CN"/>
                                </w:rPr>
                                <w:t>危废收集桶</w:t>
                              </w:r>
                            </w:p>
                          </w:txbxContent>
                        </v:textbox>
                      </v:shape>
                    </v:group>
                  </w:pict>
                </mc:Fallback>
              </mc:AlternateContent>
            </w: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jc w:val="both"/>
              <w:rPr>
                <w:rFonts w:hint="default" w:ascii="Times New Roman" w:hAnsi="Times New Roman" w:cs="Times New Roman"/>
                <w:b/>
                <w:bCs/>
                <w:color w:val="auto"/>
                <w:sz w:val="24"/>
              </w:rPr>
            </w:pPr>
          </w:p>
          <w:p>
            <w:pPr>
              <w:spacing w:line="360" w:lineRule="auto"/>
              <w:jc w:val="center"/>
              <w:rPr>
                <w:rFonts w:hint="default" w:ascii="Times New Roman" w:hAnsi="Times New Roman" w:cs="Times New Roman"/>
                <w:b/>
                <w:bCs/>
                <w:color w:val="auto"/>
                <w:sz w:val="24"/>
              </w:rPr>
            </w:pPr>
          </w:p>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图5-5   站房和加油岛产污节点图</w:t>
            </w:r>
          </w:p>
          <w:p>
            <w:pPr>
              <w:spacing w:line="360" w:lineRule="auto"/>
              <w:rPr>
                <w:rFonts w:hint="default" w:ascii="Times New Roman" w:hAnsi="Times New Roman" w:cs="Times New Roman"/>
                <w:b/>
                <w:snapToGrid w:val="0"/>
                <w:color w:val="auto"/>
                <w:kern w:val="0"/>
                <w:sz w:val="28"/>
              </w:rPr>
            </w:pPr>
            <w:r>
              <w:rPr>
                <w:rFonts w:hint="default" w:ascii="Times New Roman" w:hAnsi="Times New Roman" w:cs="Times New Roman"/>
                <w:b/>
                <w:snapToGrid w:val="0"/>
                <w:color w:val="auto"/>
                <w:kern w:val="0"/>
                <w:sz w:val="28"/>
              </w:rPr>
              <w:t>主要污染工序</w:t>
            </w:r>
          </w:p>
          <w:p>
            <w:pPr>
              <w:spacing w:line="360" w:lineRule="auto"/>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一、施工期污染工序</w:t>
            </w:r>
          </w:p>
          <w:p>
            <w:pPr>
              <w:spacing w:line="360" w:lineRule="auto"/>
              <w:ind w:firstLine="480" w:firstLineChars="200"/>
              <w:rPr>
                <w:rFonts w:hint="default" w:ascii="Times New Roman" w:hAnsi="Times New Roman" w:eastAsia="宋体" w:cs="Times New Roman"/>
                <w:b w:val="0"/>
                <w:bCs/>
                <w:snapToGrid w:val="0"/>
                <w:color w:val="auto"/>
                <w:kern w:val="0"/>
                <w:sz w:val="24"/>
                <w:lang w:eastAsia="zh-CN"/>
              </w:rPr>
            </w:pPr>
            <w:r>
              <w:rPr>
                <w:rFonts w:hint="default" w:ascii="Times New Roman" w:hAnsi="Times New Roman" w:cs="Times New Roman"/>
                <w:b w:val="0"/>
                <w:bCs/>
                <w:snapToGrid w:val="0"/>
                <w:color w:val="auto"/>
                <w:kern w:val="0"/>
                <w:sz w:val="24"/>
                <w:lang w:eastAsia="zh-CN"/>
              </w:rPr>
              <w:t>本项目为</w:t>
            </w:r>
            <w:r>
              <w:rPr>
                <w:rFonts w:hint="eastAsia" w:ascii="Times New Roman" w:hAnsi="Times New Roman" w:cs="Times New Roman"/>
                <w:b w:val="0"/>
                <w:bCs/>
                <w:snapToGrid w:val="0"/>
                <w:color w:val="auto"/>
                <w:kern w:val="0"/>
                <w:sz w:val="24"/>
                <w:lang w:eastAsia="zh-CN"/>
              </w:rPr>
              <w:t>改建</w:t>
            </w:r>
            <w:r>
              <w:rPr>
                <w:rFonts w:hint="default" w:ascii="Times New Roman" w:hAnsi="Times New Roman" w:cs="Times New Roman"/>
                <w:b w:val="0"/>
                <w:bCs/>
                <w:snapToGrid w:val="0"/>
                <w:color w:val="auto"/>
                <w:kern w:val="0"/>
                <w:sz w:val="24"/>
                <w:lang w:eastAsia="zh-CN"/>
              </w:rPr>
              <w:t>项目，工程内容</w:t>
            </w:r>
            <w:r>
              <w:rPr>
                <w:rFonts w:hint="eastAsia" w:ascii="Times New Roman" w:hAnsi="Times New Roman" w:cs="Times New Roman"/>
                <w:b w:val="0"/>
                <w:bCs/>
                <w:snapToGrid w:val="0"/>
                <w:color w:val="auto"/>
                <w:kern w:val="0"/>
                <w:sz w:val="24"/>
                <w:lang w:eastAsia="zh-CN"/>
              </w:rPr>
              <w:t>主要</w:t>
            </w:r>
            <w:r>
              <w:rPr>
                <w:rFonts w:hint="default" w:ascii="Times New Roman" w:hAnsi="Times New Roman" w:cs="Times New Roman"/>
                <w:b w:val="0"/>
                <w:bCs/>
                <w:snapToGrid w:val="0"/>
                <w:color w:val="auto"/>
                <w:kern w:val="0"/>
                <w:sz w:val="24"/>
                <w:lang w:eastAsia="zh-CN"/>
              </w:rPr>
              <w:t>包括原有储油罐、加油机拆除，加油区、储油区、水封井、各管线等建设，施工期为</w:t>
            </w:r>
            <w:r>
              <w:rPr>
                <w:rFonts w:hint="default" w:ascii="Times New Roman" w:hAnsi="Times New Roman" w:cs="Times New Roman"/>
                <w:b w:val="0"/>
                <w:bCs/>
                <w:snapToGrid w:val="0"/>
                <w:color w:val="auto"/>
                <w:kern w:val="0"/>
                <w:sz w:val="24"/>
                <w:lang w:val="en-US" w:eastAsia="zh-CN"/>
              </w:rPr>
              <w:t>90d。</w:t>
            </w:r>
          </w:p>
          <w:p>
            <w:pPr>
              <w:spacing w:line="360" w:lineRule="auto"/>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1、废水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施工期水污染物主要来自建筑废水（备料废水、混凝土养护废水、施工机械冲洗废水）以及施工人员生活产生的生活污水等。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（1）建筑废水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项目施工过程</w:t>
            </w:r>
            <w:r>
              <w:rPr>
                <w:rFonts w:hint="default" w:ascii="Times New Roman" w:hAnsi="Times New Roman" w:cs="Times New Roman"/>
                <w:color w:val="auto"/>
                <w:sz w:val="24"/>
                <w:lang w:eastAsia="zh-CN"/>
              </w:rPr>
              <w:t>由于使用</w:t>
            </w:r>
            <w:r>
              <w:rPr>
                <w:rFonts w:hint="eastAsia" w:cs="Times New Roman"/>
                <w:color w:val="auto"/>
                <w:sz w:val="24"/>
                <w:lang w:eastAsia="zh-CN"/>
              </w:rPr>
              <w:t>混凝土</w:t>
            </w:r>
            <w:r>
              <w:rPr>
                <w:rFonts w:hint="default" w:ascii="Times New Roman" w:hAnsi="Times New Roman" w:cs="Times New Roman"/>
                <w:color w:val="auto"/>
                <w:sz w:val="24"/>
                <w:lang w:eastAsia="zh-CN"/>
              </w:rPr>
              <w:t>较少，在场区自行搅拌</w:t>
            </w:r>
            <w:r>
              <w:rPr>
                <w:rFonts w:hint="default" w:ascii="Times New Roman" w:hAnsi="Times New Roman" w:cs="Times New Roman"/>
                <w:color w:val="auto"/>
                <w:sz w:val="24"/>
              </w:rPr>
              <w:t>，根据《云南省用水定额标准— 建筑业用水定额》（DB53.T168-</w:t>
            </w:r>
            <w:bookmarkStart w:id="0" w:name="_Hlt407884352"/>
            <w:bookmarkStart w:id="1" w:name="_Hlt407884351"/>
            <w:r>
              <w:rPr>
                <w:rFonts w:hint="default" w:ascii="Times New Roman" w:hAnsi="Times New Roman" w:cs="Times New Roman"/>
                <w:color w:val="auto"/>
                <w:sz w:val="24"/>
              </w:rPr>
              <w:t>2</w:t>
            </w:r>
            <w:bookmarkEnd w:id="0"/>
            <w:bookmarkEnd w:id="1"/>
            <w:r>
              <w:rPr>
                <w:rFonts w:hint="default" w:ascii="Times New Roman" w:hAnsi="Times New Roman" w:cs="Times New Roman"/>
                <w:color w:val="auto"/>
                <w:sz w:val="24"/>
              </w:rPr>
              <w:t>013）中</w:t>
            </w:r>
            <w:r>
              <w:rPr>
                <w:rFonts w:hint="default" w:ascii="Times New Roman" w:hAnsi="Times New Roman" w:cs="Times New Roman"/>
                <w:color w:val="auto"/>
                <w:kern w:val="0"/>
                <w:sz w:val="24"/>
              </w:rPr>
              <w:t>框架与砖混结构建筑</w:t>
            </w:r>
            <w:r>
              <w:rPr>
                <w:rFonts w:hint="default" w:ascii="Times New Roman" w:hAnsi="Times New Roman" w:cs="Times New Roman"/>
                <w:color w:val="auto"/>
                <w:sz w:val="24"/>
              </w:rPr>
              <w:t>，每1m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建筑面积总用水量按0.8m</w:t>
            </w:r>
            <w:r>
              <w:rPr>
                <w:rFonts w:hint="default" w:ascii="Times New Roman" w:hAnsi="Times New Roman" w:cs="Times New Roman"/>
                <w:color w:val="auto"/>
                <w:sz w:val="24"/>
                <w:vertAlign w:val="superscript"/>
              </w:rPr>
              <w:t>3</w:t>
            </w:r>
            <w:r>
              <w:rPr>
                <w:rFonts w:hint="default" w:ascii="Times New Roman" w:hAnsi="Times New Roman" w:cs="Times New Roman"/>
                <w:color w:val="auto"/>
                <w:kern w:val="0"/>
                <w:sz w:val="24"/>
              </w:rPr>
              <w:t>（不含施工管理人员生活用水）</w:t>
            </w:r>
            <w:r>
              <w:rPr>
                <w:rFonts w:hint="default" w:ascii="Times New Roman" w:hAnsi="Times New Roman" w:cs="Times New Roman"/>
                <w:color w:val="auto"/>
                <w:sz w:val="24"/>
              </w:rPr>
              <w:t>估算，项目</w:t>
            </w:r>
            <w:r>
              <w:rPr>
                <w:rFonts w:hint="default" w:ascii="Times New Roman" w:hAnsi="Times New Roman" w:cs="Times New Roman"/>
                <w:color w:val="auto"/>
                <w:sz w:val="24"/>
                <w:lang w:eastAsia="zh-CN"/>
              </w:rPr>
              <w:t>新建及改建</w:t>
            </w:r>
            <w:r>
              <w:rPr>
                <w:rFonts w:hint="default" w:ascii="Times New Roman" w:hAnsi="Times New Roman" w:cs="Times New Roman"/>
                <w:color w:val="auto"/>
                <w:sz w:val="24"/>
              </w:rPr>
              <w:t>建筑面积</w:t>
            </w:r>
            <w:r>
              <w:rPr>
                <w:rFonts w:hint="default" w:ascii="Times New Roman" w:hAnsi="Times New Roman" w:cs="Times New Roman"/>
                <w:color w:val="auto"/>
                <w:sz w:val="24"/>
                <w:lang w:eastAsia="zh-CN"/>
              </w:rPr>
              <w:t>约</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10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vertAlign w:val="baseline"/>
                <w:lang w:eastAsia="zh-CN"/>
              </w:rPr>
              <w:t>（改建危废暂存间、管网路面等）</w:t>
            </w:r>
            <w:r>
              <w:rPr>
                <w:rFonts w:hint="default" w:ascii="Times New Roman" w:hAnsi="Times New Roman" w:cs="Times New Roman"/>
                <w:color w:val="auto"/>
                <w:sz w:val="24"/>
              </w:rPr>
              <w:t>，则本项目施工总用水量约</w:t>
            </w:r>
            <w:r>
              <w:rPr>
                <w:rFonts w:hint="eastAsia" w:ascii="Times New Roman" w:hAnsi="Times New Roman" w:cs="Times New Roman"/>
                <w:color w:val="auto"/>
                <w:sz w:val="24"/>
                <w:lang w:val="en-US" w:eastAsia="zh-CN"/>
              </w:rPr>
              <w:t>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，废水产生量按用水量的10%估算，则项目施工期施工废水的产生总量为</w:t>
            </w:r>
            <w:r>
              <w:rPr>
                <w:rFonts w:hint="eastAsia" w:ascii="Times New Roman" w:hAnsi="Times New Roman" w:cs="Times New Roman"/>
                <w:color w:val="auto"/>
                <w:sz w:val="24"/>
                <w:lang w:val="en-US" w:eastAsia="zh-CN"/>
              </w:rPr>
              <w:t>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，废水中的主要污染物为SS，建设方拟在施工场地内设置的沉淀池，对施工废水进行沉淀处理后回用于场地的洒水降尘，全部被自然蒸发，不外排。</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（2）施工人员生活污水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项目预定施工工人</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人，均为附近村民，不在工地内食宿，根据《云南省用水定额标准—居民生活用水定额》（DB53.T168-2013），不在工地食宿工人用水量按50L/人·d计，则施工生活用水量为0.</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/d，整个施工期用水量为</w:t>
            </w:r>
            <w:r>
              <w:rPr>
                <w:rFonts w:hint="default" w:ascii="Times New Roman" w:hAnsi="Times New Roman" w:cs="Times New Roman"/>
                <w:color w:val="auto"/>
                <w:sz w:val="24"/>
                <w:lang w:val="en-US" w:eastAsia="zh-CN"/>
              </w:rPr>
              <w:t>22.5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，其产生的污水量按其用水量的80%计，则共产生污水量为</w:t>
            </w:r>
            <w:r>
              <w:rPr>
                <w:rFonts w:hint="default" w:ascii="Times New Roman" w:hAnsi="Times New Roman" w:cs="Times New Roman"/>
                <w:color w:val="auto"/>
                <w:sz w:val="24"/>
                <w:lang w:val="en-US" w:eastAsia="zh-CN"/>
              </w:rPr>
              <w:t>18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（施工期按</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0天计），生活污水</w:t>
            </w:r>
            <w:r>
              <w:rPr>
                <w:rFonts w:hint="default" w:ascii="Times New Roman" w:hAnsi="Times New Roman" w:cs="Times New Roman"/>
                <w:color w:val="auto"/>
                <w:sz w:val="24"/>
                <w:lang w:eastAsia="zh-CN"/>
              </w:rPr>
              <w:t>中洗漱废水</w:t>
            </w:r>
            <w:r>
              <w:rPr>
                <w:rFonts w:hint="default" w:ascii="Times New Roman" w:hAnsi="Times New Roman" w:cs="Times New Roman"/>
                <w:color w:val="auto"/>
                <w:sz w:val="24"/>
              </w:rPr>
              <w:t>部分并入施工废水一起经沉淀池处理后用于施工场地内洒水降尘，自然蒸发，粪便污水排入</w:t>
            </w:r>
            <w:r>
              <w:rPr>
                <w:rFonts w:hint="default" w:ascii="Times New Roman" w:hAnsi="Times New Roman" w:cs="Times New Roman"/>
                <w:color w:val="auto"/>
                <w:sz w:val="24"/>
                <w:lang w:eastAsia="zh-CN"/>
              </w:rPr>
              <w:t>项目公厕内</w:t>
            </w:r>
            <w:r>
              <w:rPr>
                <w:rFonts w:hint="default" w:ascii="Times New Roman" w:hAnsi="Times New Roman" w:cs="Times New Roman"/>
                <w:color w:val="auto"/>
                <w:sz w:val="24"/>
              </w:rPr>
              <w:t>，定期清掏后提供给周边的农户用作农肥。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项目施工期水污染源及主要污染物具体见表5-1。</w:t>
            </w:r>
          </w:p>
          <w:tbl>
            <w:tblPr>
              <w:tblStyle w:val="23"/>
              <w:tblpPr w:leftFromText="180" w:rightFromText="180" w:vertAnchor="text" w:horzAnchor="margin" w:tblpXSpec="center" w:tblpY="33"/>
              <w:tblOverlap w:val="never"/>
              <w:tblW w:w="77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986"/>
              <w:gridCol w:w="2750"/>
              <w:gridCol w:w="21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740" w:type="dxa"/>
                  <w:gridSpan w:val="4"/>
                  <w:tcBorders>
                    <w:top w:val="nil"/>
                    <w:left w:val="nil"/>
                    <w:right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b/>
                      <w:color w:val="auto"/>
                      <w:szCs w:val="21"/>
                    </w:rPr>
                    <w:t>表5-1  施工期水污染源及污染物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58"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产生原因</w:t>
                  </w:r>
                </w:p>
              </w:tc>
              <w:tc>
                <w:tcPr>
                  <w:tcW w:w="27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产生地点</w:t>
                  </w:r>
                </w:p>
              </w:tc>
              <w:tc>
                <w:tcPr>
                  <w:tcW w:w="2146"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58"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备料</w:t>
                  </w:r>
                </w:p>
              </w:tc>
              <w:tc>
                <w:tcPr>
                  <w:tcW w:w="27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备料场所</w:t>
                  </w:r>
                </w:p>
              </w:tc>
              <w:tc>
                <w:tcPr>
                  <w:tcW w:w="2146"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58" w:type="dxa"/>
                  <w:tcBorders>
                    <w:left w:val="single" w:color="auto" w:sz="4" w:space="0"/>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1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施工人员</w:t>
                  </w:r>
                </w:p>
              </w:tc>
              <w:tc>
                <w:tcPr>
                  <w:tcW w:w="27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生活区（生活污水）</w:t>
                  </w:r>
                </w:p>
              </w:tc>
              <w:tc>
                <w:tcPr>
                  <w:tcW w:w="2146"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SS、COD、BOD</w:t>
                  </w:r>
                  <w:r>
                    <w:rPr>
                      <w:rFonts w:hint="default" w:ascii="Times New Roman" w:hAnsi="Times New Roman" w:cs="Times New Roman"/>
                      <w:color w:val="auto"/>
                      <w:szCs w:val="21"/>
                      <w:vertAlign w:val="subscript"/>
                    </w:rPr>
                    <w:t>5</w:t>
                  </w:r>
                </w:p>
              </w:tc>
            </w:tr>
          </w:tbl>
          <w:p>
            <w:pPr>
              <w:ind w:firstLine="480" w:firstLineChars="200"/>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2、废气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施工期产生的废气有粉尘、扬尘</w:t>
            </w:r>
            <w:r>
              <w:rPr>
                <w:rFonts w:hint="default" w:ascii="Times New Roman" w:hAnsi="Times New Roman" w:cs="Times New Roman"/>
                <w:color w:val="auto"/>
                <w:sz w:val="24"/>
                <w:lang w:eastAsia="zh-CN"/>
              </w:rPr>
              <w:t>以及</w:t>
            </w:r>
            <w:r>
              <w:rPr>
                <w:rFonts w:hint="default" w:ascii="Times New Roman" w:hAnsi="Times New Roman" w:cs="Times New Roman"/>
                <w:color w:val="auto"/>
                <w:sz w:val="24"/>
              </w:rPr>
              <w:t>机械尾气。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（1）扬尘及粉尘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项目对整个施工期而言，施工产生的扬尘主要集中在土建施工阶段，按起尘的原因可分为风力起尘和动力起尘。其中风力起尘主要是</w:t>
            </w:r>
            <w:r>
              <w:rPr>
                <w:rFonts w:hint="default" w:ascii="Times New Roman" w:hAnsi="Times New Roman" w:cs="Times New Roman"/>
                <w:color w:val="auto"/>
                <w:sz w:val="24"/>
                <w:lang w:eastAsia="zh-CN"/>
              </w:rPr>
              <w:t>储罐及水封井等地基开挖，</w:t>
            </w:r>
            <w:r>
              <w:rPr>
                <w:rFonts w:hint="default" w:ascii="Times New Roman" w:hAnsi="Times New Roman" w:cs="Times New Roman"/>
                <w:color w:val="auto"/>
                <w:sz w:val="24"/>
              </w:rPr>
              <w:t>建设过程露天堆放的建材（如沙、水泥等）和裸露的施工区表层浮尘，当天气干燥和大风吹来时，风力产生扬尘等；而动力起尘，主要是在建材的装卸、使用过程中，由于外力而产生的尘粒再悬浮而造成，其中施工及装卸车辆造成的扬尘最为严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在施工现场进行少量的砂浆搅拌，会产生少量的搅拌扬尘。施工作业等产生的扬尘中的TSP对环境影响较大，但其中不含有毒有害的特殊污染物。项目扬尘主要表现在交通沿线和工地附近，尤其是天气干燥及风速较大时影响更为明显，使该区块及周围地区大气中总悬浮颗粒(TSP)浓度增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此外运输车辆，在建筑材料的运送过程也会产生一定量的扬尘。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（2）施工机械、运输车辆产生废气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主要来自于施工机械和交通运输车辆尾气的排放，尾气中主要的污染物为NO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、CO和碳氢化合物等，主要集中在施工现场及运输途中产生的尾气，属于无组织排放，通过汽车排气管排到空气中稀释后</w:t>
            </w:r>
            <w:r>
              <w:rPr>
                <w:rFonts w:hint="default" w:ascii="Times New Roman" w:hAnsi="Times New Roman" w:cs="Times New Roman"/>
                <w:color w:val="auto"/>
                <w:spacing w:val="-2"/>
                <w:sz w:val="24"/>
              </w:rPr>
              <w:t>影响程度不大。</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3、噪声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（1）项目施工期噪声源主要来源于建设阶段的施工机械，如</w:t>
            </w:r>
            <w:r>
              <w:rPr>
                <w:rFonts w:hint="default" w:ascii="Times New Roman" w:hAnsi="Times New Roman" w:cs="Times New Roman"/>
                <w:color w:val="auto"/>
                <w:sz w:val="24"/>
                <w:lang w:eastAsia="zh-CN"/>
              </w:rPr>
              <w:t>拆卸设备</w:t>
            </w:r>
            <w:r>
              <w:rPr>
                <w:rFonts w:hint="default" w:ascii="Times New Roman" w:hAnsi="Times New Roman" w:cs="Times New Roman"/>
                <w:color w:val="auto"/>
                <w:sz w:val="24"/>
              </w:rPr>
              <w:t>和交通噪声，产生的噪声具有阶段性、临时性和不固定性，其声压级在75～110dB(A)。项目进入</w:t>
            </w:r>
            <w:r>
              <w:rPr>
                <w:rFonts w:hint="default" w:ascii="Times New Roman" w:hAnsi="Times New Roman" w:cs="Times New Roman"/>
                <w:color w:val="auto"/>
                <w:sz w:val="24"/>
                <w:lang w:eastAsia="zh-CN"/>
              </w:rPr>
              <w:t>设备安装时</w:t>
            </w:r>
            <w:r>
              <w:rPr>
                <w:rFonts w:hint="default" w:ascii="Times New Roman" w:hAnsi="Times New Roman" w:cs="Times New Roman"/>
                <w:color w:val="auto"/>
                <w:sz w:val="24"/>
              </w:rPr>
              <w:t>也会产生一定的装修噪声，主要噪声污染为钻机、电锤、切割机以及空压机等装修设备运作产生的噪声，其声压级约为100～110dB(A)，以及进出项目区内的车辆产生的交通噪声，其声压级约为70～95dB(A)。</w:t>
            </w:r>
          </w:p>
          <w:p>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w:t>
            </w: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建设阶段主要噪声源状况   单位：dB(A)</w:t>
            </w:r>
          </w:p>
          <w:tbl>
            <w:tblPr>
              <w:tblStyle w:val="23"/>
              <w:tblW w:w="7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272"/>
              <w:gridCol w:w="1272"/>
              <w:gridCol w:w="1272"/>
              <w:gridCol w:w="1272"/>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7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施工阶段</w:t>
                  </w: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声源</w:t>
                  </w: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声压级</w:t>
                  </w: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施工阶段</w:t>
                  </w: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声源</w:t>
                  </w: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声压级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7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基础及结构阶段</w:t>
                  </w:r>
                </w:p>
              </w:tc>
              <w:tc>
                <w:tcPr>
                  <w:tcW w:w="127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振动器</w:t>
                  </w:r>
                </w:p>
              </w:tc>
              <w:tc>
                <w:tcPr>
                  <w:tcW w:w="127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100～105</w:t>
                  </w:r>
                </w:p>
              </w:tc>
              <w:tc>
                <w:tcPr>
                  <w:tcW w:w="127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安装</w:t>
                  </w:r>
                  <w:r>
                    <w:rPr>
                      <w:rFonts w:hint="default" w:ascii="Times New Roman" w:hAnsi="Times New Roman" w:cs="Times New Roman"/>
                      <w:color w:val="auto"/>
                      <w:szCs w:val="21"/>
                    </w:rPr>
                    <w:t>阶段</w:t>
                  </w: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电钻</w:t>
                  </w: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1" w:type="dxa"/>
                  <w:vMerge w:val="continue"/>
                  <w:vAlign w:val="center"/>
                </w:tcPr>
                <w:p>
                  <w:pPr>
                    <w:jc w:val="center"/>
                    <w:rPr>
                      <w:rFonts w:hint="default" w:ascii="Times New Roman" w:hAnsi="Times New Roman" w:cs="Times New Roman"/>
                      <w:color w:val="auto"/>
                      <w:szCs w:val="21"/>
                    </w:rPr>
                  </w:pPr>
                </w:p>
              </w:tc>
              <w:tc>
                <w:tcPr>
                  <w:tcW w:w="1272" w:type="dxa"/>
                  <w:vMerge w:val="continue"/>
                  <w:vAlign w:val="center"/>
                </w:tcPr>
                <w:p>
                  <w:pPr>
                    <w:jc w:val="center"/>
                    <w:rPr>
                      <w:rFonts w:hint="default" w:ascii="Times New Roman" w:hAnsi="Times New Roman" w:cs="Times New Roman"/>
                      <w:color w:val="auto"/>
                      <w:szCs w:val="21"/>
                    </w:rPr>
                  </w:pPr>
                </w:p>
              </w:tc>
              <w:tc>
                <w:tcPr>
                  <w:tcW w:w="1272" w:type="dxa"/>
                  <w:vMerge w:val="continue"/>
                  <w:vAlign w:val="center"/>
                </w:tcPr>
                <w:p>
                  <w:pPr>
                    <w:jc w:val="center"/>
                    <w:rPr>
                      <w:rFonts w:hint="default" w:ascii="Times New Roman" w:hAnsi="Times New Roman" w:cs="Times New Roman"/>
                      <w:color w:val="auto"/>
                      <w:szCs w:val="21"/>
                    </w:rPr>
                  </w:pPr>
                </w:p>
              </w:tc>
              <w:tc>
                <w:tcPr>
                  <w:tcW w:w="1272" w:type="dxa"/>
                  <w:vMerge w:val="continue"/>
                  <w:tcBorders>
                    <w:bottom w:val="single" w:color="auto" w:sz="4" w:space="0"/>
                  </w:tcBorders>
                  <w:vAlign w:val="center"/>
                </w:tcPr>
                <w:p>
                  <w:pPr>
                    <w:jc w:val="center"/>
                    <w:rPr>
                      <w:rFonts w:hint="default" w:ascii="Times New Roman" w:hAnsi="Times New Roman" w:cs="Times New Roman"/>
                      <w:color w:val="auto"/>
                      <w:szCs w:val="21"/>
                    </w:rPr>
                  </w:pPr>
                </w:p>
              </w:tc>
              <w:tc>
                <w:tcPr>
                  <w:tcW w:w="127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手工钻</w:t>
                  </w:r>
                </w:p>
              </w:tc>
              <w:tc>
                <w:tcPr>
                  <w:tcW w:w="127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71" w:type="dxa"/>
                  <w:vMerge w:val="continue"/>
                  <w:vAlign w:val="center"/>
                </w:tcPr>
                <w:p>
                  <w:pPr>
                    <w:jc w:val="center"/>
                    <w:rPr>
                      <w:rFonts w:hint="default" w:ascii="Times New Roman" w:hAnsi="Times New Roman" w:cs="Times New Roman"/>
                      <w:color w:val="auto"/>
                      <w:szCs w:val="21"/>
                    </w:rPr>
                  </w:pPr>
                </w:p>
              </w:tc>
              <w:tc>
                <w:tcPr>
                  <w:tcW w:w="127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电锯</w:t>
                  </w:r>
                </w:p>
              </w:tc>
              <w:tc>
                <w:tcPr>
                  <w:tcW w:w="127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100～110</w:t>
                  </w:r>
                </w:p>
              </w:tc>
              <w:tc>
                <w:tcPr>
                  <w:tcW w:w="1272" w:type="dxa"/>
                  <w:vMerge w:val="continue"/>
                  <w:tcBorders>
                    <w:bottom w:val="single" w:color="auto" w:sz="4" w:space="0"/>
                  </w:tcBorders>
                  <w:vAlign w:val="center"/>
                </w:tcPr>
                <w:p>
                  <w:pPr>
                    <w:jc w:val="center"/>
                    <w:rPr>
                      <w:rFonts w:hint="default" w:ascii="Times New Roman" w:hAnsi="Times New Roman" w:cs="Times New Roman"/>
                      <w:color w:val="auto"/>
                      <w:szCs w:val="21"/>
                    </w:rPr>
                  </w:pPr>
                </w:p>
              </w:tc>
              <w:tc>
                <w:tcPr>
                  <w:tcW w:w="1272" w:type="dxa"/>
                  <w:vMerge w:val="continue"/>
                  <w:tcBorders>
                    <w:bottom w:val="single" w:color="auto" w:sz="4" w:space="0"/>
                  </w:tcBorders>
                  <w:vAlign w:val="center"/>
                </w:tcPr>
                <w:p>
                  <w:pPr>
                    <w:jc w:val="center"/>
                    <w:rPr>
                      <w:rFonts w:hint="default" w:ascii="Times New Roman" w:hAnsi="Times New Roman" w:cs="Times New Roman"/>
                      <w:color w:val="auto"/>
                      <w:szCs w:val="21"/>
                    </w:rPr>
                  </w:pPr>
                </w:p>
              </w:tc>
              <w:tc>
                <w:tcPr>
                  <w:tcW w:w="1272" w:type="dxa"/>
                  <w:vMerge w:val="continue"/>
                  <w:tcBorders>
                    <w:bottom w:val="single" w:color="auto" w:sz="4" w:space="0"/>
                  </w:tcBorders>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vMerge w:val="continue"/>
                  <w:vAlign w:val="center"/>
                </w:tcPr>
                <w:p>
                  <w:pPr>
                    <w:jc w:val="center"/>
                    <w:rPr>
                      <w:rFonts w:hint="default" w:ascii="Times New Roman" w:hAnsi="Times New Roman" w:cs="Times New Roman"/>
                      <w:color w:val="auto"/>
                      <w:szCs w:val="21"/>
                    </w:rPr>
                  </w:pPr>
                </w:p>
              </w:tc>
              <w:tc>
                <w:tcPr>
                  <w:tcW w:w="1272" w:type="dxa"/>
                  <w:vMerge w:val="continue"/>
                  <w:vAlign w:val="center"/>
                </w:tcPr>
                <w:p>
                  <w:pPr>
                    <w:jc w:val="center"/>
                    <w:rPr>
                      <w:rFonts w:hint="default" w:ascii="Times New Roman" w:hAnsi="Times New Roman" w:cs="Times New Roman"/>
                      <w:color w:val="auto"/>
                      <w:szCs w:val="21"/>
                    </w:rPr>
                  </w:pPr>
                </w:p>
              </w:tc>
              <w:tc>
                <w:tcPr>
                  <w:tcW w:w="1272" w:type="dxa"/>
                  <w:vMerge w:val="continue"/>
                  <w:vAlign w:val="center"/>
                </w:tcPr>
                <w:p>
                  <w:pPr>
                    <w:jc w:val="center"/>
                    <w:rPr>
                      <w:rFonts w:hint="default" w:ascii="Times New Roman" w:hAnsi="Times New Roman" w:cs="Times New Roman"/>
                      <w:color w:val="auto"/>
                      <w:szCs w:val="21"/>
                    </w:rPr>
                  </w:pPr>
                </w:p>
              </w:tc>
              <w:tc>
                <w:tcPr>
                  <w:tcW w:w="1272" w:type="dxa"/>
                  <w:vMerge w:val="continue"/>
                  <w:vAlign w:val="center"/>
                </w:tcPr>
                <w:p>
                  <w:pPr>
                    <w:jc w:val="center"/>
                    <w:rPr>
                      <w:rFonts w:hint="default" w:ascii="Times New Roman" w:hAnsi="Times New Roman" w:cs="Times New Roman"/>
                      <w:color w:val="auto"/>
                      <w:szCs w:val="21"/>
                    </w:rPr>
                  </w:pP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无齿锯</w:t>
                  </w: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71" w:type="dxa"/>
                  <w:vMerge w:val="continue"/>
                  <w:vAlign w:val="center"/>
                </w:tcPr>
                <w:p>
                  <w:pPr>
                    <w:jc w:val="center"/>
                    <w:rPr>
                      <w:rFonts w:hint="default" w:ascii="Times New Roman" w:hAnsi="Times New Roman" w:cs="Times New Roman"/>
                      <w:color w:val="auto"/>
                      <w:szCs w:val="21"/>
                    </w:rPr>
                  </w:pPr>
                </w:p>
              </w:tc>
              <w:tc>
                <w:tcPr>
                  <w:tcW w:w="1272" w:type="dxa"/>
                  <w:vMerge w:val="continue"/>
                  <w:vAlign w:val="center"/>
                </w:tcPr>
                <w:p>
                  <w:pPr>
                    <w:jc w:val="center"/>
                    <w:rPr>
                      <w:rFonts w:hint="default" w:ascii="Times New Roman" w:hAnsi="Times New Roman" w:cs="Times New Roman"/>
                      <w:color w:val="auto"/>
                      <w:szCs w:val="21"/>
                    </w:rPr>
                  </w:pPr>
                </w:p>
              </w:tc>
              <w:tc>
                <w:tcPr>
                  <w:tcW w:w="1272" w:type="dxa"/>
                  <w:vMerge w:val="continue"/>
                  <w:vAlign w:val="center"/>
                </w:tcPr>
                <w:p>
                  <w:pPr>
                    <w:jc w:val="center"/>
                    <w:rPr>
                      <w:rFonts w:hint="default" w:ascii="Times New Roman" w:hAnsi="Times New Roman" w:cs="Times New Roman"/>
                      <w:color w:val="auto"/>
                      <w:szCs w:val="21"/>
                    </w:rPr>
                  </w:pPr>
                </w:p>
              </w:tc>
              <w:tc>
                <w:tcPr>
                  <w:tcW w:w="1272" w:type="dxa"/>
                  <w:vMerge w:val="continue"/>
                  <w:vAlign w:val="center"/>
                </w:tcPr>
                <w:p>
                  <w:pPr>
                    <w:jc w:val="center"/>
                    <w:rPr>
                      <w:rFonts w:hint="default" w:ascii="Times New Roman" w:hAnsi="Times New Roman" w:cs="Times New Roman"/>
                      <w:color w:val="auto"/>
                      <w:szCs w:val="21"/>
                    </w:rPr>
                  </w:pP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磨光机</w:t>
                  </w:r>
                </w:p>
              </w:tc>
              <w:tc>
                <w:tcPr>
                  <w:tcW w:w="12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100～110</w:t>
                  </w:r>
                </w:p>
              </w:tc>
            </w:tr>
          </w:tbl>
          <w:p>
            <w:pPr>
              <w:spacing w:line="360" w:lineRule="auto"/>
              <w:rPr>
                <w:rFonts w:hint="default" w:ascii="Times New Roman" w:hAnsi="Times New Roman" w:cs="Times New Roman"/>
                <w:color w:val="auto"/>
                <w:szCs w:val="21"/>
              </w:rPr>
            </w:pPr>
          </w:p>
          <w:tbl>
            <w:tblPr>
              <w:tblStyle w:val="23"/>
              <w:tblW w:w="781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3097"/>
              <w:gridCol w:w="1464"/>
              <w:gridCol w:w="11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10" w:type="dxa"/>
                  <w:gridSpan w:val="4"/>
                  <w:tcBorders>
                    <w:top w:val="nil"/>
                    <w:left w:val="nil"/>
                    <w:right w:val="nil"/>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w:t>
                  </w: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 xml:space="preserve">  各交通车辆声压级     单位：dB(A)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082"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施工阶段</w:t>
                  </w:r>
                </w:p>
              </w:tc>
              <w:tc>
                <w:tcPr>
                  <w:tcW w:w="309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运输内容</w:t>
                  </w:r>
                </w:p>
              </w:tc>
              <w:tc>
                <w:tcPr>
                  <w:tcW w:w="14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车辆类型</w:t>
                  </w:r>
                </w:p>
              </w:tc>
              <w:tc>
                <w:tcPr>
                  <w:tcW w:w="1167" w:type="dxa"/>
                  <w:tcBorders>
                    <w:right w:val="single" w:color="auto" w:sz="4" w:space="0"/>
                  </w:tcBorders>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声压级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082"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土方阶段</w:t>
                  </w:r>
                </w:p>
              </w:tc>
              <w:tc>
                <w:tcPr>
                  <w:tcW w:w="309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土方运输</w:t>
                  </w:r>
                </w:p>
              </w:tc>
              <w:tc>
                <w:tcPr>
                  <w:tcW w:w="14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大型载重车</w:t>
                  </w:r>
                </w:p>
              </w:tc>
              <w:tc>
                <w:tcPr>
                  <w:tcW w:w="1167"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082"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基础及结构阶段</w:t>
                  </w:r>
                </w:p>
              </w:tc>
              <w:tc>
                <w:tcPr>
                  <w:tcW w:w="309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材料运输</w:t>
                  </w:r>
                </w:p>
              </w:tc>
              <w:tc>
                <w:tcPr>
                  <w:tcW w:w="14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载重车</w:t>
                  </w:r>
                </w:p>
              </w:tc>
              <w:tc>
                <w:tcPr>
                  <w:tcW w:w="1167" w:type="dxa"/>
                  <w:tcBorders>
                    <w:right w:val="single" w:color="auto" w:sz="4" w:space="0"/>
                  </w:tcBorders>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80～95</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施工作业只在白天进行，尽量避免在人群休息时间施工作业，并使用较先进、噪声较小的施工设备，且定期进行检修、养护，还在场区靠近私人住户一侧搭建隔声屏障（围墙），可在一定程度上减小施工噪声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（2）施工振动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项目在施工初期，采用机械进行土方开挖、平整，施工机械在运作过程中会有一定振动产生，由于项目开挖范围小，因此振动影响不明显。</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4、固体废物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施工期的固体废物包括拆除阶段的钢材、碎石，基础阶段开挖的土石方、建筑施工产生的建筑固体废物、装修废弃材料以及施工人员生活垃圾。</w:t>
            </w:r>
          </w:p>
          <w:p>
            <w:pPr>
              <w:numPr>
                <w:ilvl w:val="0"/>
                <w:numId w:val="4"/>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拆除固废</w:t>
            </w:r>
          </w:p>
          <w:p>
            <w:pPr>
              <w:numPr>
                <w:ilvl w:val="0"/>
                <w:numId w:val="0"/>
              </w:num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 xml:space="preserve">     项目拆除工程包括储油罐，加油岛等，</w:t>
            </w:r>
            <w:r>
              <w:rPr>
                <w:rFonts w:hint="default" w:ascii="Times New Roman" w:hAnsi="Times New Roman" w:cs="Times New Roman"/>
                <w:color w:val="auto"/>
                <w:sz w:val="24"/>
              </w:rPr>
              <w:t>产生的主要固废有</w:t>
            </w:r>
            <w:r>
              <w:rPr>
                <w:rFonts w:hint="default" w:ascii="Times New Roman" w:hAnsi="Times New Roman" w:cs="Times New Roman"/>
                <w:color w:val="auto"/>
                <w:kern w:val="0"/>
                <w:sz w:val="24"/>
              </w:rPr>
              <w:t>碎砖、碎石、混凝土，</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lang w:val="en-US" w:eastAsia="zh-CN"/>
              </w:rPr>
              <w:t>个</w:t>
            </w:r>
            <w:r>
              <w:rPr>
                <w:rFonts w:hint="default" w:ascii="Times New Roman" w:hAnsi="Times New Roman" w:cs="Times New Roman"/>
                <w:color w:val="auto"/>
                <w:kern w:val="0"/>
                <w:sz w:val="24"/>
              </w:rPr>
              <w:t>储油罐，</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lang w:val="en-US" w:eastAsia="zh-CN"/>
              </w:rPr>
              <w:t>台加油机</w:t>
            </w:r>
            <w:r>
              <w:rPr>
                <w:rFonts w:hint="default" w:ascii="Times New Roman" w:hAnsi="Times New Roman" w:cs="Times New Roman"/>
                <w:color w:val="auto"/>
                <w:kern w:val="0"/>
                <w:sz w:val="24"/>
              </w:rPr>
              <w:t>，淘汰设备出售给回收单位。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（2）土石方</w:t>
            </w:r>
          </w:p>
          <w:p>
            <w:pPr>
              <w:spacing w:line="360" w:lineRule="auto"/>
              <w:ind w:firstLine="480"/>
              <w:rPr>
                <w:rFonts w:hint="default" w:ascii="Times New Roman" w:hAnsi="Times New Roman" w:cs="Times New Roman"/>
                <w:b/>
                <w:color w:val="auto"/>
                <w:szCs w:val="21"/>
              </w:rPr>
            </w:pPr>
            <w:r>
              <w:rPr>
                <w:rFonts w:hint="default" w:ascii="Times New Roman" w:hAnsi="Times New Roman" w:cs="Times New Roman"/>
                <w:color w:val="auto"/>
                <w:sz w:val="24"/>
              </w:rPr>
              <w:t>项目</w:t>
            </w:r>
            <w:r>
              <w:rPr>
                <w:rFonts w:hint="eastAsia" w:ascii="Times New Roman" w:hAnsi="Times New Roman" w:cs="Times New Roman"/>
                <w:color w:val="auto"/>
                <w:sz w:val="24"/>
                <w:lang w:eastAsia="zh-CN"/>
              </w:rPr>
              <w:t>罐坑、</w:t>
            </w:r>
            <w:r>
              <w:rPr>
                <w:rFonts w:hint="default" w:ascii="Times New Roman" w:hAnsi="Times New Roman" w:cs="Times New Roman"/>
                <w:color w:val="auto"/>
                <w:sz w:val="24"/>
                <w:lang w:eastAsia="zh-CN"/>
              </w:rPr>
              <w:t>水封井、</w:t>
            </w:r>
            <w:r>
              <w:rPr>
                <w:rFonts w:hint="default" w:ascii="Times New Roman" w:hAnsi="Times New Roman" w:cs="Times New Roman"/>
                <w:color w:val="auto"/>
                <w:sz w:val="24"/>
              </w:rPr>
              <w:t>污水沟、雨水沟等开挖会产生一定量的土方。</w:t>
            </w:r>
          </w:p>
          <w:p>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w:t>
            </w:r>
            <w:r>
              <w:rPr>
                <w:rFonts w:hint="eastAsia" w:ascii="Times New Roman" w:hAnsi="Times New Roman" w:cs="Times New Roman"/>
                <w:b/>
                <w:color w:val="auto"/>
                <w:szCs w:val="21"/>
                <w:lang w:val="en-US" w:eastAsia="zh-CN"/>
              </w:rPr>
              <w:t>4</w:t>
            </w:r>
            <w:r>
              <w:rPr>
                <w:rFonts w:hint="default" w:ascii="Times New Roman" w:hAnsi="Times New Roman" w:cs="Times New Roman"/>
                <w:b/>
                <w:color w:val="auto"/>
                <w:szCs w:val="21"/>
              </w:rPr>
              <w:t xml:space="preserve">   项目土石方平衡表</w:t>
            </w:r>
          </w:p>
          <w:tbl>
            <w:tblPr>
              <w:tblStyle w:val="23"/>
              <w:tblW w:w="7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078"/>
              <w:gridCol w:w="1356"/>
              <w:gridCol w:w="3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97" w:type="dxa"/>
                  <w:vMerge w:val="restart"/>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土石方</w:t>
                  </w:r>
                </w:p>
              </w:tc>
              <w:tc>
                <w:tcPr>
                  <w:tcW w:w="1078" w:type="dxa"/>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挖方量</w:t>
                  </w:r>
                </w:p>
              </w:tc>
              <w:tc>
                <w:tcPr>
                  <w:tcW w:w="1356" w:type="dxa"/>
                  <w:vAlign w:val="center"/>
                </w:tcPr>
                <w:p>
                  <w:pPr>
                    <w:spacing w:line="240" w:lineRule="atLeast"/>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20</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rPr>
                    <w:t>3</w:t>
                  </w:r>
                </w:p>
              </w:tc>
              <w:tc>
                <w:tcPr>
                  <w:tcW w:w="3955" w:type="dxa"/>
                  <w:vAlign w:val="center"/>
                </w:tcPr>
                <w:p>
                  <w:pPr>
                    <w:spacing w:line="240" w:lineRule="atLeast"/>
                    <w:rPr>
                      <w:rFonts w:hint="default" w:ascii="Times New Roman" w:hAnsi="Times New Roman" w:cs="Times New Roman"/>
                      <w:color w:val="auto"/>
                      <w:szCs w:val="21"/>
                    </w:rPr>
                  </w:pPr>
                  <w:r>
                    <w:rPr>
                      <w:rFonts w:hint="eastAsia" w:ascii="Times New Roman" w:hAnsi="Times New Roman" w:cs="Times New Roman"/>
                      <w:color w:val="auto"/>
                      <w:szCs w:val="21"/>
                      <w:lang w:eastAsia="zh-CN"/>
                    </w:rPr>
                    <w:t>罐坑</w:t>
                  </w:r>
                  <w:r>
                    <w:rPr>
                      <w:rFonts w:hint="default" w:ascii="Times New Roman" w:hAnsi="Times New Roman" w:cs="Times New Roman"/>
                      <w:color w:val="auto"/>
                      <w:szCs w:val="21"/>
                    </w:rPr>
                    <w:t>、管线等开挖</w:t>
                  </w:r>
                  <w:r>
                    <w:rPr>
                      <w:rFonts w:hint="eastAsia" w:ascii="Times New Roman" w:hAnsi="Times New Roman" w:cs="Times New Roman"/>
                      <w:color w:val="auto"/>
                      <w:szCs w:val="21"/>
                      <w:lang w:val="en-US" w:eastAsia="zh-CN"/>
                    </w:rPr>
                    <w:t>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97" w:type="dxa"/>
                  <w:vMerge w:val="continue"/>
                  <w:vAlign w:val="center"/>
                </w:tcPr>
                <w:p>
                  <w:pPr>
                    <w:spacing w:line="240" w:lineRule="atLeast"/>
                    <w:jc w:val="center"/>
                    <w:rPr>
                      <w:rFonts w:hint="default" w:ascii="Times New Roman" w:hAnsi="Times New Roman" w:cs="Times New Roman"/>
                      <w:color w:val="auto"/>
                      <w:szCs w:val="21"/>
                    </w:rPr>
                  </w:pPr>
                </w:p>
              </w:tc>
              <w:tc>
                <w:tcPr>
                  <w:tcW w:w="1078" w:type="dxa"/>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回填量</w:t>
                  </w:r>
                </w:p>
              </w:tc>
              <w:tc>
                <w:tcPr>
                  <w:tcW w:w="1356" w:type="dxa"/>
                  <w:vAlign w:val="center"/>
                </w:tcPr>
                <w:p>
                  <w:pPr>
                    <w:spacing w:line="240" w:lineRule="atLeast"/>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3955" w:type="dxa"/>
                  <w:vAlign w:val="top"/>
                </w:tcPr>
                <w:p>
                  <w:pPr>
                    <w:spacing w:line="240" w:lineRule="atLeast"/>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罐坑改建后原址回填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97" w:type="dxa"/>
                  <w:vMerge w:val="continue"/>
                  <w:vAlign w:val="center"/>
                </w:tcPr>
                <w:p>
                  <w:pPr>
                    <w:spacing w:line="240" w:lineRule="atLeast"/>
                    <w:jc w:val="center"/>
                    <w:rPr>
                      <w:rFonts w:hint="default" w:ascii="Times New Roman" w:hAnsi="Times New Roman" w:cs="Times New Roman"/>
                      <w:color w:val="auto"/>
                      <w:szCs w:val="21"/>
                    </w:rPr>
                  </w:pPr>
                </w:p>
              </w:tc>
              <w:tc>
                <w:tcPr>
                  <w:tcW w:w="1078" w:type="dxa"/>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弃方量</w:t>
                  </w:r>
                </w:p>
              </w:tc>
              <w:tc>
                <w:tcPr>
                  <w:tcW w:w="1356" w:type="dxa"/>
                  <w:vAlign w:val="center"/>
                </w:tcPr>
                <w:p>
                  <w:pPr>
                    <w:spacing w:line="240" w:lineRule="atLeast"/>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3955" w:type="dxa"/>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交由</w:t>
                  </w:r>
                  <w:r>
                    <w:rPr>
                      <w:rFonts w:hint="default" w:ascii="Times New Roman" w:hAnsi="Times New Roman" w:cs="Times New Roman"/>
                      <w:color w:val="auto"/>
                      <w:szCs w:val="21"/>
                      <w:lang w:eastAsia="zh-CN"/>
                    </w:rPr>
                    <w:t>施工单位</w:t>
                  </w:r>
                  <w:r>
                    <w:rPr>
                      <w:rFonts w:hint="default" w:ascii="Times New Roman" w:hAnsi="Times New Roman" w:cs="Times New Roman"/>
                      <w:color w:val="auto"/>
                      <w:szCs w:val="21"/>
                    </w:rPr>
                    <w:t>运至</w:t>
                  </w:r>
                  <w:r>
                    <w:rPr>
                      <w:rFonts w:hint="default" w:ascii="Times New Roman" w:hAnsi="Times New Roman" w:cs="Times New Roman"/>
                      <w:color w:val="auto"/>
                      <w:kern w:val="0"/>
                      <w:szCs w:val="21"/>
                    </w:rPr>
                    <w:t>建筑垃圾堆放地点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7586" w:type="dxa"/>
                  <w:gridSpan w:val="4"/>
                  <w:vAlign w:val="center"/>
                </w:tcPr>
                <w:p>
                  <w:pPr>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挖方量=回填量+弃方量</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（3）建筑弃渣</w:t>
            </w:r>
          </w:p>
          <w:p>
            <w:pPr>
              <w:pStyle w:val="57"/>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项目施工期产生的建筑垃圾主要来源于</w:t>
            </w:r>
            <w:r>
              <w:rPr>
                <w:rFonts w:hint="default" w:ascii="Times New Roman" w:hAnsi="Times New Roman" w:eastAsia="宋体" w:cs="Times New Roman"/>
                <w:bCs/>
                <w:color w:val="auto"/>
                <w:szCs w:val="24"/>
                <w:lang w:eastAsia="zh-CN"/>
              </w:rPr>
              <w:t>地面管网铺设、路面硬化以及危废暂存间改建等</w:t>
            </w:r>
            <w:r>
              <w:rPr>
                <w:rFonts w:hint="default" w:ascii="Times New Roman" w:hAnsi="Times New Roman" w:eastAsia="宋体" w:cs="Times New Roman"/>
                <w:bCs/>
                <w:color w:val="auto"/>
                <w:szCs w:val="24"/>
              </w:rPr>
              <w:t>。</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项目新建</w:t>
            </w:r>
            <w:r>
              <w:rPr>
                <w:rFonts w:hint="default" w:ascii="Times New Roman" w:hAnsi="Times New Roman" w:cs="Times New Roman"/>
                <w:bCs/>
                <w:color w:val="auto"/>
                <w:sz w:val="24"/>
                <w:lang w:eastAsia="zh-CN"/>
              </w:rPr>
              <w:t>及改建建筑</w:t>
            </w:r>
            <w:r>
              <w:rPr>
                <w:rFonts w:hint="default" w:ascii="Times New Roman" w:hAnsi="Times New Roman" w:cs="Times New Roman"/>
                <w:bCs/>
                <w:color w:val="auto"/>
                <w:sz w:val="24"/>
              </w:rPr>
              <w:t>面积约为</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00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，类比同类项目，</w:t>
            </w:r>
            <w:r>
              <w:rPr>
                <w:rFonts w:hint="default" w:ascii="Times New Roman" w:hAnsi="Times New Roman" w:cs="Times New Roman"/>
                <w:color w:val="auto"/>
                <w:sz w:val="24"/>
              </w:rPr>
              <w:t>项目施工弃渣产生量按0.02m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计，则本项目建筑垃圾产生量为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bCs/>
                <w:color w:val="auto"/>
                <w:sz w:val="24"/>
              </w:rPr>
              <w:t>。项目施工产生的建筑垃圾采取分类清理、及时处置原则，如钢材和塑料等，可回收利用，废砖、残余混凝土等不可回收的建筑垃圾集中收集后，交由</w:t>
            </w:r>
            <w:r>
              <w:rPr>
                <w:rFonts w:hint="default" w:ascii="Times New Roman" w:hAnsi="Times New Roman" w:cs="Times New Roman"/>
                <w:bCs/>
                <w:color w:val="auto"/>
                <w:sz w:val="24"/>
                <w:lang w:eastAsia="zh-CN"/>
              </w:rPr>
              <w:t>施工</w:t>
            </w:r>
            <w:r>
              <w:rPr>
                <w:rFonts w:hint="default" w:ascii="Times New Roman" w:hAnsi="Times New Roman" w:cs="Times New Roman"/>
                <w:bCs/>
                <w:color w:val="auto"/>
                <w:sz w:val="24"/>
              </w:rPr>
              <w:t>单位运至建筑垃圾堆放地点。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（4）生活垃圾</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项目预定工人</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人，工人均为附近村民不在项目场区居住，施工人员生活垃圾产生量按0.5kg/d·人计，整个项目施工期为</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个月，即</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0天，则项目施工期产生的生活垃圾量为0.</w:t>
            </w:r>
            <w:r>
              <w:rPr>
                <w:rFonts w:hint="default" w:ascii="Times New Roman" w:hAnsi="Times New Roman" w:cs="Times New Roman"/>
                <w:color w:val="auto"/>
                <w:sz w:val="24"/>
                <w:lang w:val="en-US" w:eastAsia="zh-CN"/>
              </w:rPr>
              <w:t>23</w:t>
            </w:r>
            <w:r>
              <w:rPr>
                <w:rFonts w:hint="default" w:ascii="Times New Roman" w:hAnsi="Times New Roman" w:cs="Times New Roman"/>
                <w:color w:val="auto"/>
                <w:sz w:val="24"/>
              </w:rPr>
              <w:t>t，项目施工期产生的垃圾收集在垃圾收集桶，定期运往</w:t>
            </w:r>
            <w:r>
              <w:rPr>
                <w:rFonts w:hint="eastAsia" w:ascii="Times New Roman" w:hAnsi="Times New Roman" w:cs="Times New Roman"/>
                <w:color w:val="auto"/>
                <w:sz w:val="24"/>
                <w:lang w:eastAsia="zh-CN"/>
              </w:rPr>
              <w:t>蚌峨垃圾处置点</w:t>
            </w:r>
            <w:r>
              <w:rPr>
                <w:rFonts w:hint="default" w:ascii="Times New Roman" w:hAnsi="Times New Roman" w:cs="Times New Roman"/>
                <w:color w:val="auto"/>
                <w:sz w:val="24"/>
              </w:rPr>
              <w:t>。</w:t>
            </w:r>
          </w:p>
          <w:p>
            <w:pPr>
              <w:numPr>
                <w:ilvl w:val="0"/>
                <w:numId w:val="5"/>
              </w:num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储罐油渣</w:t>
            </w:r>
          </w:p>
          <w:p>
            <w:pPr>
              <w:numPr>
                <w:ilvl w:val="0"/>
                <w:numId w:val="0"/>
              </w:numPr>
              <w:spacing w:line="360" w:lineRule="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 xml:space="preserve">     项目储罐拆除以后，罐内油渣为危险废物，储罐出售给回收单位前，必须委托有资质的单位对罐体内油渣进行清除和处置。</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5、小结</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综上所述，施工污染存在于整个施工过程，但不同污染因子在不同施工阶段污染强度不同，随着施工期的结束，对环境的影响也随之消失。</w:t>
            </w: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cs="Times New Roman"/>
                <w:b/>
                <w:snapToGrid w:val="0"/>
                <w:color w:val="auto"/>
                <w:kern w:val="0"/>
                <w:sz w:val="24"/>
              </w:rPr>
            </w:pPr>
          </w:p>
          <w:p>
            <w:pPr>
              <w:spacing w:line="360" w:lineRule="auto"/>
              <w:rPr>
                <w:rFonts w:hint="default" w:ascii="Times New Roman" w:hAnsi="Times New Roman" w:eastAsia="宋体" w:cs="Times New Roman"/>
                <w:b/>
                <w:snapToGrid w:val="0"/>
                <w:color w:val="auto"/>
                <w:kern w:val="0"/>
                <w:sz w:val="24"/>
                <w:lang w:val="en-US" w:eastAsia="zh-CN"/>
              </w:rPr>
            </w:pPr>
            <w:r>
              <w:rPr>
                <w:rFonts w:hint="default" w:ascii="Times New Roman" w:hAnsi="Times New Roman" w:cs="Times New Roman"/>
                <w:b/>
                <w:snapToGrid w:val="0"/>
                <w:color w:val="auto"/>
                <w:kern w:val="0"/>
                <w:sz w:val="24"/>
                <w:lang w:val="en-US" w:eastAsia="zh-CN"/>
              </w:rPr>
              <w:t xml:space="preserve"> </w:t>
            </w:r>
          </w:p>
          <w:p>
            <w:pPr>
              <w:spacing w:line="360" w:lineRule="auto"/>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二、营运期污染工序</w:t>
            </w:r>
          </w:p>
          <w:p>
            <w:pPr>
              <w:spacing w:line="360" w:lineRule="auto"/>
              <w:ind w:firstLine="482" w:firstLineChars="200"/>
              <w:rPr>
                <w:rFonts w:hint="default" w:ascii="Times New Roman" w:hAnsi="Times New Roman" w:cs="Times New Roman"/>
                <w:b/>
                <w:snapToGrid w:val="0"/>
                <w:color w:val="auto"/>
                <w:kern w:val="0"/>
                <w:sz w:val="24"/>
              </w:rPr>
            </w:pPr>
            <w:r>
              <w:rPr>
                <w:rFonts w:hint="default" w:ascii="Times New Roman" w:hAnsi="Times New Roman" w:cs="Times New Roman"/>
                <w:b/>
                <w:color w:val="auto"/>
                <w:sz w:val="24"/>
              </w:rPr>
              <w:t>（一）</w:t>
            </w:r>
            <w:r>
              <w:rPr>
                <w:rFonts w:hint="default" w:ascii="Times New Roman" w:hAnsi="Times New Roman" w:cs="Times New Roman"/>
                <w:b/>
                <w:snapToGrid w:val="0"/>
                <w:color w:val="auto"/>
                <w:kern w:val="0"/>
                <w:sz w:val="24"/>
              </w:rPr>
              <w:t>废水</w:t>
            </w:r>
          </w:p>
          <w:p>
            <w:pPr>
              <w:spacing w:line="353"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1、地表水</w:t>
            </w:r>
          </w:p>
          <w:p>
            <w:pPr>
              <w:pStyle w:val="57"/>
              <w:ind w:firstLine="720" w:firstLineChars="300"/>
              <w:rPr>
                <w:rFonts w:hint="default" w:ascii="Times New Roman" w:hAnsi="Times New Roman" w:cs="Times New Roman"/>
                <w:color w:val="auto"/>
                <w:sz w:val="24"/>
              </w:rPr>
            </w:pPr>
            <w:r>
              <w:rPr>
                <w:rFonts w:hint="default" w:ascii="Times New Roman" w:hAnsi="Times New Roman" w:eastAsia="宋体" w:cs="Times New Roman"/>
                <w:color w:val="auto"/>
                <w:szCs w:val="24"/>
              </w:rPr>
              <w:t>项目加油区地面清洁按《汽车加油加气站设计与施工规范（20</w:t>
            </w:r>
            <w:r>
              <w:rPr>
                <w:rFonts w:hint="eastAsia" w:ascii="Times New Roman" w:hAnsi="Times New Roman" w:eastAsia="宋体" w:cs="Times New Roman"/>
                <w:color w:val="auto"/>
                <w:szCs w:val="24"/>
                <w:lang w:val="en-US" w:eastAsia="zh-CN"/>
              </w:rPr>
              <w:t>14</w:t>
            </w:r>
            <w:r>
              <w:rPr>
                <w:rFonts w:hint="default" w:ascii="Times New Roman" w:hAnsi="Times New Roman" w:eastAsia="宋体" w:cs="Times New Roman"/>
                <w:color w:val="auto"/>
                <w:szCs w:val="24"/>
              </w:rPr>
              <w:t>年版）》（GB50156-2012）中要求，加油站洒落在地面上的油品，轻油很快在空气中挥发散逸，残留油滴</w:t>
            </w:r>
            <w:r>
              <w:rPr>
                <w:rFonts w:hint="default" w:ascii="Times New Roman" w:hAnsi="Times New Roman" w:eastAsia="宋体" w:cs="Times New Roman"/>
                <w:color w:val="auto"/>
                <w:szCs w:val="24"/>
                <w:lang w:eastAsia="zh-CN"/>
              </w:rPr>
              <w:t>直接用消防沙</w:t>
            </w:r>
            <w:r>
              <w:rPr>
                <w:rFonts w:hint="eastAsia" w:ascii="Times New Roman" w:hAnsi="Times New Roman" w:eastAsia="宋体" w:cs="Times New Roman"/>
                <w:color w:val="auto"/>
                <w:szCs w:val="24"/>
                <w:lang w:eastAsia="zh-CN"/>
              </w:rPr>
              <w:t>和吸油毡</w:t>
            </w:r>
            <w:r>
              <w:rPr>
                <w:rFonts w:hint="default" w:ascii="Times New Roman" w:hAnsi="Times New Roman" w:eastAsia="宋体" w:cs="Times New Roman"/>
                <w:color w:val="auto"/>
                <w:szCs w:val="24"/>
                <w:lang w:eastAsia="zh-CN"/>
              </w:rPr>
              <w:t>将油品吸收，含油消防沙</w:t>
            </w:r>
            <w:r>
              <w:rPr>
                <w:rFonts w:hint="eastAsia" w:ascii="Times New Roman" w:hAnsi="Times New Roman" w:eastAsia="宋体" w:cs="Times New Roman"/>
                <w:color w:val="auto"/>
                <w:szCs w:val="24"/>
                <w:lang w:eastAsia="zh-CN"/>
              </w:rPr>
              <w:t>和吸油毡</w:t>
            </w:r>
            <w:r>
              <w:rPr>
                <w:rFonts w:hint="default" w:ascii="Times New Roman" w:hAnsi="Times New Roman" w:eastAsia="宋体" w:cs="Times New Roman"/>
                <w:color w:val="auto"/>
                <w:szCs w:val="24"/>
                <w:lang w:eastAsia="zh-CN"/>
              </w:rPr>
              <w:t>及时收集</w:t>
            </w:r>
            <w:r>
              <w:rPr>
                <w:rFonts w:hint="eastAsia" w:ascii="Times New Roman" w:hAnsi="Times New Roman" w:eastAsia="宋体" w:cs="Times New Roman"/>
                <w:color w:val="auto"/>
                <w:szCs w:val="24"/>
                <w:lang w:eastAsia="zh-CN"/>
              </w:rPr>
              <w:t>，不用水直接冲洗，所以不产生场区冲洗废水。</w:t>
            </w:r>
            <w:r>
              <w:rPr>
                <w:rFonts w:hint="default" w:ascii="Times New Roman" w:hAnsi="Times New Roman" w:eastAsia="宋体" w:cs="Times New Roman"/>
                <w:color w:val="auto"/>
                <w:szCs w:val="24"/>
                <w:lang w:eastAsia="zh-CN"/>
              </w:rPr>
              <w:t>项目运营期废水主要为员工生活污水、冲厕废水、办公生活区清洗废水等。</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（1）生活污水</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项目生活污水主要由公厕冲洗废水、厨房废水、洗漱废水等组成，主要含有机物、悬浮物等。</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①员工生活污水</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项目加油站拟配工作人员</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人，</w:t>
            </w:r>
            <w:r>
              <w:rPr>
                <w:rFonts w:hint="eastAsia" w:ascii="Times New Roman" w:hAnsi="Times New Roman" w:cs="Times New Roman"/>
                <w:color w:val="auto"/>
                <w:sz w:val="24"/>
                <w:lang w:eastAsia="zh-CN"/>
              </w:rPr>
              <w:t>两班倒，每日在岗人数为</w:t>
            </w:r>
            <w:r>
              <w:rPr>
                <w:rFonts w:hint="eastAsia" w:ascii="Times New Roman" w:hAnsi="Times New Roman" w:cs="Times New Roman"/>
                <w:color w:val="auto"/>
                <w:sz w:val="24"/>
                <w:lang w:val="en-US" w:eastAsia="zh-CN"/>
              </w:rPr>
              <w:t>4人，</w:t>
            </w:r>
            <w:r>
              <w:rPr>
                <w:rFonts w:hint="default" w:ascii="Times New Roman" w:hAnsi="Times New Roman" w:cs="Times New Roman"/>
                <w:color w:val="auto"/>
                <w:sz w:val="24"/>
              </w:rPr>
              <w:t>年工作时间为36</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天，根据《云南省用水定额标准— 居民生活用水定额》（DB53.T168-2013）规定核算，在加油站内食宿的工作人员生活用水量按100L/人·d计，则项目生活用水量为</w:t>
            </w:r>
            <w:r>
              <w:rPr>
                <w:rFonts w:hint="eastAsia" w:ascii="Times New Roman" w:hAnsi="Times New Roman" w:cs="Times New Roman"/>
                <w:color w:val="auto"/>
                <w:sz w:val="24"/>
                <w:lang w:val="en-US" w:eastAsia="zh-CN"/>
              </w:rPr>
              <w:t>0.4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146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/a，生活污水产生量按用水量的0.8计算，则项目员工生活污水产生量为</w:t>
            </w:r>
            <w:r>
              <w:rPr>
                <w:rFonts w:hint="default" w:ascii="Times New Roman" w:hAnsi="Times New Roman" w:cs="Times New Roman"/>
                <w:color w:val="auto"/>
                <w:sz w:val="24"/>
                <w:lang w:val="en-US" w:eastAsia="zh-CN"/>
              </w:rPr>
              <w:t>0.</w:t>
            </w:r>
            <w:r>
              <w:rPr>
                <w:rFonts w:hint="eastAsia" w:ascii="Times New Roman" w:hAnsi="Times New Roman" w:cs="Times New Roman"/>
                <w:color w:val="auto"/>
                <w:sz w:val="24"/>
                <w:lang w:val="en-US" w:eastAsia="zh-CN"/>
              </w:rPr>
              <w:t>32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116.8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/a。项目员工产生的生活污水主要包括粪便污水、洗漱废水及厨房废水，主要成分COD、BOD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-N、动植物油类等，各类废水经污水管网排至化粪池，经化粪池处理后</w:t>
            </w:r>
            <w:r>
              <w:rPr>
                <w:rFonts w:hint="default" w:ascii="Times New Roman" w:hAnsi="Times New Roman" w:cs="Times New Roman"/>
                <w:color w:val="auto"/>
                <w:sz w:val="24"/>
                <w:lang w:eastAsia="zh-CN"/>
              </w:rPr>
              <w:t>提供给周边的农户用作农肥</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②顾客污水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项目年加油量</w:t>
            </w:r>
            <w:r>
              <w:rPr>
                <w:rFonts w:hint="default" w:ascii="Times New Roman" w:hAnsi="Times New Roman" w:cs="Times New Roman"/>
                <w:color w:val="auto"/>
                <w:sz w:val="24"/>
                <w:lang w:eastAsia="zh-CN"/>
              </w:rPr>
              <w:t>约</w:t>
            </w:r>
            <w:r>
              <w:rPr>
                <w:rFonts w:hint="default" w:ascii="Times New Roman" w:hAnsi="Times New Roman" w:cs="Times New Roman"/>
                <w:color w:val="auto"/>
                <w:sz w:val="24"/>
              </w:rPr>
              <w:t>为</w:t>
            </w:r>
            <w:r>
              <w:rPr>
                <w:rFonts w:hint="eastAsia" w:ascii="Times New Roman" w:hAnsi="Times New Roman" w:cs="Times New Roman"/>
                <w:color w:val="auto"/>
                <w:sz w:val="24"/>
                <w:lang w:val="en-US" w:eastAsia="zh-CN"/>
              </w:rPr>
              <w:t>500</w:t>
            </w:r>
            <w:r>
              <w:rPr>
                <w:rFonts w:hint="default" w:ascii="Times New Roman" w:hAnsi="Times New Roman" w:cs="Times New Roman"/>
                <w:color w:val="auto"/>
                <w:sz w:val="24"/>
              </w:rPr>
              <w:t>t，其中汽油约</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t（约</w:t>
            </w:r>
            <w:r>
              <w:rPr>
                <w:rFonts w:hint="eastAsia" w:ascii="Times New Roman" w:hAnsi="Times New Roman" w:cs="Times New Roman"/>
                <w:color w:val="auto"/>
                <w:sz w:val="24"/>
                <w:lang w:val="en-US" w:eastAsia="zh-CN"/>
              </w:rPr>
              <w:t>273973</w:t>
            </w:r>
            <w:r>
              <w:rPr>
                <w:rFonts w:hint="default" w:ascii="Times New Roman" w:hAnsi="Times New Roman" w:cs="Times New Roman"/>
                <w:color w:val="auto"/>
                <w:sz w:val="24"/>
              </w:rPr>
              <w:t>L），柴油约</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t（约</w:t>
            </w:r>
            <w:r>
              <w:rPr>
                <w:rFonts w:hint="eastAsia" w:ascii="Times New Roman" w:hAnsi="Times New Roman" w:cs="Times New Roman"/>
                <w:color w:val="auto"/>
                <w:sz w:val="24"/>
                <w:lang w:val="en-US" w:eastAsia="zh-CN"/>
              </w:rPr>
              <w:t>361446</w:t>
            </w:r>
            <w:r>
              <w:rPr>
                <w:rFonts w:hint="default" w:ascii="Times New Roman" w:hAnsi="Times New Roman" w:cs="Times New Roman"/>
                <w:color w:val="auto"/>
                <w:sz w:val="24"/>
              </w:rPr>
              <w:t>L），则汽油日销售量约</w:t>
            </w:r>
            <w:r>
              <w:rPr>
                <w:rFonts w:hint="eastAsia" w:ascii="Times New Roman" w:hAnsi="Times New Roman" w:cs="Times New Roman"/>
                <w:color w:val="auto"/>
                <w:sz w:val="24"/>
                <w:lang w:val="en-US" w:eastAsia="zh-CN"/>
              </w:rPr>
              <w:t>751</w:t>
            </w:r>
            <w:r>
              <w:rPr>
                <w:rFonts w:hint="default" w:ascii="Times New Roman" w:hAnsi="Times New Roman" w:cs="Times New Roman"/>
                <w:color w:val="auto"/>
                <w:sz w:val="24"/>
              </w:rPr>
              <w:t>L，柴油每天销售量约</w:t>
            </w:r>
            <w:r>
              <w:rPr>
                <w:rFonts w:hint="eastAsia" w:ascii="Times New Roman" w:hAnsi="Times New Roman" w:cs="Times New Roman"/>
                <w:color w:val="auto"/>
                <w:sz w:val="24"/>
                <w:lang w:val="en-US" w:eastAsia="zh-CN"/>
              </w:rPr>
              <w:t>990</w:t>
            </w:r>
            <w:r>
              <w:rPr>
                <w:rFonts w:hint="default" w:ascii="Times New Roman" w:hAnsi="Times New Roman" w:cs="Times New Roman"/>
                <w:color w:val="auto"/>
                <w:sz w:val="24"/>
              </w:rPr>
              <w:t>L，以汽油每辆车平均加油</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0L计算，</w:t>
            </w:r>
            <w:r>
              <w:rPr>
                <w:rFonts w:hint="default" w:ascii="Times New Roman" w:hAnsi="Times New Roman" w:cs="Times New Roman"/>
                <w:color w:val="auto"/>
                <w:sz w:val="24"/>
                <w:lang w:eastAsia="zh-CN"/>
              </w:rPr>
              <w:t>则</w:t>
            </w:r>
            <w:r>
              <w:rPr>
                <w:rFonts w:hint="default" w:ascii="Times New Roman" w:hAnsi="Times New Roman" w:cs="Times New Roman"/>
                <w:color w:val="auto"/>
                <w:sz w:val="24"/>
              </w:rPr>
              <w:t>每天加油的车辆数约为</w:t>
            </w:r>
            <w:r>
              <w:rPr>
                <w:rFonts w:hint="eastAsia" w:ascii="Times New Roman" w:hAnsi="Times New Roman" w:cs="Times New Roman"/>
                <w:color w:val="auto"/>
                <w:sz w:val="24"/>
                <w:lang w:val="en-US" w:eastAsia="zh-CN"/>
              </w:rPr>
              <w:t>25</w:t>
            </w:r>
            <w:r>
              <w:rPr>
                <w:rFonts w:hint="default" w:ascii="Times New Roman" w:hAnsi="Times New Roman" w:cs="Times New Roman"/>
                <w:color w:val="auto"/>
                <w:sz w:val="24"/>
              </w:rPr>
              <w:t>辆，柴油每辆加油量约</w:t>
            </w:r>
            <w:r>
              <w:rPr>
                <w:rFonts w:hint="default" w:ascii="Times New Roman" w:hAnsi="Times New Roman" w:cs="Times New Roman"/>
                <w:color w:val="auto"/>
                <w:sz w:val="24"/>
                <w:lang w:val="en-US" w:eastAsia="zh-CN"/>
              </w:rPr>
              <w:t>80</w:t>
            </w:r>
            <w:r>
              <w:rPr>
                <w:rFonts w:hint="default" w:ascii="Times New Roman" w:hAnsi="Times New Roman" w:cs="Times New Roman"/>
                <w:color w:val="auto"/>
                <w:sz w:val="24"/>
              </w:rPr>
              <w:t>L核算，</w:t>
            </w:r>
            <w:r>
              <w:rPr>
                <w:rFonts w:hint="default" w:ascii="Times New Roman" w:hAnsi="Times New Roman" w:cs="Times New Roman"/>
                <w:color w:val="auto"/>
                <w:sz w:val="24"/>
                <w:lang w:eastAsia="zh-CN"/>
              </w:rPr>
              <w:t>则</w:t>
            </w:r>
            <w:r>
              <w:rPr>
                <w:rFonts w:hint="default" w:ascii="Times New Roman" w:hAnsi="Times New Roman" w:cs="Times New Roman"/>
                <w:color w:val="auto"/>
                <w:sz w:val="24"/>
              </w:rPr>
              <w:t>每天加油的车辆数约</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rPr>
              <w:t>辆，合计</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辆，以每辆车2人，50%的顾客使用公厕计算，每天使用卫生间的顾客人数为</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人次，用水量按2L/人次·d计，则加油站公厕用水量为0.</w:t>
            </w:r>
            <w:r>
              <w:rPr>
                <w:rFonts w:hint="eastAsia" w:ascii="Times New Roman" w:hAnsi="Times New Roman" w:cs="Times New Roman"/>
                <w:color w:val="auto"/>
                <w:sz w:val="24"/>
                <w:lang w:val="en-US" w:eastAsia="zh-CN"/>
              </w:rPr>
              <w:t>074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27.01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/a,污水排放量按其用水量的0.8计，则项目运营期顾客生活污水排放量为0.0</w:t>
            </w:r>
            <w:r>
              <w:rPr>
                <w:rFonts w:hint="eastAsia" w:ascii="Times New Roman" w:hAnsi="Times New Roman" w:cs="Times New Roman"/>
                <w:color w:val="auto"/>
                <w:sz w:val="24"/>
                <w:lang w:val="en-US" w:eastAsia="zh-CN"/>
              </w:rPr>
              <w:t>592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21.61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pStyle w:val="57"/>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ascii="Times New Roman" w:hAnsi="Times New Roman" w:eastAsia="宋体" w:cs="Times New Roman"/>
                <w:color w:val="auto"/>
                <w:kern w:val="2"/>
                <w:sz w:val="24"/>
                <w:szCs w:val="24"/>
                <w:lang w:val="en-US" w:eastAsia="zh-CN" w:bidi="ar-SA"/>
              </w:rPr>
              <w:t>办</w:t>
            </w:r>
            <w:r>
              <w:rPr>
                <w:rFonts w:hint="default" w:ascii="Times New Roman" w:hAnsi="Times New Roman" w:eastAsia="宋体" w:cs="Times New Roman"/>
                <w:color w:val="auto"/>
                <w:kern w:val="2"/>
                <w:sz w:val="24"/>
                <w:szCs w:val="24"/>
                <w:lang w:val="en-US" w:eastAsia="zh-CN" w:bidi="ar-SA"/>
              </w:rPr>
              <w:t>公生</w:t>
            </w:r>
            <w:r>
              <w:rPr>
                <w:rFonts w:hint="default" w:ascii="Times New Roman" w:hAnsi="Times New Roman" w:eastAsia="宋体" w:cs="Times New Roman"/>
                <w:color w:val="auto"/>
              </w:rPr>
              <w:t>活区地面清洗废水</w:t>
            </w:r>
          </w:p>
          <w:p>
            <w:pPr>
              <w:pStyle w:val="57"/>
              <w:rPr>
                <w:rFonts w:hint="default" w:ascii="Times New Roman" w:hAnsi="Times New Roman" w:eastAsia="宋体" w:cs="Times New Roman"/>
                <w:color w:val="auto"/>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办公生活区</w:t>
            </w:r>
            <w:r>
              <w:rPr>
                <w:rFonts w:hint="default" w:ascii="Times New Roman" w:hAnsi="Times New Roman" w:eastAsia="宋体" w:cs="Times New Roman"/>
                <w:color w:val="auto"/>
              </w:rPr>
              <w:t>等室内需要清洁，其面积共为</w:t>
            </w:r>
            <w:r>
              <w:rPr>
                <w:rFonts w:hint="eastAsia" w:ascii="Times New Roman" w:hAnsi="Times New Roman" w:eastAsia="宋体" w:cs="Times New Roman"/>
                <w:color w:val="auto"/>
                <w:lang w:val="en-US" w:eastAsia="zh-CN"/>
              </w:rPr>
              <w:t>240.99</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，清洁用水量以2L/m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•次计，则办公生活区清洁用水量为</w:t>
            </w: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48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/次，加油站每5天清洁一次，则</w:t>
            </w:r>
            <w:r>
              <w:rPr>
                <w:rFonts w:hint="default" w:ascii="Times New Roman" w:hAnsi="Times New Roman" w:eastAsia="宋体" w:cs="Times New Roman"/>
                <w:color w:val="auto"/>
                <w:lang w:eastAsia="zh-CN"/>
              </w:rPr>
              <w:t>年清洁次数为</w:t>
            </w:r>
            <w:r>
              <w:rPr>
                <w:rFonts w:hint="default" w:ascii="Times New Roman" w:hAnsi="Times New Roman" w:eastAsia="宋体" w:cs="Times New Roman"/>
                <w:color w:val="auto"/>
                <w:lang w:val="en-US" w:eastAsia="zh-CN"/>
              </w:rPr>
              <w:t>7</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次（年工作36</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天），</w:t>
            </w:r>
            <w:r>
              <w:rPr>
                <w:rFonts w:hint="default" w:ascii="Times New Roman" w:hAnsi="Times New Roman" w:eastAsia="宋体" w:cs="Times New Roman"/>
                <w:color w:val="auto"/>
              </w:rPr>
              <w:t>年清洁用水量为</w:t>
            </w:r>
            <w:r>
              <w:rPr>
                <w:rFonts w:hint="eastAsia" w:ascii="Times New Roman" w:hAnsi="Times New Roman" w:eastAsia="宋体" w:cs="Times New Roman"/>
                <w:color w:val="auto"/>
                <w:lang w:val="en-US" w:eastAsia="zh-CN"/>
              </w:rPr>
              <w:t>35.04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/a，污水排放量按其用水量的0.8计，废水排放量</w:t>
            </w: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38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hAnsi="Times New Roman" w:eastAsia="宋体" w:cs="Times New Roman"/>
                <w:color w:val="auto"/>
                <w:lang w:val="en-US" w:eastAsia="zh-CN"/>
              </w:rPr>
              <w:t>28.03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/a。主要成分是SS等。</w:t>
            </w:r>
          </w:p>
          <w:p>
            <w:pPr>
              <w:spacing w:line="348"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绿化用水</w:t>
            </w:r>
          </w:p>
          <w:p>
            <w:pPr>
              <w:spacing w:line="360" w:lineRule="auto"/>
              <w:ind w:firstLine="600" w:firstLineChars="250"/>
              <w:outlineLvl w:val="0"/>
              <w:rPr>
                <w:rFonts w:hint="default" w:ascii="Times New Roman" w:hAnsi="Times New Roman" w:cs="Times New Roman"/>
                <w:color w:val="auto"/>
                <w:sz w:val="24"/>
              </w:rPr>
            </w:pPr>
            <w:r>
              <w:rPr>
                <w:rFonts w:hint="default" w:ascii="Times New Roman" w:hAnsi="Times New Roman" w:cs="Times New Roman"/>
                <w:color w:val="auto"/>
                <w:sz w:val="24"/>
              </w:rPr>
              <w:t>项目绿地面积为</w:t>
            </w:r>
            <w:r>
              <w:rPr>
                <w:rFonts w:hint="eastAsia" w:ascii="Times New Roman" w:hAnsi="Times New Roman" w:cs="Times New Roman"/>
                <w:color w:val="auto"/>
                <w:sz w:val="24"/>
                <w:lang w:val="en-US" w:eastAsia="zh-CN"/>
              </w:rPr>
              <w:t>20m</w:t>
            </w:r>
            <w:r>
              <w:rPr>
                <w:rFonts w:hint="eastAsia"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rPr>
              <w:t>，根据气象资料，多年平均非雨天为219天，在非雨天绿地浇灌一般3-5天一次，则项目年绿化最大用水天数约为73天</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项目绿化用水量按3L/(m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·d)计，项目绿化用水量为</w:t>
            </w:r>
            <w:r>
              <w:rPr>
                <w:rFonts w:hint="default" w:ascii="Times New Roman" w:hAnsi="Times New Roman" w:cs="Times New Roman"/>
                <w:color w:val="auto"/>
                <w:sz w:val="24"/>
                <w:lang w:val="en-US" w:eastAsia="zh-CN"/>
              </w:rPr>
              <w:t>0.</w:t>
            </w:r>
            <w:r>
              <w:rPr>
                <w:rFonts w:hint="eastAsia" w:ascii="Times New Roman" w:hAnsi="Times New Roman" w:cs="Times New Roman"/>
                <w:color w:val="auto"/>
                <w:sz w:val="24"/>
                <w:lang w:val="en-US" w:eastAsia="zh-CN"/>
              </w:rPr>
              <w:t>06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4.38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/a（按73d/a计），项目绿化用水全部被植物吸收及蒸发，不外排。</w:t>
            </w:r>
          </w:p>
          <w:p>
            <w:pPr>
              <w:numPr>
                <w:ilvl w:val="0"/>
                <w:numId w:val="0"/>
              </w:numPr>
              <w:spacing w:line="360" w:lineRule="auto"/>
              <w:ind w:firstLine="240" w:firstLineChars="100"/>
              <w:outlineLvl w:val="0"/>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4</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雨水</w:t>
            </w:r>
          </w:p>
          <w:p>
            <w:pPr>
              <w:spacing w:line="348"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初期雨水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一般采用项目所在地历年日最大暴雨的前15min雨量为初期雨水量。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1）暴雨强度估算公式如下：</w:t>
            </w:r>
          </w:p>
          <w:p>
            <w:pPr>
              <w:spacing w:line="360" w:lineRule="auto"/>
              <w:jc w:val="center"/>
              <w:rPr>
                <w:rFonts w:hint="default" w:ascii="Times New Roman" w:hAnsi="Times New Roman" w:cs="Times New Roman"/>
                <w:color w:val="auto"/>
                <w:sz w:val="24"/>
                <w:lang w:val="fr-FR"/>
              </w:rPr>
            </w:pPr>
            <w:r>
              <w:rPr>
                <w:rFonts w:hint="default" w:ascii="Times New Roman" w:hAnsi="Times New Roman" w:cs="Times New Roman"/>
                <w:color w:val="auto"/>
                <w:position w:val="-24"/>
                <w:sz w:val="24"/>
                <w:lang w:val="fr-FR"/>
              </w:rPr>
              <w:object>
                <v:shape id="_x0000_i1029" o:spt="75" type="#_x0000_t75" style="height:31pt;width:108pt;" o:ole="t" filled="f" o:preferrelative="t" stroked="f" coordsize="21600,21600">
                  <v:path/>
                  <v:fill on="f" focussize="0,0"/>
                  <v:stroke on="f"/>
                  <v:imagedata r:id="rId17" o:title=""/>
                  <o:lock v:ext="edit" grouping="f" rotation="f" text="f" aspectratio="t"/>
                  <w10:wrap type="none"/>
                  <w10:anchorlock/>
                </v:shape>
                <o:OLEObject Type="Embed" ProgID="Equation.3" ShapeID="_x0000_i1029" DrawAspect="Content" ObjectID="_1468075729" r:id="rId16">
                  <o:LockedField>false</o:LockedField>
                </o:OLEObject>
              </w:object>
            </w:r>
            <w:r>
              <w:rPr>
                <w:rFonts w:hint="default" w:ascii="Times New Roman" w:hAnsi="Times New Roman" w:cs="Times New Roman"/>
                <w:color w:val="auto"/>
                <w:sz w:val="24"/>
                <w:lang w:val="fr-FR"/>
              </w:rPr>
              <w:t xml:space="preserve"> </w:t>
            </w:r>
          </w:p>
          <w:p>
            <w:pPr>
              <w:spacing w:line="360" w:lineRule="auto"/>
              <w:ind w:firstLine="480" w:firstLineChars="200"/>
              <w:rPr>
                <w:rFonts w:hint="default" w:ascii="Times New Roman" w:hAnsi="Times New Roman" w:cs="Times New Roman"/>
                <w:color w:val="auto"/>
                <w:sz w:val="24"/>
                <w:lang w:val="fr-FR"/>
              </w:rPr>
            </w:pPr>
            <w:r>
              <w:rPr>
                <w:rFonts w:hint="default" w:ascii="Times New Roman" w:hAnsi="Times New Roman" w:cs="Times New Roman"/>
                <w:color w:val="auto"/>
                <w:sz w:val="24"/>
              </w:rPr>
              <w:t>式中</w:t>
            </w:r>
            <w:r>
              <w:rPr>
                <w:rFonts w:hint="default" w:ascii="Times New Roman" w:hAnsi="Times New Roman" w:cs="Times New Roman"/>
                <w:color w:val="auto"/>
                <w:sz w:val="24"/>
                <w:lang w:val="fr-FR"/>
              </w:rPr>
              <w:t>：q-</w:t>
            </w:r>
            <w:r>
              <w:rPr>
                <w:rFonts w:hint="default" w:ascii="Times New Roman" w:hAnsi="Times New Roman" w:cs="Times New Roman"/>
                <w:color w:val="auto"/>
                <w:sz w:val="24"/>
              </w:rPr>
              <w:t>暴雨强度</w:t>
            </w:r>
            <w:r>
              <w:rPr>
                <w:rFonts w:hint="default" w:ascii="Times New Roman" w:hAnsi="Times New Roman" w:cs="Times New Roman"/>
                <w:color w:val="auto"/>
                <w:sz w:val="24"/>
                <w:lang w:val="fr-FR"/>
              </w:rPr>
              <w:t>，</w:t>
            </w:r>
            <w:r>
              <w:rPr>
                <w:rFonts w:hint="default" w:ascii="Times New Roman" w:hAnsi="Times New Roman" w:cs="Times New Roman"/>
                <w:color w:val="auto"/>
                <w:sz w:val="24"/>
              </w:rPr>
              <w:t>单位为</w:t>
            </w:r>
            <w:r>
              <w:rPr>
                <w:rFonts w:hint="default" w:ascii="Times New Roman" w:hAnsi="Times New Roman" w:cs="Times New Roman"/>
                <w:color w:val="auto"/>
                <w:sz w:val="24"/>
                <w:lang w:val="fr-FR"/>
              </w:rPr>
              <w:t>L/s·ha，</w:t>
            </w:r>
            <w:r>
              <w:rPr>
                <w:rFonts w:hint="default" w:ascii="Times New Roman" w:hAnsi="Times New Roman" w:cs="Times New Roman"/>
                <w:color w:val="auto"/>
                <w:sz w:val="24"/>
              </w:rPr>
              <w:t>其中</w:t>
            </w:r>
            <w:r>
              <w:rPr>
                <w:rFonts w:hint="default" w:ascii="Times New Roman" w:hAnsi="Times New Roman" w:cs="Times New Roman"/>
                <w:color w:val="auto"/>
                <w:sz w:val="24"/>
                <w:lang w:val="fr-FR"/>
              </w:rPr>
              <w:t>ha</w:t>
            </w:r>
            <w:r>
              <w:rPr>
                <w:rFonts w:hint="default" w:ascii="Times New Roman" w:hAnsi="Times New Roman" w:cs="Times New Roman"/>
                <w:color w:val="auto"/>
                <w:sz w:val="24"/>
              </w:rPr>
              <w:t>表示公顷</w:t>
            </w:r>
            <w:r>
              <w:rPr>
                <w:rFonts w:hint="default" w:ascii="Times New Roman" w:hAnsi="Times New Roman" w:cs="Times New Roman"/>
                <w:color w:val="auto"/>
                <w:sz w:val="24"/>
                <w:lang w:val="fr-FR"/>
              </w:rPr>
              <w:t>；</w:t>
            </w:r>
          </w:p>
          <w:p>
            <w:pPr>
              <w:spacing w:line="360" w:lineRule="auto"/>
              <w:ind w:firstLine="1200" w:firstLineChars="500"/>
              <w:rPr>
                <w:rFonts w:hint="default" w:ascii="Times New Roman" w:hAnsi="Times New Roman" w:cs="Times New Roman"/>
                <w:color w:val="auto"/>
                <w:sz w:val="24"/>
                <w:lang w:val="fr-FR"/>
              </w:rPr>
            </w:pPr>
            <w:r>
              <w:rPr>
                <w:rFonts w:hint="default" w:ascii="Times New Roman" w:hAnsi="Times New Roman" w:cs="Times New Roman"/>
                <w:color w:val="auto"/>
                <w:sz w:val="24"/>
                <w:lang w:val="fr-FR"/>
              </w:rPr>
              <w:t>P-</w:t>
            </w:r>
            <w:r>
              <w:rPr>
                <w:rFonts w:hint="default" w:ascii="Times New Roman" w:hAnsi="Times New Roman" w:cs="Times New Roman"/>
                <w:color w:val="auto"/>
                <w:sz w:val="24"/>
              </w:rPr>
              <w:t>重现期</w:t>
            </w:r>
            <w:r>
              <w:rPr>
                <w:rFonts w:hint="default" w:ascii="Times New Roman" w:hAnsi="Times New Roman" w:cs="Times New Roman"/>
                <w:color w:val="auto"/>
                <w:sz w:val="24"/>
                <w:lang w:val="fr-FR"/>
              </w:rPr>
              <w:t>，</w:t>
            </w:r>
            <w:r>
              <w:rPr>
                <w:rFonts w:hint="default" w:ascii="Times New Roman" w:hAnsi="Times New Roman" w:cs="Times New Roman"/>
                <w:color w:val="auto"/>
                <w:sz w:val="24"/>
              </w:rPr>
              <w:t>取</w:t>
            </w:r>
            <w:r>
              <w:rPr>
                <w:rFonts w:hint="default" w:ascii="Times New Roman" w:hAnsi="Times New Roman" w:cs="Times New Roman"/>
                <w:color w:val="auto"/>
                <w:sz w:val="24"/>
                <w:lang w:val="fr-FR"/>
              </w:rPr>
              <w:t>1</w:t>
            </w:r>
            <w:r>
              <w:rPr>
                <w:rFonts w:hint="default" w:ascii="Times New Roman" w:hAnsi="Times New Roman" w:cs="Times New Roman"/>
                <w:color w:val="auto"/>
                <w:sz w:val="24"/>
              </w:rPr>
              <w:t>年</w:t>
            </w:r>
            <w:r>
              <w:rPr>
                <w:rFonts w:hint="default" w:ascii="Times New Roman" w:hAnsi="Times New Roman" w:cs="Times New Roman"/>
                <w:color w:val="auto"/>
                <w:sz w:val="24"/>
                <w:lang w:val="fr-FR"/>
              </w:rPr>
              <w:t>；</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t-地面积水时间与管内流行时间之和，取15。</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则q=208.70L/s·ha。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2）初期雨水量按估算公式如下：</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position w:val="-10"/>
                <w:sz w:val="24"/>
              </w:rPr>
              <w:object>
                <v:shape id="_x0000_i1030" o:spt="75" type="#_x0000_t75" style="height:17pt;width:9pt;" o:ole="t" filled="f" o:preferrelative="t" stroked="f" coordsize="21600,21600">
                  <v:path/>
                  <v:fill on="f" focussize="0,0"/>
                  <v:stroke on="f"/>
                  <v:imagedata r:id="rId19" o:title=""/>
                  <o:lock v:ext="edit" grouping="f" rotation="f" text="f" aspectratio="t"/>
                  <w10:wrap type="none"/>
                  <w10:anchorlock/>
                </v:shape>
                <o:OLEObject Type="Embed" ProgID="Equation.3" ShapeID="_x0000_i1030" DrawAspect="Content" ObjectID="_1468075730" r:id="rId18">
                  <o:LockedField>false</o:LockedField>
                </o:OLEObject>
              </w:object>
            </w:r>
            <w:r>
              <w:rPr>
                <w:rFonts w:hint="default" w:ascii="Times New Roman" w:hAnsi="Times New Roman" w:cs="Times New Roman"/>
                <w:color w:val="auto"/>
                <w:sz w:val="24"/>
              </w:rPr>
              <w:t xml:space="preserve">Q=qFψT  </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式中：Q-初期雨水排放量，单位为m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F-汇水面积，单位为ha；</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ψ-年径流系数，根据云南省水文手册资料可知，项目所在区域取0.9；</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T-为收水时间，一般取15min。</w:t>
            </w:r>
          </w:p>
          <w:p>
            <w:pPr>
              <w:spacing w:line="360" w:lineRule="auto"/>
              <w:ind w:left="479" w:leftChars="228"/>
              <w:rPr>
                <w:rFonts w:hint="default" w:ascii="Times New Roman" w:hAnsi="Times New Roman" w:cs="Times New Roman"/>
                <w:color w:val="auto"/>
                <w:sz w:val="24"/>
              </w:rPr>
            </w:pPr>
            <w:r>
              <w:rPr>
                <w:rFonts w:hint="default" w:ascii="Times New Roman" w:hAnsi="Times New Roman" w:cs="Times New Roman"/>
                <w:color w:val="auto"/>
                <w:sz w:val="24"/>
              </w:rPr>
              <w:t>项目汇水面积约为</w:t>
            </w:r>
            <w:r>
              <w:rPr>
                <w:rFonts w:hint="eastAsia" w:ascii="Times New Roman" w:hAnsi="Times New Roman" w:cs="Times New Roman"/>
                <w:color w:val="auto"/>
                <w:sz w:val="24"/>
                <w:lang w:val="en-US" w:eastAsia="zh-CN"/>
              </w:rPr>
              <w:t>0.1148</w:t>
            </w:r>
            <w:r>
              <w:rPr>
                <w:rFonts w:hint="default" w:ascii="Times New Roman" w:hAnsi="Times New Roman" w:cs="Times New Roman"/>
                <w:color w:val="auto"/>
                <w:sz w:val="24"/>
              </w:rPr>
              <w:t>ha，根据上式计算得出，项目初期雨水量约为</w:t>
            </w:r>
            <w:r>
              <w:rPr>
                <w:rFonts w:hint="eastAsia" w:ascii="Times New Roman" w:hAnsi="Times New Roman" w:cs="Times New Roman"/>
                <w:color w:val="auto"/>
                <w:sz w:val="24"/>
                <w:lang w:val="en-US" w:eastAsia="zh-CN"/>
              </w:rPr>
              <w:t>19.41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480" w:firstLineChars="200"/>
              <w:outlineLvl w:val="0"/>
              <w:rPr>
                <w:rFonts w:hint="default" w:ascii="Times New Roman" w:hAnsi="Times New Roman" w:cs="Times New Roman"/>
                <w:color w:val="auto"/>
                <w:sz w:val="24"/>
              </w:rPr>
            </w:pPr>
            <w:r>
              <w:rPr>
                <w:rFonts w:hint="default" w:ascii="Times New Roman" w:hAnsi="Times New Roman" w:cs="Times New Roman"/>
                <w:color w:val="auto"/>
                <w:sz w:val="24"/>
              </w:rPr>
              <w:t>考虑到项目性质，</w:t>
            </w:r>
            <w:r>
              <w:rPr>
                <w:rFonts w:hint="default" w:ascii="Times New Roman" w:hAnsi="Times New Roman" w:cs="Times New Roman"/>
                <w:color w:val="auto"/>
                <w:sz w:val="24"/>
                <w:lang w:eastAsia="zh-CN"/>
              </w:rPr>
              <w:t>进出车辆跑冒漏滴及卸油区</w:t>
            </w:r>
            <w:r>
              <w:rPr>
                <w:rFonts w:hint="default" w:ascii="Times New Roman" w:hAnsi="Times New Roman" w:cs="Times New Roman"/>
                <w:color w:val="auto"/>
                <w:sz w:val="24"/>
              </w:rPr>
              <w:t>地面易残留少量矿物质油，若</w:t>
            </w:r>
            <w:r>
              <w:rPr>
                <w:rFonts w:hint="default" w:ascii="Times New Roman" w:hAnsi="Times New Roman" w:cs="Times New Roman"/>
                <w:color w:val="auto"/>
                <w:sz w:val="24"/>
                <w:lang w:eastAsia="zh-CN"/>
              </w:rPr>
              <w:t>初期雨水</w:t>
            </w:r>
            <w:r>
              <w:rPr>
                <w:rFonts w:hint="default" w:ascii="Times New Roman" w:hAnsi="Times New Roman" w:cs="Times New Roman"/>
                <w:color w:val="auto"/>
                <w:sz w:val="24"/>
              </w:rPr>
              <w:t>直接外排将对地表水、地下水及土壤造成不利影响，因此需对站内地面雨水进行预处理，项目</w:t>
            </w:r>
            <w:r>
              <w:rPr>
                <w:rFonts w:hint="eastAsia" w:ascii="Times New Roman" w:hAnsi="Times New Roman" w:cs="Times New Roman"/>
                <w:color w:val="auto"/>
                <w:sz w:val="24"/>
                <w:lang w:eastAsia="zh-CN"/>
              </w:rPr>
              <w:t>东南侧</w:t>
            </w:r>
            <w:r>
              <w:rPr>
                <w:rFonts w:hint="default" w:ascii="Times New Roman" w:hAnsi="Times New Roman" w:cs="Times New Roman"/>
                <w:color w:val="auto"/>
                <w:sz w:val="24"/>
              </w:rPr>
              <w:t>建设水封井1座，站内含油雨水经引流沟收集后排入水封井中，</w:t>
            </w:r>
            <w:r>
              <w:rPr>
                <w:rFonts w:hint="default" w:ascii="Times New Roman" w:hAnsi="Times New Roman" w:cs="Times New Roman"/>
                <w:color w:val="auto"/>
                <w:sz w:val="24"/>
                <w:lang w:eastAsia="zh-CN"/>
              </w:rPr>
              <w:t>经水封井处理后</w:t>
            </w:r>
            <w:r>
              <w:rPr>
                <w:rFonts w:hint="default" w:ascii="Times New Roman" w:hAnsi="Times New Roman" w:cs="Times New Roman"/>
                <w:color w:val="auto"/>
                <w:sz w:val="24"/>
              </w:rPr>
              <w:t>再外排至地表沟渠。</w:t>
            </w:r>
          </w:p>
          <w:p>
            <w:pPr>
              <w:spacing w:line="500" w:lineRule="exact"/>
              <w:ind w:firstLine="495"/>
              <w:jc w:val="left"/>
              <w:rPr>
                <w:rFonts w:hint="default"/>
                <w:color w:val="auto"/>
              </w:rPr>
            </w:pPr>
            <w:r>
              <w:rPr>
                <w:rFonts w:hint="default" w:ascii="Times New Roman" w:hAnsi="Times New Roman" w:cs="Times New Roman"/>
                <w:color w:val="auto"/>
                <w:sz w:val="24"/>
              </w:rPr>
              <w:t>项目用水量和污水产生量见表5-5，项目水平衡图见图5-8。</w:t>
            </w:r>
          </w:p>
          <w:tbl>
            <w:tblPr>
              <w:tblStyle w:val="23"/>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288"/>
              <w:gridCol w:w="1252"/>
              <w:gridCol w:w="758"/>
              <w:gridCol w:w="739"/>
              <w:gridCol w:w="1049"/>
              <w:gridCol w:w="687"/>
              <w:gridCol w:w="871"/>
              <w:gridCol w:w="14"/>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8607" w:type="dxa"/>
                  <w:gridSpan w:val="10"/>
                  <w:tcBorders>
                    <w:top w:val="nil"/>
                    <w:left w:val="nil"/>
                    <w:right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表5-5 建设项目用水量和污水产生量一览表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000"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288"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用水量定额</w:t>
                  </w:r>
                </w:p>
              </w:tc>
              <w:tc>
                <w:tcPr>
                  <w:tcW w:w="125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设计使用人数或其它</w:t>
                  </w:r>
                </w:p>
              </w:tc>
              <w:tc>
                <w:tcPr>
                  <w:tcW w:w="758"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left="-46" w:leftChars="-22" w:right="-69" w:rightChars="-33"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用水</w:t>
                  </w:r>
                </w:p>
                <w:p>
                  <w:pPr>
                    <w:keepNext w:val="0"/>
                    <w:keepLines w:val="0"/>
                    <w:pageBreakBefore w:val="0"/>
                    <w:widowControl w:val="0"/>
                    <w:kinsoku/>
                    <w:wordWrap/>
                    <w:overflowPunct/>
                    <w:topLinePunct w:val="0"/>
                    <w:autoSpaceDE/>
                    <w:autoSpaceDN/>
                    <w:bidi w:val="0"/>
                    <w:adjustRightInd/>
                    <w:snapToGrid/>
                    <w:spacing w:line="400" w:lineRule="exact"/>
                    <w:ind w:left="-46" w:leftChars="-22" w:right="-69" w:rightChars="-33"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天数</w:t>
                  </w:r>
                </w:p>
              </w:tc>
              <w:tc>
                <w:tcPr>
                  <w:tcW w:w="1788"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right="-107" w:rightChars="-5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用水量（m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68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right="-107" w:rightChars="-51" w:firstLine="0" w:firstLineChars="0"/>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产污</w:t>
                  </w:r>
                </w:p>
                <w:p>
                  <w:pPr>
                    <w:keepNext w:val="0"/>
                    <w:keepLines w:val="0"/>
                    <w:pageBreakBefore w:val="0"/>
                    <w:widowControl w:val="0"/>
                    <w:kinsoku/>
                    <w:wordWrap/>
                    <w:overflowPunct/>
                    <w:topLinePunct w:val="0"/>
                    <w:autoSpaceDE/>
                    <w:autoSpaceDN/>
                    <w:bidi w:val="0"/>
                    <w:adjustRightInd/>
                    <w:snapToGrid/>
                    <w:spacing w:line="400" w:lineRule="exact"/>
                    <w:ind w:right="-107" w:rightChars="-51" w:firstLine="0" w:firstLineChars="0"/>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系数</w:t>
                  </w:r>
                </w:p>
              </w:tc>
              <w:tc>
                <w:tcPr>
                  <w:tcW w:w="1834"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ind w:right="-107" w:rightChars="-5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污水产生量（m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000"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p>
              </w:tc>
              <w:tc>
                <w:tcPr>
                  <w:tcW w:w="128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p>
              </w:tc>
              <w:tc>
                <w:tcPr>
                  <w:tcW w:w="1252"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p>
              </w:tc>
              <w:tc>
                <w:tcPr>
                  <w:tcW w:w="75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46" w:leftChars="-22" w:right="-69" w:rightChars="-33" w:firstLine="0" w:firstLineChars="0"/>
                    <w:jc w:val="center"/>
                    <w:textAlignment w:val="auto"/>
                    <w:outlineLvl w:val="9"/>
                    <w:rPr>
                      <w:rFonts w:hint="default" w:ascii="Times New Roman" w:hAnsi="Times New Roman" w:cs="Times New Roman"/>
                      <w:color w:val="auto"/>
                      <w:szCs w:val="21"/>
                    </w:rPr>
                  </w:pPr>
                </w:p>
              </w:tc>
              <w:tc>
                <w:tcPr>
                  <w:tcW w:w="739"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107" w:rightChars="-5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天</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107" w:rightChars="-5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年</w:t>
                  </w:r>
                </w:p>
              </w:tc>
              <w:tc>
                <w:tcPr>
                  <w:tcW w:w="687"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right="-107" w:rightChars="-51" w:firstLine="0" w:firstLineChars="0"/>
                    <w:jc w:val="center"/>
                    <w:textAlignment w:val="auto"/>
                    <w:outlineLvl w:val="9"/>
                    <w:rPr>
                      <w:rFonts w:hint="default" w:ascii="Times New Roman" w:hAnsi="Times New Roman" w:cs="Times New Roman"/>
                      <w:color w:val="auto"/>
                      <w:szCs w:val="21"/>
                    </w:rPr>
                  </w:pPr>
                </w:p>
              </w:tc>
              <w:tc>
                <w:tcPr>
                  <w:tcW w:w="871"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107" w:rightChars="-5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天</w:t>
                  </w:r>
                </w:p>
              </w:tc>
              <w:tc>
                <w:tcPr>
                  <w:tcW w:w="963"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right="-107" w:rightChars="-51"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0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员工</w:t>
                  </w:r>
                </w:p>
              </w:tc>
              <w:tc>
                <w:tcPr>
                  <w:tcW w:w="128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100L/人•d</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rPr>
                    <w:t>人</w:t>
                  </w:r>
                </w:p>
              </w:tc>
              <w:tc>
                <w:tcPr>
                  <w:tcW w:w="75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36</w:t>
                  </w:r>
                  <w:r>
                    <w:rPr>
                      <w:rFonts w:hint="eastAsia" w:ascii="Times New Roman" w:hAnsi="Times New Roman" w:cs="Times New Roman"/>
                      <w:color w:val="auto"/>
                      <w:szCs w:val="21"/>
                      <w:lang w:val="en-US" w:eastAsia="zh-CN"/>
                    </w:rPr>
                    <w:t>5</w:t>
                  </w:r>
                </w:p>
              </w:tc>
              <w:tc>
                <w:tcPr>
                  <w:tcW w:w="73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0.4</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146</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0.8</w:t>
                  </w:r>
                </w:p>
              </w:tc>
              <w:tc>
                <w:tcPr>
                  <w:tcW w:w="88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0.32</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116.8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0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顾客</w:t>
                  </w:r>
                </w:p>
              </w:tc>
              <w:tc>
                <w:tcPr>
                  <w:tcW w:w="128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2L/人次•d</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27</w:t>
                  </w:r>
                  <w:r>
                    <w:rPr>
                      <w:rFonts w:hint="default" w:ascii="Times New Roman" w:hAnsi="Times New Roman" w:cs="Times New Roman"/>
                      <w:color w:val="auto"/>
                      <w:szCs w:val="21"/>
                    </w:rPr>
                    <w:t>人次</w:t>
                  </w:r>
                </w:p>
              </w:tc>
              <w:tc>
                <w:tcPr>
                  <w:tcW w:w="75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36</w:t>
                  </w:r>
                  <w:r>
                    <w:rPr>
                      <w:rFonts w:hint="eastAsia" w:ascii="Times New Roman" w:hAnsi="Times New Roman" w:cs="Times New Roman"/>
                      <w:color w:val="auto"/>
                      <w:szCs w:val="21"/>
                      <w:lang w:val="en-US" w:eastAsia="zh-CN"/>
                    </w:rPr>
                    <w:t>5</w:t>
                  </w:r>
                </w:p>
              </w:tc>
              <w:tc>
                <w:tcPr>
                  <w:tcW w:w="73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074</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27.01</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0.8</w:t>
                  </w:r>
                </w:p>
              </w:tc>
              <w:tc>
                <w:tcPr>
                  <w:tcW w:w="88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w:t>
                  </w:r>
                  <w:r>
                    <w:rPr>
                      <w:rFonts w:hint="eastAsia" w:ascii="Times New Roman" w:hAnsi="Times New Roman" w:eastAsia="宋体" w:cs="Times New Roman"/>
                      <w:color w:val="auto"/>
                      <w:szCs w:val="21"/>
                      <w:lang w:val="en-US" w:eastAsia="zh-CN"/>
                    </w:rPr>
                    <w:t>59</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0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办公生活区清洗</w:t>
                  </w:r>
                </w:p>
              </w:tc>
              <w:tc>
                <w:tcPr>
                  <w:tcW w:w="128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2L/m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•次</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240.99</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75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7</w:t>
                  </w:r>
                  <w:r>
                    <w:rPr>
                      <w:rFonts w:hint="eastAsia" w:ascii="Times New Roman" w:hAnsi="Times New Roman" w:cs="Times New Roman"/>
                      <w:color w:val="auto"/>
                      <w:szCs w:val="21"/>
                      <w:lang w:val="en-US" w:eastAsia="zh-CN"/>
                    </w:rPr>
                    <w:t>3</w:t>
                  </w:r>
                </w:p>
              </w:tc>
              <w:tc>
                <w:tcPr>
                  <w:tcW w:w="73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0.48</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35.04</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0.8</w:t>
                  </w:r>
                </w:p>
              </w:tc>
              <w:tc>
                <w:tcPr>
                  <w:tcW w:w="88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38</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0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绿化</w:t>
                  </w:r>
                </w:p>
              </w:tc>
              <w:tc>
                <w:tcPr>
                  <w:tcW w:w="128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3L/(m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•d)</w:t>
                  </w:r>
                </w:p>
              </w:tc>
              <w:tc>
                <w:tcPr>
                  <w:tcW w:w="1252"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20m</w:t>
                  </w:r>
                  <w:r>
                    <w:rPr>
                      <w:rFonts w:hint="eastAsia" w:ascii="Times New Roman" w:hAnsi="Times New Roman" w:cs="Times New Roman"/>
                      <w:color w:val="auto"/>
                      <w:szCs w:val="21"/>
                      <w:vertAlign w:val="superscript"/>
                      <w:lang w:val="en-US" w:eastAsia="zh-CN"/>
                    </w:rPr>
                    <w:t>2</w:t>
                  </w:r>
                </w:p>
              </w:tc>
              <w:tc>
                <w:tcPr>
                  <w:tcW w:w="758"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73</w:t>
                  </w:r>
                </w:p>
              </w:tc>
              <w:tc>
                <w:tcPr>
                  <w:tcW w:w="73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w:t>
                  </w:r>
                  <w:r>
                    <w:rPr>
                      <w:rFonts w:hint="eastAsia" w:ascii="Times New Roman" w:hAnsi="Times New Roman" w:eastAsia="宋体" w:cs="Times New Roman"/>
                      <w:color w:val="auto"/>
                      <w:szCs w:val="21"/>
                      <w:lang w:val="en-US" w:eastAsia="zh-CN"/>
                    </w:rPr>
                    <w:t>06</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4.38</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88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00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3298" w:type="dxa"/>
                  <w:gridSpan w:val="3"/>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73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1.014</w:t>
                  </w:r>
                </w:p>
              </w:tc>
              <w:tc>
                <w:tcPr>
                  <w:tcW w:w="10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212.43</w:t>
                  </w:r>
                </w:p>
              </w:tc>
              <w:tc>
                <w:tcPr>
                  <w:tcW w:w="687"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c>
                <w:tcPr>
                  <w:tcW w:w="885"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0.759</w:t>
                  </w:r>
                </w:p>
              </w:tc>
              <w:tc>
                <w:tcPr>
                  <w:tcW w:w="949"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166.44</w:t>
                  </w:r>
                </w:p>
              </w:tc>
            </w:tr>
          </w:tbl>
          <w:p>
            <w:pPr>
              <w:spacing w:line="360" w:lineRule="auto"/>
              <w:ind w:firstLine="600" w:firstLineChars="250"/>
              <w:outlineLvl w:val="0"/>
              <w:rPr>
                <w:rFonts w:hint="default" w:ascii="Times New Roman" w:hAnsi="Times New Roman" w:cs="Times New Roman"/>
                <w:color w:val="auto"/>
                <w:sz w:val="24"/>
              </w:rPr>
            </w:pPr>
            <w:r>
              <w:rPr>
                <w:rFonts w:hint="default" w:ascii="Times New Roman" w:hAnsi="Times New Roman" w:cs="Times New Roman"/>
                <w:color w:val="auto"/>
                <w:sz w:val="24"/>
              </w:rPr>
              <w:t>综上，项目运营期废水总产生量为</w:t>
            </w:r>
            <w:r>
              <w:rPr>
                <w:rFonts w:hint="eastAsia" w:ascii="Times New Roman" w:hAnsi="Times New Roman" w:cs="Times New Roman"/>
                <w:color w:val="auto"/>
                <w:sz w:val="24"/>
                <w:lang w:val="en-US" w:eastAsia="zh-CN"/>
              </w:rPr>
              <w:t>166.44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/a，其中生活污水产生总量为</w:t>
            </w:r>
            <w:r>
              <w:rPr>
                <w:rFonts w:hint="eastAsia" w:ascii="Times New Roman" w:hAnsi="Times New Roman" w:cs="Times New Roman"/>
                <w:color w:val="auto"/>
                <w:sz w:val="24"/>
                <w:lang w:val="en-US" w:eastAsia="zh-CN"/>
              </w:rPr>
              <w:t>138.41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/a，办公生活区地面清洗废水产生量</w:t>
            </w:r>
            <w:r>
              <w:rPr>
                <w:rFonts w:hint="eastAsia" w:ascii="Times New Roman" w:hAnsi="Times New Roman" w:cs="Times New Roman"/>
                <w:color w:val="auto"/>
                <w:sz w:val="24"/>
                <w:lang w:val="en-US" w:eastAsia="zh-CN"/>
              </w:rPr>
              <w:t>28.03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/a。项目拟将生活污水和办公生活区清洗废水共</w:t>
            </w:r>
            <w:r>
              <w:rPr>
                <w:rFonts w:hint="eastAsia" w:ascii="Times New Roman" w:hAnsi="Times New Roman" w:cs="Times New Roman"/>
                <w:color w:val="auto"/>
                <w:sz w:val="24"/>
                <w:lang w:val="en-US" w:eastAsia="zh-CN"/>
              </w:rPr>
              <w:t>166.44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/a，通过废水收集管道收集至化粪池，经化粪池处理后提供给周边的农户用作农肥</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拟将场区雨水经雨水管道收集至水封井，经水封井处理后排放。</w:t>
            </w:r>
          </w:p>
          <w:p>
            <w:pPr>
              <w:spacing w:line="360" w:lineRule="auto"/>
              <w:outlineLvl w:val="0"/>
              <w:rPr>
                <w:rFonts w:hint="default" w:ascii="Times New Roman" w:hAnsi="Times New Roman" w:cs="Times New Roman"/>
                <w:color w:val="auto"/>
              </w:rPr>
            </w:pPr>
            <w:r>
              <w:rPr>
                <w:rFonts w:hint="default" w:ascii="Times New Roman" w:hAnsi="Times New Roman" w:cs="Times New Roman"/>
                <w:color w:val="auto"/>
              </w:rPr>
              <mc:AlternateContent>
                <mc:Choice Requires="wpc">
                  <w:drawing>
                    <wp:anchor distT="0" distB="0" distL="114300" distR="114300" simplePos="0" relativeHeight="251674624" behindDoc="0" locked="0" layoutInCell="1" allowOverlap="1">
                      <wp:simplePos x="0" y="0"/>
                      <wp:positionH relativeFrom="character">
                        <wp:posOffset>285750</wp:posOffset>
                      </wp:positionH>
                      <wp:positionV relativeFrom="line">
                        <wp:posOffset>114935</wp:posOffset>
                      </wp:positionV>
                      <wp:extent cx="5075555" cy="3541395"/>
                      <wp:effectExtent l="0" t="0" r="0" b="0"/>
                      <wp:wrapNone/>
                      <wp:docPr id="165" name="画布 18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40" name="矩形 1834"/>
                              <wps:cNvSpPr/>
                              <wps:spPr>
                                <a:xfrm>
                                  <a:off x="1600200" y="405765"/>
                                  <a:ext cx="800100" cy="262890"/>
                                </a:xfrm>
                                <a:prstGeom prst="rect">
                                  <a:avLst/>
                                </a:prstGeom>
                                <a:solidFill>
                                  <a:srgbClr val="FFFFFF"/>
                                </a:solidFill>
                                <a:ln w="9525" cap="flat" cmpd="sng">
                                  <a:solidFill>
                                    <a:srgbClr val="000000"/>
                                  </a:solidFill>
                                  <a:prstDash val="solid"/>
                                  <a:miter/>
                                  <a:headEnd type="none" w="med" len="med"/>
                                  <a:tailEnd type="none" w="med" len="med"/>
                                </a:ln>
                              </wps:spPr>
                              <wps:txbx>
                                <w:txbxContent>
                                  <w:p>
                                    <w:r>
                                      <w:t>生活</w:t>
                                    </w:r>
                                    <w:r>
                                      <w:rPr>
                                        <w:rFonts w:hint="eastAsia"/>
                                      </w:rPr>
                                      <w:t>用水</w:t>
                                    </w:r>
                                  </w:p>
                                </w:txbxContent>
                              </wps:txbx>
                              <wps:bodyPr wrap="square" upright="1"/>
                            </wps:wsp>
                            <wps:wsp>
                              <wps:cNvPr id="141" name="任意多边形 1835"/>
                              <wps:cNvSpPr/>
                              <wps:spPr>
                                <a:xfrm>
                                  <a:off x="914400" y="502920"/>
                                  <a:ext cx="685800" cy="1007110"/>
                                </a:xfrm>
                                <a:custGeom>
                                  <a:avLst/>
                                  <a:gdLst/>
                                  <a:ahLst/>
                                  <a:cxnLst/>
                                  <a:pathLst>
                                    <a:path w="1080" h="2184">
                                      <a:moveTo>
                                        <a:pt x="1080" y="0"/>
                                      </a:moveTo>
                                      <a:lnTo>
                                        <a:pt x="0" y="0"/>
                                      </a:lnTo>
                                      <a:lnTo>
                                        <a:pt x="0" y="2184"/>
                                      </a:lnTo>
                                      <a:lnTo>
                                        <a:pt x="1080" y="2184"/>
                                      </a:lnTo>
                                    </a:path>
                                  </a:pathLst>
                                </a:custGeom>
                                <a:noFill/>
                                <a:ln w="9525" cap="flat" cmpd="sng">
                                  <a:solidFill>
                                    <a:srgbClr val="000000"/>
                                  </a:solidFill>
                                  <a:prstDash val="solid"/>
                                  <a:headEnd type="triangle" w="med" len="med"/>
                                  <a:tailEnd type="triangle" w="med" len="med"/>
                                </a:ln>
                              </wps:spPr>
                              <wps:bodyPr wrap="square" upright="1"/>
                            </wps:wsp>
                            <wps:wsp>
                              <wps:cNvPr id="142" name="直线 1836"/>
                              <wps:cNvCnPr/>
                              <wps:spPr>
                                <a:xfrm flipV="1">
                                  <a:off x="116205" y="954405"/>
                                  <a:ext cx="800100" cy="635"/>
                                </a:xfrm>
                                <a:prstGeom prst="line">
                                  <a:avLst/>
                                </a:prstGeom>
                                <a:ln w="9525" cap="flat" cmpd="sng">
                                  <a:solidFill>
                                    <a:srgbClr val="000000"/>
                                  </a:solidFill>
                                  <a:prstDash val="solid"/>
                                  <a:headEnd type="none" w="med" len="med"/>
                                  <a:tailEnd type="triangle" w="med" len="med"/>
                                </a:ln>
                              </wps:spPr>
                              <wps:bodyPr upright="1"/>
                            </wps:wsp>
                            <wps:wsp>
                              <wps:cNvPr id="143" name="文本框 1837"/>
                              <wps:cNvSpPr txBox="1"/>
                              <wps:spPr>
                                <a:xfrm>
                                  <a:off x="0" y="436245"/>
                                  <a:ext cx="1028700" cy="594360"/>
                                </a:xfrm>
                                <a:prstGeom prst="rect">
                                  <a:avLst/>
                                </a:prstGeom>
                                <a:noFill/>
                                <a:ln w="9525">
                                  <a:noFill/>
                                </a:ln>
                              </wps:spPr>
                              <wps:txbx>
                                <w:txbxContent>
                                  <w:p>
                                    <w:pPr>
                                      <w:rPr>
                                        <w:rFonts w:hint="eastAsia"/>
                                      </w:rPr>
                                    </w:pPr>
                                  </w:p>
                                  <w:p>
                                    <w:pPr>
                                      <w:rPr>
                                        <w:rFonts w:hint="eastAsia"/>
                                        <w:lang w:val="en-US"/>
                                      </w:rPr>
                                    </w:pPr>
                                    <w:r>
                                      <w:t>自来水</w:t>
                                    </w:r>
                                    <w:r>
                                      <w:rPr>
                                        <w:rFonts w:hint="eastAsia"/>
                                        <w:lang w:val="en-US" w:eastAsia="zh-CN"/>
                                      </w:rPr>
                                      <w:t>0.954</w:t>
                                    </w:r>
                                  </w:p>
                                </w:txbxContent>
                              </wps:txbx>
                              <wps:bodyPr wrap="square" upright="1"/>
                            </wps:wsp>
                            <wps:wsp>
                              <wps:cNvPr id="144" name="文本框 1838"/>
                              <wps:cNvSpPr txBox="1"/>
                              <wps:spPr>
                                <a:xfrm>
                                  <a:off x="987425" y="217170"/>
                                  <a:ext cx="574675" cy="297180"/>
                                </a:xfrm>
                                <a:prstGeom prst="rect">
                                  <a:avLst/>
                                </a:prstGeom>
                                <a:noFill/>
                                <a:ln w="9525">
                                  <a:noFill/>
                                </a:ln>
                              </wps:spPr>
                              <wps:txbx>
                                <w:txbxContent>
                                  <w:p>
                                    <w:pPr>
                                      <w:rPr>
                                        <w:rFonts w:hint="eastAsia" w:eastAsia="宋体"/>
                                        <w:lang w:val="en-US" w:eastAsia="zh-CN"/>
                                      </w:rPr>
                                    </w:pPr>
                                    <w:r>
                                      <w:rPr>
                                        <w:rFonts w:hint="eastAsia"/>
                                        <w:lang w:val="en-US" w:eastAsia="zh-CN"/>
                                      </w:rPr>
                                      <w:t>0.474</w:t>
                                    </w:r>
                                  </w:p>
                                </w:txbxContent>
                              </wps:txbx>
                              <wps:bodyPr wrap="square" upright="1"/>
                            </wps:wsp>
                            <wps:wsp>
                              <wps:cNvPr id="145" name="直线 1839"/>
                              <wps:cNvCnPr/>
                              <wps:spPr>
                                <a:xfrm>
                                  <a:off x="2400300" y="504825"/>
                                  <a:ext cx="1482725" cy="1270"/>
                                </a:xfrm>
                                <a:prstGeom prst="line">
                                  <a:avLst/>
                                </a:prstGeom>
                                <a:ln w="9525" cap="flat" cmpd="sng">
                                  <a:solidFill>
                                    <a:srgbClr val="000000"/>
                                  </a:solidFill>
                                  <a:prstDash val="solid"/>
                                  <a:headEnd type="none" w="med" len="med"/>
                                  <a:tailEnd type="triangle" w="med" len="med"/>
                                </a:ln>
                              </wps:spPr>
                              <wps:bodyPr upright="1"/>
                            </wps:wsp>
                            <wps:wsp>
                              <wps:cNvPr id="146" name="直线 1840"/>
                              <wps:cNvCnPr/>
                              <wps:spPr>
                                <a:xfrm flipV="1">
                                  <a:off x="1543685" y="3184525"/>
                                  <a:ext cx="571500" cy="4445"/>
                                </a:xfrm>
                                <a:prstGeom prst="line">
                                  <a:avLst/>
                                </a:prstGeom>
                                <a:ln w="9525" cap="flat" cmpd="sng">
                                  <a:solidFill>
                                    <a:srgbClr val="000000"/>
                                  </a:solidFill>
                                  <a:prstDash val="solid"/>
                                  <a:headEnd type="none" w="med" len="med"/>
                                  <a:tailEnd type="triangle" w="med" len="med"/>
                                </a:ln>
                              </wps:spPr>
                              <wps:bodyPr upright="1"/>
                            </wps:wsp>
                            <wps:wsp>
                              <wps:cNvPr id="147" name="直线 1841"/>
                              <wps:cNvCnPr/>
                              <wps:spPr>
                                <a:xfrm>
                                  <a:off x="2921635" y="1541145"/>
                                  <a:ext cx="612775" cy="635"/>
                                </a:xfrm>
                                <a:prstGeom prst="line">
                                  <a:avLst/>
                                </a:prstGeom>
                                <a:ln w="9525" cap="flat" cmpd="sng">
                                  <a:solidFill>
                                    <a:srgbClr val="000000"/>
                                  </a:solidFill>
                                  <a:prstDash val="solid"/>
                                  <a:headEnd type="none" w="med" len="med"/>
                                  <a:tailEnd type="triangle" w="med" len="med"/>
                                </a:ln>
                              </wps:spPr>
                              <wps:bodyPr upright="1"/>
                            </wps:wsp>
                            <wps:wsp>
                              <wps:cNvPr id="148" name="文本框 1842"/>
                              <wps:cNvSpPr txBox="1"/>
                              <wps:spPr>
                                <a:xfrm>
                                  <a:off x="2514600" y="207645"/>
                                  <a:ext cx="525145" cy="296545"/>
                                </a:xfrm>
                                <a:prstGeom prst="rect">
                                  <a:avLst/>
                                </a:prstGeom>
                                <a:noFill/>
                                <a:ln w="9525">
                                  <a:noFill/>
                                </a:ln>
                              </wps:spPr>
                              <wps:txbx>
                                <w:txbxContent>
                                  <w:p>
                                    <w:pPr>
                                      <w:rPr>
                                        <w:rFonts w:hint="eastAsia" w:eastAsia="宋体"/>
                                        <w:lang w:val="en-US" w:eastAsia="zh-CN"/>
                                      </w:rPr>
                                    </w:pPr>
                                    <w:r>
                                      <w:rPr>
                                        <w:rFonts w:hint="eastAsia"/>
                                        <w:lang w:val="en-US" w:eastAsia="zh-CN"/>
                                      </w:rPr>
                                      <w:t>0.379</w:t>
                                    </w:r>
                                  </w:p>
                                </w:txbxContent>
                              </wps:txbx>
                              <wps:bodyPr wrap="square" upright="1"/>
                            </wps:wsp>
                            <wps:wsp>
                              <wps:cNvPr id="149" name="矩形 1843"/>
                              <wps:cNvSpPr/>
                              <wps:spPr>
                                <a:xfrm>
                                  <a:off x="3543300" y="140335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化粪池</w:t>
                                    </w:r>
                                  </w:p>
                                </w:txbxContent>
                              </wps:txbx>
                              <wps:bodyPr wrap="square" upright="1"/>
                            </wps:wsp>
                            <wps:wsp>
                              <wps:cNvPr id="150" name="任意多边形 1844"/>
                              <wps:cNvSpPr/>
                              <wps:spPr>
                                <a:xfrm>
                                  <a:off x="4229100" y="1502410"/>
                                  <a:ext cx="325755" cy="548640"/>
                                </a:xfrm>
                                <a:custGeom>
                                  <a:avLst/>
                                  <a:gdLst/>
                                  <a:ahLst/>
                                  <a:cxnLst/>
                                  <a:pathLst>
                                    <a:path w="540" h="780">
                                      <a:moveTo>
                                        <a:pt x="0" y="0"/>
                                      </a:moveTo>
                                      <a:lnTo>
                                        <a:pt x="540" y="0"/>
                                      </a:lnTo>
                                      <a:lnTo>
                                        <a:pt x="540" y="780"/>
                                      </a:lnTo>
                                    </a:path>
                                  </a:pathLst>
                                </a:custGeom>
                                <a:noFill/>
                                <a:ln w="9525" cap="flat" cmpd="sng">
                                  <a:solidFill>
                                    <a:srgbClr val="000000"/>
                                  </a:solidFill>
                                  <a:prstDash val="solid"/>
                                  <a:headEnd type="none" w="med" len="med"/>
                                  <a:tailEnd type="triangle" w="med" len="med"/>
                                </a:ln>
                              </wps:spPr>
                              <wps:bodyPr wrap="square" upright="1"/>
                            </wps:wsp>
                            <wps:wsp>
                              <wps:cNvPr id="151" name="文本框 1845"/>
                              <wps:cNvSpPr txBox="1"/>
                              <wps:spPr>
                                <a:xfrm>
                                  <a:off x="3826510" y="2007235"/>
                                  <a:ext cx="1143000" cy="495300"/>
                                </a:xfrm>
                                <a:prstGeom prst="rect">
                                  <a:avLst/>
                                </a:prstGeom>
                                <a:noFill/>
                                <a:ln w="9525">
                                  <a:noFill/>
                                </a:ln>
                              </wps:spPr>
                              <wps:txbx>
                                <w:txbxContent>
                                  <w:p>
                                    <w:pPr>
                                      <w:rPr>
                                        <w:rFonts w:hint="eastAsia" w:eastAsia="宋体"/>
                                        <w:lang w:eastAsia="zh-CN"/>
                                      </w:rPr>
                                    </w:pPr>
                                    <w:r>
                                      <w:rPr>
                                        <w:rFonts w:hint="eastAsia"/>
                                        <w:lang w:eastAsia="zh-CN"/>
                                      </w:rPr>
                                      <w:t>提供给周边的农户用作农肥</w:t>
                                    </w:r>
                                  </w:p>
                                </w:txbxContent>
                              </wps:txbx>
                              <wps:bodyPr wrap="square" upright="1"/>
                            </wps:wsp>
                            <wps:wsp>
                              <wps:cNvPr id="152" name="直线 1846"/>
                              <wps:cNvCnPr/>
                              <wps:spPr>
                                <a:xfrm flipV="1">
                                  <a:off x="1714500" y="306705"/>
                                  <a:ext cx="228600" cy="99060"/>
                                </a:xfrm>
                                <a:prstGeom prst="line">
                                  <a:avLst/>
                                </a:prstGeom>
                                <a:ln w="9525" cap="rnd" cmpd="sng">
                                  <a:solidFill>
                                    <a:srgbClr val="000000"/>
                                  </a:solidFill>
                                  <a:prstDash val="sysDot"/>
                                  <a:headEnd type="none" w="med" len="med"/>
                                  <a:tailEnd type="triangle" w="med" len="med"/>
                                </a:ln>
                              </wps:spPr>
                              <wps:bodyPr upright="1"/>
                            </wps:wsp>
                            <wps:wsp>
                              <wps:cNvPr id="153" name="文本框 1847"/>
                              <wps:cNvSpPr txBox="1"/>
                              <wps:spPr>
                                <a:xfrm>
                                  <a:off x="1825625" y="7620"/>
                                  <a:ext cx="525145" cy="296545"/>
                                </a:xfrm>
                                <a:prstGeom prst="rect">
                                  <a:avLst/>
                                </a:prstGeom>
                                <a:noFill/>
                                <a:ln w="9525">
                                  <a:noFill/>
                                </a:ln>
                              </wps:spPr>
                              <wps:txbx>
                                <w:txbxContent>
                                  <w:p>
                                    <w:pPr>
                                      <w:rPr>
                                        <w:rFonts w:hint="eastAsia"/>
                                      </w:rPr>
                                    </w:pPr>
                                    <w:r>
                                      <w:rPr>
                                        <w:rFonts w:hint="eastAsia"/>
                                      </w:rPr>
                                      <w:t>0.</w:t>
                                    </w:r>
                                    <w:r>
                                      <w:rPr>
                                        <w:rFonts w:hint="eastAsia"/>
                                        <w:lang w:val="en-US" w:eastAsia="zh-CN"/>
                                      </w:rPr>
                                      <w:t>095</w:t>
                                    </w:r>
                                  </w:p>
                                </w:txbxContent>
                              </wps:txbx>
                              <wps:bodyPr wrap="square" upright="1"/>
                            </wps:wsp>
                            <wps:wsp>
                              <wps:cNvPr id="154" name="直线 1848"/>
                              <wps:cNvCnPr/>
                              <wps:spPr>
                                <a:xfrm flipV="1">
                                  <a:off x="1714500" y="1247775"/>
                                  <a:ext cx="228600" cy="99060"/>
                                </a:xfrm>
                                <a:prstGeom prst="line">
                                  <a:avLst/>
                                </a:prstGeom>
                                <a:ln w="9525" cap="rnd" cmpd="sng">
                                  <a:solidFill>
                                    <a:srgbClr val="000000"/>
                                  </a:solidFill>
                                  <a:prstDash val="sysDot"/>
                                  <a:headEnd type="none" w="med" len="med"/>
                                  <a:tailEnd type="triangle" w="med" len="med"/>
                                </a:ln>
                              </wps:spPr>
                              <wps:bodyPr upright="1"/>
                            </wps:wsp>
                            <wps:wsp>
                              <wps:cNvPr id="155" name="矩形 1849"/>
                              <wps:cNvSpPr/>
                              <wps:spPr>
                                <a:xfrm>
                                  <a:off x="1436370" y="1367790"/>
                                  <a:ext cx="1485900"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办公生活区</w:t>
                                    </w:r>
                                    <w:r>
                                      <w:t>清洗用水</w:t>
                                    </w:r>
                                  </w:p>
                                </w:txbxContent>
                              </wps:txbx>
                              <wps:bodyPr wrap="square" upright="1"/>
                            </wps:wsp>
                            <wps:wsp>
                              <wps:cNvPr id="156" name="文本框 1850"/>
                              <wps:cNvSpPr txBox="1"/>
                              <wps:spPr>
                                <a:xfrm>
                                  <a:off x="936625" y="1304925"/>
                                  <a:ext cx="457200" cy="297180"/>
                                </a:xfrm>
                                <a:prstGeom prst="rect">
                                  <a:avLst/>
                                </a:prstGeom>
                                <a:noFill/>
                                <a:ln w="9525">
                                  <a:noFill/>
                                </a:ln>
                              </wps:spPr>
                              <wps:txbx>
                                <w:txbxContent>
                                  <w:p>
                                    <w:pPr>
                                      <w:rPr>
                                        <w:rFonts w:hint="eastAsia"/>
                                      </w:rPr>
                                    </w:pPr>
                                    <w:r>
                                      <w:rPr>
                                        <w:rFonts w:hint="eastAsia"/>
                                      </w:rPr>
                                      <w:t>0.</w:t>
                                    </w:r>
                                    <w:r>
                                      <w:rPr>
                                        <w:rFonts w:hint="eastAsia"/>
                                        <w:lang w:val="en-US" w:eastAsia="zh-CN"/>
                                      </w:rPr>
                                      <w:t>48</w:t>
                                    </w:r>
                                  </w:p>
                                </w:txbxContent>
                              </wps:txbx>
                              <wps:bodyPr wrap="square" upright="1"/>
                            </wps:wsp>
                            <wps:wsp>
                              <wps:cNvPr id="157" name="文本框 1851"/>
                              <wps:cNvSpPr txBox="1"/>
                              <wps:spPr>
                                <a:xfrm>
                                  <a:off x="2947670" y="1313815"/>
                                  <a:ext cx="571500" cy="297180"/>
                                </a:xfrm>
                                <a:prstGeom prst="rect">
                                  <a:avLst/>
                                </a:prstGeom>
                                <a:noFill/>
                                <a:ln w="9525">
                                  <a:noFill/>
                                </a:ln>
                              </wps:spPr>
                              <wps:txbx>
                                <w:txbxContent>
                                  <w:p>
                                    <w:pPr>
                                      <w:rPr>
                                        <w:rFonts w:hint="eastAsia"/>
                                      </w:rPr>
                                    </w:pPr>
                                    <w:r>
                                      <w:rPr>
                                        <w:rFonts w:hint="eastAsia"/>
                                      </w:rPr>
                                      <w:t>0.</w:t>
                                    </w:r>
                                    <w:r>
                                      <w:rPr>
                                        <w:rFonts w:hint="eastAsia"/>
                                        <w:lang w:val="en-US" w:eastAsia="zh-CN"/>
                                      </w:rPr>
                                      <w:t>38</w:t>
                                    </w:r>
                                  </w:p>
                                </w:txbxContent>
                              </wps:txbx>
                              <wps:bodyPr wrap="square" upright="1"/>
                            </wps:wsp>
                            <wps:wsp>
                              <wps:cNvPr id="158" name="文本框 1852"/>
                              <wps:cNvSpPr txBox="1"/>
                              <wps:spPr>
                                <a:xfrm>
                                  <a:off x="1917065" y="1002665"/>
                                  <a:ext cx="568325" cy="296545"/>
                                </a:xfrm>
                                <a:prstGeom prst="rect">
                                  <a:avLst/>
                                </a:prstGeom>
                                <a:noFill/>
                                <a:ln w="9525">
                                  <a:noFill/>
                                </a:ln>
                              </wps:spPr>
                              <wps:txbx>
                                <w:txbxContent>
                                  <w:p>
                                    <w:pPr>
                                      <w:rPr>
                                        <w:rFonts w:hint="eastAsia"/>
                                      </w:rPr>
                                    </w:pPr>
                                    <w:r>
                                      <w:rPr>
                                        <w:rFonts w:hint="eastAsia"/>
                                      </w:rPr>
                                      <w:t>0.</w:t>
                                    </w:r>
                                    <w:r>
                                      <w:rPr>
                                        <w:rFonts w:hint="eastAsia"/>
                                        <w:lang w:val="en-US" w:eastAsia="zh-CN"/>
                                      </w:rPr>
                                      <w:t>1</w:t>
                                    </w:r>
                                  </w:p>
                                </w:txbxContent>
                              </wps:txbx>
                              <wps:bodyPr wrap="square" upright="1"/>
                            </wps:wsp>
                            <wps:wsp>
                              <wps:cNvPr id="159" name="矩形 1853"/>
                              <wps:cNvSpPr/>
                              <wps:spPr>
                                <a:xfrm>
                                  <a:off x="592455" y="304927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场区</w:t>
                                    </w:r>
                                    <w:r>
                                      <w:t>雨水</w:t>
                                    </w:r>
                                  </w:p>
                                </w:txbxContent>
                              </wps:txbx>
                              <wps:bodyPr wrap="square" upright="1"/>
                            </wps:wsp>
                            <wps:wsp>
                              <wps:cNvPr id="160" name="矩形 1854"/>
                              <wps:cNvSpPr/>
                              <wps:spPr>
                                <a:xfrm>
                                  <a:off x="2138045" y="3030220"/>
                                  <a:ext cx="7086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水封井</w:t>
                                    </w:r>
                                  </w:p>
                                </w:txbxContent>
                              </wps:txbx>
                              <wps:bodyPr wrap="square" upright="1"/>
                            </wps:wsp>
                            <wps:wsp>
                              <wps:cNvPr id="161" name="直线 1855"/>
                              <wps:cNvCnPr/>
                              <wps:spPr>
                                <a:xfrm>
                                  <a:off x="3883025" y="535940"/>
                                  <a:ext cx="635" cy="891540"/>
                                </a:xfrm>
                                <a:prstGeom prst="line">
                                  <a:avLst/>
                                </a:prstGeom>
                                <a:ln w="9525" cap="flat" cmpd="sng">
                                  <a:solidFill>
                                    <a:srgbClr val="000000"/>
                                  </a:solidFill>
                                  <a:prstDash val="solid"/>
                                  <a:headEnd type="none" w="med" len="med"/>
                                  <a:tailEnd type="triangle" w="med" len="med"/>
                                </a:ln>
                              </wps:spPr>
                              <wps:bodyPr upright="1"/>
                            </wps:wsp>
                            <wps:wsp>
                              <wps:cNvPr id="162" name="直线 1856"/>
                              <wps:cNvCnPr/>
                              <wps:spPr>
                                <a:xfrm>
                                  <a:off x="2874010" y="3186430"/>
                                  <a:ext cx="571500" cy="635"/>
                                </a:xfrm>
                                <a:prstGeom prst="line">
                                  <a:avLst/>
                                </a:prstGeom>
                                <a:ln w="9525" cap="flat" cmpd="sng">
                                  <a:solidFill>
                                    <a:srgbClr val="000000"/>
                                  </a:solidFill>
                                  <a:prstDash val="solid"/>
                                  <a:headEnd type="none" w="med" len="med"/>
                                  <a:tailEnd type="triangle" w="med" len="med"/>
                                </a:ln>
                              </wps:spPr>
                              <wps:bodyPr upright="1"/>
                            </wps:wsp>
                            <wps:wsp>
                              <wps:cNvPr id="163" name="文本框 1857"/>
                              <wps:cNvSpPr txBox="1"/>
                              <wps:spPr>
                                <a:xfrm>
                                  <a:off x="4504055" y="1581150"/>
                                  <a:ext cx="571500" cy="292100"/>
                                </a:xfrm>
                                <a:prstGeom prst="rect">
                                  <a:avLst/>
                                </a:prstGeom>
                                <a:noFill/>
                                <a:ln w="9525">
                                  <a:noFill/>
                                </a:ln>
                              </wps:spPr>
                              <wps:txbx>
                                <w:txbxContent>
                                  <w:p>
                                    <w:pPr>
                                      <w:rPr>
                                        <w:rFonts w:hint="eastAsia" w:eastAsia="宋体"/>
                                        <w:lang w:val="en-US" w:eastAsia="zh-CN"/>
                                      </w:rPr>
                                    </w:pPr>
                                    <w:r>
                                      <w:rPr>
                                        <w:rFonts w:hint="eastAsia"/>
                                        <w:lang w:val="en-US" w:eastAsia="zh-CN"/>
                                      </w:rPr>
                                      <w:t>0.759</w:t>
                                    </w:r>
                                  </w:p>
                                </w:txbxContent>
                              </wps:txbx>
                              <wps:bodyPr wrap="square" upright="1"/>
                            </wps:wsp>
                            <wps:wsp>
                              <wps:cNvPr id="164" name="文本框 1858"/>
                              <wps:cNvSpPr txBox="1"/>
                              <wps:spPr>
                                <a:xfrm>
                                  <a:off x="3461385" y="3020060"/>
                                  <a:ext cx="1201420" cy="292100"/>
                                </a:xfrm>
                                <a:prstGeom prst="rect">
                                  <a:avLst/>
                                </a:prstGeom>
                                <a:noFill/>
                                <a:ln w="9525">
                                  <a:noFill/>
                                </a:ln>
                              </wps:spPr>
                              <wps:txbx>
                                <w:txbxContent>
                                  <w:p>
                                    <w:pPr>
                                      <w:rPr>
                                        <w:rFonts w:hint="eastAsia"/>
                                      </w:rPr>
                                    </w:pPr>
                                    <w:r>
                                      <w:rPr>
                                        <w:rFonts w:hint="eastAsia"/>
                                      </w:rPr>
                                      <w:t>场外雨水沟</w:t>
                                    </w:r>
                                  </w:p>
                                </w:txbxContent>
                              </wps:txbx>
                              <wps:bodyPr wrap="square" upright="1"/>
                            </wps:wsp>
                          </wpc:wpc>
                        </a:graphicData>
                      </a:graphic>
                    </wp:anchor>
                  </w:drawing>
                </mc:Choice>
                <mc:Fallback>
                  <w:pict>
                    <v:group id="画布 1832" o:spid="_x0000_s1026" o:spt="203" style="position:absolute;left:0pt;margin-left:22.5pt;margin-top:9.05pt;height:278.85pt;width:399.65pt;mso-position-horizontal-relative:char;mso-position-vertical-relative:line;z-index:251674624;mso-width-relative:page;mso-height-relative:page;" coordsize="5075555,3541395" editas="canvas" o:gfxdata="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">
                      <o:lock v:ext="edit" aspectratio="f"/>
                      <v:shape id="画布 1832" o:spid="_x0000_s1026" style="position:absolute;left:0;top:0;height:3541395;width:5075555;" filled="f" stroked="f" coordsize="21600,21600" o:gfxdata="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">
                        <v:fill on="f" focussize="0,0"/>
                        <v:stroke on="f"/>
                        <v:imagedata o:title=""/>
                        <o:lock v:ext="edit" aspectratio="t"/>
                      </v:shape>
                      <v:rect id="矩形 1834" o:spid="_x0000_s1026" o:spt="1" style="position:absolute;left:1600200;top:405765;height:262890;width:800100;" fillcolor="#FFFFFF" filled="t" stroked="t" coordsize="21600,21600" o:gfxdata="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tQnLNgAAAAJAQAA&#10;DwAAAAAAAAABACAAAAAiAAAAZHJzL2Rvd25yZXYueG1sUEsBAhQAFAAAAAgAh07iQPWdW6IZAgAA&#10;RgQAAA4AAAAAAAAAAQAgAAAAJwEAAGRycy9lMm9Eb2MueG1sUEsFBgAAAAAGAAYAWQEAALIFAAAA&#10;AA==&#10;">
                        <v:fill on="t" focussize="0,0"/>
                        <v:stroke color="#000000" joinstyle="miter"/>
                        <v:imagedata o:title=""/>
                        <o:lock v:ext="edit" aspectratio="f"/>
                        <v:textbox>
                          <w:txbxContent>
                            <w:p>
                              <w:r>
                                <w:t>生活</w:t>
                              </w:r>
                              <w:r>
                                <w:rPr>
                                  <w:rFonts w:hint="eastAsia"/>
                                </w:rPr>
                                <w:t>用水</w:t>
                              </w:r>
                            </w:p>
                          </w:txbxContent>
                        </v:textbox>
                      </v:rect>
                      <v:shape id="任意多边形 1835" o:spid="_x0000_s1026" o:spt="100" style="position:absolute;left:914400;top:502920;height:1007110;width:685800;" filled="f" stroked="t" coordsize="1080,2184" o:gfxdata="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uUhePXAAAACQEAAA8AAAAAAAAAAQAgAAAAIgAAAGRycy9kb3ducmV2LnhtbFBLAQIU&#10;ABQAAAAIAIdO4kBaJgF/ZgIAAAYFAAAOAAAAAAAAAAEAIAAAACYBAABkcnMvZTJvRG9jLnhtbFBL&#10;BQYAAAAABgAGAFkBAAD+BQAAAAA=&#10;" path="m1080,0l0,0,0,2184,1080,2184e">
                        <v:fill on="f" focussize="0,0"/>
                        <v:stroke color="#000000" joinstyle="round" startarrow="block" endarrow="block"/>
                        <v:imagedata o:title=""/>
                        <o:lock v:ext="edit" aspectratio="f"/>
                      </v:shape>
                      <v:line id="直线 1836" o:spid="_x0000_s1026" o:spt="20" style="position:absolute;left:116205;top:954405;flip:y;height:635;width:800100;" filled="f" stroked="t" coordsize="21600,21600" o:gfxdata="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&#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oAu2rZAAAACQEAAA8AAAAAAAAAAQAgAAAAIgAAAGRy&#10;cy9kb3ducmV2LnhtbFBLAQIUABQAAAAIAIdO4kDF+TLXBAIAAPkDAAAOAAAAAAAAAAEAIAAAACgB&#10;AABkcnMvZTJvRG9jLnhtbFBLBQYAAAAABgAGAFkBAACeBQAAAAA=&#10;">
                        <v:fill on="f" focussize="0,0"/>
                        <v:stroke color="#000000" joinstyle="round" endarrow="block"/>
                        <v:imagedata o:title=""/>
                        <o:lock v:ext="edit" aspectratio="f"/>
                      </v:line>
                      <v:shape id="文本框 1837" o:spid="_x0000_s1026" o:spt="202" type="#_x0000_t202" style="position:absolute;left:0;top:436245;height:594360;width:1028700;"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DAc8tcAAAAJAQAADwAAAAAAAAABACAAAAAiAAAAZHJzL2Rv&#10;d25yZXYueG1sUEsBAhQAFAAAAAgAh07iQAxwTCHJAQAAbwMAAA4AAAAAAAAAAQAgAAAAJgEAAGRy&#10;cy9lMm9Eb2MueG1sUEsFBgAAAAAGAAYAWQEAAGEFAAAAAA==&#10;">
                        <v:fill on="f" focussize="0,0"/>
                        <v:stroke on="f"/>
                        <v:imagedata o:title=""/>
                        <o:lock v:ext="edit" aspectratio="f"/>
                        <v:textbox>
                          <w:txbxContent>
                            <w:p>
                              <w:pPr>
                                <w:rPr>
                                  <w:rFonts w:hint="eastAsia"/>
                                </w:rPr>
                              </w:pPr>
                            </w:p>
                            <w:p>
                              <w:pPr>
                                <w:rPr>
                                  <w:rFonts w:hint="eastAsia"/>
                                  <w:lang w:val="en-US"/>
                                </w:rPr>
                              </w:pPr>
                              <w:r>
                                <w:t>自来水</w:t>
                              </w:r>
                              <w:r>
                                <w:rPr>
                                  <w:rFonts w:hint="eastAsia"/>
                                  <w:lang w:val="en-US" w:eastAsia="zh-CN"/>
                                </w:rPr>
                                <w:t>0.954</w:t>
                              </w:r>
                            </w:p>
                          </w:txbxContent>
                        </v:textbox>
                      </v:shape>
                      <v:shape id="文本框 1838" o:spid="_x0000_s1026" o:spt="202" type="#_x0000_t202" style="position:absolute;left:987425;top:217170;height:297180;width:574675;"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AwHPLXAAAACQEAAA8AAAAAAAAAAQAgAAAAIgAAAGRycy9k&#10;b3ducmV2LnhtbFBLAQIUABQAAAAIAIdO4kAwM0ukygEAAHMDAAAOAAAAAAAAAAEAIAAAACYBAABk&#10;cnMvZTJvRG9jLnhtbFBLBQYAAAAABgAGAFkBAABiBQAAAAA=&#10;">
                        <v:fill on="f" focussize="0,0"/>
                        <v:stroke on="f"/>
                        <v:imagedata o:title=""/>
                        <o:lock v:ext="edit" aspectratio="f"/>
                        <v:textbox>
                          <w:txbxContent>
                            <w:p>
                              <w:pPr>
                                <w:rPr>
                                  <w:rFonts w:hint="eastAsia" w:eastAsia="宋体"/>
                                  <w:lang w:val="en-US" w:eastAsia="zh-CN"/>
                                </w:rPr>
                              </w:pPr>
                              <w:r>
                                <w:rPr>
                                  <w:rFonts w:hint="eastAsia"/>
                                  <w:lang w:val="en-US" w:eastAsia="zh-CN"/>
                                </w:rPr>
                                <w:t>0.474</w:t>
                              </w:r>
                            </w:p>
                          </w:txbxContent>
                        </v:textbox>
                      </v:shape>
                      <v:line id="直线 1839" o:spid="_x0000_s1026" o:spt="20" style="position:absolute;left:2400300;top:504825;height:1270;width:1482725;" filled="f" stroked="t" coordsize="21600,21600" o:gfxdata="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LSYdoAAAAJAQAADwAAAAAAAAABACAAAAAiAAAAZHJz&#10;L2Rvd25yZXYueG1sUEsBAhQAFAAAAAgAh07iQAruC+ECAgAA8gMAAA4AAAAAAAAAAQAgAAAAKQEA&#10;AGRycy9lMm9Eb2MueG1sUEsFBgAAAAAGAAYAWQEAAJ0FAAAAAA==&#10;">
                        <v:fill on="f" focussize="0,0"/>
                        <v:stroke color="#000000" joinstyle="round" endarrow="block"/>
                        <v:imagedata o:title=""/>
                        <o:lock v:ext="edit" aspectratio="f"/>
                      </v:line>
                      <v:line id="直线 1840" o:spid="_x0000_s1026" o:spt="20" style="position:absolute;left:1543685;top:3184525;flip:y;height:4445;width:571500;" filled="f" stroked="t" coordsize="21600,21600" o:gfxdata="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ALtq2QAAAAkBAAAPAAAAAAAAAAEAIAAAACIA&#10;AABkcnMvZG93bnJldi54bWxQSwECFAAUAAAACACHTuJAcikVLAgCAAD8AwAADgAAAAAAAAABACAA&#10;AAAoAQAAZHJzL2Uyb0RvYy54bWxQSwUGAAAAAAYABgBZAQAAogUAAAAA&#10;">
                        <v:fill on="f" focussize="0,0"/>
                        <v:stroke color="#000000" joinstyle="round" endarrow="block"/>
                        <v:imagedata o:title=""/>
                        <o:lock v:ext="edit" aspectratio="f"/>
                      </v:line>
                      <v:line id="直线 1841" o:spid="_x0000_s1026" o:spt="20" style="position:absolute;left:2921635;top:1541145;height:635;width:612775;" filled="f" stroked="t" coordsize="21600,21600" o:gfxdata="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iLSYdoAAAAJAQAADwAAAAAAAAABACAAAAAiAAAAZHJzL2Rv&#10;d25yZXYueG1sUEsBAhQAFAAAAAgAh07iQJRBejL/AQAA8QMAAA4AAAAAAAAAAQAgAAAAKQEAAGRy&#10;cy9lMm9Eb2MueG1sUEsFBgAAAAAGAAYAWQEAAJoFAAAAAA==&#10;">
                        <v:fill on="f" focussize="0,0"/>
                        <v:stroke color="#000000" joinstyle="round" endarrow="block"/>
                        <v:imagedata o:title=""/>
                        <o:lock v:ext="edit" aspectratio="f"/>
                      </v:line>
                      <v:shape id="文本框 1842" o:spid="_x0000_s1026" o:spt="202" type="#_x0000_t202" style="position:absolute;left:2514600;top:207645;height:296545;width:525145;"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DAc8tcAAAAJAQAADwAAAAAAAAABACAAAAAiAAAAZHJzL2Rv&#10;d25yZXYueG1sUEsBAhQAFAAAAAgAh07iQH+RFKPJAQAAdAMAAA4AAAAAAAAAAQAgAAAAJgEAAGRy&#10;cy9lMm9Eb2MueG1sUEsFBgAAAAAGAAYAWQEAAGEFAAAAAA==&#10;">
                        <v:fill on="f" focussize="0,0"/>
                        <v:stroke on="f"/>
                        <v:imagedata o:title=""/>
                        <o:lock v:ext="edit" aspectratio="f"/>
                        <v:textbox>
                          <w:txbxContent>
                            <w:p>
                              <w:pPr>
                                <w:rPr>
                                  <w:rFonts w:hint="eastAsia" w:eastAsia="宋体"/>
                                  <w:lang w:val="en-US" w:eastAsia="zh-CN"/>
                                </w:rPr>
                              </w:pPr>
                              <w:r>
                                <w:rPr>
                                  <w:rFonts w:hint="eastAsia"/>
                                  <w:lang w:val="en-US" w:eastAsia="zh-CN"/>
                                </w:rPr>
                                <w:t>0.379</w:t>
                              </w:r>
                            </w:p>
                          </w:txbxContent>
                        </v:textbox>
                      </v:shape>
                      <v:rect id="矩形 1843" o:spid="_x0000_s1026" o:spt="1" style="position:absolute;left:3543300;top:1403350;height:297180;width:685800;" fillcolor="#FFFFFF" filled="t" stroked="t" coordsize="21600,21600" o:gfxdata="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1Ccs2AAAAAkB&#10;AAAPAAAAAAAAAAEAIAAAACIAAABkcnMvZG93bnJldi54bWxQSwECFAAUAAAACACHTuJAgoPBNBsC&#10;AABHBAAADgAAAAAAAAABACAAAAAnAQAAZHJzL2Uyb0RvYy54bWxQSwUGAAAAAAYABgBZAQAAtAUA&#10;AAAA&#10;">
                        <v:fill on="t" focussize="0,0"/>
                        <v:stroke color="#000000" joinstyle="miter"/>
                        <v:imagedata o:title=""/>
                        <o:lock v:ext="edit" aspectratio="f"/>
                        <v:textbox>
                          <w:txbxContent>
                            <w:p>
                              <w:r>
                                <w:rPr>
                                  <w:rFonts w:hint="eastAsia"/>
                                </w:rPr>
                                <w:t>化粪池</w:t>
                              </w:r>
                            </w:p>
                          </w:txbxContent>
                        </v:textbox>
                      </v:rect>
                      <v:shape id="任意多边形 1844" o:spid="_x0000_s1026" o:spt="100" style="position:absolute;left:4229100;top:1502410;height:548640;width:325755;" filled="f" stroked="t" coordsize="540,780" o:gfxdata="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LAAg7ZAAAACQEAAA8AAAAAAAAAAQAgAAAAIgAAAGRycy9kb3ducmV2LnhtbFBLAQIUABQAAAAI&#10;AIdO4kDqDYs6XgIAANcEAAAOAAAAAAAAAAEAIAAAACgBAABkcnMvZTJvRG9jLnhtbFBLBQYAAAAA&#10;BgAGAFkBAAD4BQAAAAA=&#10;" path="m0,0l540,0,540,780e">
                        <v:fill on="f" focussize="0,0"/>
                        <v:stroke color="#000000" joinstyle="round" endarrow="block"/>
                        <v:imagedata o:title=""/>
                        <o:lock v:ext="edit" aspectratio="f"/>
                      </v:shape>
                      <v:shape id="文本框 1845" o:spid="_x0000_s1026" o:spt="202" type="#_x0000_t202" style="position:absolute;left:3826510;top:2007235;height:495300;width:1143000;"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AwHPLXAAAACQEAAA8AAAAAAAAAAQAgAAAAIgAAAGRy&#10;cy9kb3ducmV2LnhtbFBLAQIUABQAAAAIAIdO4kCaqar9zQEAAHYDAAAOAAAAAAAAAAEAIAAAACYB&#10;AABkcnMvZTJvRG9jLnhtbFBLBQYAAAAABgAGAFkBAABlBQAAAAA=&#10;">
                        <v:fill on="f" focussize="0,0"/>
                        <v:stroke on="f"/>
                        <v:imagedata o:title=""/>
                        <o:lock v:ext="edit" aspectratio="f"/>
                        <v:textbox>
                          <w:txbxContent>
                            <w:p>
                              <w:pPr>
                                <w:rPr>
                                  <w:rFonts w:hint="eastAsia" w:eastAsia="宋体"/>
                                  <w:lang w:eastAsia="zh-CN"/>
                                </w:rPr>
                              </w:pPr>
                              <w:r>
                                <w:rPr>
                                  <w:rFonts w:hint="eastAsia"/>
                                  <w:lang w:eastAsia="zh-CN"/>
                                </w:rPr>
                                <w:t>提供给周边的农户用作农肥</w:t>
                              </w:r>
                            </w:p>
                          </w:txbxContent>
                        </v:textbox>
                      </v:shape>
                      <v:line id="直线 1846" o:spid="_x0000_s1026" o:spt="20" style="position:absolute;left:1714500;top:306705;flip:y;height:99060;width:228600;" filled="f" stroked="t" coordsize="21600,21600" o:gfxdata="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ZoJJHYAAAACQEAAA8AAAAAAAAAAQAgAAAA&#10;IgAAAGRycy9kb3ducmV2LnhtbFBLAQIUABQAAAAIAIdO4kApVq9GCwIAAPwDAAAOAAAAAAAAAAEA&#10;IAAAACcBAABkcnMvZTJvRG9jLnhtbFBLBQYAAAAABgAGAFkBAACkBQAAAAA=&#10;">
                        <v:fill on="f" focussize="0,0"/>
                        <v:stroke color="#000000" joinstyle="round" dashstyle="1 1" endcap="round" endarrow="block"/>
                        <v:imagedata o:title=""/>
                        <o:lock v:ext="edit" aspectratio="f"/>
                      </v:line>
                      <v:shape id="文本框 1847" o:spid="_x0000_s1026" o:spt="202" type="#_x0000_t202" style="position:absolute;left:1825625;top:7620;height:296545;width:525145;"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AwHPLXAAAACQEAAA8AAAAAAAAAAQAgAAAAIgAAAGRycy9k&#10;b3ducmV2LnhtbFBLAQIUABQAAAAIAIdO4kDpsO83ygEAAHIDAAAOAAAAAAAAAAEAIAAAACYBAABk&#10;cnMvZTJvRG9jLnhtbFBLBQYAAAAABgAGAFkBAABiBQAAAAA=&#10;">
                        <v:fill on="f" focussize="0,0"/>
                        <v:stroke on="f"/>
                        <v:imagedata o:title=""/>
                        <o:lock v:ext="edit" aspectratio="f"/>
                        <v:textbox>
                          <w:txbxContent>
                            <w:p>
                              <w:pPr>
                                <w:rPr>
                                  <w:rFonts w:hint="eastAsia"/>
                                </w:rPr>
                              </w:pPr>
                              <w:r>
                                <w:rPr>
                                  <w:rFonts w:hint="eastAsia"/>
                                </w:rPr>
                                <w:t>0.</w:t>
                              </w:r>
                              <w:r>
                                <w:rPr>
                                  <w:rFonts w:hint="eastAsia"/>
                                  <w:lang w:val="en-US" w:eastAsia="zh-CN"/>
                                </w:rPr>
                                <w:t>095</w:t>
                              </w:r>
                            </w:p>
                          </w:txbxContent>
                        </v:textbox>
                      </v:shape>
                      <v:line id="直线 1848" o:spid="_x0000_s1026" o:spt="20" style="position:absolute;left:1714500;top:1247775;flip:y;height:99060;width:228600;" filled="f" stroked="t" coordsize="21600,21600" o:gfxdata="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ZoJJHYAAAACQEAAA8AAAAAAAAAAQAgAAAA&#10;IgAAAGRycy9kb3ducmV2LnhtbFBLAQIUABQAAAAIAIdO4kBxpv1QCwIAAP0DAAAOAAAAAAAAAAEA&#10;IAAAACcBAABkcnMvZTJvRG9jLnhtbFBLBQYAAAAABgAGAFkBAACkBQAAAAA=&#10;">
                        <v:fill on="f" focussize="0,0"/>
                        <v:stroke color="#000000" joinstyle="round" dashstyle="1 1" endcap="round" endarrow="block"/>
                        <v:imagedata o:title=""/>
                        <o:lock v:ext="edit" aspectratio="f"/>
                      </v:line>
                      <v:rect id="矩形 1849" o:spid="_x0000_s1026" o:spt="1" style="position:absolute;left:1436370;top:1367790;height:273050;width:1485900;" fillcolor="#FFFFFF" filled="t" stroked="t" coordsize="21600,21600" o:gfxdata="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1Ccs2AAAAAkB&#10;AAAPAAAAAAAAAAEAIAAAACIAAABkcnMvZG93bnJldi54bWxQSwECFAAUAAAACACHTuJAMvDevxsC&#10;AABIBAAADgAAAAAAAAABACAAAAAnAQAAZHJzL2Uyb0RvYy54bWxQSwUGAAAAAAYABgBZAQAAtAUA&#10;AAAA&#10;">
                        <v:fill on="t" focussize="0,0"/>
                        <v:stroke color="#000000" joinstyle="miter"/>
                        <v:imagedata o:title=""/>
                        <o:lock v:ext="edit" aspectratio="f"/>
                        <v:textbox>
                          <w:txbxContent>
                            <w:p>
                              <w:r>
                                <w:rPr>
                                  <w:rFonts w:hint="eastAsia"/>
                                </w:rPr>
                                <w:t>办公生活区</w:t>
                              </w:r>
                              <w:r>
                                <w:t>清洗用水</w:t>
                              </w:r>
                            </w:p>
                          </w:txbxContent>
                        </v:textbox>
                      </v:rect>
                      <v:shape id="文本框 1850" o:spid="_x0000_s1026" o:spt="202" type="#_x0000_t202" style="position:absolute;left:936625;top:1304925;height:297180;width:457200;"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AMBzy1wAAAAkBAAAPAAAAAAAAAAEAIAAAACIAAABkcnMv&#10;ZG93bnJldi54bWxQSwECFAAUAAAACACHTuJAvksNEMsBAAB0AwAADgAAAAAAAAABACAAAAAmAQAA&#10;ZHJzL2Uyb0RvYy54bWxQSwUGAAAAAAYABgBZAQAAYwUAAAAA&#10;">
                        <v:fill on="f" focussize="0,0"/>
                        <v:stroke on="f"/>
                        <v:imagedata o:title=""/>
                        <o:lock v:ext="edit" aspectratio="f"/>
                        <v:textbox>
                          <w:txbxContent>
                            <w:p>
                              <w:pPr>
                                <w:rPr>
                                  <w:rFonts w:hint="eastAsia"/>
                                </w:rPr>
                              </w:pPr>
                              <w:r>
                                <w:rPr>
                                  <w:rFonts w:hint="eastAsia"/>
                                </w:rPr>
                                <w:t>0.</w:t>
                              </w:r>
                              <w:r>
                                <w:rPr>
                                  <w:rFonts w:hint="eastAsia"/>
                                  <w:lang w:val="en-US" w:eastAsia="zh-CN"/>
                                </w:rPr>
                                <w:t>48</w:t>
                              </w:r>
                            </w:p>
                          </w:txbxContent>
                        </v:textbox>
                      </v:shape>
                      <v:shape id="文本框 1851" o:spid="_x0000_s1026" o:spt="202" type="#_x0000_t202" style="position:absolute;left:2947670;top:1313815;height:297180;width:571500;"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DAc8tcAAAAJAQAADwAAAAAAAAABACAAAAAiAAAA&#10;ZHJzL2Rvd25yZXYueG1sUEsBAhQAFAAAAAgAh07iQNSoGl/PAQAAdQMAAA4AAAAAAAAAAQAgAAAA&#10;JgEAAGRycy9lMm9Eb2MueG1sUEsFBgAAAAAGAAYAWQEAAGcFAAAAAA==&#10;">
                        <v:fill on="f" focussize="0,0"/>
                        <v:stroke on="f"/>
                        <v:imagedata o:title=""/>
                        <o:lock v:ext="edit" aspectratio="f"/>
                        <v:textbox>
                          <w:txbxContent>
                            <w:p>
                              <w:pPr>
                                <w:rPr>
                                  <w:rFonts w:hint="eastAsia"/>
                                </w:rPr>
                              </w:pPr>
                              <w:r>
                                <w:rPr>
                                  <w:rFonts w:hint="eastAsia"/>
                                </w:rPr>
                                <w:t>0.</w:t>
                              </w:r>
                              <w:r>
                                <w:rPr>
                                  <w:rFonts w:hint="eastAsia"/>
                                  <w:lang w:val="en-US" w:eastAsia="zh-CN"/>
                                </w:rPr>
                                <w:t>38</w:t>
                              </w:r>
                            </w:p>
                          </w:txbxContent>
                        </v:textbox>
                      </v:shape>
                      <v:shape id="文本框 1852" o:spid="_x0000_s1026" o:spt="202" type="#_x0000_t202" style="position:absolute;left:1917065;top:1002665;height:296545;width:568325;"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AMBzy1wAAAAkBAAAPAAAAAAAAAAEAIAAAACIAAABkcnMv&#10;ZG93bnJldi54bWxQSwECFAAUAAAACACHTuJAIQLErcsBAAB1AwAADgAAAAAAAAABACAAAAAmAQAA&#10;ZHJzL2Uyb0RvYy54bWxQSwUGAAAAAAYABgBZAQAAYwUAAAAA&#10;">
                        <v:fill on="f" focussize="0,0"/>
                        <v:stroke on="f"/>
                        <v:imagedata o:title=""/>
                        <o:lock v:ext="edit" aspectratio="f"/>
                        <v:textbox>
                          <w:txbxContent>
                            <w:p>
                              <w:pPr>
                                <w:rPr>
                                  <w:rFonts w:hint="eastAsia"/>
                                </w:rPr>
                              </w:pPr>
                              <w:r>
                                <w:rPr>
                                  <w:rFonts w:hint="eastAsia"/>
                                </w:rPr>
                                <w:t>0.</w:t>
                              </w:r>
                              <w:r>
                                <w:rPr>
                                  <w:rFonts w:hint="eastAsia"/>
                                  <w:lang w:val="en-US" w:eastAsia="zh-CN"/>
                                </w:rPr>
                                <w:t>1</w:t>
                              </w:r>
                            </w:p>
                          </w:txbxContent>
                        </v:textbox>
                      </v:shape>
                      <v:rect id="矩形 1853" o:spid="_x0000_s1026" o:spt="1" style="position:absolute;left:592455;top:3049270;height:297180;width:914400;" fillcolor="#FFFFFF" filled="t" stroked="t" coordsize="21600,21600" o:gfxdata="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1Ccs2AAAAAkB&#10;AAAPAAAAAAAAAAEAIAAAACIAAABkcnMvZG93bnJldi54bWxQSwECFAAUAAAACACHTuJAxPiYORsC&#10;AABGBAAADgAAAAAAAAABACAAAAAnAQAAZHJzL2Uyb0RvYy54bWxQSwUGAAAAAAYABgBZAQAAtAUA&#10;AAAA&#10;">
                        <v:fill on="t" focussize="0,0"/>
                        <v:stroke color="#000000" joinstyle="miter"/>
                        <v:imagedata o:title=""/>
                        <o:lock v:ext="edit" aspectratio="f"/>
                        <v:textbox>
                          <w:txbxContent>
                            <w:p>
                              <w:pPr>
                                <w:rPr>
                                  <w:rFonts w:hint="eastAsia"/>
                                </w:rPr>
                              </w:pPr>
                              <w:r>
                                <w:rPr>
                                  <w:rFonts w:hint="eastAsia"/>
                                </w:rPr>
                                <w:t>场区</w:t>
                              </w:r>
                              <w:r>
                                <w:t>雨水</w:t>
                              </w:r>
                            </w:p>
                          </w:txbxContent>
                        </v:textbox>
                      </v:rect>
                      <v:rect id="矩形 1854" o:spid="_x0000_s1026" o:spt="1" style="position:absolute;left:2138045;top:3030220;height:297180;width:708660;" fillcolor="#FFFFFF" filled="t" stroked="t" coordsize="21600,21600" o:gfxdata="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tQnLNgAAAAJ&#10;AQAADwAAAAAAAAABACAAAAAiAAAAZHJzL2Rvd25yZXYueG1sUEsBAhQAFAAAAAgAh07iQKMnTlMc&#10;AgAARwQAAA4AAAAAAAAAAQAgAAAAJwEAAGRycy9lMm9Eb2MueG1sUEsFBgAAAAAGAAYAWQEAALUF&#10;AAAAAA==&#10;">
                        <v:fill on="t" focussize="0,0"/>
                        <v:stroke color="#000000" joinstyle="miter"/>
                        <v:imagedata o:title=""/>
                        <o:lock v:ext="edit" aspectratio="f"/>
                        <v:textbox>
                          <w:txbxContent>
                            <w:p>
                              <w:r>
                                <w:rPr>
                                  <w:rFonts w:hint="eastAsia"/>
                                </w:rPr>
                                <w:t>水封井</w:t>
                              </w:r>
                            </w:p>
                          </w:txbxContent>
                        </v:textbox>
                      </v:rect>
                      <v:line id="直线 1855" o:spid="_x0000_s1026" o:spt="20" style="position:absolute;left:3883025;top:535940;height:891540;width:635;" filled="f" stroked="t" coordsize="21600,21600" o:gfxdata="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i0mHaAAAACQEAAA8AAAAAAAAAAQAgAAAAIgAAAGRycy9k&#10;b3ducmV2LnhtbFBLAQIUABQAAAAIAIdO4kBQXLsjAAIAAPADAAAOAAAAAAAAAAEAIAAAACkBAABk&#10;cnMvZTJvRG9jLnhtbFBLBQYAAAAABgAGAFkBAACbBQAAAAA=&#10;">
                        <v:fill on="f" focussize="0,0"/>
                        <v:stroke color="#000000" joinstyle="round" endarrow="block"/>
                        <v:imagedata o:title=""/>
                        <o:lock v:ext="edit" aspectratio="f"/>
                      </v:line>
                      <v:line id="直线 1856" o:spid="_x0000_s1026" o:spt="20" style="position:absolute;left:2874010;top:3186430;height:635;width:571500;" filled="f" stroked="t" coordsize="21600,21600" o:gfxdata="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i0mHaAAAACQEAAA8AAAAAAAAAAQAgAAAAIgAAAGRycy9k&#10;b3ducmV2LnhtbFBLAQIUABQAAAAIAIdO4kBE/hBIAAIAAPEDAAAOAAAAAAAAAAEAIAAAACkBAABk&#10;cnMvZTJvRG9jLnhtbFBLBQYAAAAABgAGAFkBAACbBQAAAAA=&#10;">
                        <v:fill on="f" focussize="0,0"/>
                        <v:stroke color="#000000" joinstyle="round" endarrow="block"/>
                        <v:imagedata o:title=""/>
                        <o:lock v:ext="edit" aspectratio="f"/>
                      </v:line>
                      <v:shape id="文本框 1857" o:spid="_x0000_s1026" o:spt="202" type="#_x0000_t202" style="position:absolute;left:4504055;top:1581150;height:292100;width:571500;"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DAc8tcAAAAJAQAADwAAAAAAAAABACAAAAAiAAAAZHJz&#10;L2Rvd25yZXYueG1sUEsBAhQAFAAAAAgAh07iQG4nX57MAQAAdQMAAA4AAAAAAAAAAQAgAAAAJgEA&#10;AGRycy9lMm9Eb2MueG1sUEsFBgAAAAAGAAYAWQEAAGQFAAAAAA==&#10;">
                        <v:fill on="f" focussize="0,0"/>
                        <v:stroke on="f"/>
                        <v:imagedata o:title=""/>
                        <o:lock v:ext="edit" aspectratio="f"/>
                        <v:textbox>
                          <w:txbxContent>
                            <w:p>
                              <w:pPr>
                                <w:rPr>
                                  <w:rFonts w:hint="eastAsia" w:eastAsia="宋体"/>
                                  <w:lang w:val="en-US" w:eastAsia="zh-CN"/>
                                </w:rPr>
                              </w:pPr>
                              <w:r>
                                <w:rPr>
                                  <w:rFonts w:hint="eastAsia"/>
                                  <w:lang w:val="en-US" w:eastAsia="zh-CN"/>
                                </w:rPr>
                                <w:t>0.759</w:t>
                              </w:r>
                            </w:p>
                          </w:txbxContent>
                        </v:textbox>
                      </v:shape>
                      <v:shape id="文本框 1858" o:spid="_x0000_s1026" o:spt="202" type="#_x0000_t202" style="position:absolute;left:3461385;top:3020060;height:292100;width:1201420;" filled="f" stroked="f" coordsize="21600,21600" o:gfxdata="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DAc8tcAAAAJAQAADwAAAAAAAAABACAAAAAiAAAAZHJz&#10;L2Rvd25yZXYueG1sUEsBAhQAFAAAAAgAh07iQNYDii/MAQAAdgMAAA4AAAAAAAAAAQAgAAAAJgEA&#10;AGRycy9lMm9Eb2MueG1sUEsFBgAAAAAGAAYAWQEAAGQFAAAAAA==&#10;">
                        <v:fill on="f" focussize="0,0"/>
                        <v:stroke on="f"/>
                        <v:imagedata o:title=""/>
                        <o:lock v:ext="edit" aspectratio="f"/>
                        <v:textbox>
                          <w:txbxContent>
                            <w:p>
                              <w:pPr>
                                <w:rPr>
                                  <w:rFonts w:hint="eastAsia"/>
                                </w:rPr>
                              </w:pPr>
                              <w:r>
                                <w:rPr>
                                  <w:rFonts w:hint="eastAsia"/>
                                </w:rPr>
                                <w:t>场外雨水沟</w:t>
                              </w:r>
                            </w:p>
                          </w:txbxContent>
                        </v:textbox>
                      </v:shape>
                    </v:group>
                  </w:pict>
                </mc:Fallback>
              </mc:AlternateContent>
            </w: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ind w:firstLine="1928" w:firstLineChars="8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图5-8  项目运营期水量平衡图（雨天）(m</w:t>
            </w:r>
            <w:r>
              <w:rPr>
                <w:rFonts w:hint="default" w:ascii="Times New Roman" w:hAnsi="Times New Roman" w:cs="Times New Roman"/>
                <w:b/>
                <w:color w:val="auto"/>
                <w:kern w:val="0"/>
                <w:sz w:val="24"/>
                <w:vertAlign w:val="superscript"/>
              </w:rPr>
              <w:t>3</w:t>
            </w:r>
            <w:r>
              <w:rPr>
                <w:rFonts w:hint="default" w:ascii="Times New Roman" w:hAnsi="Times New Roman" w:cs="Times New Roman"/>
                <w:b/>
                <w:color w:val="auto"/>
                <w:kern w:val="0"/>
                <w:sz w:val="24"/>
              </w:rPr>
              <w:t>/d)</w:t>
            </w:r>
          </w:p>
          <w:p>
            <w:pPr>
              <w:spacing w:line="360" w:lineRule="auto"/>
              <w:ind w:firstLine="1928" w:firstLineChars="800"/>
              <w:rPr>
                <w:rFonts w:hint="default" w:ascii="Times New Roman" w:hAnsi="Times New Roman" w:cs="Times New Roman"/>
                <w:b/>
                <w:color w:val="auto"/>
                <w:kern w:val="0"/>
                <w:sz w:val="24"/>
              </w:rPr>
            </w:pPr>
          </w:p>
          <w:p>
            <w:pPr>
              <w:spacing w:line="360" w:lineRule="auto"/>
              <w:ind w:firstLine="1928" w:firstLineChars="800"/>
              <w:rPr>
                <w:rFonts w:hint="default" w:ascii="Times New Roman" w:hAnsi="Times New Roman" w:cs="Times New Roman"/>
                <w:b/>
                <w:color w:val="auto"/>
                <w:kern w:val="0"/>
                <w:sz w:val="24"/>
              </w:rPr>
            </w:pPr>
          </w:p>
          <w:p>
            <w:pPr>
              <w:spacing w:line="360" w:lineRule="auto"/>
              <w:ind w:firstLine="1928" w:firstLineChars="800"/>
              <w:rPr>
                <w:rFonts w:hint="default" w:ascii="Times New Roman" w:hAnsi="Times New Roman" w:cs="Times New Roman"/>
                <w:b/>
                <w:color w:val="auto"/>
                <w:kern w:val="0"/>
                <w:sz w:val="24"/>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r>
              <w:rPr>
                <w:rFonts w:hint="default" w:ascii="Times New Roman" w:hAnsi="Times New Roman" w:cs="Times New Roman"/>
                <w:color w:val="auto"/>
              </w:rPr>
              <mc:AlternateContent>
                <mc:Choice Requires="wpc">
                  <w:drawing>
                    <wp:anchor distT="0" distB="0" distL="114300" distR="114300" simplePos="0" relativeHeight="251675648" behindDoc="0" locked="0" layoutInCell="1" allowOverlap="1">
                      <wp:simplePos x="0" y="0"/>
                      <wp:positionH relativeFrom="character">
                        <wp:posOffset>357505</wp:posOffset>
                      </wp:positionH>
                      <wp:positionV relativeFrom="line">
                        <wp:posOffset>293370</wp:posOffset>
                      </wp:positionV>
                      <wp:extent cx="5075555" cy="2658110"/>
                      <wp:effectExtent l="0" t="0" r="0" b="0"/>
                      <wp:wrapNone/>
                      <wp:docPr id="193" name="画布 18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66" name="矩形 1861"/>
                              <wps:cNvSpPr/>
                              <wps:spPr>
                                <a:xfrm>
                                  <a:off x="1600200" y="405862"/>
                                  <a:ext cx="800100" cy="297251"/>
                                </a:xfrm>
                                <a:prstGeom prst="rect">
                                  <a:avLst/>
                                </a:prstGeom>
                                <a:solidFill>
                                  <a:srgbClr val="FFFFFF"/>
                                </a:solidFill>
                                <a:ln w="9525" cap="flat" cmpd="sng">
                                  <a:solidFill>
                                    <a:srgbClr val="000000"/>
                                  </a:solidFill>
                                  <a:prstDash val="solid"/>
                                  <a:miter/>
                                  <a:headEnd type="none" w="med" len="med"/>
                                  <a:tailEnd type="none" w="med" len="med"/>
                                </a:ln>
                              </wps:spPr>
                              <wps:txbx>
                                <w:txbxContent>
                                  <w:p>
                                    <w:r>
                                      <w:t>生活</w:t>
                                    </w:r>
                                    <w:r>
                                      <w:rPr>
                                        <w:rFonts w:hint="eastAsia"/>
                                      </w:rPr>
                                      <w:t>用水</w:t>
                                    </w:r>
                                  </w:p>
                                </w:txbxContent>
                              </wps:txbx>
                              <wps:bodyPr vert="horz" wrap="square" anchor="t" upright="1"/>
                            </wps:wsp>
                            <wps:wsp>
                              <wps:cNvPr id="167" name="矩形 1862"/>
                              <wps:cNvSpPr/>
                              <wps:spPr>
                                <a:xfrm>
                                  <a:off x="1600200" y="1286182"/>
                                  <a:ext cx="800100" cy="297251"/>
                                </a:xfrm>
                                <a:prstGeom prst="rect">
                                  <a:avLst/>
                                </a:prstGeom>
                                <a:solidFill>
                                  <a:srgbClr val="FFFFFF"/>
                                </a:solidFill>
                                <a:ln w="9525" cap="flat" cmpd="sng">
                                  <a:solidFill>
                                    <a:srgbClr val="000000"/>
                                  </a:solidFill>
                                  <a:prstDash val="solid"/>
                                  <a:miter/>
                                  <a:headEnd type="none" w="med" len="med"/>
                                  <a:tailEnd type="none" w="med" len="med"/>
                                </a:ln>
                              </wps:spPr>
                              <wps:txbx>
                                <w:txbxContent>
                                  <w:p>
                                    <w:r>
                                      <w:t>绿化</w:t>
                                    </w:r>
                                  </w:p>
                                </w:txbxContent>
                              </wps:txbx>
                              <wps:bodyPr vert="horz" wrap="square" anchor="t" upright="1"/>
                            </wps:wsp>
                            <wps:wsp>
                              <wps:cNvPr id="168" name="任意多边形 1863"/>
                              <wps:cNvSpPr/>
                              <wps:spPr>
                                <a:xfrm>
                                  <a:off x="914400" y="503040"/>
                                  <a:ext cx="685800" cy="1780965"/>
                                </a:xfrm>
                                <a:custGeom>
                                  <a:avLst/>
                                  <a:gdLst/>
                                  <a:ahLst/>
                                  <a:cxnLst/>
                                  <a:pathLst>
                                    <a:path w="1080" h="2184">
                                      <a:moveTo>
                                        <a:pt x="1080" y="0"/>
                                      </a:moveTo>
                                      <a:lnTo>
                                        <a:pt x="0" y="0"/>
                                      </a:lnTo>
                                      <a:lnTo>
                                        <a:pt x="0" y="2184"/>
                                      </a:lnTo>
                                      <a:lnTo>
                                        <a:pt x="1080" y="2184"/>
                                      </a:lnTo>
                                    </a:path>
                                  </a:pathLst>
                                </a:custGeom>
                                <a:noFill/>
                                <a:ln w="9525" cap="flat" cmpd="sng">
                                  <a:solidFill>
                                    <a:srgbClr val="000000"/>
                                  </a:solidFill>
                                  <a:prstDash val="solid"/>
                                  <a:headEnd type="triangle" w="med" len="med"/>
                                  <a:tailEnd type="triangle" w="med" len="med"/>
                                </a:ln>
                              </wps:spPr>
                              <wps:bodyPr vert="horz" wrap="square" anchor="t" upright="1"/>
                            </wps:wsp>
                            <wps:wsp>
                              <wps:cNvPr id="169" name="直线 1864"/>
                              <wps:cNvCnPr/>
                              <wps:spPr>
                                <a:xfrm flipV="1">
                                  <a:off x="133350" y="1500864"/>
                                  <a:ext cx="800100" cy="635"/>
                                </a:xfrm>
                                <a:prstGeom prst="line">
                                  <a:avLst/>
                                </a:prstGeom>
                                <a:ln w="9525" cap="flat" cmpd="sng">
                                  <a:solidFill>
                                    <a:srgbClr val="000000"/>
                                  </a:solidFill>
                                  <a:prstDash val="solid"/>
                                  <a:headEnd type="none" w="med" len="med"/>
                                  <a:tailEnd type="triangle" w="med" len="med"/>
                                </a:ln>
                              </wps:spPr>
                              <wps:bodyPr upright="1"/>
                            </wps:wsp>
                            <wps:wsp>
                              <wps:cNvPr id="170" name="文本框 1865"/>
                              <wps:cNvSpPr txBox="1"/>
                              <wps:spPr>
                                <a:xfrm>
                                  <a:off x="350520" y="1126759"/>
                                  <a:ext cx="504825" cy="347428"/>
                                </a:xfrm>
                                <a:prstGeom prst="rect">
                                  <a:avLst/>
                                </a:prstGeom>
                                <a:noFill/>
                                <a:ln w="9525">
                                  <a:noFill/>
                                </a:ln>
                              </wps:spPr>
                              <wps:txbx>
                                <w:txbxContent>
                                  <w:p>
                                    <w:pPr>
                                      <w:rPr>
                                        <w:rFonts w:hint="eastAsia" w:eastAsia="宋体"/>
                                        <w:lang w:val="en-US" w:eastAsia="zh-CN"/>
                                      </w:rPr>
                                    </w:pPr>
                                    <w:r>
                                      <w:rPr>
                                        <w:rFonts w:hint="eastAsia"/>
                                        <w:lang w:val="en-US" w:eastAsia="zh-CN"/>
                                      </w:rPr>
                                      <w:t>1.014</w:t>
                                    </w:r>
                                  </w:p>
                                </w:txbxContent>
                              </wps:txbx>
                              <wps:bodyPr vert="horz" wrap="square" anchor="t" upright="1"/>
                            </wps:wsp>
                            <wps:wsp>
                              <wps:cNvPr id="171" name="文本框 1866"/>
                              <wps:cNvSpPr txBox="1"/>
                              <wps:spPr>
                                <a:xfrm>
                                  <a:off x="987425" y="217222"/>
                                  <a:ext cx="574675" cy="297251"/>
                                </a:xfrm>
                                <a:prstGeom prst="rect">
                                  <a:avLst/>
                                </a:prstGeom>
                                <a:noFill/>
                                <a:ln w="9525">
                                  <a:noFill/>
                                </a:ln>
                              </wps:spPr>
                              <wps:txbx>
                                <w:txbxContent>
                                  <w:p>
                                    <w:pPr>
                                      <w:rPr>
                                        <w:rFonts w:hint="eastAsia" w:eastAsia="宋体"/>
                                        <w:lang w:val="en-US" w:eastAsia="zh-CN"/>
                                      </w:rPr>
                                    </w:pPr>
                                    <w:r>
                                      <w:rPr>
                                        <w:rFonts w:hint="eastAsia"/>
                                        <w:lang w:val="en-US" w:eastAsia="zh-CN"/>
                                      </w:rPr>
                                      <w:t>0.474</w:t>
                                    </w:r>
                                  </w:p>
                                </w:txbxContent>
                              </wps:txbx>
                              <wps:bodyPr vert="horz" wrap="square" anchor="t" upright="1"/>
                            </wps:wsp>
                            <wps:wsp>
                              <wps:cNvPr id="172" name="文本框 1867"/>
                              <wps:cNvSpPr txBox="1"/>
                              <wps:spPr>
                                <a:xfrm>
                                  <a:off x="1028700" y="1187099"/>
                                  <a:ext cx="457200" cy="297251"/>
                                </a:xfrm>
                                <a:prstGeom prst="rect">
                                  <a:avLst/>
                                </a:prstGeom>
                                <a:noFill/>
                                <a:ln w="9525">
                                  <a:noFill/>
                                </a:ln>
                              </wps:spPr>
                              <wps:txbx>
                                <w:txbxContent>
                                  <w:p>
                                    <w:pPr>
                                      <w:rPr>
                                        <w:rFonts w:hint="eastAsia" w:eastAsia="宋体"/>
                                        <w:lang w:val="en-US" w:eastAsia="zh-CN"/>
                                      </w:rPr>
                                    </w:pPr>
                                    <w:r>
                                      <w:rPr>
                                        <w:rFonts w:hint="eastAsia"/>
                                        <w:lang w:val="en-US" w:eastAsia="zh-CN"/>
                                      </w:rPr>
                                      <w:t>0.06</w:t>
                                    </w:r>
                                  </w:p>
                                </w:txbxContent>
                              </wps:txbx>
                              <wps:bodyPr vert="horz" wrap="square" anchor="t" upright="1"/>
                            </wps:wsp>
                            <wps:wsp>
                              <wps:cNvPr id="173" name="直线 1868"/>
                              <wps:cNvCnPr/>
                              <wps:spPr>
                                <a:xfrm>
                                  <a:off x="2400300" y="504946"/>
                                  <a:ext cx="1482725" cy="1270"/>
                                </a:xfrm>
                                <a:prstGeom prst="line">
                                  <a:avLst/>
                                </a:prstGeom>
                                <a:ln w="9525" cap="flat" cmpd="sng">
                                  <a:solidFill>
                                    <a:srgbClr val="000000"/>
                                  </a:solidFill>
                                  <a:prstDash val="solid"/>
                                  <a:headEnd type="none" w="med" len="med"/>
                                  <a:tailEnd type="triangle" w="med" len="med"/>
                                </a:ln>
                              </wps:spPr>
                              <wps:bodyPr upright="1"/>
                            </wps:wsp>
                            <wps:wsp>
                              <wps:cNvPr id="174" name="直线 1869"/>
                              <wps:cNvCnPr/>
                              <wps:spPr>
                                <a:xfrm>
                                  <a:off x="3082925" y="1594866"/>
                                  <a:ext cx="3810" cy="700572"/>
                                </a:xfrm>
                                <a:prstGeom prst="line">
                                  <a:avLst/>
                                </a:prstGeom>
                                <a:ln w="9525" cap="flat" cmpd="sng">
                                  <a:solidFill>
                                    <a:srgbClr val="000000"/>
                                  </a:solidFill>
                                  <a:prstDash val="solid"/>
                                  <a:headEnd type="none" w="med" len="med"/>
                                  <a:tailEnd type="none" w="med" len="med"/>
                                </a:ln>
                              </wps:spPr>
                              <wps:bodyPr upright="1"/>
                            </wps:wsp>
                            <wps:wsp>
                              <wps:cNvPr id="175" name="直线 1870"/>
                              <wps:cNvCnPr/>
                              <wps:spPr>
                                <a:xfrm>
                                  <a:off x="3086100" y="1601853"/>
                                  <a:ext cx="456565" cy="635"/>
                                </a:xfrm>
                                <a:prstGeom prst="line">
                                  <a:avLst/>
                                </a:prstGeom>
                                <a:ln w="9525" cap="flat" cmpd="sng">
                                  <a:solidFill>
                                    <a:srgbClr val="000000"/>
                                  </a:solidFill>
                                  <a:prstDash val="solid"/>
                                  <a:headEnd type="none" w="med" len="med"/>
                                  <a:tailEnd type="triangle" w="med" len="med"/>
                                </a:ln>
                              </wps:spPr>
                              <wps:bodyPr upright="1"/>
                            </wps:wsp>
                            <wps:wsp>
                              <wps:cNvPr id="176" name="文本框 1871"/>
                              <wps:cNvSpPr txBox="1"/>
                              <wps:spPr>
                                <a:xfrm>
                                  <a:off x="2514600" y="207695"/>
                                  <a:ext cx="525145" cy="296616"/>
                                </a:xfrm>
                                <a:prstGeom prst="rect">
                                  <a:avLst/>
                                </a:prstGeom>
                                <a:noFill/>
                                <a:ln w="9525">
                                  <a:noFill/>
                                </a:ln>
                              </wps:spPr>
                              <wps:txbx>
                                <w:txbxContent>
                                  <w:p>
                                    <w:pPr>
                                      <w:rPr>
                                        <w:rFonts w:hint="eastAsia"/>
                                        <w:lang w:val="en-US"/>
                                      </w:rPr>
                                    </w:pPr>
                                    <w:r>
                                      <w:rPr>
                                        <w:rFonts w:hint="eastAsia"/>
                                        <w:lang w:val="en-US" w:eastAsia="zh-CN"/>
                                      </w:rPr>
                                      <w:t>0.379</w:t>
                                    </w:r>
                                  </w:p>
                                </w:txbxContent>
                              </wps:txbx>
                              <wps:bodyPr vert="horz" wrap="square" anchor="t" upright="1"/>
                            </wps:wsp>
                            <wps:wsp>
                              <wps:cNvPr id="177" name="文本框 1872"/>
                              <wps:cNvSpPr txBox="1"/>
                              <wps:spPr>
                                <a:xfrm>
                                  <a:off x="1943100" y="988931"/>
                                  <a:ext cx="914400" cy="297251"/>
                                </a:xfrm>
                                <a:prstGeom prst="rect">
                                  <a:avLst/>
                                </a:prstGeom>
                                <a:noFill/>
                                <a:ln w="9525">
                                  <a:noFill/>
                                </a:ln>
                              </wps:spPr>
                              <wps:txbx>
                                <w:txbxContent>
                                  <w:p>
                                    <w:pPr>
                                      <w:rPr>
                                        <w:rFonts w:hint="eastAsia"/>
                                      </w:rPr>
                                    </w:pPr>
                                    <w:r>
                                      <w:rPr>
                                        <w:rFonts w:hint="eastAsia"/>
                                      </w:rPr>
                                      <w:t>全部蒸发</w:t>
                                    </w:r>
                                  </w:p>
                                </w:txbxContent>
                              </wps:txbx>
                              <wps:bodyPr vert="horz" wrap="square" anchor="t" upright="1"/>
                            </wps:wsp>
                            <wps:wsp>
                              <wps:cNvPr id="178" name="矩形 1873"/>
                              <wps:cNvSpPr/>
                              <wps:spPr>
                                <a:xfrm>
                                  <a:off x="3543300" y="1403685"/>
                                  <a:ext cx="685800" cy="297251"/>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化粪池</w:t>
                                    </w:r>
                                  </w:p>
                                </w:txbxContent>
                              </wps:txbx>
                              <wps:bodyPr vert="horz" wrap="square" anchor="t" upright="1"/>
                            </wps:wsp>
                            <wps:wsp>
                              <wps:cNvPr id="179" name="任意多边形 1874"/>
                              <wps:cNvSpPr/>
                              <wps:spPr>
                                <a:xfrm>
                                  <a:off x="4229100" y="1502769"/>
                                  <a:ext cx="342900" cy="297251"/>
                                </a:xfrm>
                                <a:custGeom>
                                  <a:avLst/>
                                  <a:gdLst/>
                                  <a:ahLst/>
                                  <a:cxnLst/>
                                  <a:pathLst>
                                    <a:path w="540" h="780">
                                      <a:moveTo>
                                        <a:pt x="0" y="0"/>
                                      </a:moveTo>
                                      <a:lnTo>
                                        <a:pt x="540" y="0"/>
                                      </a:lnTo>
                                      <a:lnTo>
                                        <a:pt x="540" y="780"/>
                                      </a:lnTo>
                                    </a:path>
                                  </a:pathLst>
                                </a:custGeom>
                                <a:noFill/>
                                <a:ln w="9525" cap="flat" cmpd="sng">
                                  <a:solidFill>
                                    <a:srgbClr val="000000"/>
                                  </a:solidFill>
                                  <a:prstDash val="solid"/>
                                  <a:headEnd type="none" w="med" len="med"/>
                                  <a:tailEnd type="triangle" w="med" len="med"/>
                                </a:ln>
                              </wps:spPr>
                              <wps:bodyPr vert="horz" wrap="square" anchor="t" upright="1"/>
                            </wps:wsp>
                            <wps:wsp>
                              <wps:cNvPr id="180" name="文本框 1875"/>
                              <wps:cNvSpPr txBox="1"/>
                              <wps:spPr>
                                <a:xfrm>
                                  <a:off x="3818255" y="1800020"/>
                                  <a:ext cx="1143000" cy="495418"/>
                                </a:xfrm>
                                <a:prstGeom prst="rect">
                                  <a:avLst/>
                                </a:prstGeom>
                                <a:noFill/>
                                <a:ln w="9525">
                                  <a:noFill/>
                                </a:ln>
                              </wps:spPr>
                              <wps:txbx>
                                <w:txbxContent>
                                  <w:p>
                                    <w:pPr>
                                      <w:rPr>
                                        <w:rFonts w:hint="eastAsia"/>
                                      </w:rPr>
                                    </w:pPr>
                                    <w:r>
                                      <w:rPr>
                                        <w:rFonts w:hint="eastAsia"/>
                                      </w:rPr>
                                      <w:t>提供给周边的农户用作农肥</w:t>
                                    </w:r>
                                  </w:p>
                                </w:txbxContent>
                              </wps:txbx>
                              <wps:bodyPr vert="horz" wrap="square" anchor="t" upright="1"/>
                            </wps:wsp>
                            <wps:wsp>
                              <wps:cNvPr id="181" name="直线 1876"/>
                              <wps:cNvCnPr/>
                              <wps:spPr>
                                <a:xfrm flipV="1">
                                  <a:off x="1714500" y="306778"/>
                                  <a:ext cx="228600" cy="99084"/>
                                </a:xfrm>
                                <a:prstGeom prst="line">
                                  <a:avLst/>
                                </a:prstGeom>
                                <a:ln w="9525" cap="rnd" cmpd="sng">
                                  <a:solidFill>
                                    <a:srgbClr val="000000"/>
                                  </a:solidFill>
                                  <a:prstDash val="sysDot"/>
                                  <a:headEnd type="none" w="med" len="med"/>
                                  <a:tailEnd type="triangle" w="med" len="med"/>
                                </a:ln>
                              </wps:spPr>
                              <wps:bodyPr upright="1"/>
                            </wps:wsp>
                            <wps:wsp>
                              <wps:cNvPr id="182" name="文本框 1877"/>
                              <wps:cNvSpPr txBox="1"/>
                              <wps:spPr>
                                <a:xfrm>
                                  <a:off x="1825625" y="7622"/>
                                  <a:ext cx="525145" cy="296616"/>
                                </a:xfrm>
                                <a:prstGeom prst="rect">
                                  <a:avLst/>
                                </a:prstGeom>
                                <a:noFill/>
                                <a:ln w="9525">
                                  <a:noFill/>
                                </a:ln>
                              </wps:spPr>
                              <wps:txbx>
                                <w:txbxContent>
                                  <w:p>
                                    <w:pPr>
                                      <w:rPr>
                                        <w:rFonts w:hint="eastAsia"/>
                                      </w:rPr>
                                    </w:pPr>
                                    <w:r>
                                      <w:rPr>
                                        <w:rFonts w:hint="eastAsia"/>
                                      </w:rPr>
                                      <w:t>0.</w:t>
                                    </w:r>
                                    <w:r>
                                      <w:rPr>
                                        <w:rFonts w:hint="eastAsia"/>
                                        <w:lang w:val="en-US" w:eastAsia="zh-CN"/>
                                      </w:rPr>
                                      <w:t>095</w:t>
                                    </w:r>
                                  </w:p>
                                </w:txbxContent>
                              </wps:txbx>
                              <wps:bodyPr vert="horz" wrap="square" anchor="t" upright="1"/>
                            </wps:wsp>
                            <wps:wsp>
                              <wps:cNvPr id="183" name="直线 1878"/>
                              <wps:cNvCnPr/>
                              <wps:spPr>
                                <a:xfrm flipV="1">
                                  <a:off x="1714500" y="1187099"/>
                                  <a:ext cx="228600" cy="99084"/>
                                </a:xfrm>
                                <a:prstGeom prst="line">
                                  <a:avLst/>
                                </a:prstGeom>
                                <a:ln w="9525" cap="rnd" cmpd="sng">
                                  <a:solidFill>
                                    <a:srgbClr val="000000"/>
                                  </a:solidFill>
                                  <a:prstDash val="sysDot"/>
                                  <a:headEnd type="none" w="med" len="med"/>
                                  <a:tailEnd type="triangle" w="med" len="med"/>
                                </a:ln>
                              </wps:spPr>
                              <wps:bodyPr upright="1"/>
                            </wps:wsp>
                            <wps:wsp>
                              <wps:cNvPr id="184" name="直线 1879"/>
                              <wps:cNvCnPr/>
                              <wps:spPr>
                                <a:xfrm>
                                  <a:off x="914400" y="1484350"/>
                                  <a:ext cx="685800" cy="635"/>
                                </a:xfrm>
                                <a:prstGeom prst="line">
                                  <a:avLst/>
                                </a:prstGeom>
                                <a:ln w="9525" cap="flat" cmpd="sng">
                                  <a:solidFill>
                                    <a:srgbClr val="000000"/>
                                  </a:solidFill>
                                  <a:prstDash val="solid"/>
                                  <a:headEnd type="none" w="med" len="med"/>
                                  <a:tailEnd type="triangle" w="med" len="med"/>
                                </a:ln>
                              </wps:spPr>
                              <wps:bodyPr upright="1"/>
                            </wps:wsp>
                            <wps:wsp>
                              <wps:cNvPr id="185" name="矩形 1880"/>
                              <wps:cNvSpPr/>
                              <wps:spPr>
                                <a:xfrm>
                                  <a:off x="1254125" y="2121407"/>
                                  <a:ext cx="1485900" cy="2731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办公生活区</w:t>
                                    </w:r>
                                    <w:r>
                                      <w:t>清洗用水</w:t>
                                    </w:r>
                                  </w:p>
                                </w:txbxContent>
                              </wps:txbx>
                              <wps:bodyPr vert="horz" wrap="square" anchor="t" upright="1"/>
                            </wps:wsp>
                            <wps:wsp>
                              <wps:cNvPr id="186" name="文本框 1881"/>
                              <wps:cNvSpPr txBox="1"/>
                              <wps:spPr>
                                <a:xfrm>
                                  <a:off x="911225" y="1998187"/>
                                  <a:ext cx="457200" cy="297251"/>
                                </a:xfrm>
                                <a:prstGeom prst="rect">
                                  <a:avLst/>
                                </a:prstGeom>
                                <a:noFill/>
                                <a:ln w="9525">
                                  <a:noFill/>
                                </a:ln>
                              </wps:spPr>
                              <wps:txbx>
                                <w:txbxContent>
                                  <w:p>
                                    <w:pPr>
                                      <w:rPr>
                                        <w:rFonts w:hint="eastAsia" w:eastAsia="宋体"/>
                                        <w:lang w:val="en-US" w:eastAsia="zh-CN"/>
                                      </w:rPr>
                                    </w:pPr>
                                    <w:r>
                                      <w:rPr>
                                        <w:rFonts w:hint="eastAsia"/>
                                        <w:lang w:val="en-US" w:eastAsia="zh-CN"/>
                                      </w:rPr>
                                      <w:t>0.4852</w:t>
                                    </w:r>
                                  </w:p>
                                </w:txbxContent>
                              </wps:txbx>
                              <wps:bodyPr vert="horz" wrap="square" anchor="t" upright="1"/>
                            </wps:wsp>
                            <wps:wsp>
                              <wps:cNvPr id="187" name="直线 1882"/>
                              <wps:cNvCnPr/>
                              <wps:spPr>
                                <a:xfrm>
                                  <a:off x="2723515" y="2286546"/>
                                  <a:ext cx="362585" cy="8892"/>
                                </a:xfrm>
                                <a:prstGeom prst="line">
                                  <a:avLst/>
                                </a:prstGeom>
                                <a:ln w="9525" cap="flat" cmpd="sng">
                                  <a:solidFill>
                                    <a:srgbClr val="000000"/>
                                  </a:solidFill>
                                  <a:prstDash val="solid"/>
                                  <a:headEnd type="none" w="med" len="med"/>
                                  <a:tailEnd type="triangle" w="med" len="med"/>
                                </a:ln>
                              </wps:spPr>
                              <wps:bodyPr upright="1"/>
                            </wps:wsp>
                            <wps:wsp>
                              <wps:cNvPr id="188" name="文本框 1883"/>
                              <wps:cNvSpPr txBox="1"/>
                              <wps:spPr>
                                <a:xfrm>
                                  <a:off x="2740025" y="1998187"/>
                                  <a:ext cx="571500" cy="297251"/>
                                </a:xfrm>
                                <a:prstGeom prst="rect">
                                  <a:avLst/>
                                </a:prstGeom>
                                <a:noFill/>
                                <a:ln w="9525">
                                  <a:noFill/>
                                </a:ln>
                              </wps:spPr>
                              <wps:txbx>
                                <w:txbxContent>
                                  <w:p>
                                    <w:pPr>
                                      <w:rPr>
                                        <w:rFonts w:hint="eastAsia" w:eastAsia="宋体"/>
                                        <w:lang w:val="en-US" w:eastAsia="zh-CN"/>
                                      </w:rPr>
                                    </w:pPr>
                                    <w:r>
                                      <w:rPr>
                                        <w:rFonts w:hint="eastAsia"/>
                                        <w:lang w:val="en-US" w:eastAsia="zh-CN"/>
                                      </w:rPr>
                                      <w:t>0.38</w:t>
                                    </w:r>
                                  </w:p>
                                </w:txbxContent>
                              </wps:txbx>
                              <wps:bodyPr vert="horz" wrap="square" anchor="t" upright="1"/>
                            </wps:wsp>
                            <wps:wsp>
                              <wps:cNvPr id="189" name="直线 1884"/>
                              <wps:cNvCnPr/>
                              <wps:spPr>
                                <a:xfrm flipV="1">
                                  <a:off x="1714500" y="1998187"/>
                                  <a:ext cx="228600" cy="99084"/>
                                </a:xfrm>
                                <a:prstGeom prst="line">
                                  <a:avLst/>
                                </a:prstGeom>
                                <a:ln w="9525" cap="rnd" cmpd="sng">
                                  <a:solidFill>
                                    <a:srgbClr val="000000"/>
                                  </a:solidFill>
                                  <a:prstDash val="sysDot"/>
                                  <a:headEnd type="none" w="med" len="med"/>
                                  <a:tailEnd type="triangle" w="med" len="med"/>
                                </a:ln>
                              </wps:spPr>
                              <wps:bodyPr upright="1"/>
                            </wps:wsp>
                            <wps:wsp>
                              <wps:cNvPr id="190" name="文本框 1885"/>
                              <wps:cNvSpPr txBox="1"/>
                              <wps:spPr>
                                <a:xfrm>
                                  <a:off x="1943100" y="1800020"/>
                                  <a:ext cx="568325" cy="296616"/>
                                </a:xfrm>
                                <a:prstGeom prst="rect">
                                  <a:avLst/>
                                </a:prstGeom>
                                <a:noFill/>
                                <a:ln w="9525">
                                  <a:noFill/>
                                </a:ln>
                              </wps:spPr>
                              <wps:txbx>
                                <w:txbxContent>
                                  <w:p>
                                    <w:pPr>
                                      <w:rPr>
                                        <w:rFonts w:hint="eastAsia"/>
                                      </w:rPr>
                                    </w:pPr>
                                    <w:r>
                                      <w:rPr>
                                        <w:rFonts w:hint="eastAsia"/>
                                      </w:rPr>
                                      <w:t>0.</w:t>
                                    </w:r>
                                    <w:r>
                                      <w:rPr>
                                        <w:rFonts w:hint="eastAsia"/>
                                        <w:lang w:val="en-US" w:eastAsia="zh-CN"/>
                                      </w:rPr>
                                      <w:t>10</w:t>
                                    </w:r>
                                  </w:p>
                                </w:txbxContent>
                              </wps:txbx>
                              <wps:bodyPr vert="horz" wrap="square" anchor="t" upright="1"/>
                            </wps:wsp>
                            <wps:wsp>
                              <wps:cNvPr id="191" name="直线 1886"/>
                              <wps:cNvCnPr/>
                              <wps:spPr>
                                <a:xfrm>
                                  <a:off x="3883025" y="536068"/>
                                  <a:ext cx="635" cy="891753"/>
                                </a:xfrm>
                                <a:prstGeom prst="line">
                                  <a:avLst/>
                                </a:prstGeom>
                                <a:ln w="9525" cap="flat" cmpd="sng">
                                  <a:solidFill>
                                    <a:srgbClr val="000000"/>
                                  </a:solidFill>
                                  <a:prstDash val="solid"/>
                                  <a:headEnd type="none" w="med" len="med"/>
                                  <a:tailEnd type="triangle" w="med" len="med"/>
                                </a:ln>
                              </wps:spPr>
                              <wps:bodyPr upright="1"/>
                            </wps:wsp>
                            <wps:wsp>
                              <wps:cNvPr id="192" name="文本框 1887"/>
                              <wps:cNvSpPr txBox="1"/>
                              <wps:spPr>
                                <a:xfrm>
                                  <a:off x="3913505" y="779966"/>
                                  <a:ext cx="520700" cy="292170"/>
                                </a:xfrm>
                                <a:prstGeom prst="rect">
                                  <a:avLst/>
                                </a:prstGeom>
                                <a:noFill/>
                                <a:ln w="9525">
                                  <a:noFill/>
                                </a:ln>
                              </wps:spPr>
                              <wps:txbx>
                                <w:txbxContent>
                                  <w:p>
                                    <w:pPr>
                                      <w:rPr>
                                        <w:rFonts w:hint="eastAsia"/>
                                        <w:lang w:val="en-US"/>
                                      </w:rPr>
                                    </w:pPr>
                                    <w:r>
                                      <w:rPr>
                                        <w:rFonts w:hint="eastAsia"/>
                                        <w:lang w:val="en-US" w:eastAsia="zh-CN"/>
                                      </w:rPr>
                                      <w:t>0.759</w:t>
                                    </w:r>
                                  </w:p>
                                </w:txbxContent>
                              </wps:txbx>
                              <wps:bodyPr vert="horz" wrap="square" anchor="t" upright="1"/>
                            </wps:wsp>
                          </wpc:wpc>
                        </a:graphicData>
                      </a:graphic>
                    </wp:anchor>
                  </w:drawing>
                </mc:Choice>
                <mc:Fallback>
                  <w:pict>
                    <v:group id="画布 1859" o:spid="_x0000_s1026" o:spt="203" style="position:absolute;left:0pt;margin-left:28.15pt;margin-top:23.1pt;height:209.3pt;width:399.65pt;mso-position-horizontal-relative:char;mso-position-vertical-relative:line;z-index:251675648;mso-width-relative:page;mso-height-relative:page;" coordsize="5075555,2658110" editas="canvas" o:gfxdata="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">
                      <o:lock v:ext="edit" aspectratio="f"/>
                      <v:shape id="画布 1859" o:spid="_x0000_s1026" style="position:absolute;left:0;top:0;height:2658110;width:5075555;" filled="f" stroked="f" coordsize="21600,21600" o:gfxdata="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Qg2D2doA&#10;AAAJAQAADwAAAAAAAAABACAAAAAiAAAAZHJzL2Rvd25yZXYueG1sUEsBAhQAFAAAAAgAh07iQFV9&#10;krmuBwAAPDoAAA4AAAAAAAAAAQAgAAAAKQEAAGRycy9lMm9Eb2MueG1sUEsFBgAAAAAGAAYAWQEA&#10;AEkLAAAAAA==&#10;">
                        <v:fill on="f" focussize="0,0"/>
                        <v:stroke on="f"/>
                        <v:imagedata o:title=""/>
                        <o:lock v:ext="edit" aspectratio="t"/>
                      </v:shape>
                      <v:rect id="矩形 1861" o:spid="_x0000_s1026" o:spt="1" style="position:absolute;left:1600200;top:405862;height:297251;width:800100;" fillcolor="#FFFFFF" filled="t" stroked="t" coordsize="21600,21600" o:gfxdata="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gRTltcAAAAJAQAADwAAAAAAAAABACAAAAAiAAAAZHJzL2Rvd25yZXYueG1sUEsBAhQAFAAAAAgA&#10;h07iQKfuYYQmAgAAXQQAAA4AAAAAAAAAAQAgAAAAJgEAAGRycy9lMm9Eb2MueG1sUEsFBgAAAAAG&#10;AAYAWQEAAL4FAAAAAA==&#10;">
                        <v:fill on="t" focussize="0,0"/>
                        <v:stroke color="#000000" joinstyle="miter"/>
                        <v:imagedata o:title=""/>
                        <o:lock v:ext="edit" aspectratio="f"/>
                        <v:textbox>
                          <w:txbxContent>
                            <w:p>
                              <w:r>
                                <w:t>生活</w:t>
                              </w:r>
                              <w:r>
                                <w:rPr>
                                  <w:rFonts w:hint="eastAsia"/>
                                </w:rPr>
                                <w:t>用水</w:t>
                              </w:r>
                            </w:p>
                          </w:txbxContent>
                        </v:textbox>
                      </v:rect>
                      <v:rect id="矩形 1862" o:spid="_x0000_s1026" o:spt="1" style="position:absolute;left:1600200;top:1286182;height:297251;width:800100;" fillcolor="#FFFFFF" filled="t" stroked="t" coordsize="21600,21600" o:gfxdata="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BFOW1wAAAAkBAAAPAAAAAAAAAAEAIAAAACIAAABkcnMvZG93bnJldi54bWxQSwECFAAUAAAACACH&#10;TuJAZq3gGyUCAABeBAAADgAAAAAAAAABACAAAAAmAQAAZHJzL2Uyb0RvYy54bWxQSwUGAAAAAAYA&#10;BgBZAQAAvQUAAAAA&#10;">
                        <v:fill on="t" focussize="0,0"/>
                        <v:stroke color="#000000" joinstyle="miter"/>
                        <v:imagedata o:title=""/>
                        <o:lock v:ext="edit" aspectratio="f"/>
                        <v:textbox>
                          <w:txbxContent>
                            <w:p>
                              <w:r>
                                <w:t>绿化</w:t>
                              </w:r>
                            </w:p>
                          </w:txbxContent>
                        </v:textbox>
                      </v:rect>
                      <v:shape id="任意多边形 1863" o:spid="_x0000_s1026" o:spt="100" style="position:absolute;left:914400;top:503040;height:1780965;width:685800;" filled="f" stroked="t" coordsize="1080,2184" o:gfxdata="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0TxWdcAAAAJAQAADwAAAAAAAAABACAAAAAiAAAAZHJz&#10;L2Rvd25yZXYueG1sUEsBAhQAFAAAAAgAh07iQMWJift3AgAAHQUAAA4AAAAAAAAAAQAgAAAAJgEA&#10;AGRycy9lMm9Eb2MueG1sUEsFBgAAAAAGAAYAWQEAAA8GAAAAAA==&#10;" path="m1080,0l0,0,0,2184,1080,2184e">
                        <v:fill on="f" focussize="0,0"/>
                        <v:stroke color="#000000" joinstyle="round" startarrow="block" endarrow="block"/>
                        <v:imagedata o:title=""/>
                        <o:lock v:ext="edit" aspectratio="f"/>
                      </v:shape>
                      <v:line id="直线 1864" o:spid="_x0000_s1026" o:spt="20" style="position:absolute;left:133350;top:1500864;flip:y;height:635;width:800100;" filled="f" stroked="t" coordsize="21600,21600" o:gfxdata="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tDP0NkAAAAJAQAADwAAAAAAAAABACAAAAAiAAAAZHJz&#10;L2Rvd25yZXYueG1sUEsBAhQAFAAAAAgAh07iQEsPiIIDAgAA+gMAAA4AAAAAAAAAAQAgAAAAKAEA&#10;AGRycy9lMm9Eb2MueG1sUEsFBgAAAAAGAAYAWQEAAJ0FAAAAAA==&#10;">
                        <v:fill on="f" focussize="0,0"/>
                        <v:stroke color="#000000" joinstyle="round" endarrow="block"/>
                        <v:imagedata o:title=""/>
                        <o:lock v:ext="edit" aspectratio="f"/>
                      </v:line>
                      <v:shape id="文本框 1865" o:spid="_x0000_s1026" o:spt="202" type="#_x0000_t202" style="position:absolute;left:350520;top:1126759;height:347428;width:504825;"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4GhI1wAAAAkBAAAPAAAAAAAA&#10;AAEAIAAAACIAAABkcnMvZG93bnJldi54bWxQSwECFAAUAAAACACHTuJAbaN5MdoBAACLAwAADgAA&#10;AAAAAAABACAAAAAmAQAAZHJzL2Uyb0RvYy54bWxQSwUGAAAAAAYABgBZAQAAcgUAAAAA&#10;">
                        <v:fill on="f" focussize="0,0"/>
                        <v:stroke on="f"/>
                        <v:imagedata o:title=""/>
                        <o:lock v:ext="edit" aspectratio="f"/>
                        <v:textbox>
                          <w:txbxContent>
                            <w:p>
                              <w:pPr>
                                <w:rPr>
                                  <w:rFonts w:hint="eastAsia" w:eastAsia="宋体"/>
                                  <w:lang w:val="en-US" w:eastAsia="zh-CN"/>
                                </w:rPr>
                              </w:pPr>
                              <w:r>
                                <w:rPr>
                                  <w:rFonts w:hint="eastAsia"/>
                                  <w:lang w:val="en-US" w:eastAsia="zh-CN"/>
                                </w:rPr>
                                <w:t>1.014</w:t>
                              </w:r>
                            </w:p>
                          </w:txbxContent>
                        </v:textbox>
                      </v:shape>
                      <v:shape id="文本框 1866" o:spid="_x0000_s1026" o:spt="202" type="#_x0000_t202" style="position:absolute;left:987425;top:217222;height:297251;width:574675;"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4GhI1wAAAAkBAAAPAAAAAAAA&#10;AAEAIAAAACIAAABkcnMvZG93bnJldi54bWxQSwECFAAUAAAACACHTuJAJ97ziNoBAACKAwAADgAA&#10;AAAAAAABACAAAAAmAQAAZHJzL2Uyb0RvYy54bWxQSwUGAAAAAAYABgBZAQAAcgUAAAAA&#10;">
                        <v:fill on="f" focussize="0,0"/>
                        <v:stroke on="f"/>
                        <v:imagedata o:title=""/>
                        <o:lock v:ext="edit" aspectratio="f"/>
                        <v:textbox>
                          <w:txbxContent>
                            <w:p>
                              <w:pPr>
                                <w:rPr>
                                  <w:rFonts w:hint="eastAsia" w:eastAsia="宋体"/>
                                  <w:lang w:val="en-US" w:eastAsia="zh-CN"/>
                                </w:rPr>
                              </w:pPr>
                              <w:r>
                                <w:rPr>
                                  <w:rFonts w:hint="eastAsia"/>
                                  <w:lang w:val="en-US" w:eastAsia="zh-CN"/>
                                </w:rPr>
                                <w:t>0.474</w:t>
                              </w:r>
                            </w:p>
                          </w:txbxContent>
                        </v:textbox>
                      </v:shape>
                      <v:shape id="文本框 1867" o:spid="_x0000_s1026" o:spt="202" type="#_x0000_t202" style="position:absolute;left:1028700;top:1187099;height:297251;width:457200;"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OBoSNcAAAAJAQAADwAAAAAA&#10;AAABACAAAAAiAAAAZHJzL2Rvd25yZXYueG1sUEsBAhQAFAAAAAgAh07iQE1I5QTbAQAAjAMAAA4A&#10;AAAAAAAAAQAgAAAAJgEAAGRycy9lMm9Eb2MueG1sUEsFBgAAAAAGAAYAWQEAAHMFAAAAAA==&#10;">
                        <v:fill on="f" focussize="0,0"/>
                        <v:stroke on="f"/>
                        <v:imagedata o:title=""/>
                        <o:lock v:ext="edit" aspectratio="f"/>
                        <v:textbox>
                          <w:txbxContent>
                            <w:p>
                              <w:pPr>
                                <w:rPr>
                                  <w:rFonts w:hint="eastAsia" w:eastAsia="宋体"/>
                                  <w:lang w:val="en-US" w:eastAsia="zh-CN"/>
                                </w:rPr>
                              </w:pPr>
                              <w:r>
                                <w:rPr>
                                  <w:rFonts w:hint="eastAsia"/>
                                  <w:lang w:val="en-US" w:eastAsia="zh-CN"/>
                                </w:rPr>
                                <w:t>0.06</w:t>
                              </w:r>
                            </w:p>
                          </w:txbxContent>
                        </v:textbox>
                      </v:shape>
                      <v:line id="直线 1868" o:spid="_x0000_s1026" o:spt="20" style="position:absolute;left:2400300;top:504946;height:1270;width:1482725;" filled="f" stroked="t" coordsize="21600,21600" o:gfxdata="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vKm29oAAAAJAQAADwAAAAAAAAABACAAAAAiAAAAZHJz&#10;L2Rvd25yZXYueG1sUEsBAhQAFAAAAAgAh07iQBN6Ba8CAgAA8gMAAA4AAAAAAAAAAQAgAAAAKQEA&#10;AGRycy9lMm9Eb2MueG1sUEsFBgAAAAAGAAYAWQEAAJ0FAAAAAA==&#10;">
                        <v:fill on="f" focussize="0,0"/>
                        <v:stroke color="#000000" joinstyle="round" endarrow="block"/>
                        <v:imagedata o:title=""/>
                        <o:lock v:ext="edit" aspectratio="f"/>
                      </v:line>
                      <v:line id="直线 1869" o:spid="_x0000_s1026" o:spt="20" style="position:absolute;left:3082925;top:1594866;height:700572;width:3810;" filled="f" stroked="t" coordsize="21600,21600" o:gfxdata="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61ii2AAAAAkBAAAPAAAAAAAAAAEAIAAAACIAAABkcnMvZG93bnJldi54&#10;bWxQSwECFAAUAAAACACHTuJA5IHTQPoBAADuAwAADgAAAAAAAAABACAAAAAnAQAAZHJzL2Uyb0Rv&#10;Yy54bWxQSwUGAAAAAAYABgBZAQAAkwUAAAAA&#10;">
                        <v:fill on="f" focussize="0,0"/>
                        <v:stroke color="#000000" joinstyle="round"/>
                        <v:imagedata o:title=""/>
                        <o:lock v:ext="edit" aspectratio="f"/>
                      </v:line>
                      <v:line id="直线 1870" o:spid="_x0000_s1026" o:spt="20" style="position:absolute;left:3086100;top:1601853;height:635;width:456565;" filled="f" stroked="t" coordsize="21600,21600" o:gfxdata="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8qbb2gAAAAkBAAAPAAAAAAAAAAEAIAAAACIAAABkcnMvZG93&#10;bnJldi54bWxQSwECFAAUAAAACACHTuJAMrwCJP4BAADxAwAADgAAAAAAAAABACAAAAApAQAAZHJz&#10;L2Uyb0RvYy54bWxQSwUGAAAAAAYABgBZAQAAmQUAAAAA&#10;">
                        <v:fill on="f" focussize="0,0"/>
                        <v:stroke color="#000000" joinstyle="round" endarrow="block"/>
                        <v:imagedata o:title=""/>
                        <o:lock v:ext="edit" aspectratio="f"/>
                      </v:line>
                      <v:shape id="文本框 1871" o:spid="_x0000_s1026" o:spt="202" type="#_x0000_t202" style="position:absolute;left:2514600;top:207695;height:296616;width:525145;"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7OBoSNcAAAAJAQAADwAAAAAAAAAB&#10;ACAAAAAiAAAAZHJzL2Rvd25yZXYueG1sUEsBAhQAFAAAAAgAh07iQGK8NYjYAQAAiwMAAA4AAAAA&#10;AAAAAQAgAAAAJgEAAGRycy9lMm9Eb2MueG1sUEsFBgAAAAAGAAYAWQEAAHAFAAAAAA==&#10;">
                        <v:fill on="f" focussize="0,0"/>
                        <v:stroke on="f"/>
                        <v:imagedata o:title=""/>
                        <o:lock v:ext="edit" aspectratio="f"/>
                        <v:textbox>
                          <w:txbxContent>
                            <w:p>
                              <w:pPr>
                                <w:rPr>
                                  <w:rFonts w:hint="eastAsia"/>
                                  <w:lang w:val="en-US"/>
                                </w:rPr>
                              </w:pPr>
                              <w:r>
                                <w:rPr>
                                  <w:rFonts w:hint="eastAsia"/>
                                  <w:lang w:val="en-US" w:eastAsia="zh-CN"/>
                                </w:rPr>
                                <w:t>0.379</w:t>
                              </w:r>
                            </w:p>
                          </w:txbxContent>
                        </v:textbox>
                      </v:shape>
                      <v:shape id="文本框 1872" o:spid="_x0000_s1026" o:spt="202" type="#_x0000_t202" style="position:absolute;left:1943100;top:988931;height:297251;width:914400;"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OBoSNcAAAAJAQAADwAAAAAA&#10;AAABACAAAAAiAAAAZHJzL2Rvd25yZXYueG1sUEsBAhQAFAAAAAgAh07iQAkVEbjbAQAAiwMAAA4A&#10;AAAAAAAAAQAgAAAAJgEAAGRycy9lMm9Eb2MueG1sUEsFBgAAAAAGAAYAWQEAAHMFAAAAAA==&#10;">
                        <v:fill on="f" focussize="0,0"/>
                        <v:stroke on="f"/>
                        <v:imagedata o:title=""/>
                        <o:lock v:ext="edit" aspectratio="f"/>
                        <v:textbox>
                          <w:txbxContent>
                            <w:p>
                              <w:pPr>
                                <w:rPr>
                                  <w:rFonts w:hint="eastAsia"/>
                                </w:rPr>
                              </w:pPr>
                              <w:r>
                                <w:rPr>
                                  <w:rFonts w:hint="eastAsia"/>
                                </w:rPr>
                                <w:t>全部蒸发</w:t>
                              </w:r>
                            </w:p>
                          </w:txbxContent>
                        </v:textbox>
                      </v:shape>
                      <v:rect id="矩形 1873" o:spid="_x0000_s1026" o:spt="1" style="position:absolute;left:3543300;top:1403685;height:297251;width:685800;" fillcolor="#FFFFFF" filled="t" stroked="t" coordsize="21600,21600" o:gfxdata="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BFOW1wAAAAkBAAAPAAAAAAAAAAEAIAAAACIAAABkcnMvZG93bnJldi54bWxQSwECFAAUAAAA&#10;CACHTuJAV18diCgCAABeBAAADgAAAAAAAAABACAAAAAmAQAAZHJzL2Uyb0RvYy54bWxQSwUGAAAA&#10;AAYABgBZAQAAwAUAAAAA&#10;">
                        <v:fill on="t" focussize="0,0"/>
                        <v:stroke color="#000000" joinstyle="miter"/>
                        <v:imagedata o:title=""/>
                        <o:lock v:ext="edit" aspectratio="f"/>
                        <v:textbox>
                          <w:txbxContent>
                            <w:p>
                              <w:r>
                                <w:rPr>
                                  <w:rFonts w:hint="eastAsia"/>
                                </w:rPr>
                                <w:t>化粪池</w:t>
                              </w:r>
                            </w:p>
                          </w:txbxContent>
                        </v:textbox>
                      </v:rect>
                      <v:shape id="任意多边形 1874" o:spid="_x0000_s1026" o:spt="100" style="position:absolute;left:4229100;top:1502769;height:297251;width:342900;" filled="f" stroked="t" coordsize="540,780" o:gfxdata="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hB2tNkAAAAJAQAADwAAAAAAAAABACAAAAAiAAAAZHJzL2Rv&#10;d25yZXYueG1sUEsBAhQAFAAAAAgAh07iQDj+3adyAgAA7gQAAA4AAAAAAAAAAQAgAAAAKAEAAGRy&#10;cy9lMm9Eb2MueG1sUEsFBgAAAAAGAAYAWQEAAAwGAAAAAA==&#10;" path="m0,0l540,0,540,780e">
                        <v:fill on="f" focussize="0,0"/>
                        <v:stroke color="#000000" joinstyle="round" endarrow="block"/>
                        <v:imagedata o:title=""/>
                        <o:lock v:ext="edit" aspectratio="f"/>
                      </v:shape>
                      <v:shape id="文本框 1875" o:spid="_x0000_s1026" o:spt="202" type="#_x0000_t202" style="position:absolute;left:3818255;top:1800020;height:495418;width:1143000;"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4GhI1wAAAAkBAAAPAAAAAAAA&#10;AAEAIAAAACIAAABkcnMvZG93bnJldi54bWxQSwECFAAUAAAACACHTuJAzoNgKdoBAACNAwAADgAA&#10;AAAAAAABACAAAAAmAQAAZHJzL2Uyb0RvYy54bWxQSwUGAAAAAAYABgBZAQAAcgUAAAAA&#10;">
                        <v:fill on="f" focussize="0,0"/>
                        <v:stroke on="f"/>
                        <v:imagedata o:title=""/>
                        <o:lock v:ext="edit" aspectratio="f"/>
                        <v:textbox>
                          <w:txbxContent>
                            <w:p>
                              <w:pPr>
                                <w:rPr>
                                  <w:rFonts w:hint="eastAsia"/>
                                </w:rPr>
                              </w:pPr>
                              <w:r>
                                <w:rPr>
                                  <w:rFonts w:hint="eastAsia"/>
                                </w:rPr>
                                <w:t>提供给周边的农户用作农肥</w:t>
                              </w:r>
                            </w:p>
                          </w:txbxContent>
                        </v:textbox>
                      </v:shape>
                      <v:line id="直线 1876" o:spid="_x0000_s1026" o:spt="20" style="position:absolute;left:1714500;top:306778;flip:y;height:99084;width:228600;" filled="f" stroked="t" coordsize="21600,21600" o:gfxdata="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4UCvXAAAACQEAAA8AAAAAAAAAAQAgAAAAIgAA&#10;AGRycy9kb3ducmV2LnhtbFBLAQIUABQAAAAIAIdO4kANcaJQCQIAAPwDAAAOAAAAAAAAAAEAIAAA&#10;ACYBAABkcnMvZTJvRG9jLnhtbFBLBQYAAAAABgAGAFkBAAChBQAAAAA=&#10;">
                        <v:fill on="f" focussize="0,0"/>
                        <v:stroke color="#000000" joinstyle="round" dashstyle="1 1" endcap="round" endarrow="block"/>
                        <v:imagedata o:title=""/>
                        <o:lock v:ext="edit" aspectratio="f"/>
                      </v:line>
                      <v:shape id="文本框 1877" o:spid="_x0000_s1026" o:spt="202" type="#_x0000_t202" style="position:absolute;left:1825625;top:7622;height:296616;width:525145;"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7OBoSNcAAAAJAQAADwAAAAAAAAAB&#10;ACAAAAAiAAAAZHJzL2Rvd25yZXYueG1sUEsBAhQAFAAAAAgAh07iQA58FOPYAQAAiQMAAA4AAAAA&#10;AAAAAQAgAAAAJgEAAGRycy9lMm9Eb2MueG1sUEsFBgAAAAAGAAYAWQEAAHAFAAAAAA==&#10;">
                        <v:fill on="f" focussize="0,0"/>
                        <v:stroke on="f"/>
                        <v:imagedata o:title=""/>
                        <o:lock v:ext="edit" aspectratio="f"/>
                        <v:textbox>
                          <w:txbxContent>
                            <w:p>
                              <w:pPr>
                                <w:rPr>
                                  <w:rFonts w:hint="eastAsia"/>
                                </w:rPr>
                              </w:pPr>
                              <w:r>
                                <w:rPr>
                                  <w:rFonts w:hint="eastAsia"/>
                                </w:rPr>
                                <w:t>0.</w:t>
                              </w:r>
                              <w:r>
                                <w:rPr>
                                  <w:rFonts w:hint="eastAsia"/>
                                  <w:lang w:val="en-US" w:eastAsia="zh-CN"/>
                                </w:rPr>
                                <w:t>095</w:t>
                              </w:r>
                            </w:p>
                          </w:txbxContent>
                        </v:textbox>
                      </v:shape>
                      <v:line id="直线 1878" o:spid="_x0000_s1026" o:spt="20" style="position:absolute;left:1714500;top:1187099;flip:y;height:99084;width:228600;" filled="f" stroked="t" coordsize="21600,21600" o:gfxdata="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rhQK9cAAAAJAQAADwAAAAAAAAABACAAAAAiAAAA&#10;ZHJzL2Rvd25yZXYueG1sUEsBAhQAFAAAAAgAh07iQL9bXQQIAgAA/QMAAA4AAAAAAAAAAQAgAAAA&#10;JgEAAGRycy9lMm9Eb2MueG1sUEsFBgAAAAAGAAYAWQEAAKAFAAAAAA==&#10;">
                        <v:fill on="f" focussize="0,0"/>
                        <v:stroke color="#000000" joinstyle="round" dashstyle="1 1" endcap="round" endarrow="block"/>
                        <v:imagedata o:title=""/>
                        <o:lock v:ext="edit" aspectratio="f"/>
                      </v:line>
                      <v:line id="直线 1879" o:spid="_x0000_s1026" o:spt="20" style="position:absolute;left:914400;top:1484350;height:635;width:685800;" filled="f" stroked="t" coordsize="21600,21600" o:gfxdata="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8qbb2gAAAAkBAAAPAAAAAAAAAAEAIAAAACIAAABkcnMvZG93&#10;bnJldi54bWxQSwECFAAUAAAACACHTuJA/OL3Rv4BAADwAwAADgAAAAAAAAABACAAAAApAQAAZHJz&#10;L2Uyb0RvYy54bWxQSwUGAAAAAAYABgBZAQAAmQUAAAAA&#10;">
                        <v:fill on="f" focussize="0,0"/>
                        <v:stroke color="#000000" joinstyle="round" endarrow="block"/>
                        <v:imagedata o:title=""/>
                        <o:lock v:ext="edit" aspectratio="f"/>
                      </v:line>
                      <v:rect id="矩形 1880" o:spid="_x0000_s1026" o:spt="1" style="position:absolute;left:1254125;top:2121407;height:273115;width:1485900;" fillcolor="#FFFFFF" filled="t" stroked="t" coordsize="21600,21600" o:gfxdata="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gRTltcAAAAJAQAADwAAAAAAAAABACAAAAAiAAAAZHJzL2Rvd25yZXYueG1sUEsBAhQAFAAAAAgA&#10;h07iQJe0PlomAgAAXwQAAA4AAAAAAAAAAQAgAAAAJgEAAGRycy9lMm9Eb2MueG1sUEsFBgAAAAAG&#10;AAYAWQEAAL4FAAAAAA==&#10;">
                        <v:fill on="t" focussize="0,0"/>
                        <v:stroke color="#000000" joinstyle="miter"/>
                        <v:imagedata o:title=""/>
                        <o:lock v:ext="edit" aspectratio="f"/>
                        <v:textbox>
                          <w:txbxContent>
                            <w:p>
                              <w:r>
                                <w:rPr>
                                  <w:rFonts w:hint="eastAsia"/>
                                </w:rPr>
                                <w:t>办公生活区</w:t>
                              </w:r>
                              <w:r>
                                <w:t>清洗用水</w:t>
                              </w:r>
                            </w:p>
                          </w:txbxContent>
                        </v:textbox>
                      </v:rect>
                      <v:shape id="文本框 1881" o:spid="_x0000_s1026" o:spt="202" type="#_x0000_t202" style="position:absolute;left:911225;top:1998187;height:297251;width:457200;"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OBoSNcAAAAJAQAADwAAAAAA&#10;AAABACAAAAAiAAAAZHJzL2Rvd25yZXYueG1sUEsBAhQAFAAAAAgAh07iQHV5a67bAQAAiwMAAA4A&#10;AAAAAAAAAQAgAAAAJgEAAGRycy9lMm9Eb2MueG1sUEsFBgAAAAAGAAYAWQEAAHMFAAAAAA==&#10;">
                        <v:fill on="f" focussize="0,0"/>
                        <v:stroke on="f"/>
                        <v:imagedata o:title=""/>
                        <o:lock v:ext="edit" aspectratio="f"/>
                        <v:textbox>
                          <w:txbxContent>
                            <w:p>
                              <w:pPr>
                                <w:rPr>
                                  <w:rFonts w:hint="eastAsia" w:eastAsia="宋体"/>
                                  <w:lang w:val="en-US" w:eastAsia="zh-CN"/>
                                </w:rPr>
                              </w:pPr>
                              <w:r>
                                <w:rPr>
                                  <w:rFonts w:hint="eastAsia"/>
                                  <w:lang w:val="en-US" w:eastAsia="zh-CN"/>
                                </w:rPr>
                                <w:t>0.4852</w:t>
                              </w:r>
                            </w:p>
                          </w:txbxContent>
                        </v:textbox>
                      </v:shape>
                      <v:line id="直线 1882" o:spid="_x0000_s1026" o:spt="20" style="position:absolute;left:2723515;top:2286546;height:8892;width:362585;" filled="f" stroked="t" coordsize="21600,21600" o:gfxdata="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byptvaAAAACQEAAA8AAAAAAAAAAQAgAAAAIgAAAGRy&#10;cy9kb3ducmV2LnhtbFBLAQIUABQAAAAIAIdO4kAa7RKLAwIAAPIDAAAOAAAAAAAAAAEAIAAAACkB&#10;AABkcnMvZTJvRG9jLnhtbFBLBQYAAAAABgAGAFkBAACeBQAAAAA=&#10;">
                        <v:fill on="f" focussize="0,0"/>
                        <v:stroke color="#000000" joinstyle="round" endarrow="block"/>
                        <v:imagedata o:title=""/>
                        <o:lock v:ext="edit" aspectratio="f"/>
                      </v:line>
                      <v:shape id="文本框 1883" o:spid="_x0000_s1026" o:spt="202" type="#_x0000_t202" style="position:absolute;left:2740025;top:1998187;height:297251;width:571500;"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OBoSNcAAAAJAQAADwAAAAAA&#10;AAABACAAAAAiAAAAZHJzL2Rvd25yZXYueG1sUEsBAhQAFAAAAAgAh07iQAAs3pDbAQAAjAMAAA4A&#10;AAAAAAAAAQAgAAAAJgEAAGRycy9lMm9Eb2MueG1sUEsFBgAAAAAGAAYAWQEAAHMFAAAAAA==&#10;">
                        <v:fill on="f" focussize="0,0"/>
                        <v:stroke on="f"/>
                        <v:imagedata o:title=""/>
                        <o:lock v:ext="edit" aspectratio="f"/>
                        <v:textbox>
                          <w:txbxContent>
                            <w:p>
                              <w:pPr>
                                <w:rPr>
                                  <w:rFonts w:hint="eastAsia" w:eastAsia="宋体"/>
                                  <w:lang w:val="en-US" w:eastAsia="zh-CN"/>
                                </w:rPr>
                              </w:pPr>
                              <w:r>
                                <w:rPr>
                                  <w:rFonts w:hint="eastAsia"/>
                                  <w:lang w:val="en-US" w:eastAsia="zh-CN"/>
                                </w:rPr>
                                <w:t>0.38</w:t>
                              </w:r>
                            </w:p>
                          </w:txbxContent>
                        </v:textbox>
                      </v:shape>
                      <v:line id="直线 1884" o:spid="_x0000_s1026" o:spt="20" style="position:absolute;left:1714500;top:1998187;flip:y;height:99084;width:228600;" filled="f" stroked="t" coordsize="21600,21600" o:gfxdata="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uFAr1wAAAAkBAAAPAAAAAAAAAAEAIAAAACIA&#10;AABkcnMvZG93bnJldi54bWxQSwECFAAUAAAACACHTuJASfaLvgoCAAD9AwAADgAAAAAAAAABACAA&#10;AAAmAQAAZHJzL2Uyb0RvYy54bWxQSwUGAAAAAAYABgBZAQAAogUAAAAA&#10;">
                        <v:fill on="f" focussize="0,0"/>
                        <v:stroke color="#000000" joinstyle="round" dashstyle="1 1" endcap="round" endarrow="block"/>
                        <v:imagedata o:title=""/>
                        <o:lock v:ext="edit" aspectratio="f"/>
                      </v:line>
                      <v:shape id="文本框 1885" o:spid="_x0000_s1026" o:spt="202" type="#_x0000_t202" style="position:absolute;left:1943100;top:1800020;height:296616;width:568325;"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zgaEjXAAAACQEAAA8AAAAAAAAA&#10;AQAgAAAAIgAAAGRycy9kb3ducmV2LnhtbFBLAQIUABQAAAAIAIdO4kDQuFLA2QEAAIwDAAAOAAAA&#10;AAAAAAEAIAAAACYBAABkcnMvZTJvRG9jLnhtbFBLBQYAAAAABgAGAFkBAABxBQAAAAA=&#10;">
                        <v:fill on="f" focussize="0,0"/>
                        <v:stroke on="f"/>
                        <v:imagedata o:title=""/>
                        <o:lock v:ext="edit" aspectratio="f"/>
                        <v:textbox>
                          <w:txbxContent>
                            <w:p>
                              <w:pPr>
                                <w:rPr>
                                  <w:rFonts w:hint="eastAsia"/>
                                </w:rPr>
                              </w:pPr>
                              <w:r>
                                <w:rPr>
                                  <w:rFonts w:hint="eastAsia"/>
                                </w:rPr>
                                <w:t>0.</w:t>
                              </w:r>
                              <w:r>
                                <w:rPr>
                                  <w:rFonts w:hint="eastAsia"/>
                                  <w:lang w:val="en-US" w:eastAsia="zh-CN"/>
                                </w:rPr>
                                <w:t>10</w:t>
                              </w:r>
                            </w:p>
                          </w:txbxContent>
                        </v:textbox>
                      </v:shape>
                      <v:line id="直线 1886" o:spid="_x0000_s1026" o:spt="20" style="position:absolute;left:3883025;top:536068;height:891753;width:635;" filled="f" stroked="t" coordsize="21600,21600" o:gfxdata="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byptvaAAAACQEAAA8AAAAAAAAAAQAgAAAAIgAAAGRycy9k&#10;b3ducmV2LnhtbFBLAQIUABQAAAAIAIdO4kCeGRKCAAIAAPADAAAOAAAAAAAAAAEAIAAAACkBAABk&#10;cnMvZTJvRG9jLnhtbFBLBQYAAAAABgAGAFkBAACbBQAAAAA=&#10;">
                        <v:fill on="f" focussize="0,0"/>
                        <v:stroke color="#000000" joinstyle="round" endarrow="block"/>
                        <v:imagedata o:title=""/>
                        <o:lock v:ext="edit" aspectratio="f"/>
                      </v:line>
                      <v:shape id="文本框 1887" o:spid="_x0000_s1026" o:spt="202" type="#_x0000_t202" style="position:absolute;left:3913505;top:779966;height:292170;width:520700;" filled="f" stroked="f" coordsize="21600,21600" o:gfxdata="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7OBoSNcAAAAJAQAADwAA&#10;AAAAAAABACAAAAAiAAAAZHJzL2Rvd25yZXYueG1sUEsBAhQAFAAAAAgAh07iQBojqZzeAQAAiwMA&#10;AA4AAAAAAAAAAQAgAAAAJgEAAGRycy9lMm9Eb2MueG1sUEsFBgAAAAAGAAYAWQEAAHYFAAAAAA==&#10;">
                        <v:fill on="f" focussize="0,0"/>
                        <v:stroke on="f"/>
                        <v:imagedata o:title=""/>
                        <o:lock v:ext="edit" aspectratio="f"/>
                        <v:textbox>
                          <w:txbxContent>
                            <w:p>
                              <w:pPr>
                                <w:rPr>
                                  <w:rFonts w:hint="eastAsia"/>
                                  <w:lang w:val="en-US"/>
                                </w:rPr>
                              </w:pPr>
                              <w:r>
                                <w:rPr>
                                  <w:rFonts w:hint="eastAsia"/>
                                  <w:lang w:val="en-US" w:eastAsia="zh-CN"/>
                                </w:rPr>
                                <w:t>0.759</w:t>
                              </w:r>
                            </w:p>
                          </w:txbxContent>
                        </v:textbox>
                      </v:shape>
                    </v:group>
                  </w:pict>
                </mc:Fallback>
              </mc:AlternateContent>
            </w: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color w:val="auto"/>
              </w:rPr>
            </w:pPr>
          </w:p>
          <w:p>
            <w:pPr>
              <w:spacing w:line="360" w:lineRule="auto"/>
              <w:rPr>
                <w:rFonts w:hint="default" w:ascii="Times New Roman" w:hAnsi="Times New Roman" w:cs="Times New Roman"/>
                <w:b/>
                <w:color w:val="auto"/>
                <w:kern w:val="0"/>
                <w:sz w:val="24"/>
              </w:rPr>
            </w:pPr>
          </w:p>
          <w:p>
            <w:pPr>
              <w:spacing w:line="360" w:lineRule="auto"/>
              <w:ind w:firstLine="1928" w:firstLineChars="8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图5-9  项目运营期水量平衡图（非雨天）(m</w:t>
            </w:r>
            <w:r>
              <w:rPr>
                <w:rFonts w:hint="default" w:ascii="Times New Roman" w:hAnsi="Times New Roman" w:cs="Times New Roman"/>
                <w:b/>
                <w:color w:val="auto"/>
                <w:kern w:val="0"/>
                <w:sz w:val="24"/>
                <w:vertAlign w:val="superscript"/>
              </w:rPr>
              <w:t>3</w:t>
            </w:r>
            <w:r>
              <w:rPr>
                <w:rFonts w:hint="default" w:ascii="Times New Roman" w:hAnsi="Times New Roman" w:cs="Times New Roman"/>
                <w:b/>
                <w:color w:val="auto"/>
                <w:kern w:val="0"/>
                <w:sz w:val="24"/>
              </w:rPr>
              <w:t>/d)</w:t>
            </w:r>
          </w:p>
          <w:p>
            <w:pPr>
              <w:spacing w:line="360" w:lineRule="auto"/>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rPr>
              <w:t>项目用水</w:t>
            </w:r>
            <w:r>
              <w:rPr>
                <w:rFonts w:hint="default" w:ascii="Times New Roman" w:hAnsi="Times New Roman" w:cs="Times New Roman"/>
                <w:color w:val="auto"/>
                <w:sz w:val="24"/>
                <w:lang w:eastAsia="zh-CN"/>
              </w:rPr>
              <w:t>（生活用水、绿化用水、办公生活区）</w:t>
            </w:r>
            <w:r>
              <w:rPr>
                <w:rFonts w:hint="default" w:ascii="Times New Roman" w:hAnsi="Times New Roman" w:cs="Times New Roman"/>
                <w:color w:val="auto"/>
                <w:sz w:val="24"/>
              </w:rPr>
              <w:t>全部</w:t>
            </w:r>
            <w:r>
              <w:rPr>
                <w:rFonts w:hint="eastAsia" w:ascii="Times New Roman" w:hAnsi="Times New Roman" w:cs="Times New Roman"/>
                <w:color w:val="auto"/>
                <w:sz w:val="24"/>
                <w:lang w:eastAsia="zh-CN"/>
              </w:rPr>
              <w:t>来自蚌峨乡自来水</w:t>
            </w:r>
            <w:r>
              <w:rPr>
                <w:rFonts w:hint="default" w:ascii="Times New Roman" w:hAnsi="Times New Roman" w:cs="Times New Roman"/>
                <w:color w:val="auto"/>
                <w:sz w:val="24"/>
              </w:rPr>
              <w:t>，通过铺设管线引入</w:t>
            </w:r>
            <w:r>
              <w:rPr>
                <w:rFonts w:hint="default" w:ascii="Times New Roman" w:hAnsi="Times New Roman" w:cs="Times New Roman"/>
                <w:color w:val="auto"/>
                <w:sz w:val="24"/>
                <w:lang w:eastAsia="zh-CN"/>
              </w:rPr>
              <w:t>，项目供水能够满足项目生活、生产用水。</w:t>
            </w:r>
            <w:r>
              <w:rPr>
                <w:rFonts w:hint="default" w:ascii="Times New Roman" w:hAnsi="Times New Roman" w:cs="Times New Roman"/>
                <w:color w:val="auto"/>
                <w:sz w:val="24"/>
              </w:rPr>
              <w:t>项目场区</w:t>
            </w:r>
            <w:r>
              <w:rPr>
                <w:rFonts w:hint="default" w:ascii="Times New Roman" w:hAnsi="Times New Roman" w:cs="Times New Roman"/>
                <w:color w:val="auto"/>
                <w:sz w:val="24"/>
                <w:lang w:eastAsia="zh-CN"/>
              </w:rPr>
              <w:t>雨水经</w:t>
            </w:r>
            <w:r>
              <w:rPr>
                <w:rFonts w:hint="default" w:ascii="Times New Roman" w:hAnsi="Times New Roman" w:cs="Times New Roman"/>
                <w:color w:val="auto"/>
                <w:sz w:val="24"/>
              </w:rPr>
              <w:t>引</w:t>
            </w:r>
            <w:r>
              <w:rPr>
                <w:rFonts w:hint="default" w:ascii="Times New Roman" w:hAnsi="Times New Roman" w:cs="Times New Roman"/>
                <w:color w:val="auto"/>
                <w:sz w:val="24"/>
                <w:lang w:eastAsia="zh-CN"/>
              </w:rPr>
              <w:t>流沟进入</w:t>
            </w:r>
            <w:r>
              <w:rPr>
                <w:rFonts w:hint="default" w:ascii="Times New Roman" w:hAnsi="Times New Roman" w:cs="Times New Roman"/>
                <w:color w:val="auto"/>
                <w:sz w:val="24"/>
              </w:rPr>
              <w:t>水封井，经水封井处理后排至场外雨水沟渠，项目公厕，粪便污水经水冲厕进入化粪池，洗漱废水经污水管网进入化粪池，工作人员食堂产生的厨房废水经</w:t>
            </w:r>
            <w:r>
              <w:rPr>
                <w:rFonts w:hint="default" w:ascii="Times New Roman" w:hAnsi="Times New Roman" w:cs="Times New Roman"/>
                <w:color w:val="auto"/>
                <w:sz w:val="24"/>
                <w:lang w:eastAsia="zh-CN"/>
              </w:rPr>
              <w:t>污水管网</w:t>
            </w:r>
            <w:r>
              <w:rPr>
                <w:rFonts w:hint="default" w:ascii="Times New Roman" w:hAnsi="Times New Roman" w:cs="Times New Roman"/>
                <w:color w:val="auto"/>
                <w:sz w:val="24"/>
              </w:rPr>
              <w:t>进入化粪池，</w:t>
            </w:r>
            <w:r>
              <w:rPr>
                <w:rFonts w:hint="default" w:ascii="Times New Roman" w:hAnsi="Times New Roman" w:cs="Times New Roman"/>
                <w:color w:val="auto"/>
                <w:sz w:val="24"/>
                <w:lang w:eastAsia="zh-CN"/>
              </w:rPr>
              <w:t>污水</w:t>
            </w:r>
            <w:r>
              <w:rPr>
                <w:rFonts w:hint="default" w:ascii="Times New Roman" w:hAnsi="Times New Roman" w:cs="Times New Roman"/>
                <w:color w:val="auto"/>
                <w:sz w:val="24"/>
              </w:rPr>
              <w:t>经化粪池处理后提供给周边的农户用作农肥，不外排。</w:t>
            </w:r>
          </w:p>
          <w:p>
            <w:pPr>
              <w:numPr>
                <w:ilvl w:val="0"/>
                <w:numId w:val="6"/>
              </w:numPr>
              <w:spacing w:line="360" w:lineRule="auto"/>
              <w:ind w:firstLine="602" w:firstLineChars="250"/>
              <w:outlineLvl w:val="0"/>
              <w:rPr>
                <w:rFonts w:hint="default" w:ascii="Times New Roman" w:hAnsi="Times New Roman" w:cs="Times New Roman"/>
                <w:b/>
                <w:color w:val="auto"/>
                <w:sz w:val="24"/>
              </w:rPr>
            </w:pPr>
            <w:r>
              <w:rPr>
                <w:rFonts w:hint="default" w:ascii="Times New Roman" w:hAnsi="Times New Roman" w:cs="Times New Roman"/>
                <w:b/>
                <w:color w:val="auto"/>
                <w:sz w:val="24"/>
              </w:rPr>
              <w:t>地下水</w:t>
            </w:r>
          </w:p>
          <w:p>
            <w:pPr>
              <w:spacing w:line="360" w:lineRule="auto"/>
              <w:ind w:firstLine="480"/>
              <w:outlineLvl w:val="0"/>
              <w:rPr>
                <w:rFonts w:hint="default" w:ascii="Times New Roman" w:hAnsi="Times New Roman" w:cs="Times New Roman"/>
                <w:bCs/>
                <w:color w:val="auto"/>
                <w:sz w:val="24"/>
              </w:rPr>
            </w:pPr>
            <w:r>
              <w:rPr>
                <w:rFonts w:hint="default" w:ascii="Times New Roman" w:hAnsi="Times New Roman" w:cs="Times New Roman"/>
                <w:bCs/>
                <w:color w:val="auto"/>
                <w:sz w:val="24"/>
              </w:rPr>
              <w:t>储油罐的泄漏或渗漏对地下水产生较大的影响，地下水一旦遭到燃料油的污染，会使地下水产生严重异味，并具有较强的致畸致癌性，无法饮用。由于这种渗漏必然穿过较厚的土壤层，使土壤层中吸附大量的燃料油，土壤层吸附的燃料油不仅会造成土壤动、植物死亡，而且土壤层吸附的燃料油还会随着地表水的下渗对土壤层的冲刷作用补充到地下水，污染的消除仅靠地表雨水入渗的冲刷，含水层的自净降解，必将是一个长期的过程，达到地下水的完全恢复需几十年甚至上百年的时间。</w:t>
            </w:r>
          </w:p>
          <w:p>
            <w:pPr>
              <w:spacing w:line="360" w:lineRule="auto"/>
              <w:ind w:firstLine="480" w:firstLineChars="200"/>
              <w:outlineLvl w:val="0"/>
              <w:rPr>
                <w:rFonts w:hint="default" w:ascii="Times New Roman" w:hAnsi="Times New Roman" w:cs="Times New Roman"/>
                <w:bCs/>
                <w:color w:val="auto"/>
                <w:sz w:val="24"/>
              </w:rPr>
            </w:pPr>
            <w:r>
              <w:rPr>
                <w:rFonts w:hint="default" w:ascii="Times New Roman" w:hAnsi="Times New Roman" w:cs="Times New Roman"/>
                <w:bCs/>
                <w:color w:val="auto"/>
                <w:sz w:val="24"/>
              </w:rPr>
              <w:t>根据《汽车加油加气站设计与施工规范(GB50156-2012)》及地下水防护相关要求，本项目设置有相应的防渗处理措施。评价按各处防渗措施设置情况，将项目区域划分为重点防渗区、一般防渗分区、非防渗区等，重点防渗区为油罐区、管道，一般防渗区为加油棚区、卸油区，其余地区为非防渗区。根据项目设计资料，项目各区设计的防渗措施如下：</w:t>
            </w:r>
          </w:p>
          <w:p>
            <w:pPr>
              <w:spacing w:line="360" w:lineRule="auto"/>
              <w:ind w:firstLine="720" w:firstLineChars="300"/>
              <w:outlineLvl w:val="0"/>
              <w:rPr>
                <w:rFonts w:hint="default" w:ascii="Times New Roman" w:hAnsi="Times New Roman" w:cs="Times New Roman"/>
                <w:bCs/>
                <w:color w:val="auto"/>
                <w:sz w:val="24"/>
              </w:rPr>
            </w:pPr>
            <w:r>
              <w:rPr>
                <w:rFonts w:hint="default" w:ascii="Times New Roman" w:hAnsi="Times New Roman" w:cs="Times New Roman"/>
                <w:bCs/>
                <w:color w:val="auto"/>
                <w:sz w:val="24"/>
              </w:rPr>
              <w:t>重点防渗区：</w:t>
            </w:r>
          </w:p>
          <w:p>
            <w:pPr>
              <w:numPr>
                <w:ilvl w:val="0"/>
                <w:numId w:val="7"/>
              </w:numPr>
              <w:spacing w:line="360" w:lineRule="auto"/>
              <w:ind w:firstLine="480" w:firstLineChars="200"/>
              <w:outlineLvl w:val="0"/>
              <w:rPr>
                <w:rFonts w:hint="default" w:ascii="Times New Roman" w:hAnsi="Times New Roman" w:cs="Times New Roman"/>
                <w:bCs/>
                <w:color w:val="auto"/>
                <w:sz w:val="24"/>
              </w:rPr>
            </w:pPr>
            <w:r>
              <w:rPr>
                <w:rFonts w:hint="default" w:ascii="Times New Roman" w:hAnsi="Times New Roman" w:cs="Times New Roman"/>
                <w:bCs/>
                <w:color w:val="auto"/>
                <w:sz w:val="24"/>
              </w:rPr>
              <w:t>油罐区</w:t>
            </w:r>
            <w:r>
              <w:rPr>
                <w:rFonts w:hint="eastAsia" w:ascii="Times New Roman" w:hAnsi="Times New Roman" w:cs="Times New Roman"/>
                <w:bCs/>
                <w:color w:val="auto"/>
                <w:sz w:val="24"/>
                <w:lang w:eastAsia="zh-CN"/>
              </w:rPr>
              <w:t>及加油管线</w:t>
            </w:r>
            <w:r>
              <w:rPr>
                <w:rFonts w:hint="default" w:ascii="Times New Roman" w:hAnsi="Times New Roman" w:cs="Times New Roman"/>
                <w:bCs/>
                <w:color w:val="auto"/>
                <w:sz w:val="24"/>
              </w:rPr>
              <w:t>为重点污染防渗分区，本项目为双层油罐，项目按《汽车加油加气站设计与施工规范(GB50156-2012)》要求进行设计，设置有防渗罐池，并采用防渗钢筋混凝土整体浇筑。防渗罐池内的空间，采用细砂回填；同时防渗罐池的各隔池内设置用耐油、耐腐蚀的管材制作的检测立管；检测立管周围用粒径为10mm～30mm的砾石回填；检测口设有防止雨水、油污、杂物侵入的保护盖和标识。</w:t>
            </w:r>
          </w:p>
          <w:p>
            <w:pPr>
              <w:spacing w:line="360" w:lineRule="auto"/>
              <w:outlineLvl w:val="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    （2）管道采用双层管道时，外层管满足耐油、耐腐蚀、耐老化和系统试验压力的要求；双层管道系统的内层管与外层管之间的缝隙贯通；双层管道坡向检漏点的坡度，大于5‰。</w:t>
            </w:r>
          </w:p>
          <w:p>
            <w:pPr>
              <w:spacing w:line="360" w:lineRule="auto"/>
              <w:ind w:firstLine="480" w:firstLineChars="200"/>
              <w:outlineLvl w:val="0"/>
              <w:rPr>
                <w:rFonts w:hint="default" w:ascii="Times New Roman" w:hAnsi="Times New Roman" w:cs="Times New Roman"/>
                <w:bCs/>
                <w:color w:val="auto"/>
                <w:sz w:val="24"/>
              </w:rPr>
            </w:pPr>
            <w:r>
              <w:rPr>
                <w:rFonts w:hint="default" w:ascii="Times New Roman" w:hAnsi="Times New Roman" w:cs="Times New Roman"/>
                <w:bCs/>
                <w:color w:val="auto"/>
                <w:sz w:val="24"/>
              </w:rPr>
              <w:t>一般防渗区：</w:t>
            </w:r>
          </w:p>
          <w:p>
            <w:pPr>
              <w:spacing w:line="360" w:lineRule="auto"/>
              <w:ind w:firstLine="480" w:firstLineChars="200"/>
              <w:outlineLvl w:val="0"/>
              <w:rPr>
                <w:rFonts w:hint="default" w:ascii="Times New Roman" w:hAnsi="Times New Roman" w:cs="Times New Roman"/>
                <w:b w:val="0"/>
                <w:bCs/>
                <w:color w:val="auto"/>
                <w:sz w:val="24"/>
                <w:lang w:val="en-US" w:eastAsia="zh-CN"/>
              </w:rPr>
            </w:pPr>
            <w:r>
              <w:rPr>
                <w:rFonts w:hint="default" w:ascii="Times New Roman" w:hAnsi="Times New Roman" w:cs="Times New Roman"/>
                <w:bCs/>
                <w:color w:val="auto"/>
                <w:sz w:val="24"/>
              </w:rPr>
              <w:t>加油罩棚区和卸油区为一般污染防渗分区，地面均全部硬化，设计防渗系数≤1×10</w:t>
            </w:r>
            <w:r>
              <w:rPr>
                <w:rFonts w:hint="default" w:ascii="Times New Roman" w:hAnsi="Times New Roman" w:cs="Times New Roman"/>
                <w:bCs/>
                <w:color w:val="auto"/>
                <w:sz w:val="24"/>
                <w:vertAlign w:val="superscript"/>
              </w:rPr>
              <w:t>-7</w:t>
            </w:r>
            <w:r>
              <w:rPr>
                <w:rFonts w:hint="default" w:ascii="Times New Roman" w:hAnsi="Times New Roman" w:cs="Times New Roman"/>
                <w:bCs/>
                <w:color w:val="auto"/>
                <w:sz w:val="24"/>
              </w:rPr>
              <w:t>cm/s，达到相关要求。</w:t>
            </w:r>
          </w:p>
          <w:p>
            <w:pPr>
              <w:spacing w:line="480" w:lineRule="exact"/>
              <w:ind w:firstLine="482" w:firstLineChars="200"/>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（二）废气</w:t>
            </w:r>
          </w:p>
          <w:p>
            <w:pPr>
              <w:spacing w:line="480" w:lineRule="exact"/>
              <w:ind w:firstLine="482" w:firstLineChars="200"/>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1、非甲烷总烃</w:t>
            </w:r>
          </w:p>
          <w:p>
            <w:pPr>
              <w:spacing w:line="336"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（1）油罐车卸油损失</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油罐车卸油时，</w:t>
            </w:r>
            <w:r>
              <w:rPr>
                <w:rFonts w:hint="default" w:ascii="Times New Roman" w:hAnsi="Times New Roman" w:cs="Times New Roman"/>
                <w:color w:val="auto"/>
                <w:kern w:val="0"/>
                <w:sz w:val="24"/>
              </w:rPr>
              <w:t>由于油罐车与地下油罐的液位不断变化，气体的吸入与呼出会对油品造成的一定扰动蒸发，另外随着油罐车油罐的液面下降，罐壁蒸发面积扩大，外部的高气温也会对其罐壁和空间造成一定的蒸发,在不采取任何措施下卸油过程蒸发的</w:t>
            </w:r>
            <w:r>
              <w:rPr>
                <w:rFonts w:hint="default" w:ascii="Times New Roman" w:hAnsi="Times New Roman" w:cs="Times New Roman"/>
                <w:color w:val="auto"/>
                <w:sz w:val="24"/>
              </w:rPr>
              <w:t>非甲烷烃会进入大气环境中</w:t>
            </w:r>
            <w:r>
              <w:rPr>
                <w:rFonts w:hint="default" w:ascii="Times New Roman" w:hAnsi="Times New Roman" w:cs="Times New Roman"/>
                <w:color w:val="auto"/>
                <w:kern w:val="0"/>
                <w:sz w:val="24"/>
              </w:rPr>
              <w:t>。</w:t>
            </w:r>
          </w:p>
          <w:p>
            <w:pPr>
              <w:spacing w:line="336"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（2）储油罐呼吸损失</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储油罐呼吸分为大、小呼吸，其中：</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油罐进油时，由于油面逐渐升高，气体空间逐渐减小，罐内压力增大，当压力超过呼吸阀控制压力时，一定浓度的油蒸汽开始从呼吸阀呼出，直到油罐停止收油。这种油罐进发油时所呼出的油蒸汽而造成的油品蒸发损失，叫大呼吸损失；</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油罐在没有收发油作业的情况下，随着外界气温、压力在一天内的升降周期变化，罐内气体空间温度、油品蒸发速度、油气浓度和蒸汽压力也随之变化。这种排出油蒸汽和吸入空气的过程造成的油气损失，叫小呼吸损失。</w:t>
            </w:r>
            <w:r>
              <w:rPr>
                <w:rFonts w:hint="default" w:ascii="Times New Roman" w:hAnsi="Times New Roman" w:cs="Times New Roman"/>
                <w:color w:val="auto"/>
                <w:kern w:val="0"/>
                <w:sz w:val="24"/>
              </w:rPr>
              <w:t>在不采取任何措施下大小呼吸过程蒸发的</w:t>
            </w:r>
            <w:r>
              <w:rPr>
                <w:rFonts w:hint="default" w:ascii="Times New Roman" w:hAnsi="Times New Roman" w:cs="Times New Roman"/>
                <w:color w:val="auto"/>
                <w:sz w:val="24"/>
              </w:rPr>
              <w:t>非甲烷烃会进入大气环境中</w:t>
            </w:r>
            <w:r>
              <w:rPr>
                <w:rFonts w:hint="default" w:ascii="Times New Roman" w:hAnsi="Times New Roman" w:cs="Times New Roman"/>
                <w:color w:val="auto"/>
                <w:kern w:val="0"/>
                <w:sz w:val="24"/>
              </w:rPr>
              <w:t>。</w:t>
            </w:r>
          </w:p>
          <w:p>
            <w:pPr>
              <w:spacing w:line="336"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（3）加油机作业损失</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车辆加油时，油品进入汽车油箱，油箱内的烃类气体被油品置换排入大气造成的油气损失，叫加油机作业损失。</w:t>
            </w:r>
          </w:p>
          <w:p>
            <w:pPr>
              <w:spacing w:line="336"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（4）加油机作业跑冒滴漏损失</w:t>
            </w:r>
          </w:p>
          <w:p>
            <w:pPr>
              <w:spacing w:line="33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在加油机作业过程中不可避免的会有一些成品油跑冒滴漏现象发生，该现象发生与加油站的管理、加油人员的操作水平等诸多因素有关。</w:t>
            </w:r>
            <w:r>
              <w:rPr>
                <w:rFonts w:ascii="Times New Roman" w:hAnsi="Times New Roman"/>
                <w:color w:val="auto"/>
                <w:sz w:val="24"/>
                <w:szCs w:val="24"/>
              </w:rPr>
              <w:t>汽油、柴油的跑、冒、滴、漏一般平均损失量分别为0.084kg/m</w:t>
            </w:r>
            <w:r>
              <w:rPr>
                <w:rFonts w:ascii="Times New Roman" w:hAnsi="Times New Roman"/>
                <w:color w:val="auto"/>
                <w:sz w:val="24"/>
                <w:szCs w:val="24"/>
                <w:vertAlign w:val="superscript"/>
              </w:rPr>
              <w:t>3</w:t>
            </w:r>
            <w:r>
              <w:rPr>
                <w:rFonts w:ascii="Times New Roman" w:hAnsi="Times New Roman"/>
                <w:color w:val="auto"/>
                <w:sz w:val="24"/>
                <w:szCs w:val="24"/>
              </w:rPr>
              <w:t>·汽油销售量、0.017kg/m</w:t>
            </w:r>
            <w:r>
              <w:rPr>
                <w:rFonts w:ascii="Times New Roman" w:hAnsi="Times New Roman"/>
                <w:color w:val="auto"/>
                <w:sz w:val="24"/>
                <w:szCs w:val="24"/>
                <w:vertAlign w:val="superscript"/>
              </w:rPr>
              <w:t>3</w:t>
            </w:r>
            <w:r>
              <w:rPr>
                <w:rFonts w:ascii="Times New Roman" w:hAnsi="Times New Roman"/>
                <w:color w:val="auto"/>
                <w:sz w:val="24"/>
                <w:szCs w:val="24"/>
              </w:rPr>
              <w:t>·柴油销售量。按照汽油密度为0.73t/m</w:t>
            </w:r>
            <w:r>
              <w:rPr>
                <w:rFonts w:ascii="Times New Roman" w:hAnsi="Times New Roman"/>
                <w:color w:val="auto"/>
                <w:sz w:val="24"/>
                <w:szCs w:val="24"/>
                <w:vertAlign w:val="superscript"/>
              </w:rPr>
              <w:t>3</w:t>
            </w:r>
            <w:r>
              <w:rPr>
                <w:rFonts w:ascii="Times New Roman" w:hAnsi="Times New Roman"/>
                <w:color w:val="auto"/>
                <w:sz w:val="24"/>
                <w:szCs w:val="24"/>
              </w:rPr>
              <w:t>、柴油密度为0.8</w:t>
            </w:r>
            <w:r>
              <w:rPr>
                <w:rFonts w:hint="eastAsia" w:ascii="Times New Roman" w:hAnsi="Times New Roman"/>
                <w:color w:val="auto"/>
                <w:sz w:val="24"/>
                <w:szCs w:val="24"/>
                <w:lang w:val="en-US" w:eastAsia="zh-CN"/>
              </w:rPr>
              <w:t>3</w:t>
            </w:r>
            <w:r>
              <w:rPr>
                <w:rFonts w:ascii="Times New Roman" w:hAnsi="Times New Roman"/>
                <w:color w:val="auto"/>
                <w:sz w:val="24"/>
                <w:szCs w:val="24"/>
              </w:rPr>
              <w:t>t/m</w:t>
            </w:r>
            <w:r>
              <w:rPr>
                <w:rFonts w:ascii="Times New Roman" w:hAnsi="Times New Roman"/>
                <w:color w:val="auto"/>
                <w:sz w:val="24"/>
                <w:szCs w:val="24"/>
                <w:vertAlign w:val="superscript"/>
              </w:rPr>
              <w:t>3</w:t>
            </w:r>
            <w:r>
              <w:rPr>
                <w:rFonts w:ascii="Times New Roman" w:hAnsi="Times New Roman"/>
                <w:color w:val="auto"/>
                <w:sz w:val="24"/>
                <w:szCs w:val="24"/>
              </w:rPr>
              <w:t>计</w:t>
            </w:r>
            <w:r>
              <w:rPr>
                <w:rFonts w:hint="eastAsia" w:ascii="Times New Roman" w:hAnsi="Times New Roman"/>
                <w:color w:val="auto"/>
                <w:sz w:val="24"/>
                <w:szCs w:val="24"/>
                <w:lang w:eastAsia="zh-CN"/>
              </w:rPr>
              <w:t>，则汽油和加油机作业跑冒漏滴</w:t>
            </w:r>
            <w:r>
              <w:rPr>
                <w:rFonts w:hint="eastAsia" w:ascii="Times New Roman" w:hAnsi="Times New Roman"/>
                <w:color w:val="auto"/>
                <w:sz w:val="24"/>
                <w:szCs w:val="24"/>
                <w:lang w:val="en-US" w:eastAsia="zh-CN"/>
              </w:rPr>
              <w:t>损失分别为0.115</w:t>
            </w:r>
            <w:r>
              <w:rPr>
                <w:rFonts w:hint="default" w:ascii="Times New Roman" w:hAnsi="Times New Roman"/>
                <w:color w:val="auto"/>
                <w:sz w:val="24"/>
                <w:szCs w:val="24"/>
                <w:lang w:val="en-US" w:eastAsia="zh-CN"/>
              </w:rPr>
              <w:t>kg/t</w:t>
            </w:r>
            <w:r>
              <w:rPr>
                <w:rFonts w:hint="eastAsia" w:ascii="Times New Roman" w:hAnsi="Times New Roman"/>
                <w:color w:val="auto"/>
                <w:sz w:val="24"/>
                <w:szCs w:val="24"/>
                <w:lang w:val="en-US" w:eastAsia="zh-CN"/>
              </w:rPr>
              <w:t>和0.020</w:t>
            </w:r>
            <w:r>
              <w:rPr>
                <w:rFonts w:hint="default" w:ascii="Times New Roman" w:hAnsi="Times New Roman"/>
                <w:color w:val="auto"/>
                <w:sz w:val="24"/>
                <w:szCs w:val="24"/>
                <w:lang w:val="en-US" w:eastAsia="zh-CN"/>
              </w:rPr>
              <w:t>kg/t</w:t>
            </w:r>
            <w:r>
              <w:rPr>
                <w:rFonts w:hint="eastAsia" w:ascii="Times New Roman" w:hAnsi="Times New Roman"/>
                <w:color w:val="auto"/>
                <w:sz w:val="24"/>
                <w:szCs w:val="24"/>
                <w:lang w:val="en-US" w:eastAsia="zh-CN"/>
              </w:rPr>
              <w:t>。</w:t>
            </w:r>
          </w:p>
          <w:p>
            <w:pPr>
              <w:spacing w:line="336"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油罐车卸油损失</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储油罐呼吸损失</w:t>
            </w:r>
            <w:r>
              <w:rPr>
                <w:rFonts w:hint="eastAsia" w:ascii="Times New Roman" w:hAnsi="Times New Roman" w:cs="Times New Roman"/>
                <w:color w:val="auto"/>
                <w:sz w:val="24"/>
                <w:lang w:eastAsia="zh-CN"/>
              </w:rPr>
              <w:t>及</w:t>
            </w:r>
            <w:r>
              <w:rPr>
                <w:rFonts w:hint="default" w:ascii="Times New Roman" w:hAnsi="Times New Roman" w:cs="Times New Roman"/>
                <w:color w:val="auto"/>
                <w:sz w:val="24"/>
              </w:rPr>
              <w:t>加油机作业损失根据</w:t>
            </w:r>
            <w:r>
              <w:rPr>
                <w:rFonts w:ascii="Times New Roman" w:hAnsi="Times New Roman"/>
                <w:color w:val="auto"/>
                <w:sz w:val="24"/>
                <w:szCs w:val="24"/>
              </w:rPr>
              <w:t>《散装液态石油产品损耗标准》（GB11085-89）</w:t>
            </w:r>
            <w:r>
              <w:rPr>
                <w:rFonts w:hint="default" w:ascii="Times New Roman" w:hAnsi="Times New Roman" w:cs="Times New Roman"/>
                <w:color w:val="auto"/>
                <w:sz w:val="24"/>
              </w:rPr>
              <w:t>中相关计算方法进行计算。根据项目业主提供的资料，项目成品油年销售量</w:t>
            </w:r>
            <w:r>
              <w:rPr>
                <w:rFonts w:hint="eastAsia" w:ascii="Times New Roman" w:hAnsi="Times New Roman" w:cs="Times New Roman"/>
                <w:color w:val="auto"/>
                <w:sz w:val="24"/>
                <w:lang w:val="en-US" w:eastAsia="zh-CN"/>
              </w:rPr>
              <w:t>500</w:t>
            </w:r>
            <w:r>
              <w:rPr>
                <w:rFonts w:hint="default" w:ascii="Times New Roman" w:hAnsi="Times New Roman" w:cs="Times New Roman"/>
                <w:color w:val="auto"/>
                <w:sz w:val="24"/>
              </w:rPr>
              <w:t>t，其中汽油</w:t>
            </w:r>
            <w:r>
              <w:rPr>
                <w:rFonts w:hint="eastAsia" w:ascii="Times New Roman" w:hAnsi="Times New Roman" w:cs="Times New Roman"/>
                <w:color w:val="auto"/>
                <w:sz w:val="24"/>
                <w:lang w:val="en-US" w:eastAsia="zh-CN"/>
              </w:rPr>
              <w:t>200</w:t>
            </w:r>
            <w:r>
              <w:rPr>
                <w:rFonts w:hint="default" w:ascii="Times New Roman" w:hAnsi="Times New Roman" w:cs="Times New Roman"/>
                <w:color w:val="auto"/>
                <w:sz w:val="24"/>
              </w:rPr>
              <w:t>t、柴油</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0t，则可以计算出该加油站非甲烷总烃排放量，具体见下表5-7。</w:t>
            </w:r>
          </w:p>
          <w:p>
            <w:pPr>
              <w:spacing w:line="20" w:lineRule="exact"/>
              <w:ind w:firstLine="547" w:firstLineChars="228"/>
              <w:rPr>
                <w:rFonts w:hint="default" w:ascii="Times New Roman" w:hAnsi="Times New Roman" w:cs="Times New Roman"/>
                <w:color w:val="auto"/>
                <w:sz w:val="24"/>
              </w:rPr>
            </w:pPr>
          </w:p>
          <w:p>
            <w:pPr>
              <w:spacing w:line="20" w:lineRule="exact"/>
              <w:ind w:firstLine="480" w:firstLineChars="200"/>
              <w:rPr>
                <w:rFonts w:hint="default" w:ascii="Times New Roman" w:hAnsi="Times New Roman" w:cs="Times New Roman"/>
                <w:color w:val="auto"/>
                <w:sz w:val="24"/>
              </w:rPr>
            </w:pPr>
          </w:p>
          <w:tbl>
            <w:tblPr>
              <w:tblStyle w:val="23"/>
              <w:tblW w:w="8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869"/>
              <w:gridCol w:w="1228"/>
              <w:gridCol w:w="1404"/>
              <w:gridCol w:w="846"/>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031" w:type="dxa"/>
                  <w:gridSpan w:val="6"/>
                  <w:tcBorders>
                    <w:top w:val="nil"/>
                    <w:left w:val="nil"/>
                    <w:right w:val="single" w:color="auto" w:sz="4" w:space="0"/>
                  </w:tcBorders>
                  <w:vAlign w:val="center"/>
                </w:tcPr>
                <w:p>
                  <w:pPr>
                    <w:spacing w:line="360" w:lineRule="auto"/>
                    <w:ind w:firstLine="2165" w:firstLineChars="1027"/>
                    <w:rPr>
                      <w:rFonts w:hint="default" w:ascii="Times New Roman" w:hAnsi="Times New Roman" w:cs="Times New Roman"/>
                      <w:b/>
                      <w:color w:val="auto"/>
                      <w:szCs w:val="21"/>
                    </w:rPr>
                  </w:pPr>
                  <w:r>
                    <w:rPr>
                      <w:rFonts w:hint="default" w:ascii="Times New Roman" w:hAnsi="Times New Roman" w:cs="Times New Roman"/>
                      <w:b/>
                      <w:color w:val="auto"/>
                      <w:szCs w:val="21"/>
                    </w:rPr>
                    <w:t>表5-7   非甲烷总烃排放量一览表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953" w:type="dxa"/>
                  <w:vMerge w:val="restart"/>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油品种类</w:t>
                  </w:r>
                </w:p>
              </w:tc>
              <w:tc>
                <w:tcPr>
                  <w:tcW w:w="1869" w:type="dxa"/>
                  <w:vMerge w:val="restart"/>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活动过程</w:t>
                  </w:r>
                </w:p>
              </w:tc>
              <w:tc>
                <w:tcPr>
                  <w:tcW w:w="1228" w:type="dxa"/>
                  <w:vMerge w:val="restart"/>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排放因子</w:t>
                  </w:r>
                </w:p>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（kg/t）</w:t>
                  </w:r>
                </w:p>
              </w:tc>
              <w:tc>
                <w:tcPr>
                  <w:tcW w:w="1404" w:type="dxa"/>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非甲烷总烃排放量</w:t>
                  </w:r>
                </w:p>
              </w:tc>
              <w:tc>
                <w:tcPr>
                  <w:tcW w:w="846" w:type="dxa"/>
                  <w:vMerge w:val="restart"/>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油气回收率</w:t>
                  </w:r>
                </w:p>
              </w:tc>
              <w:tc>
                <w:tcPr>
                  <w:tcW w:w="1731" w:type="dxa"/>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设置油气回收系统后，非甲烷总烃排放量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53" w:type="dxa"/>
                  <w:vMerge w:val="continue"/>
                  <w:vAlign w:val="center"/>
                </w:tcPr>
                <w:p>
                  <w:pPr>
                    <w:spacing w:line="260" w:lineRule="exact"/>
                    <w:jc w:val="center"/>
                    <w:rPr>
                      <w:rFonts w:hint="default" w:ascii="Times New Roman" w:hAnsi="Times New Roman" w:cs="Times New Roman"/>
                      <w:color w:val="auto"/>
                      <w:szCs w:val="21"/>
                    </w:rPr>
                  </w:pPr>
                </w:p>
              </w:tc>
              <w:tc>
                <w:tcPr>
                  <w:tcW w:w="1869" w:type="dxa"/>
                  <w:vMerge w:val="continue"/>
                  <w:vAlign w:val="center"/>
                </w:tcPr>
                <w:p>
                  <w:pPr>
                    <w:spacing w:line="240" w:lineRule="exact"/>
                    <w:jc w:val="center"/>
                    <w:rPr>
                      <w:rFonts w:hint="default" w:ascii="Times New Roman" w:hAnsi="Times New Roman" w:cs="Times New Roman"/>
                      <w:color w:val="auto"/>
                      <w:szCs w:val="21"/>
                    </w:rPr>
                  </w:pPr>
                </w:p>
              </w:tc>
              <w:tc>
                <w:tcPr>
                  <w:tcW w:w="1228" w:type="dxa"/>
                  <w:vMerge w:val="continue"/>
                  <w:vAlign w:val="center"/>
                </w:tcPr>
                <w:p>
                  <w:pPr>
                    <w:spacing w:line="240" w:lineRule="exact"/>
                    <w:jc w:val="center"/>
                    <w:rPr>
                      <w:rFonts w:hint="default" w:ascii="Times New Roman" w:hAnsi="Times New Roman" w:cs="Times New Roman"/>
                      <w:color w:val="auto"/>
                      <w:szCs w:val="21"/>
                    </w:rPr>
                  </w:pPr>
                </w:p>
              </w:tc>
              <w:tc>
                <w:tcPr>
                  <w:tcW w:w="1404" w:type="dxa"/>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（kg/a）</w:t>
                  </w:r>
                </w:p>
              </w:tc>
              <w:tc>
                <w:tcPr>
                  <w:tcW w:w="846" w:type="dxa"/>
                  <w:vMerge w:val="continue"/>
                  <w:vAlign w:val="center"/>
                </w:tcPr>
                <w:p>
                  <w:pPr>
                    <w:spacing w:line="240" w:lineRule="exact"/>
                    <w:jc w:val="center"/>
                    <w:rPr>
                      <w:rFonts w:hint="default" w:ascii="Times New Roman" w:hAnsi="Times New Roman" w:cs="Times New Roman"/>
                      <w:color w:val="auto"/>
                      <w:szCs w:val="21"/>
                    </w:rPr>
                  </w:pPr>
                </w:p>
              </w:tc>
              <w:tc>
                <w:tcPr>
                  <w:tcW w:w="1731" w:type="dxa"/>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53" w:type="dxa"/>
                  <w:vMerge w:val="restart"/>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汽油</w:t>
                  </w: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油罐车卸油损失</w:t>
                  </w:r>
                </w:p>
              </w:tc>
              <w:tc>
                <w:tcPr>
                  <w:tcW w:w="1228"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2.3</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460</w:t>
                  </w:r>
                </w:p>
              </w:tc>
              <w:tc>
                <w:tcPr>
                  <w:tcW w:w="846" w:type="dxa"/>
                  <w:vMerge w:val="restart"/>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95%</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53" w:type="dxa"/>
                  <w:vMerge w:val="continue"/>
                  <w:vAlign w:val="center"/>
                </w:tcPr>
                <w:p>
                  <w:pPr>
                    <w:spacing w:line="260" w:lineRule="exact"/>
                    <w:jc w:val="center"/>
                    <w:rPr>
                      <w:rFonts w:hint="default" w:ascii="Times New Roman" w:hAnsi="Times New Roman" w:cs="Times New Roman"/>
                      <w:color w:val="auto"/>
                      <w:szCs w:val="21"/>
                    </w:rPr>
                  </w:pP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储油罐呼吸损失</w:t>
                  </w:r>
                </w:p>
              </w:tc>
              <w:tc>
                <w:tcPr>
                  <w:tcW w:w="1228"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0.1</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20</w:t>
                  </w:r>
                </w:p>
              </w:tc>
              <w:tc>
                <w:tcPr>
                  <w:tcW w:w="846" w:type="dxa"/>
                  <w:vMerge w:val="continue"/>
                  <w:vAlign w:val="center"/>
                </w:tcPr>
                <w:p>
                  <w:pPr>
                    <w:spacing w:line="260" w:lineRule="exact"/>
                    <w:jc w:val="center"/>
                    <w:rPr>
                      <w:rFonts w:hint="default" w:ascii="Times New Roman" w:hAnsi="Times New Roman" w:cs="Times New Roman"/>
                      <w:color w:val="auto"/>
                      <w:szCs w:val="21"/>
                    </w:rPr>
                  </w:pP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53" w:type="dxa"/>
                  <w:vMerge w:val="continue"/>
                  <w:vAlign w:val="center"/>
                </w:tcPr>
                <w:p>
                  <w:pPr>
                    <w:spacing w:line="260" w:lineRule="exact"/>
                    <w:jc w:val="center"/>
                    <w:rPr>
                      <w:rFonts w:hint="default" w:ascii="Times New Roman" w:hAnsi="Times New Roman" w:cs="Times New Roman"/>
                      <w:color w:val="auto"/>
                      <w:szCs w:val="21"/>
                    </w:rPr>
                  </w:pP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加油机作业损失</w:t>
                  </w:r>
                </w:p>
              </w:tc>
              <w:tc>
                <w:tcPr>
                  <w:tcW w:w="1228"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2.9</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580</w:t>
                  </w:r>
                </w:p>
              </w:tc>
              <w:tc>
                <w:tcPr>
                  <w:tcW w:w="846"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53" w:type="dxa"/>
                  <w:vMerge w:val="continue"/>
                  <w:vAlign w:val="center"/>
                </w:tcPr>
                <w:p>
                  <w:pPr>
                    <w:spacing w:line="260" w:lineRule="exact"/>
                    <w:jc w:val="center"/>
                    <w:rPr>
                      <w:rFonts w:hint="default" w:ascii="Times New Roman" w:hAnsi="Times New Roman" w:cs="Times New Roman"/>
                      <w:color w:val="auto"/>
                      <w:szCs w:val="21"/>
                    </w:rPr>
                  </w:pP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加油机作业跑冒滴漏损失</w:t>
                  </w:r>
                </w:p>
              </w:tc>
              <w:tc>
                <w:tcPr>
                  <w:tcW w:w="1228"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0.115</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23</w:t>
                  </w:r>
                </w:p>
              </w:tc>
              <w:tc>
                <w:tcPr>
                  <w:tcW w:w="846"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53" w:type="dxa"/>
                  <w:vMerge w:val="continue"/>
                  <w:vAlign w:val="center"/>
                </w:tcPr>
                <w:p>
                  <w:pPr>
                    <w:spacing w:line="260" w:lineRule="exact"/>
                    <w:jc w:val="center"/>
                    <w:rPr>
                      <w:rFonts w:hint="default" w:ascii="Times New Roman" w:hAnsi="Times New Roman" w:cs="Times New Roman"/>
                      <w:color w:val="auto"/>
                      <w:szCs w:val="21"/>
                    </w:rPr>
                  </w:pP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小计</w:t>
                  </w:r>
                </w:p>
              </w:tc>
              <w:tc>
                <w:tcPr>
                  <w:tcW w:w="1228"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5.415</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1083</w:t>
                  </w:r>
                </w:p>
              </w:tc>
              <w:tc>
                <w:tcPr>
                  <w:tcW w:w="846"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53" w:type="dxa"/>
                  <w:vMerge w:val="restart"/>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柴油</w:t>
                  </w: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油罐车卸油损失</w:t>
                  </w:r>
                </w:p>
              </w:tc>
              <w:tc>
                <w:tcPr>
                  <w:tcW w:w="1228"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0.5</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150</w:t>
                  </w:r>
                </w:p>
              </w:tc>
              <w:tc>
                <w:tcPr>
                  <w:tcW w:w="846"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53" w:type="dxa"/>
                  <w:vMerge w:val="continue"/>
                  <w:vAlign w:val="center"/>
                </w:tcPr>
                <w:p>
                  <w:pPr>
                    <w:spacing w:line="260" w:lineRule="exact"/>
                    <w:jc w:val="center"/>
                    <w:rPr>
                      <w:rFonts w:hint="default" w:ascii="Times New Roman" w:hAnsi="Times New Roman" w:cs="Times New Roman"/>
                      <w:color w:val="auto"/>
                      <w:szCs w:val="21"/>
                    </w:rPr>
                  </w:pP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储油罐呼吸损失</w:t>
                  </w:r>
                </w:p>
              </w:tc>
              <w:tc>
                <w:tcPr>
                  <w:tcW w:w="1228"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0.1</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30</w:t>
                  </w:r>
                </w:p>
              </w:tc>
              <w:tc>
                <w:tcPr>
                  <w:tcW w:w="846"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53" w:type="dxa"/>
                  <w:vMerge w:val="continue"/>
                  <w:vAlign w:val="center"/>
                </w:tcPr>
                <w:p>
                  <w:pPr>
                    <w:spacing w:line="260" w:lineRule="exact"/>
                    <w:jc w:val="center"/>
                    <w:rPr>
                      <w:rFonts w:hint="default" w:ascii="Times New Roman" w:hAnsi="Times New Roman" w:cs="Times New Roman"/>
                      <w:color w:val="auto"/>
                      <w:szCs w:val="21"/>
                    </w:rPr>
                  </w:pP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加油机作业损失</w:t>
                  </w:r>
                </w:p>
              </w:tc>
              <w:tc>
                <w:tcPr>
                  <w:tcW w:w="1228"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0.8</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240</w:t>
                  </w:r>
                </w:p>
              </w:tc>
              <w:tc>
                <w:tcPr>
                  <w:tcW w:w="846"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53" w:type="dxa"/>
                  <w:vMerge w:val="continue"/>
                  <w:vAlign w:val="center"/>
                </w:tcPr>
                <w:p>
                  <w:pPr>
                    <w:spacing w:line="260" w:lineRule="exact"/>
                    <w:jc w:val="center"/>
                    <w:rPr>
                      <w:rFonts w:hint="default" w:ascii="Times New Roman" w:hAnsi="Times New Roman" w:cs="Times New Roman"/>
                      <w:color w:val="auto"/>
                      <w:szCs w:val="21"/>
                    </w:rPr>
                  </w:pP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加油机作业跑冒滴漏损失</w:t>
                  </w:r>
                </w:p>
              </w:tc>
              <w:tc>
                <w:tcPr>
                  <w:tcW w:w="1228" w:type="dxa"/>
                  <w:vAlign w:val="center"/>
                </w:tcPr>
                <w:p>
                  <w:pPr>
                    <w:spacing w:line="260" w:lineRule="exact"/>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0.02</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6</w:t>
                  </w:r>
                </w:p>
              </w:tc>
              <w:tc>
                <w:tcPr>
                  <w:tcW w:w="846"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953" w:type="dxa"/>
                  <w:vMerge w:val="continue"/>
                  <w:vAlign w:val="center"/>
                </w:tcPr>
                <w:p>
                  <w:pPr>
                    <w:spacing w:line="260" w:lineRule="exact"/>
                    <w:jc w:val="center"/>
                    <w:rPr>
                      <w:rFonts w:hint="default" w:ascii="Times New Roman" w:hAnsi="Times New Roman" w:cs="Times New Roman"/>
                      <w:color w:val="auto"/>
                      <w:szCs w:val="21"/>
                    </w:rPr>
                  </w:pP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小计</w:t>
                  </w:r>
                </w:p>
              </w:tc>
              <w:tc>
                <w:tcPr>
                  <w:tcW w:w="1228"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1.42</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426</w:t>
                  </w:r>
                </w:p>
              </w:tc>
              <w:tc>
                <w:tcPr>
                  <w:tcW w:w="846"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53"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1869"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28" w:type="dxa"/>
                  <w:vAlign w:val="center"/>
                </w:tcPr>
                <w:p>
                  <w:pPr>
                    <w:spacing w:line="2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04" w:type="dxa"/>
                  <w:vAlign w:val="center"/>
                </w:tcPr>
                <w:p>
                  <w:pPr>
                    <w:spacing w:line="2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1509</w:t>
                  </w:r>
                </w:p>
              </w:tc>
              <w:tc>
                <w:tcPr>
                  <w:tcW w:w="846"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731" w:type="dxa"/>
                  <w:vAlign w:val="center"/>
                </w:tcPr>
                <w:p>
                  <w:pPr>
                    <w:spacing w:line="2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531</w:t>
                  </w:r>
                </w:p>
              </w:tc>
            </w:tr>
          </w:tbl>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根据上表可知，项目运营期在不采取任何油气回收措施下非甲烷总烃排放总量为</w:t>
            </w:r>
            <w:r>
              <w:rPr>
                <w:rFonts w:hint="eastAsia" w:ascii="Times New Roman" w:hAnsi="Times New Roman" w:cs="Times New Roman"/>
                <w:color w:val="auto"/>
                <w:sz w:val="24"/>
                <w:lang w:val="en-US" w:eastAsia="zh-CN"/>
              </w:rPr>
              <w:t>1509</w:t>
            </w:r>
            <w:r>
              <w:rPr>
                <w:rFonts w:hint="default" w:ascii="Times New Roman" w:hAnsi="Times New Roman" w:cs="Times New Roman"/>
                <w:color w:val="auto"/>
                <w:sz w:val="24"/>
              </w:rPr>
              <w:t>kg/a。</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根据《储油库、加油站大气污染治理项目验收检测技术规范》（HJ/T 431-2008）的要求：加油站油气污染治理应按照GB20952 要求进行，具体包括以下内容：卸油油气回收系统、储油油气密闭系统、加油油气回收系统、在线监测系统、油气排放处理装置。</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项目运营过程计划设计一、二级汽油油气回收系统：一级油气回收系统主要是对汽油油罐车卸油、储油罐呼吸损失的汽油油气（其非甲烷总烃实际排放总量为</w:t>
            </w:r>
            <w:r>
              <w:rPr>
                <w:rFonts w:hint="eastAsia" w:ascii="Times New Roman" w:hAnsi="Times New Roman" w:cs="Times New Roman"/>
                <w:color w:val="auto"/>
                <w:sz w:val="24"/>
                <w:lang w:val="en-US" w:eastAsia="zh-CN"/>
              </w:rPr>
              <w:t>480</w:t>
            </w:r>
            <w:r>
              <w:rPr>
                <w:rFonts w:hint="default" w:ascii="Times New Roman" w:hAnsi="Times New Roman" w:cs="Times New Roman"/>
                <w:color w:val="auto"/>
                <w:sz w:val="24"/>
              </w:rPr>
              <w:t>kg/a）进行回收，已达到卸油与油气等体积置换，其油气回收率为95%，则经一级油气回收装置处理后，该环节的非甲烷总烃实际排放总量为</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rPr>
              <w:t>kg/a；柴油油罐车卸油损失的油气非甲烷总烃实际排放量为</w:t>
            </w:r>
            <w:r>
              <w:rPr>
                <w:rFonts w:hint="eastAsia" w:ascii="Times New Roman" w:hAnsi="Times New Roman" w:cs="Times New Roman"/>
                <w:color w:val="auto"/>
                <w:sz w:val="24"/>
                <w:lang w:val="en-US" w:eastAsia="zh-CN"/>
              </w:rPr>
              <w:t>180</w:t>
            </w:r>
            <w:r>
              <w:rPr>
                <w:rFonts w:hint="default" w:ascii="Times New Roman" w:hAnsi="Times New Roman" w:cs="Times New Roman"/>
                <w:color w:val="auto"/>
                <w:sz w:val="24"/>
              </w:rPr>
              <w:t>kg/a；则项目油罐车卸油、储油罐呼吸损失的油气非甲烷总烃实际排放总量为</w:t>
            </w:r>
            <w:r>
              <w:rPr>
                <w:rFonts w:hint="eastAsia" w:ascii="Times New Roman" w:hAnsi="Times New Roman" w:cs="Times New Roman"/>
                <w:color w:val="auto"/>
                <w:sz w:val="24"/>
                <w:lang w:val="en-US" w:eastAsia="zh-CN"/>
              </w:rPr>
              <w:t>204</w:t>
            </w:r>
            <w:r>
              <w:rPr>
                <w:rFonts w:hint="default" w:ascii="Times New Roman" w:hAnsi="Times New Roman" w:cs="Times New Roman"/>
                <w:color w:val="auto"/>
                <w:sz w:val="24"/>
              </w:rPr>
              <w:t>kg/a。</w:t>
            </w:r>
          </w:p>
          <w:p>
            <w:pPr>
              <w:spacing w:line="353"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二级油气回收系统主要是对汽油加油机作业损失的油气（其非甲烷总烃实际排放总量为</w:t>
            </w:r>
            <w:r>
              <w:rPr>
                <w:rFonts w:hint="eastAsia" w:ascii="Times New Roman" w:hAnsi="Times New Roman" w:cs="Times New Roman"/>
                <w:color w:val="auto"/>
                <w:sz w:val="24"/>
                <w:lang w:val="en-US" w:eastAsia="zh-CN"/>
              </w:rPr>
              <w:t>580</w:t>
            </w:r>
            <w:r>
              <w:rPr>
                <w:rFonts w:hint="default" w:ascii="Times New Roman" w:hAnsi="Times New Roman" w:cs="Times New Roman"/>
                <w:color w:val="auto"/>
                <w:sz w:val="24"/>
              </w:rPr>
              <w:t>kg/a）进行回收，已达到加油与油气等体积置换，其油气回收率约90%，则经二级油气回收装置处理后，该环节的非甲烷总烃实际排放总量为</w:t>
            </w:r>
            <w:r>
              <w:rPr>
                <w:rFonts w:hint="eastAsia" w:ascii="Times New Roman" w:hAnsi="Times New Roman" w:cs="Times New Roman"/>
                <w:color w:val="auto"/>
                <w:sz w:val="24"/>
                <w:lang w:val="en-US" w:eastAsia="zh-CN"/>
              </w:rPr>
              <w:t>58</w:t>
            </w:r>
            <w:r>
              <w:rPr>
                <w:rFonts w:hint="default" w:ascii="Times New Roman" w:hAnsi="Times New Roman" w:cs="Times New Roman"/>
                <w:color w:val="auto"/>
                <w:sz w:val="24"/>
              </w:rPr>
              <w:t>kg/a；柴油加油机作业损失的油气非甲烷总烃实际排放量为</w:t>
            </w:r>
            <w:r>
              <w:rPr>
                <w:rFonts w:hint="eastAsia" w:ascii="Times New Roman" w:hAnsi="Times New Roman" w:cs="Times New Roman"/>
                <w:color w:val="auto"/>
                <w:sz w:val="24"/>
                <w:lang w:val="en-US" w:eastAsia="zh-CN"/>
              </w:rPr>
              <w:t>240</w:t>
            </w:r>
            <w:r>
              <w:rPr>
                <w:rFonts w:hint="default" w:ascii="Times New Roman" w:hAnsi="Times New Roman" w:cs="Times New Roman"/>
                <w:color w:val="auto"/>
                <w:sz w:val="24"/>
              </w:rPr>
              <w:t>kg/a；则项目加油机作业损失的油气非甲烷总烃实际排放总量为</w:t>
            </w:r>
            <w:r>
              <w:rPr>
                <w:rFonts w:hint="eastAsia" w:ascii="Times New Roman" w:hAnsi="Times New Roman" w:cs="Times New Roman"/>
                <w:color w:val="auto"/>
                <w:sz w:val="24"/>
                <w:lang w:val="en-US" w:eastAsia="zh-CN"/>
              </w:rPr>
              <w:t>298</w:t>
            </w:r>
            <w:r>
              <w:rPr>
                <w:rFonts w:hint="default" w:ascii="Times New Roman" w:hAnsi="Times New Roman" w:cs="Times New Roman"/>
                <w:color w:val="auto"/>
                <w:sz w:val="24"/>
              </w:rPr>
              <w:t>kg/a。</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综上所述，项目运营期油罐车卸油、储油罐呼吸损失的油气非甲烷总烃实际排放总量为</w:t>
            </w:r>
            <w:r>
              <w:rPr>
                <w:rFonts w:hint="eastAsia" w:ascii="Times New Roman" w:hAnsi="Times New Roman" w:cs="Times New Roman"/>
                <w:color w:val="auto"/>
                <w:sz w:val="24"/>
                <w:lang w:val="en-US" w:eastAsia="zh-CN"/>
              </w:rPr>
              <w:t>204</w:t>
            </w:r>
            <w:r>
              <w:rPr>
                <w:rFonts w:hint="default" w:ascii="Times New Roman" w:hAnsi="Times New Roman" w:cs="Times New Roman"/>
                <w:color w:val="auto"/>
                <w:sz w:val="24"/>
              </w:rPr>
              <w:t>kg/a（其中汽油</w:t>
            </w:r>
            <w:r>
              <w:rPr>
                <w:rFonts w:hint="eastAsia" w:ascii="Times New Roman" w:hAnsi="Times New Roman" w:cs="Times New Roman"/>
                <w:color w:val="auto"/>
                <w:sz w:val="24"/>
                <w:lang w:val="en-US" w:eastAsia="zh-CN"/>
              </w:rPr>
              <w:t>24</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180</w:t>
            </w:r>
            <w:r>
              <w:rPr>
                <w:rFonts w:hint="default" w:ascii="Times New Roman" w:hAnsi="Times New Roman" w:cs="Times New Roman"/>
                <w:color w:val="auto"/>
                <w:sz w:val="24"/>
              </w:rPr>
              <w:t>kg/a），加油机作业损失的油气非甲烷总烃实际排放总量</w:t>
            </w:r>
            <w:r>
              <w:rPr>
                <w:rFonts w:hint="eastAsia" w:ascii="Times New Roman" w:hAnsi="Times New Roman" w:cs="Times New Roman"/>
                <w:color w:val="auto"/>
                <w:sz w:val="24"/>
                <w:lang w:val="en-US" w:eastAsia="zh-CN"/>
              </w:rPr>
              <w:t>298</w:t>
            </w:r>
            <w:r>
              <w:rPr>
                <w:rFonts w:hint="default" w:ascii="Times New Roman" w:hAnsi="Times New Roman" w:cs="Times New Roman"/>
                <w:color w:val="auto"/>
                <w:sz w:val="24"/>
              </w:rPr>
              <w:t>kg/a（其中汽油</w:t>
            </w:r>
            <w:r>
              <w:rPr>
                <w:rFonts w:hint="eastAsia" w:ascii="Times New Roman" w:hAnsi="Times New Roman" w:cs="Times New Roman"/>
                <w:color w:val="auto"/>
                <w:sz w:val="24"/>
                <w:lang w:val="en-US" w:eastAsia="zh-CN"/>
              </w:rPr>
              <w:t>58</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240</w:t>
            </w:r>
            <w:r>
              <w:rPr>
                <w:rFonts w:hint="default" w:ascii="Times New Roman" w:hAnsi="Times New Roman" w:cs="Times New Roman"/>
                <w:color w:val="auto"/>
                <w:sz w:val="24"/>
              </w:rPr>
              <w:t>kg/a），以及汽油加油机作业跑冒滴漏损失非甲烷总烃实际排放总量</w:t>
            </w:r>
            <w:r>
              <w:rPr>
                <w:rFonts w:hint="eastAsia" w:ascii="Times New Roman" w:hAnsi="Times New Roman" w:cs="Times New Roman"/>
                <w:color w:val="auto"/>
                <w:sz w:val="24"/>
                <w:lang w:val="en-US" w:eastAsia="zh-CN"/>
              </w:rPr>
              <w:t>29</w:t>
            </w:r>
            <w:r>
              <w:rPr>
                <w:rFonts w:hint="default" w:ascii="Times New Roman" w:hAnsi="Times New Roman" w:cs="Times New Roman"/>
                <w:color w:val="auto"/>
                <w:sz w:val="24"/>
              </w:rPr>
              <w:t>kg/a（其中汽油</w:t>
            </w:r>
            <w:r>
              <w:rPr>
                <w:rFonts w:hint="eastAsia" w:ascii="Times New Roman" w:hAnsi="Times New Roman" w:cs="Times New Roman"/>
                <w:color w:val="auto"/>
                <w:sz w:val="24"/>
                <w:lang w:val="en-US" w:eastAsia="zh-CN"/>
              </w:rPr>
              <w:t>23</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kg/a）。</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则计算出该加油站非甲烷总烃实际总排放量为</w:t>
            </w:r>
            <w:r>
              <w:rPr>
                <w:rFonts w:hint="eastAsia" w:ascii="Times New Roman" w:hAnsi="Times New Roman" w:cs="Times New Roman"/>
                <w:color w:val="auto"/>
                <w:sz w:val="24"/>
                <w:lang w:val="en-US" w:eastAsia="zh-CN"/>
              </w:rPr>
              <w:t>531</w:t>
            </w:r>
            <w:r>
              <w:rPr>
                <w:rFonts w:hint="default" w:ascii="Times New Roman" w:hAnsi="Times New Roman" w:cs="Times New Roman"/>
                <w:color w:val="auto"/>
                <w:sz w:val="24"/>
              </w:rPr>
              <w:t>kg/a（其中汽油</w:t>
            </w:r>
            <w:r>
              <w:rPr>
                <w:rFonts w:hint="eastAsia" w:ascii="Times New Roman" w:hAnsi="Times New Roman" w:cs="Times New Roman"/>
                <w:color w:val="auto"/>
                <w:sz w:val="24"/>
                <w:lang w:val="en-US" w:eastAsia="zh-CN"/>
              </w:rPr>
              <w:t>105</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426</w:t>
            </w:r>
            <w:r>
              <w:rPr>
                <w:rFonts w:hint="default" w:ascii="Times New Roman" w:hAnsi="Times New Roman" w:cs="Times New Roman"/>
                <w:color w:val="auto"/>
                <w:sz w:val="24"/>
              </w:rPr>
              <w:t>kg/a）。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2、汽车尾气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根据汽柴油日销售量核算，每天进出加油的车辆约为</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辆，根据相关资料分析，本项目汽车尾气可按行驶距离排放系数法进行计算，计算公式如下：</w:t>
            </w:r>
          </w:p>
          <w:p>
            <w:pPr>
              <w:spacing w:line="120" w:lineRule="exact"/>
              <w:ind w:firstLine="480" w:firstLineChars="200"/>
              <w:rPr>
                <w:rFonts w:hint="default" w:ascii="Times New Roman" w:hAnsi="Times New Roman" w:cs="Times New Roman"/>
                <w:color w:val="auto"/>
                <w:sz w:val="24"/>
              </w:rPr>
            </w:pPr>
          </w:p>
          <w:p>
            <w:pPr>
              <w:spacing w:line="400" w:lineRule="exact"/>
              <w:ind w:firstLine="3556" w:firstLineChars="1482"/>
              <w:rPr>
                <w:rFonts w:hint="default" w:ascii="Times New Roman" w:hAnsi="Times New Roman" w:cs="Times New Roman"/>
                <w:color w:val="auto"/>
                <w:sz w:val="24"/>
              </w:rPr>
            </w:pPr>
            <w:r>
              <w:rPr>
                <w:rFonts w:hint="default" w:ascii="Times New Roman" w:hAnsi="Times New Roman" w:cs="Times New Roman"/>
                <w:color w:val="auto"/>
                <w:sz w:val="24"/>
              </w:rPr>
              <w:object>
                <v:shape id="_x0000_i1031" o:spt="75" type="#_x0000_t75" style="height:19pt;width:109pt;" o:ole="t" filled="f" o:preferrelative="t" stroked="f" coordsize="21600,21600">
                  <v:path/>
                  <v:fill on="f" focussize="0,0"/>
                  <v:stroke on="f"/>
                  <v:imagedata r:id="rId7" o:title=""/>
                  <o:lock v:ext="edit" aspectratio="t"/>
                  <w10:wrap type="none"/>
                  <w10:anchorlock/>
                </v:shape>
                <o:OLEObject Type="Embed" ProgID="Equation.3" ShapeID="_x0000_i1031" DrawAspect="Content" ObjectID="_1468075731" r:id="rId20">
                  <o:LockedField>false</o:LockedField>
                </o:OLEObject>
              </w:object>
            </w:r>
          </w:p>
          <w:p>
            <w:pPr>
              <w:spacing w:line="160" w:lineRule="exact"/>
              <w:ind w:firstLine="3556" w:firstLineChars="1482"/>
              <w:rPr>
                <w:rFonts w:hint="default" w:ascii="Times New Roman" w:hAnsi="Times New Roman" w:cs="Times New Roman"/>
                <w:color w:val="auto"/>
                <w:sz w:val="24"/>
              </w:rPr>
            </w:pPr>
          </w:p>
          <w:p>
            <w:pPr>
              <w:spacing w:line="360" w:lineRule="auto"/>
              <w:ind w:firstLine="556" w:firstLineChars="232"/>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sz w:val="24"/>
              </w:rPr>
              <w:object>
                <v:shape id="_x0000_i1032" o:spt="75" type="#_x0000_t75" style="height:18pt;width:13.95pt;" o:ole="t" filled="f" o:preferrelative="t" stroked="f" coordsize="21600,21600">
                  <v:path/>
                  <v:fill on="f" focussize="0,0"/>
                  <v:stroke on="f"/>
                  <v:imagedata r:id="rId9" o:title=""/>
                  <o:lock v:ext="edit" grouping="f" rotation="f" text="f" aspectratio="t"/>
                  <w10:wrap type="none"/>
                  <w10:anchorlock/>
                </v:shape>
                <o:OLEObject Type="Embed" ProgID="Equation.3" ShapeID="_x0000_i1032" DrawAspect="Content" ObjectID="_1468075732" r:id="rId21">
                  <o:LockedField>false</o:LockedField>
                </o:OLEObject>
              </w:object>
            </w:r>
            <w:r>
              <w:rPr>
                <w:rFonts w:hint="default" w:ascii="Times New Roman" w:hAnsi="Times New Roman" w:cs="Times New Roman"/>
                <w:color w:val="auto"/>
                <w:sz w:val="24"/>
              </w:rPr>
              <w:t>——第i种（THC、CO或NOx）污染物排放量（kg/d）；</w:t>
            </w:r>
          </w:p>
          <w:p>
            <w:pPr>
              <w:spacing w:line="360" w:lineRule="auto"/>
              <w:ind w:firstLine="200"/>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object>
                <v:shape id="_x0000_i1033" o:spt="75" type="#_x0000_t75" style="height:18pt;width:13.95pt;" o:ole="t" filled="f" o:preferrelative="t" stroked="f" coordsize="21600,21600">
                  <v:path/>
                  <v:fill on="f" focussize="0,0"/>
                  <v:stroke on="f"/>
                  <v:imagedata r:id="rId11" o:title=""/>
                  <o:lock v:ext="edit" grouping="f" rotation="f" text="f" aspectratio="t"/>
                  <w10:wrap type="none"/>
                  <w10:anchorlock/>
                </v:shape>
                <o:OLEObject Type="Embed" ProgID="Equation.3" ShapeID="_x0000_i1033" DrawAspect="Content" ObjectID="_1468075733" r:id="rId22">
                  <o:LockedField>false</o:LockedField>
                </o:OLEObject>
              </w:object>
            </w:r>
            <w:r>
              <w:rPr>
                <w:rFonts w:hint="default" w:ascii="Times New Roman" w:hAnsi="Times New Roman" w:cs="Times New Roman"/>
                <w:color w:val="auto"/>
                <w:sz w:val="24"/>
              </w:rPr>
              <w:t>——第i种污染物单车辆平均排放系数（g/km），按表5-8取值；</w:t>
            </w:r>
          </w:p>
          <w:p>
            <w:pPr>
              <w:spacing w:line="360" w:lineRule="auto"/>
              <w:ind w:firstLine="2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K——单车辆行驶距离（km），本项目取0.02；</w:t>
            </w:r>
          </w:p>
          <w:p>
            <w:pPr>
              <w:spacing w:line="360" w:lineRule="auto"/>
              <w:ind w:firstLine="2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object>
                <v:shape id="_x0000_i1034" o:spt="75" type="#_x0000_t75" style="height:13.95pt;width:13pt;" o:ole="t" filled="f" o:preferrelative="t" stroked="f" coordsize="21600,21600">
                  <v:path/>
                  <v:fill on="f" focussize="0,0"/>
                  <v:stroke on="f"/>
                  <v:imagedata r:id="rId13" o:title=""/>
                  <o:lock v:ext="edit" grouping="f" rotation="f" text="f" aspectratio="t"/>
                  <w10:wrap type="none"/>
                  <w10:anchorlock/>
                </v:shape>
                <o:OLEObject Type="Embed" ProgID="Equation.3" ShapeID="_x0000_i1034" DrawAspect="Content" ObjectID="_1468075734" r:id="rId23">
                  <o:LockedField>false</o:LockedField>
                </o:OLEObject>
              </w:object>
            </w:r>
            <w:r>
              <w:rPr>
                <w:rFonts w:hint="default" w:ascii="Times New Roman" w:hAnsi="Times New Roman" w:cs="Times New Roman"/>
                <w:color w:val="auto"/>
                <w:sz w:val="24"/>
              </w:rPr>
              <w:t>——车流量（辆次/d），本项目取</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w:t>
            </w:r>
          </w:p>
          <w:p>
            <w:pPr>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表5-8   单车辆汽车尾气排放系数（按行驶距离）</w:t>
            </w:r>
          </w:p>
          <w:tbl>
            <w:tblPr>
              <w:tblStyle w:val="23"/>
              <w:tblW w:w="7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12"/>
              <w:gridCol w:w="1676"/>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1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171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THC</w:t>
                  </w:r>
                </w:p>
              </w:tc>
              <w:tc>
                <w:tcPr>
                  <w:tcW w:w="16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17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1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排放强度（g/km）</w:t>
                  </w:r>
                </w:p>
              </w:tc>
              <w:tc>
                <w:tcPr>
                  <w:tcW w:w="1712"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1.66</w:t>
                  </w:r>
                </w:p>
              </w:tc>
              <w:tc>
                <w:tcPr>
                  <w:tcW w:w="1676"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8.23</w:t>
                  </w:r>
                </w:p>
              </w:tc>
              <w:tc>
                <w:tcPr>
                  <w:tcW w:w="1715" w:type="dxa"/>
                  <w:vAlign w:val="center"/>
                </w:tcPr>
                <w:p>
                  <w:pPr>
                    <w:spacing w:line="2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1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w:t>
                  </w:r>
                  <w:r>
                    <w:rPr>
                      <w:rFonts w:hint="default" w:ascii="Times New Roman" w:hAnsi="Times New Roman" w:cs="Times New Roman"/>
                      <w:color w:val="auto"/>
                      <w:sz w:val="24"/>
                    </w:rPr>
                    <w:t>kg/a</w:t>
                  </w:r>
                </w:p>
              </w:tc>
              <w:tc>
                <w:tcPr>
                  <w:tcW w:w="1712" w:type="dxa"/>
                  <w:vAlign w:val="center"/>
                </w:tcPr>
                <w:p>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宋体" w:hAnsi="宋体" w:eastAsia="宋体" w:cs="宋体"/>
                      <w:i w:val="0"/>
                      <w:color w:val="auto"/>
                      <w:kern w:val="0"/>
                      <w:sz w:val="21"/>
                      <w:szCs w:val="21"/>
                      <w:u w:val="none"/>
                      <w:lang w:val="en-US" w:eastAsia="zh-CN" w:bidi="ar"/>
                    </w:rPr>
                    <w:t xml:space="preserve">0.45 </w:t>
                  </w:r>
                </w:p>
              </w:tc>
              <w:tc>
                <w:tcPr>
                  <w:tcW w:w="1676" w:type="dxa"/>
                  <w:vAlign w:val="center"/>
                </w:tcPr>
                <w:p>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宋体" w:hAnsi="宋体" w:eastAsia="宋体" w:cs="宋体"/>
                      <w:i w:val="0"/>
                      <w:color w:val="auto"/>
                      <w:kern w:val="0"/>
                      <w:sz w:val="21"/>
                      <w:szCs w:val="21"/>
                      <w:u w:val="none"/>
                      <w:lang w:val="en-US" w:eastAsia="zh-CN" w:bidi="ar"/>
                    </w:rPr>
                    <w:t xml:space="preserve">2.22 </w:t>
                  </w:r>
                </w:p>
              </w:tc>
              <w:tc>
                <w:tcPr>
                  <w:tcW w:w="1715" w:type="dxa"/>
                  <w:vAlign w:val="center"/>
                </w:tcPr>
                <w:p>
                  <w:pPr>
                    <w:keepNext w:val="0"/>
                    <w:keepLines w:val="0"/>
                    <w:widowControl/>
                    <w:suppressLineNumbers w:val="0"/>
                    <w:jc w:val="center"/>
                    <w:textAlignment w:val="center"/>
                    <w:rPr>
                      <w:rFonts w:hint="default" w:ascii="Times New Roman" w:hAnsi="Times New Roman" w:cs="Times New Roman"/>
                      <w:color w:val="auto"/>
                      <w:szCs w:val="21"/>
                      <w:lang w:val="en-US" w:eastAsia="zh-CN"/>
                    </w:rPr>
                  </w:pPr>
                  <w:r>
                    <w:rPr>
                      <w:rFonts w:hint="eastAsia" w:ascii="宋体" w:hAnsi="宋体" w:eastAsia="宋体" w:cs="宋体"/>
                      <w:i w:val="0"/>
                      <w:color w:val="auto"/>
                      <w:kern w:val="0"/>
                      <w:sz w:val="21"/>
                      <w:szCs w:val="21"/>
                      <w:u w:val="none"/>
                      <w:lang w:val="en-US" w:eastAsia="zh-CN" w:bidi="ar"/>
                    </w:rPr>
                    <w:t xml:space="preserve">0.22 </w:t>
                  </w:r>
                </w:p>
              </w:tc>
            </w:tr>
          </w:tbl>
          <w:p>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3、厨房油烟</w:t>
            </w:r>
          </w:p>
          <w:p>
            <w:pPr>
              <w:spacing w:line="353"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sz w:val="24"/>
              </w:rPr>
              <w:t>项目运营期，</w:t>
            </w:r>
            <w:r>
              <w:rPr>
                <w:rFonts w:hint="default" w:ascii="Times New Roman" w:hAnsi="Times New Roman" w:cs="Times New Roman"/>
                <w:color w:val="auto"/>
                <w:sz w:val="24"/>
                <w:lang w:eastAsia="zh-CN"/>
              </w:rPr>
              <w:t>拟配置工作人员</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人，</w:t>
            </w:r>
            <w:r>
              <w:rPr>
                <w:rFonts w:hint="eastAsia" w:ascii="Times New Roman" w:hAnsi="Times New Roman" w:cs="Times New Roman"/>
                <w:color w:val="auto"/>
                <w:sz w:val="24"/>
                <w:lang w:eastAsia="zh-CN"/>
              </w:rPr>
              <w:t>日常每日用餐人数约</w:t>
            </w:r>
            <w:r>
              <w:rPr>
                <w:rFonts w:hint="eastAsia" w:ascii="Times New Roman" w:hAnsi="Times New Roman" w:cs="Times New Roman"/>
                <w:color w:val="auto"/>
                <w:sz w:val="24"/>
                <w:lang w:val="en-US" w:eastAsia="zh-CN"/>
              </w:rPr>
              <w:t>4人，</w:t>
            </w:r>
            <w:r>
              <w:rPr>
                <w:rFonts w:hint="default" w:ascii="Times New Roman" w:hAnsi="Times New Roman" w:cs="Times New Roman"/>
                <w:bCs/>
                <w:color w:val="auto"/>
                <w:sz w:val="24"/>
              </w:rPr>
              <w:t>厨房油烟主要为在烹饪过程中产生的燃料燃烧废气和油烟废气的混合气体，员工在厨房内使用电作为热源，电属于清洁能源，对周围环境空气无影响。另外，食堂在烹饪过程产生的饮食油烟是指在高温下蒸发出大量油雾和裂解出大量挥发物质，化学成分复杂，包括烷烃类、脂肪酸类、脂类、醇类等。</w:t>
            </w:r>
            <w:r>
              <w:rPr>
                <w:rFonts w:hint="eastAsia" w:ascii="Times New Roman" w:hAnsi="Times New Roman" w:cs="Times New Roman"/>
                <w:color w:val="auto"/>
                <w:kern w:val="2"/>
                <w:sz w:val="24"/>
                <w:szCs w:val="24"/>
                <w:lang w:eastAsia="zh-CN"/>
              </w:rPr>
              <w:t>厨房设置一台抽油烟机，将油烟废气抽吸后屋顶排放。</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4、恶臭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1）化粪池和公厕恶臭：</w:t>
            </w:r>
            <w:r>
              <w:rPr>
                <w:rFonts w:hint="default" w:ascii="Times New Roman" w:hAnsi="Times New Roman" w:cs="Times New Roman"/>
                <w:color w:val="auto"/>
                <w:sz w:val="24"/>
                <w:lang w:eastAsia="zh-CN"/>
              </w:rPr>
              <w:t>原</w:t>
            </w:r>
            <w:r>
              <w:rPr>
                <w:rFonts w:hint="default" w:ascii="Times New Roman" w:hAnsi="Times New Roman" w:cs="Times New Roman"/>
                <w:color w:val="auto"/>
                <w:sz w:val="24"/>
              </w:rPr>
              <w:t>项目建</w:t>
            </w:r>
            <w:r>
              <w:rPr>
                <w:rFonts w:hint="default" w:ascii="Times New Roman" w:hAnsi="Times New Roman" w:cs="Times New Roman"/>
                <w:color w:val="auto"/>
                <w:sz w:val="24"/>
                <w:lang w:eastAsia="zh-CN"/>
              </w:rPr>
              <w:t>有</w:t>
            </w:r>
            <w:r>
              <w:rPr>
                <w:rFonts w:hint="default" w:ascii="Times New Roman" w:hAnsi="Times New Roman" w:cs="Times New Roman"/>
                <w:color w:val="auto"/>
                <w:sz w:val="24"/>
              </w:rPr>
              <w:t>一个水冲厕（男女分开）在使用过程中和化粪池清掏时，将产生恶臭。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2）生活垃圾恶臭：项目运营期，生活垃圾集中收集，长时间不清运，也会产生恶臭。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5、应急发电机燃油废气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项目营运期不可避免会出现停电情况，在停电情况下项目发配电房发电机运作，会有少量燃油废气产生，废气主要含烟尘和SO</w:t>
            </w:r>
            <w:r>
              <w:rPr>
                <w:rFonts w:hint="default" w:ascii="Times New Roman" w:hAnsi="Times New Roman" w:cs="Times New Roman"/>
                <w:color w:val="auto"/>
                <w:sz w:val="24"/>
                <w:vertAlign w:val="subscript"/>
              </w:rPr>
              <w:t xml:space="preserve">2 </w:t>
            </w:r>
            <w:r>
              <w:rPr>
                <w:rFonts w:hint="default" w:ascii="Times New Roman" w:hAnsi="Times New Roman" w:cs="Times New Roman"/>
                <w:color w:val="auto"/>
                <w:sz w:val="24"/>
              </w:rPr>
              <w:t>等。由于备用发电机不是经常使用的设备，所以其影响是暂时性的。而且备用发电机只在停电时使用，对当地空气环境的二氧化硫和氮氧化物贡献值很小，废气通过通风口引至室外排放，因此对周围环境的大气质量影响较小。</w:t>
            </w:r>
          </w:p>
          <w:p>
            <w:pPr>
              <w:spacing w:line="480" w:lineRule="exact"/>
              <w:ind w:firstLine="241" w:firstLineChars="100"/>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（三）噪声</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项目运营期产生的噪声主要包括车辆噪声、设备噪声以及社会噪声。</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1、车辆噪声：进出加油的机动车量产生的车辆噪声，声压级在70～85dB（A）之间；</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2、社会噪声：站内工作人员和外来人员产生的噪声，声压级在50～70dB（A）之间；</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3、设备噪声：项目临时停电时，自备的发电机工作产生的噪声，声压级在75～90dB（A）之间。</w:t>
            </w:r>
          </w:p>
          <w:p>
            <w:pPr>
              <w:spacing w:line="480" w:lineRule="exact"/>
              <w:ind w:firstLine="241" w:firstLineChars="100"/>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（四）固体废物</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项目设有化粪池、水封井、危废暂存间，固体废物主要有生活垃圾、化粪池污泥、</w:t>
            </w:r>
            <w:r>
              <w:rPr>
                <w:rFonts w:hint="default" w:ascii="Times New Roman" w:hAnsi="Times New Roman" w:cs="Times New Roman"/>
                <w:color w:val="auto"/>
                <w:sz w:val="24"/>
                <w:lang w:eastAsia="zh-CN"/>
              </w:rPr>
              <w:t>储罐油渣、</w:t>
            </w:r>
            <w:r>
              <w:rPr>
                <w:rFonts w:hint="default" w:ascii="Times New Roman" w:hAnsi="Times New Roman" w:cs="Times New Roman"/>
                <w:color w:val="auto"/>
                <w:sz w:val="24"/>
              </w:rPr>
              <w:t>水封井污泥，水封井浮油、含油消防沙。</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1、一般固废</w:t>
            </w:r>
          </w:p>
          <w:p>
            <w:pPr>
              <w:spacing w:line="480" w:lineRule="exact"/>
              <w:ind w:left="480"/>
              <w:rPr>
                <w:rFonts w:hint="default" w:ascii="Times New Roman" w:hAnsi="Times New Roman" w:cs="Times New Roman"/>
                <w:color w:val="auto"/>
                <w:sz w:val="24"/>
              </w:rPr>
            </w:pPr>
            <w:r>
              <w:rPr>
                <w:rFonts w:hint="default" w:ascii="Times New Roman" w:hAnsi="Times New Roman" w:cs="Times New Roman"/>
                <w:color w:val="auto"/>
                <w:sz w:val="24"/>
              </w:rPr>
              <w:t>（1）生活垃圾</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项目投入使用后，站内每天在岗工作人员为</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人，计算生活垃圾产生量时，预定每人每天产生的生活垃圾量以1.0kg计，则产生的生活垃圾量为</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.0kg/d，</w:t>
            </w:r>
            <w:r>
              <w:rPr>
                <w:rFonts w:hint="eastAsia" w:ascii="Times New Roman" w:hAnsi="Times New Roman" w:cs="Times New Roman"/>
                <w:color w:val="auto"/>
                <w:sz w:val="24"/>
                <w:lang w:val="en-US" w:eastAsia="zh-CN"/>
              </w:rPr>
              <w:t>1.46</w:t>
            </w:r>
            <w:r>
              <w:rPr>
                <w:rFonts w:hint="default" w:ascii="Times New Roman" w:hAnsi="Times New Roman" w:cs="Times New Roman"/>
                <w:color w:val="auto"/>
                <w:sz w:val="24"/>
              </w:rPr>
              <w:t>t/a（年工作日按36</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d计）；每天进站加油的车辆</w:t>
            </w:r>
            <w:r>
              <w:rPr>
                <w:rFonts w:hint="eastAsia" w:ascii="Times New Roman" w:hAnsi="Times New Roman" w:cs="Times New Roman"/>
                <w:color w:val="auto"/>
                <w:sz w:val="24"/>
                <w:lang w:val="en-US" w:eastAsia="zh-CN"/>
              </w:rPr>
              <w:t>37</w:t>
            </w:r>
            <w:r>
              <w:rPr>
                <w:rFonts w:hint="default" w:ascii="Times New Roman" w:hAnsi="Times New Roman" w:cs="Times New Roman"/>
                <w:color w:val="auto"/>
                <w:sz w:val="24"/>
              </w:rPr>
              <w:t>辆，平均2人次/辆计，按总进站人次的30%核算，则垃圾产生人次为</w:t>
            </w:r>
            <w:r>
              <w:rPr>
                <w:rFonts w:hint="eastAsia" w:ascii="Times New Roman" w:hAnsi="Times New Roman" w:cs="Times New Roman"/>
                <w:color w:val="auto"/>
                <w:sz w:val="24"/>
                <w:lang w:val="en-US" w:eastAsia="zh-CN"/>
              </w:rPr>
              <w:t>22</w:t>
            </w:r>
            <w:r>
              <w:rPr>
                <w:rFonts w:hint="default" w:ascii="Times New Roman" w:hAnsi="Times New Roman" w:cs="Times New Roman"/>
                <w:color w:val="auto"/>
                <w:sz w:val="24"/>
              </w:rPr>
              <w:t>人次，生活垃圾量按0.025kg/人次计，则生活垃圾的产生量为0.</w:t>
            </w:r>
            <w:r>
              <w:rPr>
                <w:rFonts w:hint="eastAsia" w:ascii="Times New Roman" w:hAnsi="Times New Roman" w:cs="Times New Roman"/>
                <w:color w:val="auto"/>
                <w:sz w:val="24"/>
                <w:lang w:val="en-US" w:eastAsia="zh-CN"/>
              </w:rPr>
              <w:t>55</w:t>
            </w:r>
            <w:r>
              <w:rPr>
                <w:rFonts w:hint="default" w:ascii="Times New Roman" w:hAnsi="Times New Roman" w:cs="Times New Roman"/>
                <w:color w:val="auto"/>
                <w:sz w:val="24"/>
              </w:rPr>
              <w:t>kg/d、0.</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t/a（按36</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d计）。项目运营期垃圾产生量为</w:t>
            </w:r>
            <w:r>
              <w:rPr>
                <w:rFonts w:hint="eastAsia" w:ascii="Times New Roman" w:hAnsi="Times New Roman" w:cs="Times New Roman"/>
                <w:color w:val="auto"/>
                <w:sz w:val="24"/>
                <w:lang w:val="en-US" w:eastAsia="zh-CN"/>
              </w:rPr>
              <w:t>1.66</w:t>
            </w:r>
            <w:r>
              <w:rPr>
                <w:rFonts w:hint="default" w:ascii="Times New Roman" w:hAnsi="Times New Roman" w:cs="Times New Roman"/>
                <w:color w:val="auto"/>
                <w:sz w:val="24"/>
              </w:rPr>
              <w:t>t/a。</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rPr>
              <w:t xml:space="preserve">  </w:t>
            </w:r>
            <w:r>
              <w:rPr>
                <w:rFonts w:hint="default" w:ascii="Times New Roman" w:hAnsi="Times New Roman" w:cs="Times New Roman"/>
                <w:color w:val="auto"/>
                <w:sz w:val="24"/>
              </w:rPr>
              <w:t xml:space="preserve"> （2）化粪池污泥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项目设有化粪池，根据前文水量排放分析，共</w:t>
            </w:r>
            <w:r>
              <w:rPr>
                <w:rFonts w:hint="eastAsia" w:ascii="Times New Roman" w:hAnsi="Times New Roman" w:cs="Times New Roman"/>
                <w:color w:val="auto"/>
                <w:sz w:val="24"/>
                <w:lang w:val="en-US" w:eastAsia="zh-CN"/>
              </w:rPr>
              <w:t>166.44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/a通过废水收集管道收集至化粪池，运营过程中化粪池会产生一定的污泥。根据同类项目类比，去除污泥产生量按照COD、SS去除量（约200mg/L）进行计算，本项目化粪池污泥产生量约为0.0</w:t>
            </w:r>
            <w:r>
              <w:rPr>
                <w:rFonts w:hint="eastAsia" w:ascii="Times New Roman" w:hAnsi="Times New Roman" w:cs="Times New Roman"/>
                <w:color w:val="auto"/>
                <w:sz w:val="24"/>
                <w:lang w:val="en-US" w:eastAsia="zh-CN"/>
              </w:rPr>
              <w:t>33</w:t>
            </w:r>
            <w:r>
              <w:rPr>
                <w:rFonts w:hint="default" w:ascii="Times New Roman" w:hAnsi="Times New Roman" w:cs="Times New Roman"/>
                <w:color w:val="auto"/>
                <w:sz w:val="24"/>
              </w:rPr>
              <w:t>t/a，委托周边的农户定期清掏。</w:t>
            </w:r>
          </w:p>
          <w:p>
            <w:pPr>
              <w:numPr>
                <w:ilvl w:val="0"/>
                <w:numId w:val="8"/>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危险废物</w:t>
            </w:r>
          </w:p>
          <w:p>
            <w:pPr>
              <w:spacing w:line="44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eastAsia="zh-CN"/>
              </w:rPr>
              <w:t>储罐油渣</w:t>
            </w:r>
          </w:p>
          <w:p>
            <w:pPr>
              <w:pStyle w:val="57"/>
              <w:rPr>
                <w:rFonts w:hint="default" w:ascii="Times New Roman" w:hAnsi="Times New Roman" w:eastAsia="宋体" w:cs="Times New Roman"/>
                <w:color w:val="auto"/>
                <w:szCs w:val="24"/>
              </w:rPr>
            </w:pPr>
            <w:r>
              <w:rPr>
                <w:rFonts w:hint="default" w:ascii="Times New Roman" w:hAnsi="Times New Roman" w:eastAsia="宋体" w:cs="Times New Roman"/>
                <w:color w:val="auto"/>
              </w:rPr>
              <w:t>项目设有总罐容为</w:t>
            </w:r>
            <w:r>
              <w:rPr>
                <w:rFonts w:hint="eastAsia" w:ascii="Times New Roman" w:hAnsi="Times New Roman" w:eastAsia="宋体" w:cs="Times New Roman"/>
                <w:color w:val="auto"/>
                <w:lang w:val="en-US" w:eastAsia="zh-CN"/>
              </w:rPr>
              <w:t>80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sz w:val="24"/>
              </w:rPr>
              <w:t>0</w:t>
            </w:r>
            <w:r>
              <w:rPr>
                <w:rFonts w:hint="default" w:ascii="Times New Roman" w:hAnsi="Times New Roman" w:eastAsia="宋体" w:cs="Times New Roman"/>
                <w:color w:val="auto"/>
                <w:sz w:val="24"/>
                <w:vertAlign w:val="baseline"/>
              </w:rPr>
              <w:t>#</w:t>
            </w:r>
            <w:r>
              <w:rPr>
                <w:rFonts w:hint="default" w:ascii="Times New Roman" w:hAnsi="Times New Roman" w:eastAsia="宋体" w:cs="Times New Roman"/>
                <w:color w:val="auto"/>
                <w:sz w:val="24"/>
              </w:rPr>
              <w:t>柴油储油罐</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个（</w:t>
            </w:r>
            <w:r>
              <w:rPr>
                <w:rFonts w:hint="default" w:ascii="Times New Roman" w:hAnsi="Times New Roman" w:eastAsia="宋体" w:cs="Times New Roman"/>
                <w:color w:val="auto"/>
                <w:sz w:val="24"/>
                <w:lang w:eastAsia="zh-CN"/>
              </w:rPr>
              <w:t>容积为</w:t>
            </w:r>
            <w:r>
              <w:rPr>
                <w:rFonts w:hint="eastAsia" w:ascii="Times New Roman" w:hAnsi="Times New Roman" w:eastAsia="宋体" w:cs="Times New Roman"/>
                <w:color w:val="auto"/>
                <w:sz w:val="24"/>
                <w:lang w:val="en-US" w:eastAsia="zh-CN"/>
              </w:rPr>
              <w:t>50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bCs/>
                <w:color w:val="auto"/>
                <w:sz w:val="24"/>
              </w:rPr>
              <w:t>92</w:t>
            </w:r>
            <w:r>
              <w:rPr>
                <w:rFonts w:hint="default" w:ascii="Times New Roman" w:hAnsi="Times New Roman" w:eastAsia="宋体" w:cs="Times New Roman"/>
                <w:bCs/>
                <w:color w:val="auto"/>
                <w:sz w:val="24"/>
                <w:vertAlign w:val="baseline"/>
              </w:rPr>
              <w:t>#</w:t>
            </w:r>
            <w:r>
              <w:rPr>
                <w:rFonts w:hint="default" w:ascii="Times New Roman" w:hAnsi="Times New Roman" w:eastAsia="宋体" w:cs="Times New Roman"/>
                <w:bCs/>
                <w:color w:val="auto"/>
                <w:sz w:val="24"/>
              </w:rPr>
              <w:t>汽油储油罐</w:t>
            </w: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个（</w:t>
            </w:r>
            <w:r>
              <w:rPr>
                <w:rFonts w:hint="default" w:ascii="Times New Roman" w:hAnsi="Times New Roman" w:eastAsia="宋体" w:cs="Times New Roman"/>
                <w:color w:val="auto"/>
                <w:sz w:val="24"/>
                <w:lang w:eastAsia="zh-CN"/>
              </w:rPr>
              <w:t>容积为</w:t>
            </w:r>
            <w:r>
              <w:rPr>
                <w:rFonts w:hint="eastAsia" w:ascii="Times New Roman" w:hAnsi="Times New Roman" w:eastAsia="宋体" w:cs="Times New Roman"/>
                <w:color w:val="auto"/>
                <w:sz w:val="24"/>
                <w:lang w:val="en-US" w:eastAsia="zh-CN"/>
              </w:rPr>
              <w:t>30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color w:val="auto"/>
              </w:rPr>
              <w:t>根据《国家危险废物名录》（2016版）的相关规定，</w:t>
            </w:r>
            <w:r>
              <w:rPr>
                <w:rFonts w:hint="eastAsia" w:ascii="Times New Roman" w:hAnsi="Times New Roman" w:eastAsia="宋体" w:cs="Times New Roman"/>
                <w:color w:val="auto"/>
                <w:lang w:eastAsia="zh-CN"/>
              </w:rPr>
              <w:t>储罐油渣</w:t>
            </w:r>
            <w:r>
              <w:rPr>
                <w:rFonts w:hint="default" w:ascii="Times New Roman" w:hAnsi="Times New Roman" w:eastAsia="宋体" w:cs="Times New Roman"/>
                <w:color w:val="auto"/>
              </w:rPr>
              <w:t>属于“HW08废矿物油与含矿油废物”（废物类别代码900-249-08）中“其他生产、销售、使用过程中产生的废矿物油及含矿物油废物”</w:t>
            </w:r>
            <w:r>
              <w:rPr>
                <w:rFonts w:hint="eastAsia" w:ascii="Times New Roman" w:hAnsi="Times New Roman" w:eastAsia="宋体" w:cs="Times New Roman"/>
                <w:color w:val="auto"/>
                <w:lang w:eastAsia="zh-CN"/>
              </w:rPr>
              <w:t>，危险特性为“</w:t>
            </w:r>
            <w:r>
              <w:rPr>
                <w:rFonts w:hint="eastAsia" w:ascii="Times New Roman" w:hAnsi="Times New Roman" w:eastAsia="宋体" w:cs="Times New Roman"/>
                <w:color w:val="auto"/>
                <w:lang w:val="en-US" w:eastAsia="zh-CN"/>
              </w:rPr>
              <w:t>T，I</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储油罐均会遭到不同环境、不同程度的腐蚀</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为确保储油罐的安全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延长其使用寿命</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以及油品的质量，时隔一定时间必须对储油罐内壁进行防腐，检查</w:t>
            </w:r>
            <w:r>
              <w:rPr>
                <w:rFonts w:hint="default" w:ascii="Times New Roman" w:hAnsi="Times New Roman" w:eastAsia="宋体" w:cs="Times New Roman"/>
                <w:color w:val="auto"/>
                <w:szCs w:val="24"/>
              </w:rPr>
              <w:t>储油罐和输油管线是否发生腐蚀穿孔造成的跑、冒、漏油事故时有发生，防止污染环境（地下水、土壤）。</w:t>
            </w:r>
          </w:p>
          <w:p>
            <w:pPr>
              <w:spacing w:line="440" w:lineRule="exact"/>
              <w:ind w:firstLine="561"/>
              <w:rPr>
                <w:rFonts w:hint="default" w:ascii="Times New Roman" w:hAnsi="Times New Roman" w:cs="Times New Roman"/>
                <w:color w:val="auto"/>
                <w:sz w:val="24"/>
              </w:rPr>
            </w:pPr>
            <w:r>
              <w:rPr>
                <w:rFonts w:hint="default" w:ascii="Times New Roman" w:hAnsi="Times New Roman" w:cs="Times New Roman"/>
                <w:color w:val="auto"/>
                <w:sz w:val="24"/>
              </w:rPr>
              <w:t>储油罐清洗维护是一项比较危险的罐内作业，因为蒸汽不仅易燃、而且有毒。根据咨询业主和类比同类项目，储油罐每三年委托有资质的公司清洗一次，清理过程会产生一定量的罐底</w:t>
            </w:r>
            <w:r>
              <w:rPr>
                <w:rFonts w:hint="default" w:ascii="Times New Roman" w:hAnsi="Times New Roman" w:cs="Times New Roman"/>
                <w:color w:val="auto"/>
                <w:sz w:val="24"/>
                <w:lang w:eastAsia="zh-CN"/>
              </w:rPr>
              <w:t>油渣</w:t>
            </w:r>
            <w:r>
              <w:rPr>
                <w:rFonts w:hint="default" w:ascii="Times New Roman" w:hAnsi="Times New Roman" w:cs="Times New Roman"/>
                <w:color w:val="auto"/>
                <w:sz w:val="24"/>
              </w:rPr>
              <w:t>，产生量约为</w:t>
            </w:r>
            <w:r>
              <w:rPr>
                <w:rFonts w:hint="default" w:ascii="Times New Roman" w:hAnsi="Times New Roman" w:cs="Times New Roman"/>
                <w:color w:val="auto"/>
                <w:sz w:val="24"/>
                <w:lang w:val="en-US" w:eastAsia="zh-CN"/>
              </w:rPr>
              <w:t>5kg</w:t>
            </w:r>
            <w:r>
              <w:rPr>
                <w:rFonts w:hint="default" w:ascii="Times New Roman" w:hAnsi="Times New Roman" w:cs="Times New Roman"/>
                <w:color w:val="auto"/>
                <w:sz w:val="24"/>
              </w:rPr>
              <w:t>/次，</w:t>
            </w:r>
            <w:r>
              <w:rPr>
                <w:rFonts w:hint="default" w:ascii="Times New Roman" w:hAnsi="Times New Roman" w:cs="Times New Roman"/>
                <w:color w:val="auto"/>
                <w:sz w:val="24"/>
                <w:lang w:eastAsia="zh-CN"/>
              </w:rPr>
              <w:t>油渣</w:t>
            </w:r>
            <w:r>
              <w:rPr>
                <w:rFonts w:hint="default" w:ascii="Times New Roman" w:hAnsi="Times New Roman" w:cs="Times New Roman"/>
                <w:color w:val="auto"/>
                <w:sz w:val="24"/>
              </w:rPr>
              <w:t>委托有资质的单位</w:t>
            </w:r>
            <w:r>
              <w:rPr>
                <w:rFonts w:hint="default" w:ascii="Times New Roman" w:hAnsi="Times New Roman" w:cs="Times New Roman"/>
                <w:color w:val="auto"/>
                <w:sz w:val="24"/>
                <w:lang w:eastAsia="zh-CN"/>
              </w:rPr>
              <w:t>清掏</w:t>
            </w:r>
            <w:r>
              <w:rPr>
                <w:rFonts w:hint="default" w:ascii="Times New Roman" w:hAnsi="Times New Roman" w:cs="Times New Roman"/>
                <w:color w:val="auto"/>
                <w:sz w:val="24"/>
              </w:rPr>
              <w:t>处理。</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水封井油污</w:t>
            </w:r>
          </w:p>
          <w:p>
            <w:pPr>
              <w:spacing w:line="348" w:lineRule="auto"/>
              <w:ind w:firstLine="561"/>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拟在</w:t>
            </w:r>
            <w:r>
              <w:rPr>
                <w:rFonts w:hint="eastAsia" w:ascii="Times New Roman" w:hAnsi="Times New Roman" w:cs="Times New Roman"/>
                <w:color w:val="auto"/>
                <w:sz w:val="24"/>
                <w:lang w:val="en-US" w:eastAsia="zh-CN"/>
              </w:rPr>
              <w:t>东南</w:t>
            </w:r>
            <w:r>
              <w:rPr>
                <w:rFonts w:hint="default" w:ascii="Times New Roman" w:hAnsi="Times New Roman" w:cs="Times New Roman"/>
                <w:color w:val="auto"/>
                <w:sz w:val="24"/>
              </w:rPr>
              <w:t>侧建设一个水封井，用来处理场区雨水，系统运营过程会产生浮油</w:t>
            </w:r>
            <w:r>
              <w:rPr>
                <w:rFonts w:hint="default" w:ascii="Times New Roman" w:hAnsi="Times New Roman" w:cs="Times New Roman"/>
                <w:color w:val="auto"/>
                <w:sz w:val="24"/>
                <w:lang w:eastAsia="zh-CN"/>
              </w:rPr>
              <w:t>和污泥</w:t>
            </w:r>
            <w:r>
              <w:rPr>
                <w:rFonts w:hint="default" w:ascii="Times New Roman" w:hAnsi="Times New Roman" w:cs="Times New Roman"/>
                <w:color w:val="auto"/>
                <w:sz w:val="24"/>
              </w:rPr>
              <w:t>，浮油量约为0.02m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污泥产生量约为</w:t>
            </w:r>
            <w:r>
              <w:rPr>
                <w:rFonts w:hint="default" w:ascii="Times New Roman" w:hAnsi="Times New Roman" w:cs="Times New Roman"/>
                <w:color w:val="auto"/>
                <w:sz w:val="24"/>
                <w:lang w:val="en-US" w:eastAsia="zh-CN"/>
              </w:rPr>
              <w:t>0.5t/a。项目浮油</w:t>
            </w:r>
            <w:r>
              <w:rPr>
                <w:rFonts w:hint="eastAsia" w:ascii="Times New Roman" w:hAnsi="Times New Roman" w:cs="Times New Roman"/>
                <w:color w:val="auto"/>
                <w:sz w:val="24"/>
                <w:lang w:val="en-US" w:eastAsia="zh-CN"/>
              </w:rPr>
              <w:t>用</w:t>
            </w:r>
            <w:r>
              <w:rPr>
                <w:rFonts w:hint="default" w:ascii="Times New Roman" w:hAnsi="Times New Roman" w:cs="Times New Roman"/>
                <w:color w:val="auto"/>
                <w:sz w:val="24"/>
              </w:rPr>
              <w:t>吸油毡</w:t>
            </w:r>
            <w:r>
              <w:rPr>
                <w:rFonts w:hint="eastAsia" w:ascii="Times New Roman" w:hAnsi="Times New Roman" w:cs="Times New Roman"/>
                <w:color w:val="auto"/>
                <w:sz w:val="24"/>
                <w:lang w:eastAsia="zh-CN"/>
              </w:rPr>
              <w:t>吸收后存储在危废暂存间，含油污泥清掏后收集至危废暂存间，水封井浮油和污泥</w:t>
            </w:r>
            <w:r>
              <w:rPr>
                <w:rFonts w:hint="default" w:ascii="Times New Roman" w:hAnsi="Times New Roman" w:cs="Times New Roman"/>
                <w:color w:val="auto"/>
                <w:sz w:val="24"/>
                <w:lang w:val="en-US" w:eastAsia="zh-CN"/>
              </w:rPr>
              <w:t>委托有资质的</w:t>
            </w:r>
            <w:r>
              <w:rPr>
                <w:rFonts w:hint="default" w:ascii="Times New Roman" w:hAnsi="Times New Roman" w:cs="Times New Roman"/>
                <w:color w:val="auto"/>
                <w:sz w:val="24"/>
              </w:rPr>
              <w:t>处理。根据《国家危险废物名录》（2016版）的相关规定，</w:t>
            </w:r>
            <w:r>
              <w:rPr>
                <w:rFonts w:hint="eastAsia" w:ascii="Times New Roman" w:hAnsi="Times New Roman" w:cs="Times New Roman"/>
                <w:color w:val="auto"/>
                <w:sz w:val="24"/>
                <w:lang w:eastAsia="zh-CN"/>
              </w:rPr>
              <w:t>水封井油污</w:t>
            </w:r>
            <w:r>
              <w:rPr>
                <w:rFonts w:hint="default" w:ascii="Times New Roman" w:hAnsi="Times New Roman" w:cs="Times New Roman"/>
                <w:color w:val="auto"/>
                <w:sz w:val="24"/>
              </w:rPr>
              <w:t>属于“HW08废矿物油与含矿油废物”（废物类别代码900-2</w:t>
            </w:r>
            <w:r>
              <w:rPr>
                <w:rFonts w:hint="eastAsia" w:ascii="Times New Roman" w:hAnsi="Times New Roman" w:cs="Times New Roman"/>
                <w:color w:val="auto"/>
                <w:sz w:val="24"/>
                <w:lang w:val="en-US" w:eastAsia="zh-CN"/>
              </w:rPr>
              <w:t>10</w:t>
            </w:r>
            <w:r>
              <w:rPr>
                <w:rFonts w:hint="default" w:ascii="Times New Roman" w:hAnsi="Times New Roman" w:cs="Times New Roman"/>
                <w:color w:val="auto"/>
                <w:sz w:val="24"/>
              </w:rPr>
              <w:t>-08）中“</w:t>
            </w:r>
            <w:r>
              <w:rPr>
                <w:rFonts w:hint="eastAsia" w:ascii="Times New Roman" w:hAnsi="Times New Roman" w:cs="Times New Roman"/>
                <w:color w:val="auto"/>
                <w:sz w:val="24"/>
                <w:lang w:eastAsia="zh-CN"/>
              </w:rPr>
              <w:t>油</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lang w:eastAsia="zh-CN"/>
              </w:rPr>
              <w:t>水分离设施产生的废油、油泥及废水处理产生的浮渣和污泥（不包括废水生化处理污泥）</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，危险特性为“</w:t>
            </w:r>
            <w:r>
              <w:rPr>
                <w:rFonts w:hint="eastAsia" w:ascii="Times New Roman" w:hAnsi="Times New Roman" w:cs="Times New Roman"/>
                <w:color w:val="auto"/>
                <w:sz w:val="24"/>
                <w:lang w:val="en-US" w:eastAsia="zh-CN"/>
              </w:rPr>
              <w:t>T，I</w:t>
            </w:r>
            <w:r>
              <w:rPr>
                <w:rFonts w:hint="eastAsia" w:ascii="Times New Roman" w:hAnsi="Times New Roman" w:cs="Times New Roman"/>
                <w:color w:val="auto"/>
                <w:sz w:val="24"/>
                <w:lang w:eastAsia="zh-CN"/>
              </w:rPr>
              <w:t>”。</w:t>
            </w:r>
          </w:p>
          <w:p>
            <w:pPr>
              <w:tabs>
                <w:tab w:val="left" w:pos="6001"/>
              </w:tabs>
              <w:spacing w:line="440" w:lineRule="exact"/>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含油消防沙及吸油毡</w:t>
            </w:r>
            <w:r>
              <w:rPr>
                <w:rFonts w:hint="eastAsia" w:ascii="Times New Roman" w:hAnsi="Times New Roman" w:cs="Times New Roman"/>
                <w:color w:val="auto"/>
                <w:sz w:val="24"/>
                <w:lang w:eastAsia="zh-CN"/>
              </w:rPr>
              <w:tab/>
            </w:r>
          </w:p>
          <w:p>
            <w:pPr>
              <w:spacing w:line="440" w:lineRule="exact"/>
              <w:ind w:firstLine="561"/>
              <w:rPr>
                <w:rFonts w:hint="default" w:ascii="Times New Roman" w:hAnsi="Times New Roman" w:cs="Times New Roman"/>
                <w:color w:val="auto"/>
                <w:sz w:val="24"/>
              </w:rPr>
            </w:pPr>
            <w:r>
              <w:rPr>
                <w:rFonts w:hint="default" w:ascii="Times New Roman" w:hAnsi="Times New Roman" w:cs="Times New Roman"/>
                <w:color w:val="auto"/>
                <w:sz w:val="24"/>
              </w:rPr>
              <w:t>当大量油品洒、漏到加油区地面上时，需用消防沙及吸油毡将油品吸收，这部分用于地面清洁的消防沙含有汽油或柴油，年产生量约为0.2t/a，吸油毡约</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张。</w:t>
            </w:r>
          </w:p>
          <w:p>
            <w:pPr>
              <w:spacing w:line="440" w:lineRule="exact"/>
              <w:ind w:firstLine="561"/>
              <w:rPr>
                <w:rFonts w:hint="default" w:ascii="Times New Roman" w:hAnsi="Times New Roman" w:cs="Times New Roman"/>
                <w:color w:val="auto"/>
                <w:sz w:val="24"/>
              </w:rPr>
            </w:pPr>
            <w:r>
              <w:rPr>
                <w:rFonts w:hint="default" w:ascii="Times New Roman" w:hAnsi="Times New Roman" w:cs="Times New Roman"/>
                <w:color w:val="auto"/>
                <w:sz w:val="24"/>
              </w:rPr>
              <w:t>根据《国家危险废物名录》（2016版）的相关规定，含油消防沙属于“HW08废矿物油与含矿油废物”（废物类别代码900-249-08）中“其他生产、销售、使用过程中产生的废矿物油及含矿物油废物”。根据《国家危险废物名录》（2016版）的相关规定，含油消防沙及吸油毡属于“HW08废矿物油与含矿油废物”（废物类别代码900-249-08）中“其他生产、销售、使用过程中产生的废矿物油及含矿物油废物”</w:t>
            </w:r>
            <w:r>
              <w:rPr>
                <w:rFonts w:hint="eastAsia" w:ascii="Times New Roman" w:hAnsi="Times New Roman" w:cs="Times New Roman"/>
                <w:color w:val="auto"/>
                <w:sz w:val="24"/>
                <w:lang w:eastAsia="zh-CN"/>
              </w:rPr>
              <w:t>，危险特性为“</w:t>
            </w:r>
            <w:r>
              <w:rPr>
                <w:rFonts w:hint="eastAsia" w:ascii="Times New Roman" w:hAnsi="Times New Roman" w:cs="Times New Roman"/>
                <w:color w:val="auto"/>
                <w:sz w:val="24"/>
                <w:lang w:val="en-US" w:eastAsia="zh-CN"/>
              </w:rPr>
              <w:t>T，I</w:t>
            </w:r>
            <w:r>
              <w:rPr>
                <w:rFonts w:hint="eastAsia" w:ascii="Times New Roman" w:hAnsi="Times New Roman" w:cs="Times New Roman"/>
                <w:color w:val="auto"/>
                <w:sz w:val="24"/>
                <w:lang w:eastAsia="zh-CN"/>
              </w:rPr>
              <w:t>”。</w:t>
            </w:r>
          </w:p>
          <w:p>
            <w:pPr>
              <w:spacing w:line="44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拟将仓库</w:t>
            </w:r>
            <w:r>
              <w:rPr>
                <w:rFonts w:hint="eastAsia" w:ascii="Times New Roman" w:hAnsi="Times New Roman" w:cs="Times New Roman"/>
                <w:color w:val="auto"/>
                <w:sz w:val="24"/>
                <w:lang w:eastAsia="zh-CN"/>
              </w:rPr>
              <w:t>隔离出来一间</w:t>
            </w:r>
            <w:r>
              <w:rPr>
                <w:rFonts w:hint="default" w:ascii="Times New Roman" w:hAnsi="Times New Roman" w:cs="Times New Roman"/>
                <w:color w:val="auto"/>
                <w:sz w:val="24"/>
                <w:lang w:eastAsia="zh-CN"/>
              </w:rPr>
              <w:t>改建为</w:t>
            </w:r>
            <w:r>
              <w:rPr>
                <w:rFonts w:hint="default" w:ascii="Times New Roman" w:hAnsi="Times New Roman" w:cs="Times New Roman"/>
                <w:color w:val="auto"/>
                <w:sz w:val="24"/>
              </w:rPr>
              <w:t>危废暂存间，建筑面积约</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，里面设置危废收集桶，用来存储含油消防沙，定期交由资质单位集中处理。</w:t>
            </w:r>
          </w:p>
          <w:p>
            <w:pPr>
              <w:spacing w:line="360" w:lineRule="auto"/>
              <w:ind w:firstLine="561"/>
              <w:rPr>
                <w:rFonts w:hint="default" w:ascii="Times New Roman" w:hAnsi="Times New Roman" w:cs="Times New Roman"/>
                <w:color w:val="auto"/>
                <w:sz w:val="24"/>
              </w:rPr>
            </w:pPr>
            <w:r>
              <w:rPr>
                <w:rFonts w:hint="default" w:ascii="Times New Roman" w:hAnsi="Times New Roman" w:cs="Times New Roman"/>
                <w:color w:val="auto"/>
                <w:sz w:val="24"/>
              </w:rPr>
              <w:t>项目运营期间应对项目危废严格管理，</w:t>
            </w:r>
            <w:r>
              <w:rPr>
                <w:rFonts w:hint="default" w:ascii="Times New Roman" w:hAnsi="Times New Roman" w:cs="Times New Roman"/>
                <w:color w:val="auto"/>
                <w:sz w:val="24"/>
                <w:lang w:eastAsia="zh-CN"/>
              </w:rPr>
              <w:t>完善登记台账，</w:t>
            </w:r>
            <w:r>
              <w:rPr>
                <w:rFonts w:hint="default" w:ascii="Times New Roman" w:hAnsi="Times New Roman" w:cs="Times New Roman"/>
                <w:color w:val="auto"/>
                <w:sz w:val="24"/>
              </w:rPr>
              <w:t>房间设置明显标识。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301" w:hRule="atLeast"/>
          <w:jc w:val="center"/>
        </w:trPr>
        <w:tc>
          <w:tcPr>
            <w:tcW w:w="9444" w:type="dxa"/>
            <w:gridSpan w:val="8"/>
            <w:tcBorders>
              <w:top w:val="nil"/>
              <w:left w:val="nil"/>
              <w:right w:val="nil"/>
            </w:tcBorders>
            <w:vAlign w:val="center"/>
          </w:tcPr>
          <w:p>
            <w:pPr>
              <w:rPr>
                <w:rFonts w:hint="default" w:ascii="Times New Roman" w:hAnsi="Times New Roman" w:cs="Times New Roman"/>
                <w:snapToGrid w:val="0"/>
                <w:color w:val="auto"/>
                <w:sz w:val="32"/>
                <w:szCs w:val="32"/>
              </w:rPr>
            </w:pPr>
            <w:r>
              <w:rPr>
                <w:rFonts w:hint="default" w:ascii="Times New Roman" w:hAnsi="Times New Roman" w:cs="Times New Roman"/>
                <w:b/>
                <w:color w:val="auto"/>
                <w:sz w:val="32"/>
                <w:szCs w:val="32"/>
              </w:rPr>
              <w:t>表六、建设项目主要污染物产生及预计排放情况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301" w:hRule="atLeast"/>
          <w:jc w:val="center"/>
        </w:trPr>
        <w:tc>
          <w:tcPr>
            <w:tcW w:w="810"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color w:val="auto"/>
                <w:szCs w:val="21"/>
              </w:rPr>
              <mc:AlternateContent>
                <mc:Choice Requires="wps">
                  <w:drawing>
                    <wp:anchor distT="0" distB="0" distL="114300" distR="114300" simplePos="0" relativeHeight="251661312" behindDoc="0" locked="0" layoutInCell="1" allowOverlap="1">
                      <wp:simplePos x="0" y="0"/>
                      <wp:positionH relativeFrom="column">
                        <wp:posOffset>-43815</wp:posOffset>
                      </wp:positionH>
                      <wp:positionV relativeFrom="paragraph">
                        <wp:posOffset>33655</wp:posOffset>
                      </wp:positionV>
                      <wp:extent cx="426085" cy="287655"/>
                      <wp:effectExtent l="2540" t="3810" r="9525" b="13335"/>
                      <wp:wrapNone/>
                      <wp:docPr id="97" name="直线 228"/>
                      <wp:cNvGraphicFramePr/>
                      <a:graphic xmlns:a="http://schemas.openxmlformats.org/drawingml/2006/main">
                        <a:graphicData uri="http://schemas.microsoft.com/office/word/2010/wordprocessingShape">
                          <wps:wsp>
                            <wps:cNvCnPr/>
                            <wps:spPr>
                              <a:xfrm>
                                <a:off x="0" y="0"/>
                                <a:ext cx="426085" cy="2876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8" o:spid="_x0000_s1026" o:spt="20" style="position:absolute;left:0pt;margin-left:-3.45pt;margin-top:2.65pt;height:22.65pt;width:33.55pt;z-index:251661312;mso-width-relative:page;mso-height-relative:page;" filled="f" stroked="t" coordsize="21600,21600" o:gfxdata="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o8J&#10;q9QAAAAGAQAADwAAAAAAAAABACAAAAAiAAAAZHJzL2Rvd25yZXYueG1sUEsBAhQAFAAAAAgAh07i&#10;QOK/3jntAQAA4gMAAA4AAAAAAAAAAQAgAAAAIwEAAGRycy9lMm9Eb2MueG1sUEsFBgAAAAAGAAYA&#10;WQEAAIIFAAAAAA==&#10;">
                      <v:fill on="f" focussize="0,0"/>
                      <v:stroke color="#000000" joinstyle="round"/>
                      <v:imagedata o:title=""/>
                      <o:lock v:ext="edit" aspectratio="f"/>
                    </v:line>
                  </w:pict>
                </mc:Fallback>
              </mc:AlternateContent>
            </w:r>
            <w:r>
              <w:rPr>
                <w:rFonts w:hint="default" w:ascii="Times New Roman" w:hAnsi="Times New Roman" w:cs="Times New Roman"/>
                <w:snapToGrid w:val="0"/>
                <w:color w:val="auto"/>
                <w:szCs w:val="21"/>
              </w:rPr>
              <w:t xml:space="preserve"> 内容</w:t>
            </w:r>
          </w:p>
          <w:p>
            <w:pP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类型</w:t>
            </w:r>
          </w:p>
        </w:tc>
        <w:tc>
          <w:tcPr>
            <w:tcW w:w="2160" w:type="dxa"/>
            <w:gridSpan w:val="2"/>
            <w:vAlign w:val="center"/>
          </w:tcPr>
          <w:p>
            <w:pPr>
              <w:tabs>
                <w:tab w:val="left" w:pos="627"/>
              </w:tabs>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排放源</w:t>
            </w:r>
          </w:p>
        </w:tc>
        <w:tc>
          <w:tcPr>
            <w:tcW w:w="1292"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污染物</w:t>
            </w:r>
          </w:p>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名称</w:t>
            </w:r>
          </w:p>
        </w:tc>
        <w:tc>
          <w:tcPr>
            <w:tcW w:w="3127" w:type="dxa"/>
            <w:gridSpan w:val="3"/>
            <w:vAlign w:val="center"/>
          </w:tcPr>
          <w:p>
            <w:pPr>
              <w:ind w:right="-107" w:rightChars="-51"/>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处理前产生浓度及产生量</w:t>
            </w:r>
          </w:p>
        </w:tc>
        <w:tc>
          <w:tcPr>
            <w:tcW w:w="2055"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270" w:hRule="atLeast"/>
          <w:jc w:val="center"/>
        </w:trPr>
        <w:tc>
          <w:tcPr>
            <w:tcW w:w="81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染</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64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期</w:t>
            </w:r>
          </w:p>
        </w:tc>
        <w:tc>
          <w:tcPr>
            <w:tcW w:w="1515" w:type="dxa"/>
            <w:vAlign w:val="center"/>
          </w:tcPr>
          <w:p>
            <w:pP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施工废水</w:t>
            </w:r>
          </w:p>
        </w:tc>
        <w:tc>
          <w:tcPr>
            <w:tcW w:w="1292"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SS等</w:t>
            </w:r>
          </w:p>
        </w:tc>
        <w:tc>
          <w:tcPr>
            <w:tcW w:w="3127" w:type="dxa"/>
            <w:gridSpan w:val="3"/>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8.0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(建设沉淀池，沉淀后用作场区降尘。)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71"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1515"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生活污水</w:t>
            </w:r>
          </w:p>
        </w:tc>
        <w:tc>
          <w:tcPr>
            <w:tcW w:w="1292"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SS、COD</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施工期共产生</w:t>
            </w:r>
            <w:r>
              <w:rPr>
                <w:rFonts w:hint="default" w:ascii="Times New Roman" w:hAnsi="Times New Roman" w:cs="Times New Roman"/>
                <w:color w:val="auto"/>
                <w:szCs w:val="21"/>
                <w:lang w:val="en-US" w:eastAsia="zh-CN"/>
              </w:rPr>
              <w:t>18</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2055"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（洗漱用水收集后洒水抑尘；粪便污水进入旱厕后提供给周边的农户用作肥料。）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576"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restart"/>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运</w:t>
            </w: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营</w:t>
            </w: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期</w:t>
            </w:r>
          </w:p>
        </w:tc>
        <w:tc>
          <w:tcPr>
            <w:tcW w:w="15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工作人员和顾客</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悬浮物等</w:t>
            </w:r>
          </w:p>
        </w:tc>
        <w:tc>
          <w:tcPr>
            <w:tcW w:w="3127" w:type="dxa"/>
            <w:gridSpan w:val="3"/>
            <w:vAlign w:val="center"/>
          </w:tcPr>
          <w:p>
            <w:pPr>
              <w:ind w:firstLine="840" w:firstLineChars="400"/>
              <w:rPr>
                <w:rFonts w:hint="default" w:ascii="Times New Roman" w:hAnsi="Times New Roman" w:cs="Times New Roman"/>
                <w:color w:val="auto"/>
                <w:szCs w:val="21"/>
              </w:rPr>
            </w:pPr>
            <w:r>
              <w:rPr>
                <w:rFonts w:hint="eastAsia" w:ascii="Times New Roman" w:hAnsi="Times New Roman" w:cs="Times New Roman"/>
                <w:snapToGrid w:val="0"/>
                <w:color w:val="auto"/>
                <w:szCs w:val="21"/>
                <w:lang w:val="en-US" w:eastAsia="zh-CN"/>
              </w:rPr>
              <w:t>138.41</w:t>
            </w:r>
            <w:r>
              <w:rPr>
                <w:rFonts w:hint="default" w:ascii="Times New Roman" w:hAnsi="Times New Roman" w:cs="Times New Roman"/>
                <w:snapToGrid w:val="0"/>
                <w:color w:val="auto"/>
                <w:szCs w:val="21"/>
              </w:rPr>
              <w:t>m</w:t>
            </w:r>
            <w:r>
              <w:rPr>
                <w:rFonts w:hint="default" w:ascii="Times New Roman" w:hAnsi="Times New Roman" w:cs="Times New Roman"/>
                <w:snapToGrid w:val="0"/>
                <w:color w:val="auto"/>
                <w:szCs w:val="21"/>
                <w:vertAlign w:val="superscript"/>
              </w:rPr>
              <w:t>3</w:t>
            </w:r>
            <w:r>
              <w:rPr>
                <w:rFonts w:hint="default" w:ascii="Times New Roman" w:hAnsi="Times New Roman" w:cs="Times New Roman"/>
                <w:snapToGrid w:val="0"/>
                <w:color w:val="auto"/>
                <w:szCs w:val="21"/>
              </w:rPr>
              <w:t>/a</w:t>
            </w:r>
          </w:p>
        </w:tc>
        <w:tc>
          <w:tcPr>
            <w:tcW w:w="2055" w:type="dxa"/>
            <w:vMerge w:val="restart"/>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（生活污水污水进入化粪池后提供给周边的农户。）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660"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snapToGrid w:val="0"/>
                <w:color w:val="auto"/>
                <w:szCs w:val="21"/>
              </w:rPr>
            </w:pPr>
          </w:p>
        </w:tc>
        <w:tc>
          <w:tcPr>
            <w:tcW w:w="15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办公生活区清洗废水</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悬浮物等</w:t>
            </w:r>
          </w:p>
        </w:tc>
        <w:tc>
          <w:tcPr>
            <w:tcW w:w="3127" w:type="dxa"/>
            <w:gridSpan w:val="3"/>
            <w:vAlign w:val="center"/>
          </w:tcPr>
          <w:p>
            <w:pPr>
              <w:ind w:firstLine="840" w:firstLineChars="4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28.03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2055" w:type="dxa"/>
            <w:vMerge w:val="continue"/>
            <w:vAlign w:val="center"/>
          </w:tcPr>
          <w:p>
            <w:pP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1870" w:hRule="atLeast"/>
          <w:jc w:val="center"/>
        </w:trPr>
        <w:tc>
          <w:tcPr>
            <w:tcW w:w="81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气</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染</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w:t>
            </w:r>
          </w:p>
        </w:tc>
        <w:tc>
          <w:tcPr>
            <w:tcW w:w="645" w:type="dxa"/>
            <w:vMerge w:val="restart"/>
            <w:vAlign w:val="center"/>
          </w:tcPr>
          <w:p>
            <w:pPr>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施</w:t>
            </w:r>
          </w:p>
          <w:p>
            <w:pPr>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工</w:t>
            </w:r>
          </w:p>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期</w:t>
            </w:r>
          </w:p>
        </w:tc>
        <w:tc>
          <w:tcPr>
            <w:tcW w:w="1515"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场区开挖等作业、建筑材料因零散堆放以及运输车辆。</w:t>
            </w:r>
          </w:p>
        </w:tc>
        <w:tc>
          <w:tcPr>
            <w:tcW w:w="1292" w:type="dxa"/>
            <w:vAlign w:val="center"/>
          </w:tcPr>
          <w:p>
            <w:pPr>
              <w:rPr>
                <w:rFonts w:hint="default" w:ascii="Times New Roman" w:hAnsi="Times New Roman" w:cs="Times New Roman"/>
                <w:color w:val="auto"/>
                <w:szCs w:val="21"/>
              </w:rPr>
            </w:pPr>
            <w:r>
              <w:rPr>
                <w:rFonts w:hint="default" w:ascii="Times New Roman" w:hAnsi="Times New Roman" w:cs="Times New Roman"/>
                <w:snapToGrid w:val="0"/>
                <w:color w:val="auto"/>
                <w:szCs w:val="21"/>
              </w:rPr>
              <w:t>粉尘、扬尘</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少量</w:t>
            </w:r>
          </w:p>
        </w:tc>
        <w:tc>
          <w:tcPr>
            <w:tcW w:w="2055"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71"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15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施工机械和运输车辆</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尾气</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少量</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71"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restart"/>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运</w:t>
            </w: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营</w:t>
            </w:r>
          </w:p>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期</w:t>
            </w:r>
          </w:p>
        </w:tc>
        <w:tc>
          <w:tcPr>
            <w:tcW w:w="1515"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储罐、加油机等</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非甲烷烃类</w:t>
            </w:r>
          </w:p>
        </w:tc>
        <w:tc>
          <w:tcPr>
            <w:tcW w:w="3127" w:type="dxa"/>
            <w:gridSpan w:val="3"/>
            <w:vAlign w:val="center"/>
          </w:tcPr>
          <w:p>
            <w:pPr>
              <w:ind w:firstLine="105" w:firstLineChars="50"/>
              <w:rPr>
                <w:rFonts w:hint="default" w:ascii="Times New Roman" w:hAnsi="Times New Roman" w:cs="Times New Roman"/>
                <w:color w:val="auto"/>
                <w:szCs w:val="21"/>
              </w:rPr>
            </w:pPr>
            <w:r>
              <w:rPr>
                <w:rFonts w:hint="default" w:ascii="Times New Roman" w:hAnsi="Times New Roman" w:cs="Times New Roman"/>
                <w:color w:val="auto"/>
                <w:szCs w:val="21"/>
              </w:rPr>
              <w:t>各环节排放总量约</w:t>
            </w:r>
            <w:r>
              <w:rPr>
                <w:rFonts w:hint="eastAsia" w:ascii="Times New Roman" w:hAnsi="Times New Roman" w:cs="Times New Roman"/>
                <w:color w:val="auto"/>
                <w:szCs w:val="21"/>
                <w:lang w:val="en-US" w:eastAsia="zh-CN"/>
              </w:rPr>
              <w:t>1509</w:t>
            </w:r>
            <w:r>
              <w:rPr>
                <w:rFonts w:hint="default" w:ascii="Times New Roman" w:hAnsi="Times New Roman" w:cs="Times New Roman"/>
                <w:color w:val="auto"/>
                <w:szCs w:val="21"/>
              </w:rPr>
              <w:t>kg/a。</w:t>
            </w:r>
          </w:p>
        </w:tc>
        <w:tc>
          <w:tcPr>
            <w:tcW w:w="2055" w:type="dxa"/>
            <w:vAlign w:val="center"/>
          </w:tcPr>
          <w:p>
            <w:pP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531</w:t>
            </w:r>
            <w:r>
              <w:rPr>
                <w:rFonts w:hint="default" w:ascii="Times New Roman" w:hAnsi="Times New Roman" w:cs="Times New Roman"/>
                <w:color w:val="auto"/>
                <w:szCs w:val="21"/>
              </w:rPr>
              <w:t>kg/a（使用油气回收系统处理）。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71"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15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车辆尾气</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NO</w:t>
            </w:r>
            <w:r>
              <w:rPr>
                <w:rFonts w:hint="default" w:ascii="Times New Roman" w:hAnsi="Times New Roman" w:cs="Times New Roman"/>
                <w:snapToGrid w:val="0"/>
                <w:color w:val="auto"/>
                <w:szCs w:val="21"/>
                <w:vertAlign w:val="subscript"/>
              </w:rPr>
              <w:t>X</w:t>
            </w:r>
            <w:r>
              <w:rPr>
                <w:rFonts w:hint="default" w:ascii="Times New Roman" w:hAnsi="Times New Roman" w:cs="Times New Roman"/>
                <w:snapToGrid w:val="0"/>
                <w:color w:val="auto"/>
                <w:szCs w:val="21"/>
              </w:rPr>
              <w:t xml:space="preserve"> 、CO等</w:t>
            </w:r>
          </w:p>
        </w:tc>
        <w:tc>
          <w:tcPr>
            <w:tcW w:w="3127" w:type="dxa"/>
            <w:gridSpan w:val="3"/>
            <w:vAlign w:val="center"/>
          </w:tcPr>
          <w:p>
            <w:pPr>
              <w:rPr>
                <w:rFonts w:hint="default" w:ascii="Times New Roman" w:hAnsi="Times New Roman" w:cs="Times New Roman"/>
                <w:color w:val="auto"/>
                <w:szCs w:val="21"/>
              </w:rPr>
            </w:pPr>
            <w:r>
              <w:rPr>
                <w:rFonts w:hint="default" w:ascii="Times New Roman" w:hAnsi="Times New Roman" w:cs="Times New Roman"/>
                <w:color w:val="auto"/>
              </w:rPr>
              <w:t>THC、NO</w:t>
            </w:r>
            <w:r>
              <w:rPr>
                <w:rFonts w:hint="default" w:ascii="Times New Roman" w:hAnsi="Times New Roman" w:cs="Times New Roman"/>
                <w:color w:val="auto"/>
                <w:vertAlign w:val="subscript"/>
              </w:rPr>
              <w:t>x</w:t>
            </w:r>
            <w:r>
              <w:rPr>
                <w:rFonts w:hint="default" w:ascii="Times New Roman" w:hAnsi="Times New Roman" w:cs="Times New Roman"/>
                <w:color w:val="auto"/>
              </w:rPr>
              <w:t>、CO的排放量分别为：</w:t>
            </w: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45</w:t>
            </w:r>
            <w:r>
              <w:rPr>
                <w:rFonts w:hint="default" w:ascii="Times New Roman" w:hAnsi="Times New Roman" w:cs="Times New Roman"/>
                <w:color w:val="auto"/>
              </w:rPr>
              <w:t>kg/a、</w:t>
            </w:r>
            <w:r>
              <w:rPr>
                <w:rFonts w:hint="eastAsia" w:ascii="Times New Roman" w:hAnsi="Times New Roman" w:cs="Times New Roman"/>
                <w:color w:val="auto"/>
                <w:lang w:val="en-US" w:eastAsia="zh-CN"/>
              </w:rPr>
              <w:t>2.22</w:t>
            </w:r>
            <w:r>
              <w:rPr>
                <w:rFonts w:hint="default" w:ascii="Times New Roman" w:hAnsi="Times New Roman" w:cs="Times New Roman"/>
                <w:color w:val="auto"/>
              </w:rPr>
              <w:t>kg/a 、</w:t>
            </w: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22</w:t>
            </w:r>
            <w:r>
              <w:rPr>
                <w:rFonts w:hint="default" w:ascii="Times New Roman" w:hAnsi="Times New Roman" w:cs="Times New Roman"/>
                <w:color w:val="auto"/>
              </w:rPr>
              <w:t>kg/a</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71"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1515"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厨房</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油烟</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少量</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71"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1515"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化粪池、公厕等</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恶臭</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少量</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71"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1515" w:type="dxa"/>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应急发电机</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燃油废气</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少量</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490" w:hRule="atLeast"/>
          <w:jc w:val="center"/>
        </w:trPr>
        <w:tc>
          <w:tcPr>
            <w:tcW w:w="810" w:type="dxa"/>
            <w:vMerge w:val="restart"/>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噪</w:t>
            </w:r>
          </w:p>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声</w:t>
            </w:r>
          </w:p>
        </w:tc>
        <w:tc>
          <w:tcPr>
            <w:tcW w:w="645" w:type="dxa"/>
            <w:vMerge w:val="restart"/>
            <w:vAlign w:val="center"/>
          </w:tcPr>
          <w:p>
            <w:pPr>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施</w:t>
            </w:r>
          </w:p>
          <w:p>
            <w:pPr>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工</w:t>
            </w:r>
          </w:p>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期</w:t>
            </w:r>
          </w:p>
        </w:tc>
        <w:tc>
          <w:tcPr>
            <w:tcW w:w="2807"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施工机械噪声</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75～110dB(A)</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&lt;60dB（A）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325" w:hRule="atLeast"/>
          <w:jc w:val="center"/>
        </w:trPr>
        <w:tc>
          <w:tcPr>
            <w:tcW w:w="810" w:type="dxa"/>
            <w:vMerge w:val="continue"/>
            <w:vAlign w:val="center"/>
          </w:tcPr>
          <w:p>
            <w:pPr>
              <w:jc w:val="center"/>
              <w:rPr>
                <w:rFonts w:hint="default" w:ascii="Times New Roman" w:hAnsi="Times New Roman" w:cs="Times New Roman"/>
                <w:b/>
                <w:snapToGrid w:val="0"/>
                <w:color w:val="auto"/>
                <w:szCs w:val="21"/>
              </w:rPr>
            </w:pPr>
          </w:p>
        </w:tc>
        <w:tc>
          <w:tcPr>
            <w:tcW w:w="645" w:type="dxa"/>
            <w:vMerge w:val="continue"/>
            <w:vAlign w:val="center"/>
          </w:tcPr>
          <w:p>
            <w:pPr>
              <w:jc w:val="center"/>
              <w:textAlignment w:val="baseline"/>
              <w:rPr>
                <w:rFonts w:hint="default" w:ascii="Times New Roman" w:hAnsi="Times New Roman" w:cs="Times New Roman"/>
                <w:snapToGrid w:val="0"/>
                <w:color w:val="auto"/>
                <w:szCs w:val="21"/>
              </w:rPr>
            </w:pPr>
          </w:p>
        </w:tc>
        <w:tc>
          <w:tcPr>
            <w:tcW w:w="2807"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施工车辆噪声</w:t>
            </w:r>
          </w:p>
        </w:tc>
        <w:tc>
          <w:tcPr>
            <w:tcW w:w="3127" w:type="dxa"/>
            <w:gridSpan w:val="3"/>
            <w:vAlign w:val="center"/>
          </w:tcPr>
          <w:p>
            <w:pPr>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 xml:space="preserve">  70～95dB（A）</w:t>
            </w:r>
          </w:p>
        </w:tc>
        <w:tc>
          <w:tcPr>
            <w:tcW w:w="2055" w:type="dxa"/>
            <w:vAlign w:val="center"/>
          </w:tcPr>
          <w:p>
            <w:pPr>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rPr>
              <w:t>&lt;60dB（A）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71"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restart"/>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运</w:t>
            </w: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营</w:t>
            </w:r>
          </w:p>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期</w:t>
            </w:r>
          </w:p>
        </w:tc>
        <w:tc>
          <w:tcPr>
            <w:tcW w:w="2807"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车辆噪声</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70～85dB(A)</w:t>
            </w:r>
          </w:p>
        </w:tc>
        <w:tc>
          <w:tcPr>
            <w:tcW w:w="205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&lt;60dB（A）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71"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2807"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设备噪声</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75～90dB(A)</w:t>
            </w:r>
          </w:p>
        </w:tc>
        <w:tc>
          <w:tcPr>
            <w:tcW w:w="2055" w:type="dxa"/>
            <w:vAlign w:val="center"/>
          </w:tcPr>
          <w:p>
            <w:pPr>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rPr>
              <w:t>&lt;60dB（A）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206"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2807"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社会噪声</w:t>
            </w:r>
          </w:p>
        </w:tc>
        <w:tc>
          <w:tcPr>
            <w:tcW w:w="3127" w:type="dxa"/>
            <w:gridSpan w:val="3"/>
            <w:vAlign w:val="center"/>
          </w:tcPr>
          <w:p>
            <w:pPr>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50～70dB(A)</w:t>
            </w:r>
          </w:p>
        </w:tc>
        <w:tc>
          <w:tcPr>
            <w:tcW w:w="2055" w:type="dxa"/>
            <w:vAlign w:val="center"/>
          </w:tcPr>
          <w:p>
            <w:pPr>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rPr>
              <w:t>&lt;60dB（A）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227" w:hRule="atLeast"/>
          <w:jc w:val="center"/>
        </w:trPr>
        <w:tc>
          <w:tcPr>
            <w:tcW w:w="810" w:type="dxa"/>
            <w:vMerge w:val="restart"/>
            <w:vAlign w:val="center"/>
          </w:tcPr>
          <w:p>
            <w:pPr>
              <w:jc w:val="center"/>
              <w:rPr>
                <w:rFonts w:hint="default" w:ascii="Times New Roman" w:hAnsi="Times New Roman" w:cs="Times New Roman"/>
                <w:snapToGrid w:val="0"/>
                <w:color w:val="auto"/>
                <w:szCs w:val="21"/>
              </w:rPr>
            </w:pPr>
          </w:p>
          <w:p>
            <w:pPr>
              <w:rPr>
                <w:rFonts w:hint="default" w:ascii="Times New Roman" w:hAnsi="Times New Roman" w:cs="Times New Roman"/>
                <w:snapToGrid w:val="0"/>
                <w:color w:val="auto"/>
                <w:szCs w:val="21"/>
              </w:rPr>
            </w:pP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固</w:t>
            </w: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体</w:t>
            </w: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废</w:t>
            </w: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弃</w:t>
            </w:r>
          </w:p>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物</w:t>
            </w:r>
          </w:p>
        </w:tc>
        <w:tc>
          <w:tcPr>
            <w:tcW w:w="645" w:type="dxa"/>
            <w:vMerge w:val="restart"/>
            <w:vAlign w:val="center"/>
          </w:tcPr>
          <w:p>
            <w:pPr>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施</w:t>
            </w:r>
          </w:p>
          <w:p>
            <w:pPr>
              <w:jc w:val="center"/>
              <w:textAlignment w:val="baseline"/>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工</w:t>
            </w:r>
          </w:p>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期</w:t>
            </w:r>
          </w:p>
        </w:tc>
        <w:tc>
          <w:tcPr>
            <w:tcW w:w="1515"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原有构筑物拆除</w:t>
            </w:r>
          </w:p>
        </w:tc>
        <w:tc>
          <w:tcPr>
            <w:tcW w:w="1292"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拆除固废</w:t>
            </w:r>
          </w:p>
        </w:tc>
        <w:tc>
          <w:tcPr>
            <w:tcW w:w="1292"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建筑垃圾</w:t>
            </w:r>
            <w:r>
              <w:rPr>
                <w:rFonts w:hint="eastAsia" w:ascii="Times New Roman" w:hAnsi="Times New Roman" w:cs="Times New Roman"/>
                <w:color w:val="auto"/>
                <w:szCs w:val="21"/>
                <w:lang w:val="en-US" w:eastAsia="zh-CN"/>
              </w:rPr>
              <w:t>10</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，储油罐</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个，加油机</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台</w:t>
            </w:r>
          </w:p>
        </w:tc>
        <w:tc>
          <w:tcPr>
            <w:tcW w:w="3890" w:type="dxa"/>
            <w:gridSpan w:val="3"/>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0（建筑垃圾按照市政要求处置，储油罐、加油机出售给回收单位）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227" w:hRule="atLeast"/>
          <w:jc w:val="center"/>
        </w:trPr>
        <w:tc>
          <w:tcPr>
            <w:tcW w:w="810" w:type="dxa"/>
            <w:vMerge w:val="continue"/>
            <w:vAlign w:val="center"/>
          </w:tcPr>
          <w:p>
            <w:pPr>
              <w:jc w:val="center"/>
              <w:rPr>
                <w:rFonts w:hint="default" w:ascii="Times New Roman" w:hAnsi="Times New Roman" w:cs="Times New Roman"/>
                <w:snapToGrid w:val="0"/>
                <w:color w:val="auto"/>
                <w:szCs w:val="21"/>
              </w:rPr>
            </w:pPr>
          </w:p>
        </w:tc>
        <w:tc>
          <w:tcPr>
            <w:tcW w:w="645" w:type="dxa"/>
            <w:vMerge w:val="continue"/>
            <w:vAlign w:val="center"/>
          </w:tcPr>
          <w:p>
            <w:pPr>
              <w:jc w:val="center"/>
              <w:rPr>
                <w:rFonts w:hint="default" w:ascii="Times New Roman" w:hAnsi="Times New Roman" w:cs="Times New Roman"/>
                <w:snapToGrid w:val="0"/>
                <w:color w:val="auto"/>
                <w:szCs w:val="21"/>
              </w:rPr>
            </w:pPr>
          </w:p>
        </w:tc>
        <w:tc>
          <w:tcPr>
            <w:tcW w:w="15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开挖场区</w:t>
            </w:r>
          </w:p>
        </w:tc>
        <w:tc>
          <w:tcPr>
            <w:tcW w:w="3127" w:type="dxa"/>
            <w:gridSpan w:val="3"/>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施工废</w:t>
            </w: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土石</w:t>
            </w:r>
          </w:p>
        </w:tc>
        <w:tc>
          <w:tcPr>
            <w:tcW w:w="129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2055" w:type="dxa"/>
            <w:vAlign w:val="center"/>
          </w:tcPr>
          <w:p>
            <w:pP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0</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按照市政要求处置。</w:t>
            </w:r>
            <w:r>
              <w:rPr>
                <w:rFonts w:hint="default"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318" w:hRule="atLeast"/>
          <w:jc w:val="center"/>
        </w:trPr>
        <w:tc>
          <w:tcPr>
            <w:tcW w:w="810" w:type="dxa"/>
            <w:vMerge w:val="continue"/>
            <w:vAlign w:val="center"/>
          </w:tcPr>
          <w:p>
            <w:pPr>
              <w:jc w:val="center"/>
              <w:rPr>
                <w:rFonts w:hint="default" w:ascii="Times New Roman" w:hAnsi="Times New Roman" w:cs="Times New Roman"/>
                <w:b/>
                <w:snapToGrid w:val="0"/>
                <w:color w:val="auto"/>
                <w:szCs w:val="21"/>
              </w:rPr>
            </w:pPr>
          </w:p>
        </w:tc>
        <w:tc>
          <w:tcPr>
            <w:tcW w:w="645" w:type="dxa"/>
            <w:vMerge w:val="continue"/>
            <w:vAlign w:val="center"/>
          </w:tcPr>
          <w:p>
            <w:pPr>
              <w:jc w:val="center"/>
              <w:textAlignment w:val="baseline"/>
              <w:rPr>
                <w:rFonts w:hint="default" w:ascii="Times New Roman" w:hAnsi="Times New Roman" w:cs="Times New Roman"/>
                <w:snapToGrid w:val="0"/>
                <w:color w:val="auto"/>
                <w:szCs w:val="21"/>
              </w:rPr>
            </w:pPr>
          </w:p>
        </w:tc>
        <w:tc>
          <w:tcPr>
            <w:tcW w:w="1515" w:type="dxa"/>
            <w:vAlign w:val="center"/>
          </w:tcPr>
          <w:p>
            <w:pPr>
              <w:rPr>
                <w:rFonts w:hint="default" w:ascii="Times New Roman" w:hAnsi="Times New Roman" w:cs="Times New Roman"/>
                <w:color w:val="auto"/>
                <w:szCs w:val="21"/>
              </w:rPr>
            </w:pPr>
            <w:r>
              <w:rPr>
                <w:rFonts w:hint="default" w:ascii="Times New Roman" w:hAnsi="Times New Roman" w:cs="Times New Roman"/>
                <w:snapToGrid w:val="0"/>
                <w:color w:val="auto"/>
                <w:szCs w:val="21"/>
              </w:rPr>
              <w:t>建筑垃圾（废砖块、弃渣等）</w:t>
            </w:r>
          </w:p>
        </w:tc>
        <w:tc>
          <w:tcPr>
            <w:tcW w:w="3127" w:type="dxa"/>
            <w:gridSpan w:val="3"/>
            <w:vAlign w:val="center"/>
          </w:tcPr>
          <w:p>
            <w:pPr>
              <w:rPr>
                <w:rFonts w:hint="default" w:ascii="Times New Roman" w:hAnsi="Times New Roman" w:cs="Times New Roman"/>
                <w:color w:val="auto"/>
                <w:szCs w:val="21"/>
              </w:rPr>
            </w:pPr>
          </w:p>
          <w:p>
            <w:pPr>
              <w:rPr>
                <w:rFonts w:hint="default" w:ascii="Times New Roman" w:hAnsi="Times New Roman" w:cs="Times New Roman"/>
                <w:color w:val="auto"/>
                <w:szCs w:val="21"/>
              </w:rPr>
            </w:pPr>
          </w:p>
          <w:p>
            <w:pPr>
              <w:rPr>
                <w:rFonts w:hint="default" w:ascii="Times New Roman" w:hAnsi="Times New Roman" w:cs="Times New Roman"/>
                <w:color w:val="auto"/>
                <w:szCs w:val="21"/>
              </w:rPr>
            </w:pPr>
          </w:p>
        </w:tc>
        <w:tc>
          <w:tcPr>
            <w:tcW w:w="1292" w:type="dxa"/>
            <w:vAlign w:val="center"/>
          </w:tcPr>
          <w:p>
            <w:pPr>
              <w:jc w:val="center"/>
              <w:rPr>
                <w:rFonts w:hint="default" w:ascii="Times New Roman" w:hAnsi="Times New Roman" w:cs="Times New Roman"/>
                <w:color w:val="auto"/>
                <w:szCs w:val="21"/>
                <w:vertAlign w:val="superscript"/>
              </w:rPr>
            </w:pPr>
            <w:r>
              <w:rPr>
                <w:rFonts w:hint="eastAsia" w:ascii="Times New Roman" w:hAnsi="Times New Roman" w:cs="Times New Roman"/>
                <w:snapToGrid w:val="0"/>
                <w:color w:val="auto"/>
                <w:kern w:val="0"/>
                <w:szCs w:val="21"/>
                <w:lang w:val="en-US" w:eastAsia="zh-CN"/>
              </w:rPr>
              <w:t>2</w:t>
            </w:r>
            <w:r>
              <w:rPr>
                <w:rFonts w:hint="default" w:ascii="Times New Roman" w:hAnsi="Times New Roman" w:cs="Times New Roman"/>
                <w:snapToGrid w:val="0"/>
                <w:color w:val="auto"/>
                <w:kern w:val="0"/>
                <w:szCs w:val="21"/>
              </w:rPr>
              <w:t>m</w:t>
            </w:r>
            <w:r>
              <w:rPr>
                <w:rFonts w:hint="default" w:ascii="Times New Roman" w:hAnsi="Times New Roman" w:cs="Times New Roman"/>
                <w:snapToGrid w:val="0"/>
                <w:color w:val="auto"/>
                <w:kern w:val="0"/>
                <w:szCs w:val="21"/>
                <w:vertAlign w:val="superscript"/>
              </w:rPr>
              <w:t>3</w:t>
            </w:r>
          </w:p>
        </w:tc>
        <w:tc>
          <w:tcPr>
            <w:tcW w:w="2055"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按照市政要求处置。</w:t>
            </w:r>
            <w:r>
              <w:rPr>
                <w:rFonts w:hint="default"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352"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1515" w:type="dxa"/>
            <w:vAlign w:val="center"/>
          </w:tcPr>
          <w:p>
            <w:pPr>
              <w:ind w:firstLine="105" w:firstLineChars="50"/>
              <w:rPr>
                <w:rFonts w:hint="default" w:ascii="Times New Roman" w:hAnsi="Times New Roman" w:cs="Times New Roman"/>
                <w:color w:val="auto"/>
                <w:szCs w:val="21"/>
              </w:rPr>
            </w:pPr>
            <w:r>
              <w:rPr>
                <w:rFonts w:hint="default" w:ascii="Times New Roman" w:hAnsi="Times New Roman" w:cs="Times New Roman"/>
                <w:color w:val="auto"/>
                <w:szCs w:val="21"/>
              </w:rPr>
              <w:t>施工人员</w:t>
            </w:r>
          </w:p>
        </w:tc>
        <w:tc>
          <w:tcPr>
            <w:tcW w:w="3127" w:type="dxa"/>
            <w:gridSpan w:val="3"/>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生活垃圾</w:t>
            </w:r>
          </w:p>
        </w:tc>
        <w:tc>
          <w:tcPr>
            <w:tcW w:w="1292"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施工期共产生</w:t>
            </w:r>
            <w:r>
              <w:rPr>
                <w:rFonts w:hint="default" w:ascii="Times New Roman" w:hAnsi="Times New Roman" w:cs="Times New Roman"/>
                <w:color w:val="auto"/>
                <w:szCs w:val="21"/>
                <w:lang w:val="en-US" w:eastAsia="zh-CN"/>
              </w:rPr>
              <w:t>0.23</w:t>
            </w:r>
            <w:r>
              <w:rPr>
                <w:rFonts w:hint="default" w:ascii="Times New Roman" w:hAnsi="Times New Roman" w:cs="Times New Roman"/>
                <w:color w:val="auto"/>
                <w:szCs w:val="21"/>
              </w:rPr>
              <w:t>t</w:t>
            </w:r>
          </w:p>
        </w:tc>
        <w:tc>
          <w:tcPr>
            <w:tcW w:w="2055"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0t(集中收集后运至</w:t>
            </w:r>
            <w:r>
              <w:rPr>
                <w:rFonts w:hint="eastAsia" w:ascii="Times New Roman" w:hAnsi="Times New Roman" w:cs="Times New Roman"/>
                <w:color w:val="auto"/>
                <w:szCs w:val="21"/>
                <w:lang w:eastAsia="zh-CN"/>
              </w:rPr>
              <w:t>蚌峨垃圾处置点</w:t>
            </w: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352"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color w:val="auto"/>
                <w:szCs w:val="21"/>
              </w:rPr>
            </w:pPr>
          </w:p>
        </w:tc>
        <w:tc>
          <w:tcPr>
            <w:tcW w:w="1515" w:type="dxa"/>
            <w:vAlign w:val="center"/>
          </w:tcPr>
          <w:p>
            <w:pPr>
              <w:ind w:firstLine="105" w:firstLineChars="5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储罐</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储罐油渣</w:t>
            </w:r>
          </w:p>
        </w:tc>
        <w:tc>
          <w:tcPr>
            <w:tcW w:w="1292" w:type="dxa"/>
            <w:vAlign w:val="center"/>
          </w:tcPr>
          <w:p>
            <w:pPr>
              <w:ind w:firstLine="420" w:firstLineChars="20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少量</w:t>
            </w:r>
          </w:p>
        </w:tc>
        <w:tc>
          <w:tcPr>
            <w:tcW w:w="2055" w:type="dxa"/>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0（委托有资质的单位在销售前处置）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435"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restart"/>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运</w:t>
            </w:r>
          </w:p>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营</w:t>
            </w:r>
          </w:p>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期</w:t>
            </w:r>
          </w:p>
        </w:tc>
        <w:tc>
          <w:tcPr>
            <w:tcW w:w="151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一般固废</w:t>
            </w:r>
          </w:p>
        </w:tc>
        <w:tc>
          <w:tcPr>
            <w:tcW w:w="3127"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snapToGrid w:val="0"/>
                <w:color w:val="auto"/>
                <w:szCs w:val="21"/>
              </w:rPr>
              <w:t>生活垃圾</w:t>
            </w:r>
          </w:p>
        </w:tc>
        <w:tc>
          <w:tcPr>
            <w:tcW w:w="1292"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1.66t</w:t>
            </w:r>
            <w:r>
              <w:rPr>
                <w:rFonts w:hint="default" w:ascii="Times New Roman" w:hAnsi="Times New Roman" w:cs="Times New Roman"/>
                <w:color w:val="auto"/>
                <w:szCs w:val="21"/>
              </w:rPr>
              <w:t>/a</w:t>
            </w:r>
          </w:p>
        </w:tc>
        <w:tc>
          <w:tcPr>
            <w:tcW w:w="2055"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0t(集中收集后运至</w:t>
            </w:r>
            <w:r>
              <w:rPr>
                <w:rFonts w:hint="eastAsia" w:ascii="Times New Roman" w:hAnsi="Times New Roman" w:cs="Times New Roman"/>
                <w:color w:val="auto"/>
                <w:szCs w:val="21"/>
                <w:lang w:eastAsia="zh-CN"/>
              </w:rPr>
              <w:t>蚌峨垃圾处置点</w:t>
            </w: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435"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snapToGrid w:val="0"/>
                <w:color w:val="auto"/>
                <w:szCs w:val="21"/>
              </w:rPr>
            </w:pPr>
          </w:p>
        </w:tc>
        <w:tc>
          <w:tcPr>
            <w:tcW w:w="1515" w:type="dxa"/>
            <w:vMerge w:val="continue"/>
            <w:vAlign w:val="center"/>
          </w:tcPr>
          <w:p>
            <w:pPr>
              <w:jc w:val="center"/>
              <w:rPr>
                <w:rFonts w:hint="default" w:ascii="Times New Roman" w:hAnsi="Times New Roman" w:cs="Times New Roman"/>
                <w:snapToGrid w:val="0"/>
                <w:color w:val="auto"/>
                <w:szCs w:val="21"/>
              </w:rPr>
            </w:pPr>
          </w:p>
        </w:tc>
        <w:tc>
          <w:tcPr>
            <w:tcW w:w="3127" w:type="dxa"/>
            <w:gridSpan w:val="3"/>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化粪池污泥</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w:t>
            </w:r>
            <w:r>
              <w:rPr>
                <w:rFonts w:hint="eastAsia" w:ascii="Times New Roman" w:hAnsi="Times New Roman" w:cs="Times New Roman"/>
                <w:color w:val="auto"/>
                <w:szCs w:val="21"/>
                <w:lang w:val="en-US" w:eastAsia="zh-CN"/>
              </w:rPr>
              <w:t>34</w:t>
            </w:r>
            <w:r>
              <w:rPr>
                <w:rFonts w:hint="default" w:ascii="Times New Roman" w:hAnsi="Times New Roman" w:cs="Times New Roman"/>
                <w:color w:val="auto"/>
                <w:szCs w:val="21"/>
              </w:rPr>
              <w:t>t/a</w:t>
            </w:r>
          </w:p>
        </w:tc>
        <w:tc>
          <w:tcPr>
            <w:tcW w:w="2055"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0t(提供给周边的农户用作农肥。)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195"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snapToGrid w:val="0"/>
                <w:color w:val="auto"/>
                <w:szCs w:val="21"/>
              </w:rPr>
            </w:pPr>
          </w:p>
        </w:tc>
        <w:tc>
          <w:tcPr>
            <w:tcW w:w="1515" w:type="dxa"/>
            <w:vMerge w:val="restart"/>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危险废物</w:t>
            </w:r>
          </w:p>
        </w:tc>
        <w:tc>
          <w:tcPr>
            <w:tcW w:w="3127" w:type="dxa"/>
            <w:gridSpan w:val="3"/>
            <w:vAlign w:val="center"/>
          </w:tcPr>
          <w:p>
            <w:pPr>
              <w:jc w:val="center"/>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储罐油渣</w:t>
            </w:r>
          </w:p>
        </w:tc>
        <w:tc>
          <w:tcPr>
            <w:tcW w:w="1292"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5.0kg/次</w:t>
            </w:r>
          </w:p>
        </w:tc>
        <w:tc>
          <w:tcPr>
            <w:tcW w:w="2055"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0（委托有资质单位清掏处理）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195"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snapToGrid w:val="0"/>
                <w:color w:val="auto"/>
                <w:szCs w:val="21"/>
              </w:rPr>
            </w:pPr>
          </w:p>
        </w:tc>
        <w:tc>
          <w:tcPr>
            <w:tcW w:w="1515" w:type="dxa"/>
            <w:vMerge w:val="continue"/>
            <w:vAlign w:val="center"/>
          </w:tcPr>
          <w:p>
            <w:pPr>
              <w:jc w:val="center"/>
              <w:rPr>
                <w:rFonts w:hint="default" w:ascii="Times New Roman" w:hAnsi="Times New Roman" w:cs="Times New Roman"/>
                <w:snapToGrid w:val="0"/>
                <w:color w:val="auto"/>
                <w:szCs w:val="21"/>
              </w:rPr>
            </w:pPr>
          </w:p>
        </w:tc>
        <w:tc>
          <w:tcPr>
            <w:tcW w:w="3127" w:type="dxa"/>
            <w:gridSpan w:val="3"/>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水封井油污</w:t>
            </w:r>
          </w:p>
        </w:tc>
        <w:tc>
          <w:tcPr>
            <w:tcW w:w="1292" w:type="dxa"/>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浮油</w:t>
            </w:r>
            <w:r>
              <w:rPr>
                <w:rFonts w:hint="default" w:ascii="Times New Roman" w:hAnsi="Times New Roman" w:cs="Times New Roman"/>
                <w:color w:val="auto"/>
                <w:szCs w:val="21"/>
              </w:rPr>
              <w:t>0.02m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r>
              <w:rPr>
                <w:rFonts w:hint="default" w:ascii="Times New Roman" w:hAnsi="Times New Roman" w:cs="Times New Roman"/>
                <w:color w:val="auto"/>
                <w:szCs w:val="21"/>
                <w:lang w:eastAsia="zh-CN"/>
              </w:rPr>
              <w:t>，污泥</w:t>
            </w:r>
            <w:r>
              <w:rPr>
                <w:rFonts w:hint="default" w:ascii="Times New Roman" w:hAnsi="Times New Roman" w:cs="Times New Roman"/>
                <w:color w:val="auto"/>
                <w:szCs w:val="21"/>
                <w:lang w:val="en-US" w:eastAsia="zh-CN"/>
              </w:rPr>
              <w:t>0.5t/a</w:t>
            </w:r>
          </w:p>
        </w:tc>
        <w:tc>
          <w:tcPr>
            <w:tcW w:w="2055"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0（委托有资质单位清掏处理）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195" w:hRule="atLeast"/>
          <w:jc w:val="center"/>
        </w:trPr>
        <w:tc>
          <w:tcPr>
            <w:tcW w:w="810" w:type="dxa"/>
            <w:vMerge w:val="continue"/>
            <w:vAlign w:val="center"/>
          </w:tcPr>
          <w:p>
            <w:pPr>
              <w:jc w:val="center"/>
              <w:rPr>
                <w:rFonts w:hint="default" w:ascii="Times New Roman" w:hAnsi="Times New Roman" w:cs="Times New Roman"/>
                <w:color w:val="auto"/>
                <w:szCs w:val="21"/>
              </w:rPr>
            </w:pPr>
          </w:p>
        </w:tc>
        <w:tc>
          <w:tcPr>
            <w:tcW w:w="645" w:type="dxa"/>
            <w:vMerge w:val="continue"/>
            <w:vAlign w:val="center"/>
          </w:tcPr>
          <w:p>
            <w:pPr>
              <w:jc w:val="center"/>
              <w:rPr>
                <w:rFonts w:hint="default" w:ascii="Times New Roman" w:hAnsi="Times New Roman" w:cs="Times New Roman"/>
                <w:snapToGrid w:val="0"/>
                <w:color w:val="auto"/>
                <w:szCs w:val="21"/>
              </w:rPr>
            </w:pPr>
          </w:p>
        </w:tc>
        <w:tc>
          <w:tcPr>
            <w:tcW w:w="1515" w:type="dxa"/>
            <w:vMerge w:val="continue"/>
            <w:vAlign w:val="center"/>
          </w:tcPr>
          <w:p>
            <w:pPr>
              <w:jc w:val="center"/>
              <w:rPr>
                <w:rFonts w:hint="default" w:ascii="Times New Roman" w:hAnsi="Times New Roman" w:cs="Times New Roman"/>
                <w:snapToGrid w:val="0"/>
                <w:color w:val="auto"/>
                <w:szCs w:val="21"/>
              </w:rPr>
            </w:pPr>
          </w:p>
        </w:tc>
        <w:tc>
          <w:tcPr>
            <w:tcW w:w="3127" w:type="dxa"/>
            <w:gridSpan w:val="3"/>
            <w:vAlign w:val="center"/>
          </w:tcPr>
          <w:p>
            <w:pPr>
              <w:jc w:val="center"/>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含油消防沙</w:t>
            </w:r>
            <w:r>
              <w:rPr>
                <w:rFonts w:hint="eastAsia" w:ascii="Times New Roman" w:hAnsi="Times New Roman" w:cs="Times New Roman"/>
                <w:snapToGrid w:val="0"/>
                <w:color w:val="auto"/>
                <w:szCs w:val="21"/>
                <w:lang w:val="en-US" w:eastAsia="zh-CN"/>
              </w:rPr>
              <w:t>及吸油毡</w:t>
            </w:r>
          </w:p>
        </w:tc>
        <w:tc>
          <w:tcPr>
            <w:tcW w:w="12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0.2t/a</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3张</w:t>
            </w:r>
          </w:p>
        </w:tc>
        <w:tc>
          <w:tcPr>
            <w:tcW w:w="2055"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0t（集中收集，委托有资质单位处理。)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2" w:type="dxa"/>
          <w:trHeight w:val="302" w:hRule="atLeast"/>
          <w:jc w:val="center"/>
        </w:trPr>
        <w:tc>
          <w:tcPr>
            <w:tcW w:w="9444" w:type="dxa"/>
            <w:gridSpan w:val="8"/>
            <w:vAlign w:val="center"/>
          </w:tcPr>
          <w:p>
            <w:pPr>
              <w:spacing w:line="360" w:lineRule="auto"/>
              <w:rPr>
                <w:rFonts w:hint="default" w:ascii="Times New Roman" w:hAnsi="Times New Roman" w:eastAsia="宋体" w:cs="Times New Roman"/>
                <w:b/>
                <w:snapToGrid w:val="0"/>
                <w:color w:val="auto"/>
                <w:kern w:val="0"/>
                <w:sz w:val="24"/>
                <w:lang w:eastAsia="zh-CN"/>
              </w:rPr>
            </w:pPr>
            <w:r>
              <w:rPr>
                <w:rFonts w:hint="default" w:ascii="Times New Roman" w:hAnsi="Times New Roman" w:cs="Times New Roman"/>
                <w:b/>
                <w:snapToGrid w:val="0"/>
                <w:color w:val="auto"/>
                <w:kern w:val="0"/>
                <w:sz w:val="24"/>
              </w:rPr>
              <w:t>主要生态影响（不够时可附页）</w:t>
            </w:r>
          </w:p>
          <w:p>
            <w:pPr>
              <w:widowControl/>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该项目对生态环境的影响主要在施工期，</w:t>
            </w:r>
            <w:r>
              <w:rPr>
                <w:rFonts w:hint="default" w:ascii="Times New Roman" w:hAnsi="Times New Roman" w:cs="Times New Roman"/>
                <w:color w:val="auto"/>
                <w:sz w:val="24"/>
                <w:szCs w:val="24"/>
                <w:lang w:eastAsia="zh-CN"/>
              </w:rPr>
              <w:t>主要体现在储罐拆除、管线铺设、水封井开挖等产生的裸露土壤，在雨水天气容易造成水土流失，在大风天气容易造成扬尘，项目施工期业主采取需要措施，减少土壤裸露，避开雨季、经常洒水、设置防尘网等措施，</w:t>
            </w:r>
            <w:r>
              <w:rPr>
                <w:rFonts w:hint="eastAsia" w:ascii="Times New Roman" w:hAnsi="Times New Roman" w:cs="Times New Roman"/>
                <w:color w:val="auto"/>
                <w:sz w:val="24"/>
                <w:lang w:eastAsia="zh-CN"/>
              </w:rPr>
              <w:t>项目施工期</w:t>
            </w:r>
            <w:r>
              <w:rPr>
                <w:rFonts w:hint="default" w:ascii="Times New Roman" w:hAnsi="Times New Roman" w:cs="Times New Roman"/>
                <w:color w:val="auto"/>
                <w:sz w:val="24"/>
              </w:rPr>
              <w:t>场区平整、材料运送和卸货、现场清理、料场风动扬尘等</w:t>
            </w:r>
            <w:r>
              <w:rPr>
                <w:rFonts w:hint="eastAsia" w:ascii="Times New Roman" w:hAnsi="Times New Roman" w:cs="Times New Roman"/>
                <w:color w:val="auto"/>
                <w:sz w:val="24"/>
                <w:lang w:eastAsia="zh-CN"/>
              </w:rPr>
              <w:t>会对周边旱地作物生长产生一定的影响</w:t>
            </w:r>
            <w:r>
              <w:rPr>
                <w:rFonts w:hint="default" w:ascii="Times New Roman" w:hAnsi="Times New Roman" w:cs="Times New Roman"/>
                <w:color w:val="auto"/>
                <w:sz w:val="24"/>
              </w:rPr>
              <w:t>。</w:t>
            </w:r>
          </w:p>
          <w:p>
            <w:pPr>
              <w:widowControl/>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运营期“三废”产生量都不大，而且针对每种污染物都有相应的治理方案，使其能做到达标排放，项目区内需进一步进行一定面积的绿化、美化和景观的建设，同时加强场区路面洒水降尘，控制扬尘、粉尘的排放。因此，项目建设对区域生态环境不会产生较大影响。</w:t>
            </w:r>
          </w:p>
          <w:p>
            <w:pPr>
              <w:widowControl/>
              <w:spacing w:line="360" w:lineRule="auto"/>
              <w:rPr>
                <w:rFonts w:hint="default" w:ascii="Times New Roman" w:hAnsi="Times New Roman" w:cs="Times New Roman"/>
                <w:bCs/>
                <w:color w:val="auto"/>
                <w:sz w:val="24"/>
              </w:rPr>
            </w:pPr>
          </w:p>
          <w:p>
            <w:pPr>
              <w:widowControl/>
              <w:spacing w:line="360" w:lineRule="auto"/>
              <w:rPr>
                <w:rFonts w:hint="default" w:ascii="Times New Roman" w:hAnsi="Times New Roman" w:cs="Times New Roman"/>
                <w:bCs/>
                <w:color w:val="auto"/>
                <w:sz w:val="24"/>
              </w:rPr>
            </w:pPr>
          </w:p>
          <w:p>
            <w:pPr>
              <w:widowControl/>
              <w:spacing w:line="360" w:lineRule="auto"/>
              <w:rPr>
                <w:rFonts w:hint="default" w:ascii="Times New Roman" w:hAnsi="Times New Roman" w:cs="Times New Roman"/>
                <w:bCs/>
                <w:color w:val="auto"/>
                <w:sz w:val="24"/>
              </w:rPr>
            </w:pPr>
          </w:p>
          <w:p>
            <w:pPr>
              <w:widowControl/>
              <w:spacing w:line="360" w:lineRule="auto"/>
              <w:rPr>
                <w:rFonts w:hint="default" w:ascii="Times New Roman" w:hAnsi="Times New Roman" w:cs="Times New Roman"/>
                <w:bCs/>
                <w:color w:val="auto"/>
                <w:sz w:val="24"/>
              </w:rPr>
            </w:pPr>
          </w:p>
          <w:p>
            <w:pPr>
              <w:widowControl/>
              <w:spacing w:line="360" w:lineRule="auto"/>
              <w:rPr>
                <w:rFonts w:hint="default" w:ascii="Times New Roman" w:hAnsi="Times New Roman" w:cs="Times New Roman"/>
                <w:bCs/>
                <w:color w:val="auto"/>
                <w:sz w:val="24"/>
              </w:rPr>
            </w:pPr>
          </w:p>
          <w:p>
            <w:pPr>
              <w:widowControl/>
              <w:spacing w:line="360" w:lineRule="auto"/>
              <w:rPr>
                <w:rFonts w:hint="default" w:ascii="Times New Roman" w:hAnsi="Times New Roman" w:cs="Times New Roman"/>
                <w:bCs/>
                <w:color w:val="auto"/>
                <w:sz w:val="24"/>
              </w:rPr>
            </w:pPr>
          </w:p>
          <w:p>
            <w:pPr>
              <w:widowControl/>
              <w:spacing w:line="360" w:lineRule="auto"/>
              <w:rPr>
                <w:rFonts w:hint="default" w:ascii="Times New Roman" w:hAnsi="Times New Roman" w:cs="Times New Roman"/>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6" w:type="dxa"/>
            <w:gridSpan w:val="9"/>
            <w:tcBorders>
              <w:top w:val="nil"/>
              <w:left w:val="nil"/>
              <w:bottom w:val="single" w:color="auto" w:sz="4" w:space="0"/>
              <w:right w:val="nil"/>
            </w:tcBorders>
            <w:vAlign w:val="top"/>
          </w:tcPr>
          <w:p>
            <w:pPr>
              <w:rPr>
                <w:rFonts w:hint="default" w:ascii="Times New Roman" w:hAnsi="Times New Roman" w:cs="Times New Roman"/>
                <w:color w:val="auto"/>
              </w:rPr>
            </w:pPr>
            <w:r>
              <w:rPr>
                <w:rFonts w:hint="default" w:ascii="Times New Roman" w:hAnsi="Times New Roman" w:cs="Times New Roman"/>
                <w:b/>
                <w:color w:val="auto"/>
                <w:sz w:val="32"/>
                <w:szCs w:val="32"/>
              </w:rPr>
              <w:t>表七、环境影响分析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6" w:type="dxa"/>
            <w:gridSpan w:val="9"/>
            <w:tcBorders>
              <w:top w:val="single" w:color="auto" w:sz="4" w:space="0"/>
            </w:tcBorders>
            <w:vAlign w:val="top"/>
          </w:tcPr>
          <w:p>
            <w:pPr>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一、施工期对环境的影响分析以及环保措施</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1、施工期水环境影响分析以及环保措施</w:t>
            </w:r>
          </w:p>
          <w:p>
            <w:pPr>
              <w:spacing w:line="480" w:lineRule="exact"/>
              <w:ind w:left="480"/>
              <w:rPr>
                <w:rFonts w:hint="default" w:ascii="Times New Roman" w:hAnsi="Times New Roman" w:cs="Times New Roman"/>
                <w:color w:val="auto"/>
                <w:sz w:val="24"/>
              </w:rPr>
            </w:pPr>
            <w:r>
              <w:rPr>
                <w:rFonts w:hint="default" w:ascii="Times New Roman" w:hAnsi="Times New Roman" w:cs="Times New Roman"/>
                <w:color w:val="auto"/>
                <w:sz w:val="24"/>
              </w:rPr>
              <w:t>（1）施工废水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由工程分析知，项目施工期产生的施工废水量约</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，废水产生量较少，对周边环境影响不大，但考虑到废水中含有悬浮物类等污染物，直接排放会进入</w:t>
            </w:r>
            <w:r>
              <w:rPr>
                <w:rFonts w:hint="eastAsia" w:ascii="Times New Roman" w:hAnsi="Times New Roman" w:eastAsia="宋体"/>
                <w:color w:val="auto"/>
                <w:sz w:val="24"/>
                <w:lang w:eastAsia="zh-CN"/>
              </w:rPr>
              <w:t>南侧乡道者蚌段</w:t>
            </w:r>
            <w:r>
              <w:rPr>
                <w:rFonts w:hint="default" w:ascii="Times New Roman" w:hAnsi="Times New Roman" w:cs="Times New Roman"/>
                <w:color w:val="auto"/>
                <w:sz w:val="24"/>
              </w:rPr>
              <w:t>的雨水沟，泥沙可能会堵塞管沟，雨季会造成雨水</w:t>
            </w:r>
            <w:r>
              <w:rPr>
                <w:rFonts w:hint="default" w:ascii="Times New Roman" w:hAnsi="Times New Roman" w:cs="Times New Roman"/>
                <w:color w:val="auto"/>
                <w:sz w:val="24"/>
                <w:lang w:eastAsia="zh-CN"/>
              </w:rPr>
              <w:t>溢流</w:t>
            </w:r>
            <w:r>
              <w:rPr>
                <w:rFonts w:hint="default" w:ascii="Times New Roman" w:hAnsi="Times New Roman" w:cs="Times New Roman"/>
                <w:color w:val="auto"/>
                <w:sz w:val="24"/>
              </w:rPr>
              <w:t>。鉴于此，环评提出如下措施：①水泥、砂石等原材料应适量堆放，尽量减少存放时间，堆放材料时尽量分类集中堆放，且雨天覆盖篷布；②在雨天，最好用塑料篷布覆盖混凝土搅拌区域，以减少地表径流中泥沙含量；③在材料堆放场修建一个</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w:t>
            </w:r>
            <w:r>
              <w:rPr>
                <w:rFonts w:hint="default" w:ascii="Times New Roman" w:hAnsi="Times New Roman" w:cs="Times New Roman"/>
                <w:color w:val="auto"/>
                <w:sz w:val="24"/>
                <w:lang w:eastAsia="zh-CN"/>
              </w:rPr>
              <w:t>废水收集池</w:t>
            </w:r>
            <w:r>
              <w:rPr>
                <w:rFonts w:hint="default" w:ascii="Times New Roman" w:hAnsi="Times New Roman" w:cs="Times New Roman"/>
                <w:color w:val="auto"/>
                <w:sz w:val="24"/>
              </w:rPr>
              <w:t>，收集施工废水回用。采取以上措施对周边的环境影响不大。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（2）生活污水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2"/>
              </w:rPr>
              <w:t>由工程分析知，项目施工人员施工期共产生生活污水</w:t>
            </w:r>
            <w:r>
              <w:rPr>
                <w:rFonts w:hint="default" w:ascii="Times New Roman" w:hAnsi="Times New Roman" w:cs="Times New Roman"/>
                <w:color w:val="auto"/>
                <w:sz w:val="24"/>
                <w:lang w:val="en-US" w:eastAsia="zh-CN"/>
              </w:rPr>
              <w:t>18.0</w:t>
            </w:r>
            <w:r>
              <w:rPr>
                <w:rFonts w:hint="default" w:ascii="Times New Roman" w:hAnsi="Times New Roman" w:cs="Times New Roman"/>
                <w:color w:val="auto"/>
                <w:sz w:val="24"/>
                <w:szCs w:val="22"/>
              </w:rPr>
              <w:t>m</w:t>
            </w:r>
            <w:r>
              <w:rPr>
                <w:rFonts w:hint="default" w:ascii="Times New Roman" w:hAnsi="Times New Roman" w:cs="Times New Roman"/>
                <w:color w:val="auto"/>
                <w:sz w:val="24"/>
                <w:szCs w:val="22"/>
                <w:vertAlign w:val="superscript"/>
              </w:rPr>
              <w:t>3</w:t>
            </w:r>
            <w:r>
              <w:rPr>
                <w:rFonts w:hint="default" w:ascii="Times New Roman" w:hAnsi="Times New Roman" w:cs="Times New Roman"/>
                <w:color w:val="auto"/>
                <w:sz w:val="24"/>
                <w:szCs w:val="22"/>
              </w:rPr>
              <w:t>（施工期</w:t>
            </w:r>
            <w:r>
              <w:rPr>
                <w:rFonts w:hint="default" w:ascii="Times New Roman" w:hAnsi="Times New Roman" w:cs="Times New Roman"/>
                <w:color w:val="auto"/>
                <w:sz w:val="24"/>
                <w:szCs w:val="22"/>
                <w:lang w:val="en-US" w:eastAsia="zh-CN"/>
              </w:rPr>
              <w:t>9</w:t>
            </w:r>
            <w:r>
              <w:rPr>
                <w:rFonts w:hint="default" w:ascii="Times New Roman" w:hAnsi="Times New Roman" w:cs="Times New Roman"/>
                <w:color w:val="auto"/>
                <w:sz w:val="24"/>
                <w:szCs w:val="22"/>
              </w:rPr>
              <w:t>0d），项目</w:t>
            </w:r>
            <w:r>
              <w:rPr>
                <w:rFonts w:hint="default" w:ascii="Times New Roman" w:hAnsi="Times New Roman" w:cs="Times New Roman"/>
                <w:color w:val="auto"/>
                <w:sz w:val="24"/>
                <w:szCs w:val="22"/>
                <w:lang w:eastAsia="zh-CN"/>
              </w:rPr>
              <w:t>施工期粪便污水进入项目公厕</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经化粪池处理后提供给周边的农户用作农肥，</w:t>
            </w:r>
            <w:r>
              <w:rPr>
                <w:rFonts w:hint="default" w:ascii="Times New Roman" w:hAnsi="Times New Roman" w:cs="Times New Roman"/>
                <w:color w:val="auto"/>
                <w:sz w:val="24"/>
              </w:rPr>
              <w:t>洗漱</w:t>
            </w:r>
            <w:r>
              <w:rPr>
                <w:rFonts w:hint="default" w:ascii="Times New Roman" w:hAnsi="Times New Roman" w:cs="Times New Roman"/>
                <w:color w:val="auto"/>
                <w:sz w:val="24"/>
                <w:lang w:eastAsia="zh-CN"/>
              </w:rPr>
              <w:t>废</w:t>
            </w:r>
            <w:r>
              <w:rPr>
                <w:rFonts w:hint="default" w:ascii="Times New Roman" w:hAnsi="Times New Roman" w:cs="Times New Roman"/>
                <w:color w:val="auto"/>
                <w:sz w:val="24"/>
              </w:rPr>
              <w:t>水</w:t>
            </w:r>
            <w:r>
              <w:rPr>
                <w:rFonts w:hint="default" w:ascii="Times New Roman" w:hAnsi="Times New Roman" w:cs="Times New Roman"/>
                <w:color w:val="auto"/>
                <w:sz w:val="24"/>
                <w:lang w:eastAsia="zh-CN"/>
              </w:rPr>
              <w:t>经废水收集池</w:t>
            </w:r>
            <w:r>
              <w:rPr>
                <w:rFonts w:hint="default" w:ascii="Times New Roman" w:hAnsi="Times New Roman" w:cs="Times New Roman"/>
                <w:color w:val="auto"/>
                <w:sz w:val="24"/>
              </w:rPr>
              <w:t>收集后洒水抑尘，项目生活污水对周边环境影响不大。</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2、施工期大气环境影响分析以及环保措施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（1）粉尘、扬尘对环境的影响</w:t>
            </w:r>
          </w:p>
          <w:p>
            <w:pPr>
              <w:spacing w:line="360" w:lineRule="auto"/>
              <w:ind w:firstLine="480" w:firstLineChars="200"/>
              <w:rPr>
                <w:rFonts w:hint="eastAsia" w:ascii="Times New Roman" w:hAnsi="Times New Roman" w:cs="Times New Roman"/>
                <w:color w:val="auto"/>
                <w:sz w:val="24"/>
                <w:lang w:val="en-US" w:eastAsia="zh-CN"/>
              </w:rPr>
            </w:pPr>
            <w:r>
              <w:rPr>
                <w:rFonts w:hint="default" w:ascii="Times New Roman" w:hAnsi="Times New Roman" w:cs="Times New Roman"/>
                <w:color w:val="auto"/>
                <w:sz w:val="24"/>
              </w:rPr>
              <w:t>施工粉尘是项目施工期最主要的大气污染物，主要来源于如下施工环节：</w:t>
            </w:r>
            <w:r>
              <w:rPr>
                <w:rFonts w:hint="default" w:ascii="Times New Roman" w:hAnsi="Times New Roman" w:cs="Times New Roman"/>
                <w:color w:val="auto"/>
                <w:sz w:val="24"/>
                <w:lang w:eastAsia="zh-CN"/>
              </w:rPr>
              <w:t>构筑物拆除、场区平整、</w:t>
            </w:r>
            <w:r>
              <w:rPr>
                <w:rFonts w:hint="default" w:ascii="Times New Roman" w:hAnsi="Times New Roman" w:cs="Times New Roman"/>
                <w:color w:val="auto"/>
                <w:sz w:val="24"/>
              </w:rPr>
              <w:t>材料运送和卸货、现场清理、料场风动扬尘等，污染因子主要为TSP、PM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粉尘主要为尘土和建筑材料细微颗粒，无特殊污染物质。扬尘的产生量与施工方式、气象条件等有关。在空气干燥、风速较大的气候条件下，施工建设过程中会导致现场尘土飞扬，使空气中颗粒物浓度增加，并随风扩散，影响下风区域及周围环境空气质量，</w:t>
            </w:r>
            <w:r>
              <w:rPr>
                <w:rFonts w:hint="eastAsia" w:ascii="Times New Roman" w:hAnsi="Times New Roman" w:cs="Times New Roman"/>
                <w:color w:val="auto"/>
                <w:sz w:val="24"/>
                <w:lang w:eastAsia="zh-CN"/>
              </w:rPr>
              <w:t>项目</w:t>
            </w:r>
            <w:r>
              <w:rPr>
                <w:rFonts w:hint="eastAsia" w:ascii="宋体" w:hAnsi="宋体"/>
                <w:color w:val="auto"/>
                <w:sz w:val="24"/>
                <w:lang w:eastAsia="zh-CN"/>
              </w:rPr>
              <w:t>北侧</w:t>
            </w:r>
            <w:r>
              <w:rPr>
                <w:rFonts w:hint="eastAsia" w:ascii="宋体" w:hAnsi="宋体"/>
                <w:color w:val="auto"/>
                <w:sz w:val="24"/>
                <w:lang w:val="en-US" w:eastAsia="zh-CN"/>
              </w:rPr>
              <w:t>20m处为私人住户，南侧15m处为私人住户，西南侧25m处为私人住户，西侧15m处为私人住户，东北、东南20m处为私人住户</w:t>
            </w:r>
            <w:r>
              <w:rPr>
                <w:rFonts w:hint="eastAsia" w:ascii="Times New Roman" w:hAnsi="Times New Roman" w:cs="Times New Roman"/>
                <w:color w:val="auto"/>
                <w:sz w:val="24"/>
                <w:lang w:val="en-US" w:eastAsia="zh-CN"/>
              </w:rPr>
              <w:t>，粉尘对周边住户的日常休息产生一定的影响。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为减小施工期施工粉尘，以及施工后未用完的建材（各类石料、沙、水泥等）在堆放过程中，由于天气干燥及大风会产生扬尘及运输车辆引起的扬尘等，对</w:t>
            </w:r>
            <w:r>
              <w:rPr>
                <w:rFonts w:hint="default" w:ascii="Times New Roman" w:hAnsi="Times New Roman" w:cs="Times New Roman"/>
                <w:color w:val="auto"/>
                <w:sz w:val="24"/>
                <w:lang w:eastAsia="zh-CN"/>
              </w:rPr>
              <w:t>周边住户</w:t>
            </w:r>
            <w:r>
              <w:rPr>
                <w:rFonts w:hint="eastAsia" w:ascii="Times New Roman" w:hAnsi="Times New Roman" w:cs="Times New Roman"/>
                <w:color w:val="auto"/>
                <w:sz w:val="24"/>
                <w:lang w:eastAsia="zh-CN"/>
              </w:rPr>
              <w:t>、商户</w:t>
            </w:r>
            <w:r>
              <w:rPr>
                <w:rFonts w:hint="default" w:ascii="Times New Roman" w:hAnsi="Times New Roman" w:cs="Times New Roman"/>
                <w:color w:val="auto"/>
                <w:sz w:val="24"/>
                <w:lang w:eastAsia="zh-CN"/>
              </w:rPr>
              <w:t>以及</w:t>
            </w:r>
            <w:r>
              <w:rPr>
                <w:rFonts w:hint="eastAsia" w:ascii="Times New Roman" w:hAnsi="Times New Roman" w:eastAsia="宋体"/>
                <w:color w:val="auto"/>
                <w:sz w:val="24"/>
                <w:lang w:eastAsia="zh-CN"/>
              </w:rPr>
              <w:t>乡道者蚌段</w:t>
            </w:r>
            <w:r>
              <w:rPr>
                <w:rFonts w:hint="default" w:ascii="Times New Roman" w:hAnsi="Times New Roman" w:cs="Times New Roman"/>
                <w:color w:val="auto"/>
                <w:sz w:val="24"/>
              </w:rPr>
              <w:t>过往车辆产生影响，环评要求：①在施工场地周围设围障，如挡墙、防护网等；②对料场采取帆布覆盖，使用时部分掀开，减少暴露面积，降低风动扬尘；③</w:t>
            </w:r>
            <w:r>
              <w:rPr>
                <w:rFonts w:hint="default" w:ascii="Times New Roman" w:hAnsi="Times New Roman" w:cs="Times New Roman"/>
                <w:color w:val="auto"/>
                <w:sz w:val="24"/>
                <w:lang w:eastAsia="zh-CN"/>
              </w:rPr>
              <w:t>平整场区过程，对开挖面及时洒水，废土石及时运走，不在场区长时间存储；</w:t>
            </w:r>
            <w:r>
              <w:rPr>
                <w:rFonts w:hint="default" w:ascii="Times New Roman" w:hAnsi="Times New Roman" w:cs="Times New Roman"/>
                <w:color w:val="auto"/>
                <w:sz w:val="24"/>
              </w:rPr>
              <w:t>④规范车辆装载方式，杜绝沿路洒漏现象，减少对外环境的影响；</w:t>
            </w:r>
            <w:r>
              <w:rPr>
                <w:rFonts w:hint="default" w:ascii="Times New Roman" w:hAnsi="Times New Roman" w:eastAsia="宋体" w:cs="Times New Roman"/>
                <w:color w:val="auto"/>
                <w:sz w:val="24"/>
              </w:rPr>
              <w:t>⑤</w:t>
            </w:r>
            <w:r>
              <w:rPr>
                <w:rFonts w:hint="default" w:ascii="Times New Roman" w:hAnsi="Times New Roman" w:cs="Times New Roman"/>
                <w:color w:val="auto"/>
                <w:sz w:val="24"/>
              </w:rPr>
              <w:t>进出项目区的车辆造成的道路扬尘较多，主要采取减速慢行、定期对施工场地洒水降尘等措施减小道路扬尘的影响。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项目施工量小，施工时间短，施工期间已严格要求、严格管理，且在采取以上相关措施后，施工期粉尘对周围环境的影响不大，环境可以承受。</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（2）运输扬尘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项目在施工初期渣土外运和材料运输</w:t>
            </w:r>
            <w:r>
              <w:rPr>
                <w:rFonts w:hint="default" w:ascii="Times New Roman" w:hAnsi="Times New Roman" w:cs="Times New Roman"/>
                <w:color w:val="auto"/>
                <w:sz w:val="24"/>
              </w:rPr>
              <w:t>，装载车辆运输过程中产生的道路扬尘最为严重。对路边20m范围以内影响较大，运输道路两侧的私人住户将会受到一定的影响</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eastAsia="zh-CN"/>
              </w:rPr>
              <w:t>项目粉尘对住户日常生活、</w:t>
            </w:r>
            <w:r>
              <w:rPr>
                <w:rFonts w:hint="eastAsia" w:ascii="Times New Roman" w:hAnsi="Times New Roman" w:cs="Times New Roman"/>
                <w:color w:val="auto"/>
                <w:sz w:val="24"/>
                <w:lang w:eastAsia="zh-CN"/>
              </w:rPr>
              <w:t>商户的正常经营、</w:t>
            </w:r>
            <w:r>
              <w:rPr>
                <w:rFonts w:hint="default" w:ascii="Times New Roman" w:hAnsi="Times New Roman" w:cs="Times New Roman"/>
                <w:color w:val="auto"/>
                <w:sz w:val="24"/>
                <w:lang w:eastAsia="zh-CN"/>
              </w:rPr>
              <w:t>过往车辆产生一定的影响，</w:t>
            </w:r>
            <w:r>
              <w:rPr>
                <w:rFonts w:hint="default" w:ascii="Times New Roman" w:hAnsi="Times New Roman" w:cs="Times New Roman"/>
                <w:color w:val="auto"/>
                <w:sz w:val="24"/>
              </w:rPr>
              <w:t>为最大限度减小运输扬尘对环境的影响，环保要求：① 运输车辆密闭运输，减少抛洒，车辆进出项目区时限速行驶；② 及时清扫运输路面，保持路面清洁；③ 定时对运输路面进行洒水降尘，减小扬尘污染；④在场地周围设围障与施工场地隔开。通过以上措施及大气扩散后，可以最大限度减小运输扬尘对环境的影响。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（3）施工机械、运输车辆产生废气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载重汽车、柴油动力机械等燃油机械会有一定的废气排放，排放的污染物主要有一氧化碳、二氧化氮、总烃。由于施工机械运行时，单车排放系数较大，产生的废气均属无组织排放，项目在施工过程中已采用环保型和节能型机械设备进行施工，且经常对机械设备进行检修，则产生的废气量少，排到空气中分散稀释后对环境空气影响较轻。</w:t>
            </w:r>
          </w:p>
          <w:p>
            <w:pPr>
              <w:autoSpaceDE w:val="0"/>
              <w:autoSpaceDN w:val="0"/>
              <w:adjustRightInd w:val="0"/>
              <w:spacing w:line="480" w:lineRule="exact"/>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3、施工期声环境影响分析以及环保措施</w:t>
            </w:r>
          </w:p>
          <w:p>
            <w:pPr>
              <w:autoSpaceDE w:val="0"/>
              <w:autoSpaceDN w:val="0"/>
              <w:adjustRightInd w:val="0"/>
              <w:spacing w:line="480" w:lineRule="exact"/>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 xml:space="preserve">   （1）机械噪声和交通噪声</w:t>
            </w:r>
          </w:p>
          <w:p>
            <w:pPr>
              <w:pStyle w:val="6"/>
              <w:spacing w:line="480" w:lineRule="exact"/>
              <w:rPr>
                <w:rFonts w:hint="default" w:ascii="Times New Roman" w:hAnsi="Times New Roman" w:cs="Times New Roman"/>
                <w:color w:val="auto"/>
                <w:szCs w:val="24"/>
              </w:rPr>
            </w:pPr>
            <w:r>
              <w:rPr>
                <w:rFonts w:hint="default" w:ascii="Times New Roman" w:hAnsi="Times New Roman" w:cs="Times New Roman"/>
                <w:color w:val="auto"/>
                <w:szCs w:val="24"/>
              </w:rPr>
              <w:t>项目施工期产生的噪声包括</w:t>
            </w:r>
            <w:r>
              <w:rPr>
                <w:rFonts w:hint="default" w:ascii="Times New Roman" w:hAnsi="Times New Roman" w:cs="Times New Roman"/>
                <w:color w:val="auto"/>
                <w:kern w:val="0"/>
                <w:szCs w:val="24"/>
              </w:rPr>
              <w:t>机械噪声、施工作业噪声和施工车辆噪声，其中：施工作业噪声级一般在</w:t>
            </w:r>
            <w:r>
              <w:rPr>
                <w:rFonts w:hint="default" w:ascii="Times New Roman" w:hAnsi="Times New Roman" w:cs="Times New Roman"/>
                <w:color w:val="auto"/>
                <w:szCs w:val="24"/>
              </w:rPr>
              <w:t>50～70dB(A)之间，经几何发散衰减后噪声值较小，对周边环境造成的影响不大；</w:t>
            </w:r>
            <w:r>
              <w:rPr>
                <w:rFonts w:hint="default" w:ascii="Times New Roman" w:hAnsi="Times New Roman" w:cs="Times New Roman"/>
                <w:color w:val="auto"/>
                <w:kern w:val="0"/>
                <w:szCs w:val="24"/>
              </w:rPr>
              <w:t>施工运输车辆噪声属于交通噪声，噪声级一般在80～95dB（A）之间，其噪声的产生具有间断性，对周边环境造成的影响不大；而施工机械噪声较施工作业噪声和施工运输车辆噪声大，较施工运输车辆噪声更具有连续性，会对环境造成一定的影响，噪声级一般在75～110dB（A）之间。</w:t>
            </w:r>
          </w:p>
          <w:p>
            <w:pPr>
              <w:tabs>
                <w:tab w:val="left" w:pos="3315"/>
              </w:tabs>
              <w:adjustRightInd w:val="0"/>
              <w:snapToGrid w:val="0"/>
              <w:spacing w:before="156" w:beforeLines="50" w:line="360" w:lineRule="auto"/>
              <w:ind w:firstLine="472" w:firstLineChars="196"/>
              <w:outlineLvl w:val="2"/>
              <w:rPr>
                <w:rFonts w:hint="default" w:ascii="Times New Roman" w:hAnsi="Times New Roman" w:cs="Times New Roman"/>
                <w:b/>
                <w:color w:val="auto"/>
                <w:sz w:val="24"/>
              </w:rPr>
            </w:pPr>
            <w:r>
              <w:rPr>
                <w:rFonts w:hint="default" w:ascii="Times New Roman" w:hAnsi="Times New Roman" w:cs="Times New Roman"/>
                <w:b/>
                <w:color w:val="auto"/>
                <w:sz w:val="24"/>
              </w:rPr>
              <w:t>噪声预测模式：</w:t>
            </w:r>
          </w:p>
          <w:p>
            <w:pPr>
              <w:spacing w:line="360" w:lineRule="auto"/>
              <w:ind w:firstLine="1440" w:firstLineChars="600"/>
              <w:rPr>
                <w:rFonts w:hint="default" w:ascii="Times New Roman" w:hAnsi="Times New Roman" w:cs="Times New Roman"/>
                <w:color w:val="auto"/>
                <w:sz w:val="24"/>
              </w:rPr>
            </w:pPr>
            <w:r>
              <w:rPr>
                <w:rFonts w:hint="default" w:ascii="Times New Roman" w:hAnsi="Times New Roman" w:cs="Times New Roman"/>
                <w:color w:val="auto"/>
                <w:sz w:val="24"/>
              </w:rPr>
              <w:t>Loct(r)＝Loct(r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)－20lg(r/r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)－△Loct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  Loct(r) —点声源在预测点产生的声压级；</w:t>
            </w:r>
          </w:p>
          <w:p>
            <w:pPr>
              <w:spacing w:line="360" w:lineRule="auto"/>
              <w:ind w:firstLine="1440" w:firstLineChars="600"/>
              <w:rPr>
                <w:rFonts w:hint="default" w:ascii="Times New Roman" w:hAnsi="Times New Roman" w:cs="Times New Roman"/>
                <w:color w:val="auto"/>
                <w:sz w:val="24"/>
              </w:rPr>
            </w:pPr>
            <w:r>
              <w:rPr>
                <w:rFonts w:hint="default" w:ascii="Times New Roman" w:hAnsi="Times New Roman" w:cs="Times New Roman"/>
                <w:color w:val="auto"/>
                <w:sz w:val="24"/>
              </w:rPr>
              <w:t>Loct(r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 参考位置处的声压级；</w:t>
            </w:r>
          </w:p>
          <w:p>
            <w:pPr>
              <w:spacing w:line="360" w:lineRule="auto"/>
              <w:ind w:firstLine="1440" w:firstLineChars="600"/>
              <w:rPr>
                <w:rFonts w:hint="default" w:ascii="Times New Roman" w:hAnsi="Times New Roman" w:cs="Times New Roman"/>
                <w:color w:val="auto"/>
                <w:sz w:val="24"/>
              </w:rPr>
            </w:pP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—参考位置测点与声源之间的距离(m)；</w:t>
            </w:r>
          </w:p>
          <w:p>
            <w:pPr>
              <w:spacing w:line="360" w:lineRule="auto"/>
              <w:ind w:firstLine="1440" w:firstLineChars="600"/>
              <w:rPr>
                <w:rFonts w:hint="default" w:ascii="Times New Roman" w:hAnsi="Times New Roman" w:cs="Times New Roman"/>
                <w:color w:val="auto"/>
                <w:sz w:val="24"/>
              </w:rPr>
            </w:pPr>
            <w:r>
              <w:rPr>
                <w:rFonts w:hint="default" w:ascii="Times New Roman" w:hAnsi="Times New Roman" w:cs="Times New Roman"/>
                <w:color w:val="auto"/>
                <w:sz w:val="24"/>
              </w:rPr>
              <w:t>r—预测点与声源之间的距离(m)；</w:t>
            </w:r>
          </w:p>
          <w:p>
            <w:pPr>
              <w:spacing w:line="360" w:lineRule="auto"/>
              <w:ind w:firstLine="1320" w:firstLineChars="550"/>
              <w:rPr>
                <w:rFonts w:hint="default" w:ascii="Times New Roman" w:hAnsi="Times New Roman" w:cs="Times New Roman"/>
                <w:color w:val="auto"/>
                <w:sz w:val="24"/>
              </w:rPr>
            </w:pPr>
            <w:r>
              <w:rPr>
                <w:rFonts w:hint="default" w:ascii="Times New Roman" w:hAnsi="Times New Roman" w:cs="Times New Roman"/>
                <w:color w:val="auto"/>
                <w:sz w:val="24"/>
              </w:rPr>
              <w:t>△Loct—各种因素引起的衰减量(包括声屏障、遮挡物、空气吸收、地面效应引起的衰减量)，本建设项目地点开阔、无声屏障、遮挡物等，因此衰减量忽略不计。</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经预测后，项目施工期噪声预测结果见表7-1。</w:t>
            </w:r>
          </w:p>
          <w:p>
            <w:pPr>
              <w:spacing w:line="360" w:lineRule="auto"/>
              <w:ind w:firstLine="2604" w:firstLineChars="1235"/>
              <w:rPr>
                <w:rFonts w:hint="default" w:ascii="Times New Roman" w:hAnsi="Times New Roman" w:cs="Times New Roman"/>
                <w:color w:val="auto"/>
                <w:sz w:val="24"/>
              </w:rPr>
            </w:pPr>
            <w:r>
              <w:rPr>
                <w:rFonts w:hint="default" w:ascii="Times New Roman" w:hAnsi="Times New Roman" w:cs="Times New Roman"/>
                <w:b/>
                <w:color w:val="auto"/>
                <w:szCs w:val="21"/>
              </w:rPr>
              <w:t>表7-1 厂界噪声预测值   单位：dB(A)</w:t>
            </w:r>
          </w:p>
          <w:tbl>
            <w:tblPr>
              <w:tblStyle w:val="23"/>
              <w:tblW w:w="851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186"/>
              <w:gridCol w:w="1014"/>
              <w:gridCol w:w="736"/>
              <w:gridCol w:w="736"/>
              <w:gridCol w:w="736"/>
              <w:gridCol w:w="736"/>
              <w:gridCol w:w="736"/>
              <w:gridCol w:w="736"/>
              <w:gridCol w:w="7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噪声类型</w:t>
                  </w:r>
                </w:p>
              </w:tc>
              <w:tc>
                <w:tcPr>
                  <w:tcW w:w="118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声压级</w:t>
                  </w:r>
                </w:p>
              </w:tc>
              <w:tc>
                <w:tcPr>
                  <w:tcW w:w="1750" w:type="dxa"/>
                  <w:gridSpan w:val="2"/>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w:t>
                  </w:r>
                </w:p>
              </w:tc>
              <w:tc>
                <w:tcPr>
                  <w:tcW w:w="1472"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南</w:t>
                  </w:r>
                </w:p>
              </w:tc>
              <w:tc>
                <w:tcPr>
                  <w:tcW w:w="1472"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西</w:t>
                  </w:r>
                </w:p>
              </w:tc>
              <w:tc>
                <w:tcPr>
                  <w:tcW w:w="1472"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Merge w:val="continue"/>
                  <w:vAlign w:val="center"/>
                </w:tcPr>
                <w:p>
                  <w:pPr>
                    <w:jc w:val="center"/>
                    <w:rPr>
                      <w:rFonts w:hint="default" w:ascii="Times New Roman" w:hAnsi="Times New Roman" w:cs="Times New Roman"/>
                      <w:color w:val="auto"/>
                      <w:szCs w:val="21"/>
                    </w:rPr>
                  </w:pPr>
                </w:p>
              </w:tc>
              <w:tc>
                <w:tcPr>
                  <w:tcW w:w="1186" w:type="dxa"/>
                  <w:vMerge w:val="continue"/>
                  <w:vAlign w:val="center"/>
                </w:tcPr>
                <w:p>
                  <w:pPr>
                    <w:jc w:val="center"/>
                    <w:rPr>
                      <w:rFonts w:hint="default" w:ascii="Times New Roman" w:hAnsi="Times New Roman" w:cs="Times New Roman"/>
                      <w:color w:val="auto"/>
                      <w:szCs w:val="21"/>
                    </w:rPr>
                  </w:pPr>
                </w:p>
              </w:tc>
              <w:tc>
                <w:tcPr>
                  <w:tcW w:w="1014" w:type="dxa"/>
                  <w:tcBorders>
                    <w:right w:val="single" w:color="auto" w:sz="4" w:space="0"/>
                  </w:tcBorders>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距离</w:t>
                  </w:r>
                  <w:r>
                    <w:rPr>
                      <w:rFonts w:hint="eastAsia" w:ascii="Times New Roman" w:hAnsi="Times New Roman" w:cs="Times New Roman"/>
                      <w:color w:val="auto"/>
                      <w:szCs w:val="21"/>
                      <w:lang w:val="en-US" w:eastAsia="zh-CN"/>
                    </w:rPr>
                    <w:t>/m</w:t>
                  </w:r>
                </w:p>
              </w:tc>
              <w:tc>
                <w:tcPr>
                  <w:tcW w:w="736" w:type="dxa"/>
                  <w:tcBorders>
                    <w:left w:val="single" w:color="auto" w:sz="4" w:space="0"/>
                  </w:tcBorders>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预测值</w:t>
                  </w:r>
                </w:p>
              </w:tc>
              <w:tc>
                <w:tcPr>
                  <w:tcW w:w="736" w:type="dxa"/>
                  <w:tcBorders>
                    <w:right w:val="single" w:color="auto" w:sz="4" w:space="0"/>
                  </w:tcBorders>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距离</w:t>
                  </w:r>
                  <w:r>
                    <w:rPr>
                      <w:rFonts w:hint="eastAsia" w:ascii="Times New Roman" w:hAnsi="Times New Roman" w:cs="Times New Roman"/>
                      <w:color w:val="auto"/>
                      <w:szCs w:val="21"/>
                      <w:lang w:val="en-US" w:eastAsia="zh-CN"/>
                    </w:rPr>
                    <w:t>/m</w:t>
                  </w:r>
                </w:p>
              </w:tc>
              <w:tc>
                <w:tcPr>
                  <w:tcW w:w="736" w:type="dxa"/>
                  <w:tcBorders>
                    <w:left w:val="single" w:color="auto" w:sz="4" w:space="0"/>
                  </w:tcBorders>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预测值</w:t>
                  </w:r>
                </w:p>
              </w:tc>
              <w:tc>
                <w:tcPr>
                  <w:tcW w:w="736"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距离</w:t>
                  </w:r>
                  <w:r>
                    <w:rPr>
                      <w:rFonts w:hint="eastAsia" w:ascii="Times New Roman" w:hAnsi="Times New Roman" w:cs="Times New Roman"/>
                      <w:color w:val="auto"/>
                      <w:szCs w:val="21"/>
                      <w:lang w:val="en-US" w:eastAsia="zh-CN"/>
                    </w:rPr>
                    <w:t>/m</w:t>
                  </w:r>
                </w:p>
              </w:tc>
              <w:tc>
                <w:tcPr>
                  <w:tcW w:w="736"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预测值</w:t>
                  </w:r>
                </w:p>
              </w:tc>
              <w:tc>
                <w:tcPr>
                  <w:tcW w:w="736"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距离</w:t>
                  </w:r>
                  <w:r>
                    <w:rPr>
                      <w:rFonts w:hint="eastAsia" w:ascii="Times New Roman" w:hAnsi="Times New Roman" w:cs="Times New Roman"/>
                      <w:color w:val="auto"/>
                      <w:szCs w:val="21"/>
                      <w:lang w:val="en-US" w:eastAsia="zh-CN"/>
                    </w:rPr>
                    <w:t>/m</w:t>
                  </w:r>
                </w:p>
              </w:tc>
              <w:tc>
                <w:tcPr>
                  <w:tcW w:w="736" w:type="dxa"/>
                  <w:vAlign w:val="top"/>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挖掘机</w:t>
                  </w:r>
                </w:p>
              </w:tc>
              <w:tc>
                <w:tcPr>
                  <w:tcW w:w="1186" w:type="dxa"/>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110 </w:t>
                  </w:r>
                </w:p>
              </w:tc>
              <w:tc>
                <w:tcPr>
                  <w:tcW w:w="1014" w:type="dxa"/>
                  <w:tcBorders>
                    <w:right w:val="single" w:color="auto" w:sz="4" w:space="0"/>
                  </w:tcBorders>
                  <w:vAlign w:val="top"/>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w:t>
                  </w:r>
                </w:p>
              </w:tc>
              <w:tc>
                <w:tcPr>
                  <w:tcW w:w="736" w:type="dxa"/>
                  <w:tcBorders>
                    <w:left w:val="single" w:color="auto" w:sz="4" w:space="0"/>
                  </w:tcBorders>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86 </w:t>
                  </w:r>
                </w:p>
              </w:tc>
              <w:tc>
                <w:tcPr>
                  <w:tcW w:w="736" w:type="dxa"/>
                  <w:tcBorders>
                    <w:right w:val="single" w:color="auto" w:sz="4" w:space="0"/>
                  </w:tcBorders>
                  <w:vAlign w:val="top"/>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14 </w:t>
                  </w:r>
                </w:p>
              </w:tc>
              <w:tc>
                <w:tcPr>
                  <w:tcW w:w="736" w:type="dxa"/>
                  <w:tcBorders>
                    <w:left w:val="single" w:color="auto" w:sz="4" w:space="0"/>
                  </w:tcBorders>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87 </w:t>
                  </w:r>
                </w:p>
              </w:tc>
              <w:tc>
                <w:tcPr>
                  <w:tcW w:w="736" w:type="dxa"/>
                  <w:vAlign w:val="top"/>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13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88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15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振动器</w:t>
                  </w:r>
                </w:p>
              </w:tc>
              <w:tc>
                <w:tcPr>
                  <w:tcW w:w="1186" w:type="dxa"/>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105 </w:t>
                  </w:r>
                </w:p>
              </w:tc>
              <w:tc>
                <w:tcPr>
                  <w:tcW w:w="1014" w:type="dxa"/>
                  <w:tcBorders>
                    <w:right w:val="single" w:color="auto" w:sz="4" w:space="0"/>
                  </w:tcBorders>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w:t>
                  </w:r>
                </w:p>
              </w:tc>
              <w:tc>
                <w:tcPr>
                  <w:tcW w:w="736" w:type="dxa"/>
                  <w:tcBorders>
                    <w:left w:val="single" w:color="auto" w:sz="4" w:space="0"/>
                  </w:tcBorders>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81 </w:t>
                  </w:r>
                </w:p>
              </w:tc>
              <w:tc>
                <w:tcPr>
                  <w:tcW w:w="736" w:type="dxa"/>
                  <w:tcBorders>
                    <w:right w:val="single" w:color="auto" w:sz="4" w:space="0"/>
                  </w:tcBorders>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14 </w:t>
                  </w:r>
                </w:p>
              </w:tc>
              <w:tc>
                <w:tcPr>
                  <w:tcW w:w="736" w:type="dxa"/>
                  <w:tcBorders>
                    <w:left w:val="single" w:color="auto" w:sz="4" w:space="0"/>
                  </w:tcBorders>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82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13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83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15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电锯</w:t>
                  </w:r>
                </w:p>
              </w:tc>
              <w:tc>
                <w:tcPr>
                  <w:tcW w:w="1186" w:type="dxa"/>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110 </w:t>
                  </w:r>
                </w:p>
              </w:tc>
              <w:tc>
                <w:tcPr>
                  <w:tcW w:w="1014"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86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14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87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13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88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15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电钻</w:t>
                  </w:r>
                </w:p>
              </w:tc>
              <w:tc>
                <w:tcPr>
                  <w:tcW w:w="1186" w:type="dxa"/>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110 </w:t>
                  </w:r>
                </w:p>
              </w:tc>
              <w:tc>
                <w:tcPr>
                  <w:tcW w:w="1014"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86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14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87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13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88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15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手工钻</w:t>
                  </w:r>
                </w:p>
              </w:tc>
              <w:tc>
                <w:tcPr>
                  <w:tcW w:w="1186" w:type="dxa"/>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105 </w:t>
                  </w:r>
                </w:p>
              </w:tc>
              <w:tc>
                <w:tcPr>
                  <w:tcW w:w="1014"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81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14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82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13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83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15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无齿锯</w:t>
                  </w:r>
                </w:p>
              </w:tc>
              <w:tc>
                <w:tcPr>
                  <w:tcW w:w="1186" w:type="dxa"/>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105 </w:t>
                  </w:r>
                </w:p>
              </w:tc>
              <w:tc>
                <w:tcPr>
                  <w:tcW w:w="1014"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81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14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82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13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83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15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磨光机</w:t>
                  </w:r>
                </w:p>
              </w:tc>
              <w:tc>
                <w:tcPr>
                  <w:tcW w:w="1186" w:type="dxa"/>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110 </w:t>
                  </w:r>
                </w:p>
              </w:tc>
              <w:tc>
                <w:tcPr>
                  <w:tcW w:w="1014"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86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14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87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13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88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15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86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 w:hRule="atLeast"/>
                <w:jc w:val="center"/>
              </w:trPr>
              <w:tc>
                <w:tcPr>
                  <w:tcW w:w="11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运输车辆</w:t>
                  </w:r>
                </w:p>
              </w:tc>
              <w:tc>
                <w:tcPr>
                  <w:tcW w:w="1186" w:type="dxa"/>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95 </w:t>
                  </w:r>
                </w:p>
              </w:tc>
              <w:tc>
                <w:tcPr>
                  <w:tcW w:w="1014"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71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14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72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13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73 </w:t>
                  </w:r>
                </w:p>
              </w:tc>
              <w:tc>
                <w:tcPr>
                  <w:tcW w:w="736"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15 </w:t>
                  </w:r>
                </w:p>
              </w:tc>
              <w:tc>
                <w:tcPr>
                  <w:tcW w:w="736" w:type="dxa"/>
                  <w:vAlign w:val="top"/>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 xml:space="preserve">71 </w:t>
                  </w:r>
                </w:p>
              </w:tc>
            </w:tr>
          </w:tbl>
          <w:p>
            <w:pPr>
              <w:spacing w:line="360" w:lineRule="auto"/>
              <w:ind w:firstLine="720" w:firstLineChars="300"/>
              <w:rPr>
                <w:rFonts w:hint="default" w:ascii="Times New Roman" w:hAnsi="Times New Roman" w:cs="Times New Roman"/>
                <w:snapToGrid w:val="0"/>
                <w:color w:val="auto"/>
                <w:sz w:val="24"/>
              </w:rPr>
            </w:pPr>
            <w:r>
              <w:rPr>
                <w:rFonts w:hint="default" w:ascii="Times New Roman" w:hAnsi="Times New Roman" w:cs="Times New Roman"/>
                <w:color w:val="auto"/>
                <w:sz w:val="24"/>
              </w:rPr>
              <w:t>项目施工只在昼间进行，避免了夜间对周边环境的影响，</w:t>
            </w:r>
            <w:r>
              <w:rPr>
                <w:rFonts w:hint="default" w:ascii="Times New Roman" w:hAnsi="Times New Roman" w:cs="Times New Roman"/>
                <w:snapToGrid w:val="0"/>
                <w:color w:val="auto"/>
                <w:sz w:val="24"/>
              </w:rPr>
              <w:t>施工期噪声执行《建筑施工场界环境噪声排放标准》（GB12523-2011）标准：施工阶段昼间等效声级≤70 dB（A）。</w:t>
            </w:r>
          </w:p>
          <w:p>
            <w:pPr>
              <w:spacing w:line="360" w:lineRule="auto"/>
              <w:rPr>
                <w:rFonts w:hint="default" w:ascii="Times New Roman" w:hAnsi="Times New Roman" w:cs="Times New Roman"/>
                <w:b/>
                <w:color w:val="auto"/>
                <w:szCs w:val="21"/>
              </w:rPr>
            </w:pPr>
            <w:r>
              <w:rPr>
                <w:rFonts w:hint="default" w:ascii="Times New Roman" w:hAnsi="Times New Roman" w:cs="Times New Roman"/>
                <w:color w:val="auto"/>
                <w:sz w:val="24"/>
              </w:rPr>
              <w:t>本项目各厂界噪声均不达标。</w:t>
            </w:r>
          </w:p>
          <w:p>
            <w:pPr>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各敏感点处的噪声值预测见表</w:t>
            </w:r>
            <w:r>
              <w:rPr>
                <w:rFonts w:hint="eastAsia" w:ascii="Times New Roman" w:hAnsi="Times New Roman" w:cs="Times New Roman"/>
                <w:color w:val="auto"/>
                <w:sz w:val="24"/>
                <w:lang w:val="en-US" w:eastAsia="zh-CN"/>
              </w:rPr>
              <w:t>7-2</w:t>
            </w:r>
          </w:p>
          <w:p>
            <w:pPr>
              <w:spacing w:line="360" w:lineRule="auto"/>
              <w:ind w:firstLine="1975" w:firstLineChars="937"/>
              <w:rPr>
                <w:rFonts w:hint="default" w:ascii="Times New Roman" w:hAnsi="Times New Roman" w:cs="Times New Roman"/>
                <w:b/>
                <w:color w:val="auto"/>
                <w:szCs w:val="21"/>
              </w:rPr>
            </w:pPr>
            <w:r>
              <w:rPr>
                <w:rFonts w:hint="default" w:ascii="Times New Roman" w:hAnsi="Times New Roman" w:cs="Times New Roman"/>
                <w:b/>
                <w:color w:val="auto"/>
                <w:szCs w:val="21"/>
              </w:rPr>
              <w:t>表7-2 距噪声源不同距离处的噪声预测值   单位：dB(A)</w:t>
            </w:r>
          </w:p>
          <w:tbl>
            <w:tblPr>
              <w:tblStyle w:val="23"/>
              <w:tblW w:w="826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06"/>
              <w:gridCol w:w="1538"/>
              <w:gridCol w:w="964"/>
              <w:gridCol w:w="964"/>
              <w:gridCol w:w="964"/>
              <w:gridCol w:w="964"/>
              <w:gridCol w:w="9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190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噪声类型</w:t>
                  </w:r>
                </w:p>
              </w:tc>
              <w:tc>
                <w:tcPr>
                  <w:tcW w:w="1538" w:type="dxa"/>
                  <w:tcBorders>
                    <w:tl2br w:val="single" w:color="auto" w:sz="4" w:space="0"/>
                  </w:tcBorders>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距离</w:t>
                  </w:r>
                  <w:r>
                    <w:rPr>
                      <w:rFonts w:hint="eastAsia" w:ascii="Times New Roman" w:hAnsi="Times New Roman" w:cs="Times New Roman"/>
                      <w:color w:val="auto"/>
                      <w:szCs w:val="21"/>
                      <w:lang w:val="en-US" w:eastAsia="zh-CN"/>
                    </w:rPr>
                    <w:t>/m</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声压级</w:t>
                  </w:r>
                </w:p>
              </w:tc>
              <w:tc>
                <w:tcPr>
                  <w:tcW w:w="964"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w:t>
                  </w:r>
                </w:p>
              </w:tc>
              <w:tc>
                <w:tcPr>
                  <w:tcW w:w="964"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w:t>
                  </w:r>
                </w:p>
              </w:tc>
              <w:tc>
                <w:tcPr>
                  <w:tcW w:w="964" w:type="dxa"/>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25</w:t>
                  </w:r>
                </w:p>
              </w:tc>
              <w:tc>
                <w:tcPr>
                  <w:tcW w:w="9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964"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90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最大施工噪声</w:t>
                  </w:r>
                </w:p>
              </w:tc>
              <w:tc>
                <w:tcPr>
                  <w:tcW w:w="153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110</w:t>
                  </w:r>
                </w:p>
              </w:tc>
              <w:tc>
                <w:tcPr>
                  <w:tcW w:w="96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86 </w:t>
                  </w:r>
                </w:p>
              </w:tc>
              <w:tc>
                <w:tcPr>
                  <w:tcW w:w="96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84 </w:t>
                  </w:r>
                </w:p>
              </w:tc>
              <w:tc>
                <w:tcPr>
                  <w:tcW w:w="964"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82 </w:t>
                  </w:r>
                </w:p>
              </w:tc>
              <w:tc>
                <w:tcPr>
                  <w:tcW w:w="964"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 xml:space="preserve">75 </w:t>
                  </w:r>
                </w:p>
              </w:tc>
              <w:tc>
                <w:tcPr>
                  <w:tcW w:w="964"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 xml:space="preserve">60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最大交通噪声</w:t>
                  </w:r>
                </w:p>
              </w:tc>
              <w:tc>
                <w:tcPr>
                  <w:tcW w:w="153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95</w:t>
                  </w:r>
                </w:p>
              </w:tc>
              <w:tc>
                <w:tcPr>
                  <w:tcW w:w="96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71 </w:t>
                  </w:r>
                </w:p>
              </w:tc>
              <w:tc>
                <w:tcPr>
                  <w:tcW w:w="96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69 </w:t>
                  </w:r>
                </w:p>
              </w:tc>
              <w:tc>
                <w:tcPr>
                  <w:tcW w:w="964"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67 </w:t>
                  </w:r>
                </w:p>
              </w:tc>
              <w:tc>
                <w:tcPr>
                  <w:tcW w:w="964"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 xml:space="preserve">60 </w:t>
                  </w:r>
                </w:p>
              </w:tc>
              <w:tc>
                <w:tcPr>
                  <w:tcW w:w="964"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bl>
          <w:p>
            <w:pPr>
              <w:spacing w:line="360" w:lineRule="auto"/>
              <w:ind w:firstLine="720" w:firstLineChars="300"/>
              <w:rPr>
                <w:rFonts w:hint="default" w:ascii="Times New Roman" w:hAnsi="Times New Roman" w:cs="Times New Roman"/>
                <w:snapToGrid w:val="0"/>
                <w:color w:val="auto"/>
                <w:sz w:val="24"/>
              </w:rPr>
            </w:pPr>
            <w:r>
              <w:rPr>
                <w:rFonts w:hint="default" w:ascii="Times New Roman" w:hAnsi="Times New Roman" w:cs="Times New Roman"/>
                <w:color w:val="auto"/>
                <w:sz w:val="24"/>
              </w:rPr>
              <w:t>项目施工只在昼间进行，避免了夜间对周边环境的影响，《声环境质量标准》(GB3096-2008)中2类标准值</w:t>
            </w:r>
            <w:r>
              <w:rPr>
                <w:rFonts w:hint="default" w:ascii="Times New Roman" w:hAnsi="Times New Roman" w:cs="Times New Roman"/>
                <w:snapToGrid w:val="0"/>
                <w:color w:val="auto"/>
                <w:sz w:val="24"/>
              </w:rPr>
              <w:t>：施工阶段昼间等效声级≤</w:t>
            </w:r>
            <w:r>
              <w:rPr>
                <w:rFonts w:hint="eastAsia" w:ascii="Times New Roman" w:hAnsi="Times New Roman" w:cs="Times New Roman"/>
                <w:snapToGrid w:val="0"/>
                <w:color w:val="auto"/>
                <w:sz w:val="24"/>
                <w:lang w:val="en-US" w:eastAsia="zh-CN"/>
              </w:rPr>
              <w:t>6</w:t>
            </w:r>
            <w:r>
              <w:rPr>
                <w:rFonts w:hint="default" w:ascii="Times New Roman" w:hAnsi="Times New Roman" w:cs="Times New Roman"/>
                <w:snapToGrid w:val="0"/>
                <w:color w:val="auto"/>
                <w:sz w:val="24"/>
              </w:rPr>
              <w:t>0 dB（A）。</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从表7-2中可看出，项目最大施工噪声在300m处达到《声环境质量标准》(GB3096-2008)中2类标准值（昼间等效声级≤60dB(A)）标准要求，此范围内有项目</w:t>
            </w:r>
            <w:r>
              <w:rPr>
                <w:rFonts w:hint="eastAsia" w:ascii="宋体" w:hAnsi="宋体"/>
                <w:color w:val="auto"/>
                <w:sz w:val="24"/>
                <w:lang w:eastAsia="zh-CN"/>
              </w:rPr>
              <w:t>北侧</w:t>
            </w:r>
            <w:r>
              <w:rPr>
                <w:rFonts w:hint="eastAsia" w:ascii="宋体" w:hAnsi="宋体"/>
                <w:color w:val="auto"/>
                <w:sz w:val="24"/>
                <w:lang w:val="en-US" w:eastAsia="zh-CN"/>
              </w:rPr>
              <w:t>20m处为私人住户，南侧15m处为私人住户，西南侧25m处为私人住户，西侧15m处为私人住户，东北、东南20m处为私人住户</w:t>
            </w:r>
            <w:r>
              <w:rPr>
                <w:rFonts w:hint="default" w:ascii="Times New Roman" w:hAnsi="Times New Roman" w:cs="Times New Roman"/>
                <w:color w:val="auto"/>
                <w:sz w:val="24"/>
              </w:rPr>
              <w:t>，机械噪声对</w:t>
            </w:r>
            <w:r>
              <w:rPr>
                <w:rFonts w:hint="eastAsia" w:ascii="Times New Roman" w:hAnsi="Times New Roman" w:cs="Times New Roman"/>
                <w:color w:val="auto"/>
                <w:sz w:val="24"/>
                <w:lang w:eastAsia="zh-CN"/>
              </w:rPr>
              <w:t>会对住户日常休息产生一定的影响</w:t>
            </w:r>
            <w:r>
              <w:rPr>
                <w:rFonts w:hint="default" w:ascii="Times New Roman" w:hAnsi="Times New Roman" w:cs="Times New Roman"/>
                <w:color w:val="auto"/>
                <w:sz w:val="24"/>
              </w:rPr>
              <w:t>；交通噪声在55m处达到《声环境质量标准》(GB3096-2008)中2类标准值（昼间等效声级≤60dB(A)）昼间排放标准要求</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此范围内项目</w:t>
            </w:r>
            <w:r>
              <w:rPr>
                <w:rFonts w:hint="eastAsia" w:ascii="宋体" w:hAnsi="宋体"/>
                <w:color w:val="auto"/>
                <w:sz w:val="24"/>
                <w:lang w:eastAsia="zh-CN"/>
              </w:rPr>
              <w:t>北侧</w:t>
            </w:r>
            <w:r>
              <w:rPr>
                <w:rFonts w:hint="eastAsia" w:ascii="宋体" w:hAnsi="宋体"/>
                <w:color w:val="auto"/>
                <w:sz w:val="24"/>
                <w:lang w:val="en-US" w:eastAsia="zh-CN"/>
              </w:rPr>
              <w:t>20m处为私人住户，南侧15m处为私人住户，西南侧25m处为私人住户，西侧15m处为私人住户，东北、东南20m处为私人住户</w:t>
            </w:r>
            <w:r>
              <w:rPr>
                <w:rFonts w:hint="eastAsia" w:ascii="Times New Roman" w:hAnsi="Times New Roman" w:eastAsia="宋体"/>
                <w:color w:val="auto"/>
                <w:sz w:val="24"/>
                <w:lang w:val="en-US" w:eastAsia="zh-CN"/>
              </w:rPr>
              <w:t>，交通噪声</w:t>
            </w:r>
            <w:r>
              <w:rPr>
                <w:rFonts w:hint="eastAsia" w:ascii="Times New Roman" w:hAnsi="Times New Roman" w:cs="Times New Roman"/>
                <w:color w:val="auto"/>
                <w:sz w:val="24"/>
                <w:lang w:eastAsia="zh-CN"/>
              </w:rPr>
              <w:t>会对住户日常休息产生一定的影响</w:t>
            </w:r>
            <w:r>
              <w:rPr>
                <w:rFonts w:hint="default" w:ascii="Times New Roman" w:hAnsi="Times New Roman" w:cs="Times New Roman"/>
                <w:color w:val="auto"/>
                <w:sz w:val="24"/>
              </w:rPr>
              <w:t>。为减小项目施工期各类机械设备对周边环境的影响，环评要求：①项目选用低噪声机械设备，合理安排运输时间，</w:t>
            </w:r>
            <w:r>
              <w:rPr>
                <w:rFonts w:hint="eastAsia" w:ascii="Times New Roman" w:hAnsi="Times New Roman" w:cs="Times New Roman"/>
                <w:color w:val="auto"/>
                <w:sz w:val="24"/>
                <w:lang w:eastAsia="zh-CN"/>
              </w:rPr>
              <w:t>中午</w:t>
            </w:r>
            <w:r>
              <w:rPr>
                <w:rFonts w:hint="eastAsia" w:ascii="Times New Roman" w:hAnsi="Times New Roman" w:cs="Times New Roman"/>
                <w:color w:val="auto"/>
                <w:sz w:val="24"/>
                <w:lang w:val="en-US" w:eastAsia="zh-CN"/>
              </w:rPr>
              <w:t>12:00--14:00，下午18:00--6:00禁止施工，</w:t>
            </w:r>
            <w:r>
              <w:rPr>
                <w:rFonts w:hint="default" w:ascii="Times New Roman" w:hAnsi="Times New Roman" w:cs="Times New Roman"/>
                <w:color w:val="auto"/>
                <w:sz w:val="24"/>
              </w:rPr>
              <w:t>加强进驻施工现场人员的环境保护教育，做到文明施工</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②施工材料运输车辆禁止鸣汽喇叭，减少噪声施工作业、运输车辆和生活噪声对环境的污染固定的机械设备，安装减震垫；③合理安排施工工序，避免在同一时间集中使用噪声较大的机械设备；④加强施工设备的维护保养；⑤尽量将各类机械设备设置在项目</w:t>
            </w:r>
            <w:r>
              <w:rPr>
                <w:rFonts w:hint="eastAsia" w:ascii="Times New Roman" w:hAnsi="Times New Roman" w:cs="Times New Roman"/>
                <w:color w:val="auto"/>
                <w:sz w:val="24"/>
                <w:lang w:eastAsia="zh-CN"/>
              </w:rPr>
              <w:t>东北</w:t>
            </w:r>
            <w:r>
              <w:rPr>
                <w:rFonts w:hint="default" w:ascii="Times New Roman" w:hAnsi="Times New Roman" w:cs="Times New Roman"/>
                <w:color w:val="auto"/>
                <w:sz w:val="24"/>
              </w:rPr>
              <w:t>侧，远离敏感点一侧；⑥进出车辆采取减速行驶。采取以上措施后，项目施工期的噪声对周边环境影响不大。</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本项施工量小，施工期较短，通过采取措施后，施工噪声对周边环境的影响较小，因此项目施工期噪声对环境影响不大。</w:t>
            </w:r>
          </w:p>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（2）振动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在施工过程中，机械运行、结构阶段浇灌等环节会产生振动，即项目施工时在施工机械下方设置减振措施，特别是运行较大的机械设备，同时施工过程中已选用低振动的机械，减小对周围及工地内环境的影响。项目在结构阶段浇灌时使用的振动棒，振动量小，再通过围墙阻碍和距离衰减后，振动对环境影响不大。</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4、施工期固体废物环境影响分析以及环保措施</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（1）</w:t>
            </w:r>
            <w:r>
              <w:rPr>
                <w:rFonts w:hint="default" w:ascii="Times New Roman" w:hAnsi="Times New Roman" w:cs="Times New Roman"/>
                <w:color w:val="auto"/>
                <w:sz w:val="24"/>
                <w:lang w:eastAsia="zh-CN"/>
              </w:rPr>
              <w:t>拆除固废</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根据工程分析，项目拆除</w:t>
            </w:r>
            <w:r>
              <w:rPr>
                <w:rFonts w:hint="default" w:ascii="Times New Roman" w:hAnsi="Times New Roman" w:cs="Times New Roman"/>
                <w:color w:val="auto"/>
                <w:kern w:val="0"/>
                <w:sz w:val="24"/>
              </w:rPr>
              <w:t>碎砖、碎石、混凝土</w:t>
            </w:r>
            <w:r>
              <w:rPr>
                <w:rFonts w:hint="default" w:ascii="Times New Roman" w:hAnsi="Times New Roman" w:cs="Times New Roman"/>
                <w:color w:val="auto"/>
                <w:kern w:val="0"/>
                <w:sz w:val="24"/>
                <w:lang w:eastAsia="zh-CN"/>
              </w:rPr>
              <w:t>等建筑垃圾约</w:t>
            </w:r>
            <w:r>
              <w:rPr>
                <w:rFonts w:hint="eastAsia" w:ascii="Times New Roman" w:hAnsi="Times New Roman" w:cs="Times New Roman"/>
                <w:color w:val="auto"/>
                <w:kern w:val="0"/>
                <w:sz w:val="24"/>
                <w:lang w:val="en-US" w:eastAsia="zh-CN"/>
              </w:rPr>
              <w:t>10</w:t>
            </w:r>
            <w:r>
              <w:rPr>
                <w:rFonts w:hint="default" w:ascii="Times New Roman" w:hAnsi="Times New Roman" w:cs="Times New Roman"/>
                <w:color w:val="auto"/>
                <w:kern w:val="0"/>
                <w:sz w:val="24"/>
                <w:lang w:val="en-US" w:eastAsia="zh-CN"/>
              </w:rPr>
              <w:t>m</w:t>
            </w:r>
            <w:r>
              <w:rPr>
                <w:rFonts w:hint="default" w:ascii="Times New Roman" w:hAnsi="Times New Roman" w:cs="Times New Roman"/>
                <w:color w:val="auto"/>
                <w:kern w:val="0"/>
                <w:sz w:val="24"/>
                <w:vertAlign w:val="superscript"/>
                <w:lang w:val="en-US" w:eastAsia="zh-CN"/>
              </w:rPr>
              <w:t>3</w:t>
            </w:r>
            <w:r>
              <w:rPr>
                <w:rFonts w:hint="default" w:ascii="Times New Roman" w:hAnsi="Times New Roman" w:cs="Times New Roman"/>
                <w:color w:val="auto"/>
                <w:kern w:val="0"/>
                <w:sz w:val="24"/>
                <w:lang w:val="en-US" w:eastAsia="zh-CN"/>
              </w:rPr>
              <w:t>，此外还有</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lang w:val="en-US" w:eastAsia="zh-CN"/>
              </w:rPr>
              <w:t>个</w:t>
            </w:r>
            <w:r>
              <w:rPr>
                <w:rFonts w:hint="default" w:ascii="Times New Roman" w:hAnsi="Times New Roman" w:cs="Times New Roman"/>
                <w:color w:val="auto"/>
                <w:kern w:val="0"/>
                <w:sz w:val="24"/>
              </w:rPr>
              <w:t>储油罐</w:t>
            </w:r>
            <w:r>
              <w:rPr>
                <w:rFonts w:hint="default" w:ascii="Times New Roman" w:hAnsi="Times New Roman" w:cs="Times New Roman"/>
                <w:color w:val="auto"/>
                <w:kern w:val="0"/>
                <w:sz w:val="24"/>
                <w:lang w:eastAsia="zh-CN"/>
              </w:rPr>
              <w:t>、</w:t>
            </w:r>
            <w:r>
              <w:rPr>
                <w:rFonts w:hint="eastAsia" w:ascii="Times New Roman" w:hAnsi="Times New Roman" w:cs="Times New Roman"/>
                <w:color w:val="auto"/>
                <w:kern w:val="0"/>
                <w:sz w:val="24"/>
                <w:lang w:val="en-US" w:eastAsia="zh-CN"/>
              </w:rPr>
              <w:t>2</w:t>
            </w:r>
            <w:r>
              <w:rPr>
                <w:rFonts w:hint="default" w:ascii="Times New Roman" w:hAnsi="Times New Roman" w:cs="Times New Roman"/>
                <w:color w:val="auto"/>
                <w:kern w:val="0"/>
                <w:sz w:val="24"/>
                <w:lang w:val="en-US" w:eastAsia="zh-CN"/>
              </w:rPr>
              <w:t>台加油机，</w:t>
            </w:r>
            <w:r>
              <w:rPr>
                <w:rFonts w:hint="default" w:ascii="Times New Roman" w:hAnsi="Times New Roman" w:cs="Times New Roman"/>
                <w:color w:val="auto"/>
                <w:kern w:val="0"/>
                <w:sz w:val="24"/>
              </w:rPr>
              <w:t>其中建筑垃圾交由有</w:t>
            </w:r>
            <w:r>
              <w:rPr>
                <w:rFonts w:hint="default" w:ascii="Times New Roman" w:hAnsi="Times New Roman" w:cs="Times New Roman"/>
                <w:color w:val="auto"/>
                <w:kern w:val="0"/>
                <w:sz w:val="24"/>
                <w:lang w:eastAsia="zh-CN"/>
              </w:rPr>
              <w:t>施工</w:t>
            </w:r>
            <w:r>
              <w:rPr>
                <w:rFonts w:hint="default" w:ascii="Times New Roman" w:hAnsi="Times New Roman" w:cs="Times New Roman"/>
                <w:color w:val="auto"/>
                <w:kern w:val="0"/>
                <w:sz w:val="24"/>
              </w:rPr>
              <w:t>单位运至建筑垃圾堆放地点，淘汰设备出售给回收单位。</w:t>
            </w:r>
            <w:r>
              <w:rPr>
                <w:rFonts w:hint="default" w:ascii="Times New Roman" w:hAnsi="Times New Roman" w:cs="Times New Roman"/>
                <w:color w:val="auto"/>
                <w:kern w:val="0"/>
                <w:sz w:val="24"/>
                <w:lang w:eastAsia="zh-CN"/>
              </w:rPr>
              <w:t>对环境影响不大。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施工土方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根据工程分析，项目在建设过程中地基及管网等开挖产生土方</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其中罐坑约</w:t>
            </w:r>
            <w:r>
              <w:rPr>
                <w:rFonts w:hint="eastAsia" w:ascii="Times New Roman" w:hAnsi="Times New Roman" w:cs="Times New Roman"/>
                <w:color w:val="auto"/>
                <w:sz w:val="24"/>
                <w:lang w:val="en-US" w:eastAsia="zh-CN"/>
              </w:rPr>
              <w:t>10m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vertAlign w:val="baseline"/>
                <w:lang w:val="en-US" w:eastAsia="zh-CN"/>
              </w:rPr>
              <w:t>，</w:t>
            </w:r>
            <w:r>
              <w:rPr>
                <w:rFonts w:hint="eastAsia" w:ascii="Times New Roman" w:hAnsi="Times New Roman" w:cs="Times New Roman"/>
                <w:color w:val="auto"/>
                <w:sz w:val="24"/>
                <w:lang w:val="en-US" w:eastAsia="zh-CN"/>
              </w:rPr>
              <w:t>管线、水封井等约10m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据现场踏勘，</w:t>
            </w:r>
            <w:r>
              <w:rPr>
                <w:rFonts w:hint="eastAsia" w:ascii="Times New Roman" w:hAnsi="Times New Roman" w:cs="Times New Roman"/>
                <w:color w:val="auto"/>
                <w:sz w:val="24"/>
                <w:lang w:eastAsia="zh-CN"/>
              </w:rPr>
              <w:t>项目双层罐在原址范围内更换，罐坑开挖土石方全部回填，管线及水封井开挖</w:t>
            </w:r>
            <w:r>
              <w:rPr>
                <w:rFonts w:hint="default" w:ascii="Times New Roman" w:hAnsi="Times New Roman" w:cs="Times New Roman"/>
                <w:color w:val="auto"/>
                <w:sz w:val="24"/>
              </w:rPr>
              <w:t>土</w:t>
            </w:r>
            <w:r>
              <w:rPr>
                <w:rFonts w:hint="eastAsia" w:ascii="Times New Roman" w:hAnsi="Times New Roman" w:cs="Times New Roman"/>
                <w:color w:val="auto"/>
                <w:sz w:val="24"/>
                <w:lang w:eastAsia="zh-CN"/>
              </w:rPr>
              <w:t>石方</w:t>
            </w:r>
            <w:r>
              <w:rPr>
                <w:rFonts w:hint="default" w:ascii="Times New Roman" w:hAnsi="Times New Roman" w:cs="Times New Roman"/>
                <w:color w:val="auto"/>
                <w:sz w:val="24"/>
              </w:rPr>
              <w:t>，业主拟委托</w:t>
            </w:r>
            <w:r>
              <w:rPr>
                <w:rFonts w:hint="default" w:ascii="Times New Roman" w:hAnsi="Times New Roman" w:cs="Times New Roman"/>
                <w:color w:val="auto"/>
                <w:kern w:val="0"/>
                <w:sz w:val="24"/>
                <w:lang w:eastAsia="zh-CN"/>
              </w:rPr>
              <w:t>施工</w:t>
            </w:r>
            <w:r>
              <w:rPr>
                <w:rFonts w:hint="default" w:ascii="Times New Roman" w:hAnsi="Times New Roman" w:cs="Times New Roman"/>
                <w:color w:val="auto"/>
                <w:kern w:val="0"/>
                <w:sz w:val="24"/>
              </w:rPr>
              <w:t>单位运至建筑垃圾堆放地点。</w:t>
            </w:r>
            <w:r>
              <w:rPr>
                <w:rFonts w:hint="default" w:ascii="Times New Roman" w:hAnsi="Times New Roman" w:cs="Times New Roman"/>
                <w:color w:val="auto"/>
                <w:sz w:val="24"/>
              </w:rPr>
              <w:t>废土石不外排，对环境影响不大。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240" w:firstLineChars="100"/>
              <w:jc w:val="both"/>
              <w:textAlignment w:val="auto"/>
              <w:outlineLvl w:val="9"/>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建筑</w:t>
            </w:r>
            <w:r>
              <w:rPr>
                <w:rFonts w:hint="default" w:ascii="Times New Roman" w:hAnsi="Times New Roman" w:cs="Times New Roman"/>
                <w:color w:val="auto"/>
                <w:sz w:val="24"/>
                <w:lang w:eastAsia="zh-CN"/>
              </w:rPr>
              <w:t>弃渣</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根据工程分析，</w:t>
            </w:r>
            <w:r>
              <w:rPr>
                <w:rFonts w:hint="default" w:ascii="Times New Roman" w:hAnsi="Times New Roman" w:cs="Times New Roman"/>
                <w:color w:val="auto"/>
                <w:sz w:val="24"/>
              </w:rPr>
              <w:t>项目在施工过程中产生的建筑垃</w:t>
            </w:r>
            <w:r>
              <w:rPr>
                <w:rFonts w:hint="default" w:ascii="Times New Roman" w:hAnsi="Times New Roman" w:cs="Times New Roman"/>
                <w:bCs/>
                <w:color w:val="auto"/>
                <w:sz w:val="24"/>
              </w:rPr>
              <w:t>圾量为</w:t>
            </w:r>
            <w:r>
              <w:rPr>
                <w:rFonts w:hint="eastAsia" w:ascii="Times New Roman" w:hAnsi="Times New Roman" w:cs="Times New Roman"/>
                <w:bCs/>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bCs/>
                <w:color w:val="auto"/>
                <w:sz w:val="24"/>
              </w:rPr>
              <w:t>，</w:t>
            </w:r>
            <w:r>
              <w:rPr>
                <w:rFonts w:hint="default" w:ascii="Times New Roman" w:hAnsi="Times New Roman" w:cs="Times New Roman"/>
                <w:color w:val="auto"/>
                <w:sz w:val="24"/>
              </w:rPr>
              <w:t>建筑垃圾包括散落的砂浆、废弃砖石、水泥凝结废渣、废弃铁质等，这些废弃物基本上不溶解、不腐烂变质，如处理不当，会影响景观和周围环境的质量。如果施工期固体废物处理不当，暴雨过后形成地表径流的同时，必然携带大量垃圾，这些携带物随雨水汇集到周边地区，对周边水环境造成不同程度的污染。项目应对其进行分类集中堆存，能回收利用的部分，例如木制(铁制)材料等，交回收商进行收购处置，重复利用；不能回收利用的建筑垃圾，加强管理，工程完工后，要及时收集，按建设部令第139号《城市建筑垃圾管理规定》及当地建设管理部门要求，禁止与生活垃圾混合处置，禁止随意丢弃，并委托</w:t>
            </w:r>
            <w:r>
              <w:rPr>
                <w:rFonts w:hint="default" w:ascii="Times New Roman" w:hAnsi="Times New Roman" w:cs="Times New Roman"/>
                <w:color w:val="auto"/>
                <w:sz w:val="24"/>
                <w:lang w:eastAsia="zh-CN"/>
              </w:rPr>
              <w:t>施工</w:t>
            </w:r>
            <w:r>
              <w:rPr>
                <w:rFonts w:hint="default" w:ascii="Times New Roman" w:hAnsi="Times New Roman" w:cs="Times New Roman"/>
                <w:color w:val="auto"/>
                <w:sz w:val="24"/>
              </w:rPr>
              <w:t>单位清运处置建筑垃圾</w:t>
            </w:r>
            <w:r>
              <w:rPr>
                <w:rFonts w:hint="default" w:ascii="Times New Roman" w:hAnsi="Times New Roman" w:cs="Times New Roman"/>
                <w:color w:val="auto"/>
                <w:sz w:val="24"/>
                <w:lang w:eastAsia="zh-CN"/>
              </w:rPr>
              <w:t>堆放点</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）施工人员生活垃圾</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项目施工人员的生活垃圾产生量为0.</w:t>
            </w:r>
            <w:r>
              <w:rPr>
                <w:rFonts w:hint="default" w:ascii="Times New Roman" w:hAnsi="Times New Roman" w:cs="Times New Roman"/>
                <w:color w:val="auto"/>
                <w:sz w:val="24"/>
                <w:lang w:val="en-US" w:eastAsia="zh-CN"/>
              </w:rPr>
              <w:t>23</w:t>
            </w:r>
            <w:r>
              <w:rPr>
                <w:rFonts w:hint="default" w:ascii="Times New Roman" w:hAnsi="Times New Roman" w:cs="Times New Roman"/>
                <w:color w:val="auto"/>
                <w:sz w:val="24"/>
              </w:rPr>
              <w:t>t，产生的生活垃圾集中收集后</w:t>
            </w:r>
            <w:r>
              <w:rPr>
                <w:rFonts w:hint="default" w:ascii="Times New Roman" w:hAnsi="Times New Roman" w:cs="Times New Roman"/>
                <w:color w:val="auto"/>
                <w:sz w:val="24"/>
                <w:lang w:eastAsia="zh-CN"/>
              </w:rPr>
              <w:t>运至</w:t>
            </w:r>
            <w:r>
              <w:rPr>
                <w:rFonts w:hint="eastAsia" w:ascii="Times New Roman" w:hAnsi="Times New Roman" w:cs="Times New Roman"/>
                <w:color w:val="auto"/>
                <w:sz w:val="24"/>
                <w:lang w:eastAsia="zh-CN"/>
              </w:rPr>
              <w:t>蚌峨垃圾处置点</w:t>
            </w:r>
            <w:r>
              <w:rPr>
                <w:rFonts w:hint="default" w:ascii="Times New Roman" w:hAnsi="Times New Roman" w:cs="Times New Roman"/>
                <w:color w:val="auto"/>
                <w:sz w:val="24"/>
              </w:rPr>
              <w:t>，对环境的影响不大。</w:t>
            </w:r>
          </w:p>
          <w:p>
            <w:pPr>
              <w:numPr>
                <w:ilvl w:val="0"/>
                <w:numId w:val="9"/>
              </w:num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储罐油渣</w:t>
            </w:r>
          </w:p>
          <w:p>
            <w:pPr>
              <w:numPr>
                <w:ilvl w:val="0"/>
                <w:numId w:val="0"/>
              </w:numPr>
              <w:spacing w:line="360" w:lineRule="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 xml:space="preserve">    储罐设备出售前，一定要委托有资质的单位对储罐内部残留的油渣进行清理和处置。</w:t>
            </w: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5、施工期交通影响分析及相关措施</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项目位于</w:t>
            </w:r>
            <w:r>
              <w:rPr>
                <w:rFonts w:hint="eastAsia" w:ascii="Times New Roman" w:hAnsi="Times New Roman" w:eastAsia="宋体"/>
                <w:color w:val="auto"/>
                <w:sz w:val="24"/>
                <w:lang w:eastAsia="zh-CN"/>
              </w:rPr>
              <w:t>砚山县蚌峨乡蚌峨新寨</w:t>
            </w:r>
            <w:r>
              <w:rPr>
                <w:rFonts w:hint="default" w:ascii="Times New Roman" w:hAnsi="Times New Roman" w:cs="Times New Roman"/>
                <w:color w:val="auto"/>
                <w:sz w:val="24"/>
              </w:rPr>
              <w:t>，</w:t>
            </w:r>
            <w:r>
              <w:rPr>
                <w:rFonts w:hint="eastAsia" w:ascii="Times New Roman" w:hAnsi="Times New Roman" w:eastAsia="宋体"/>
                <w:color w:val="auto"/>
                <w:sz w:val="24"/>
                <w:lang w:eastAsia="zh-CN"/>
              </w:rPr>
              <w:t>项目东侧为乡道者蚌段</w:t>
            </w:r>
            <w:r>
              <w:rPr>
                <w:rFonts w:hint="eastAsia" w:ascii="Times New Roman" w:hAnsi="Times New Roman" w:eastAsia="宋体"/>
                <w:color w:val="auto"/>
                <w:sz w:val="24"/>
                <w:lang w:val="en-US" w:eastAsia="zh-CN"/>
              </w:rPr>
              <w:t>，</w:t>
            </w:r>
            <w:r>
              <w:rPr>
                <w:rFonts w:hint="default" w:ascii="Times New Roman" w:hAnsi="Times New Roman" w:cs="Times New Roman"/>
                <w:color w:val="auto"/>
                <w:sz w:val="24"/>
              </w:rPr>
              <w:t>建设期间因运输车辆和大型机械设备出入，运输物料洒落等，会对该路段的交通造成一定的影响，为了减少其影响，环评提出如下措施：①为了不影响其它车辆的运行，项目运输车辆应文明驾驶，做到先避后让；②避免运输车辆、施工机械、物料（砖、沙石等）等占据道路；③保持该段道路路面的平整和整洁，保证过往车辆出行的安全和通畅。采取以上措施，对道路影响不大。</w:t>
            </w:r>
          </w:p>
          <w:p>
            <w:pPr>
              <w:spacing w:line="480" w:lineRule="exact"/>
              <w:ind w:firstLine="480" w:firstLineChars="200"/>
              <w:rPr>
                <w:rFonts w:hint="default" w:ascii="Times New Roman" w:hAnsi="Times New Roman" w:cs="Times New Roman"/>
                <w:color w:val="auto"/>
                <w:sz w:val="24"/>
              </w:rPr>
            </w:pPr>
          </w:p>
          <w:p>
            <w:pPr>
              <w:spacing w:line="480" w:lineRule="exact"/>
              <w:ind w:firstLine="480" w:firstLineChars="200"/>
              <w:rPr>
                <w:rFonts w:hint="default" w:ascii="Times New Roman" w:hAnsi="Times New Roman" w:cs="Times New Roman"/>
                <w:color w:val="auto"/>
                <w:sz w:val="24"/>
              </w:rPr>
            </w:pPr>
          </w:p>
          <w:p>
            <w:pPr>
              <w:spacing w:line="480" w:lineRule="exact"/>
              <w:ind w:firstLine="480" w:firstLineChars="200"/>
              <w:rPr>
                <w:rFonts w:hint="default" w:ascii="Times New Roman" w:hAnsi="Times New Roman" w:cs="Times New Roman"/>
                <w:color w:val="auto"/>
                <w:sz w:val="24"/>
              </w:rPr>
            </w:pPr>
          </w:p>
          <w:p>
            <w:pPr>
              <w:spacing w:line="480" w:lineRule="exact"/>
              <w:ind w:firstLine="480" w:firstLineChars="200"/>
              <w:rPr>
                <w:rFonts w:hint="default" w:ascii="Times New Roman" w:hAnsi="Times New Roman" w:cs="Times New Roman"/>
                <w:color w:val="auto"/>
                <w:sz w:val="24"/>
              </w:rPr>
            </w:pPr>
          </w:p>
          <w:p>
            <w:pPr>
              <w:spacing w:line="480" w:lineRule="exact"/>
              <w:ind w:firstLine="480" w:firstLineChars="200"/>
              <w:rPr>
                <w:rFonts w:hint="default" w:ascii="Times New Roman" w:hAnsi="Times New Roman" w:cs="Times New Roman"/>
                <w:color w:val="auto"/>
                <w:sz w:val="24"/>
              </w:rPr>
            </w:pPr>
          </w:p>
          <w:p>
            <w:pPr>
              <w:spacing w:line="480" w:lineRule="exact"/>
              <w:ind w:firstLine="480" w:firstLineChars="200"/>
              <w:rPr>
                <w:rFonts w:hint="default" w:ascii="Times New Roman" w:hAnsi="Times New Roman" w:cs="Times New Roman"/>
                <w:color w:val="auto"/>
                <w:sz w:val="24"/>
              </w:rPr>
            </w:pPr>
          </w:p>
          <w:p>
            <w:pPr>
              <w:spacing w:line="480" w:lineRule="exact"/>
              <w:ind w:firstLine="480" w:firstLineChars="200"/>
              <w:rPr>
                <w:rFonts w:hint="default" w:ascii="Times New Roman" w:hAnsi="Times New Roman" w:cs="Times New Roman"/>
                <w:color w:val="auto"/>
                <w:sz w:val="24"/>
              </w:rPr>
            </w:pPr>
          </w:p>
          <w:p>
            <w:pPr>
              <w:spacing w:line="480" w:lineRule="exact"/>
              <w:ind w:firstLine="480" w:firstLineChars="200"/>
              <w:rPr>
                <w:rFonts w:hint="default" w:ascii="Times New Roman" w:hAnsi="Times New Roman" w:cs="Times New Roman"/>
                <w:color w:val="auto"/>
                <w:sz w:val="24"/>
              </w:rPr>
            </w:pPr>
          </w:p>
          <w:p>
            <w:pPr>
              <w:spacing w:line="480" w:lineRule="exact"/>
              <w:ind w:firstLine="480" w:firstLineChars="200"/>
              <w:rPr>
                <w:rFonts w:hint="default" w:ascii="Times New Roman" w:hAnsi="Times New Roman" w:cs="Times New Roman"/>
                <w:color w:val="auto"/>
                <w:sz w:val="24"/>
              </w:rPr>
            </w:pPr>
          </w:p>
          <w:p>
            <w:pPr>
              <w:spacing w:line="480" w:lineRule="exact"/>
              <w:ind w:firstLine="480" w:firstLineChars="200"/>
              <w:rPr>
                <w:rFonts w:hint="default" w:ascii="Times New Roman" w:hAnsi="Times New Roman" w:cs="Times New Roman"/>
                <w:color w:val="auto"/>
                <w:sz w:val="24"/>
              </w:rPr>
            </w:pPr>
          </w:p>
          <w:p>
            <w:pPr>
              <w:spacing w:line="480" w:lineRule="exact"/>
              <w:rPr>
                <w:rFonts w:hint="default" w:ascii="Times New Roman" w:hAnsi="Times New Roman" w:cs="Times New Roman"/>
                <w:color w:val="auto"/>
                <w:sz w:val="24"/>
              </w:rPr>
            </w:pPr>
            <w:r>
              <w:rPr>
                <w:rFonts w:hint="eastAsia" w:ascii="Times New Roman" w:hAnsi="Times New Roman" w:cs="Times New Roman"/>
                <w:b/>
                <w:snapToGrid w:val="0"/>
                <w:color w:val="auto"/>
                <w:kern w:val="0"/>
                <w:sz w:val="28"/>
                <w:szCs w:val="28"/>
                <w:lang w:eastAsia="zh-CN"/>
              </w:rPr>
              <w:t>二</w:t>
            </w:r>
            <w:r>
              <w:rPr>
                <w:rFonts w:hint="default" w:ascii="Times New Roman" w:hAnsi="Times New Roman" w:cs="Times New Roman"/>
                <w:b/>
                <w:snapToGrid w:val="0"/>
                <w:color w:val="auto"/>
                <w:kern w:val="0"/>
                <w:sz w:val="28"/>
                <w:szCs w:val="28"/>
              </w:rPr>
              <w:t>、营运期环境影响分析以及污染防治措施</w:t>
            </w:r>
          </w:p>
          <w:p>
            <w:pPr>
              <w:spacing w:line="360" w:lineRule="auto"/>
              <w:ind w:firstLine="241" w:firstLineChars="100"/>
              <w:rPr>
                <w:rFonts w:hint="default" w:ascii="Times New Roman" w:hAnsi="Times New Roman" w:cs="Times New Roman"/>
                <w:b/>
                <w:color w:val="auto"/>
                <w:sz w:val="24"/>
              </w:rPr>
            </w:pPr>
            <w:r>
              <w:rPr>
                <w:rFonts w:hint="default" w:ascii="Times New Roman" w:hAnsi="Times New Roman" w:cs="Times New Roman"/>
                <w:b/>
                <w:color w:val="auto"/>
                <w:sz w:val="24"/>
              </w:rPr>
              <w:t>1、营运期水环境影响分析以及环保措施</w:t>
            </w:r>
          </w:p>
          <w:p>
            <w:pPr>
              <w:spacing w:line="360" w:lineRule="auto"/>
              <w:ind w:firstLine="600" w:firstLineChars="250"/>
              <w:outlineLvl w:val="0"/>
              <w:rPr>
                <w:rFonts w:hint="default" w:ascii="Times New Roman" w:hAnsi="Times New Roman" w:cs="Times New Roman"/>
                <w:color w:val="auto"/>
                <w:sz w:val="24"/>
              </w:rPr>
            </w:pPr>
            <w:r>
              <w:rPr>
                <w:rFonts w:hint="default" w:ascii="Times New Roman" w:hAnsi="Times New Roman" w:cs="Times New Roman"/>
                <w:color w:val="auto"/>
                <w:sz w:val="24"/>
              </w:rPr>
              <w:t>项目运营期废水总产生量为</w:t>
            </w:r>
            <w:r>
              <w:rPr>
                <w:rFonts w:hint="eastAsia" w:ascii="Times New Roman" w:hAnsi="Times New Roman" w:cs="Times New Roman"/>
                <w:color w:val="auto"/>
                <w:sz w:val="24"/>
                <w:lang w:val="en-US" w:eastAsia="zh-CN"/>
              </w:rPr>
              <w:t>166.44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/a，其中生活污水产生总量为</w:t>
            </w:r>
            <w:r>
              <w:rPr>
                <w:rFonts w:hint="eastAsia" w:ascii="Times New Roman" w:hAnsi="Times New Roman" w:cs="Times New Roman"/>
                <w:color w:val="auto"/>
                <w:sz w:val="24"/>
                <w:lang w:val="en-US" w:eastAsia="zh-CN"/>
              </w:rPr>
              <w:t>138.41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/a，办公生活区地面清洗废水产生量</w:t>
            </w:r>
            <w:r>
              <w:rPr>
                <w:rFonts w:hint="eastAsia" w:ascii="Times New Roman" w:hAnsi="Times New Roman" w:cs="Times New Roman"/>
                <w:color w:val="auto"/>
                <w:sz w:val="24"/>
                <w:lang w:val="en-US" w:eastAsia="zh-CN"/>
              </w:rPr>
              <w:t>28.03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/a。项目拟将生活污水和办公生活区清洗废水共</w:t>
            </w:r>
            <w:r>
              <w:rPr>
                <w:rFonts w:hint="eastAsia" w:ascii="Times New Roman" w:hAnsi="Times New Roman" w:cs="Times New Roman"/>
                <w:color w:val="auto"/>
                <w:sz w:val="24"/>
                <w:lang w:val="en-US" w:eastAsia="zh-CN"/>
              </w:rPr>
              <w:t>166.44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/a，通过废水收集管道收集至化粪池，经化粪池处理后提供给周边的农户用作农肥</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拟将场区雨水经雨水管道收集至水封井，经水封井处理后排放。</w:t>
            </w:r>
          </w:p>
          <w:p>
            <w:pPr>
              <w:spacing w:line="480" w:lineRule="exact"/>
              <w:ind w:firstLine="482" w:firstLineChars="200"/>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（1）生活污水处理可行性</w:t>
            </w:r>
          </w:p>
          <w:p>
            <w:pPr>
              <w:spacing w:line="480" w:lineRule="exact"/>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项目废水主要来自</w:t>
            </w:r>
            <w:r>
              <w:rPr>
                <w:rFonts w:hint="eastAsia" w:ascii="Times New Roman" w:hAnsi="Times New Roman" w:cs="Times New Roman"/>
                <w:snapToGrid w:val="0"/>
                <w:color w:val="auto"/>
                <w:kern w:val="0"/>
                <w:sz w:val="24"/>
                <w:lang w:eastAsia="zh-CN"/>
              </w:rPr>
              <w:t>人员</w:t>
            </w:r>
            <w:r>
              <w:rPr>
                <w:rFonts w:hint="default" w:ascii="Times New Roman" w:hAnsi="Times New Roman" w:cs="Times New Roman"/>
                <w:snapToGrid w:val="0"/>
                <w:color w:val="auto"/>
                <w:kern w:val="0"/>
                <w:sz w:val="24"/>
              </w:rPr>
              <w:t>生活污水和办公生活区清洁废水，产生量为</w:t>
            </w:r>
            <w:bookmarkStart w:id="2" w:name="OLE_LINK10"/>
            <w:r>
              <w:rPr>
                <w:rFonts w:hint="eastAsia" w:ascii="Times New Roman" w:hAnsi="Times New Roman" w:cs="Times New Roman"/>
                <w:snapToGrid w:val="0"/>
                <w:color w:val="auto"/>
                <w:kern w:val="0"/>
                <w:sz w:val="24"/>
                <w:lang w:val="en-US" w:eastAsia="zh-CN"/>
              </w:rPr>
              <w:t>166.44</w:t>
            </w:r>
            <w:r>
              <w:rPr>
                <w:rFonts w:hint="default" w:ascii="Times New Roman" w:hAnsi="Times New Roman" w:cs="Times New Roman"/>
                <w:snapToGrid w:val="0"/>
                <w:color w:val="auto"/>
                <w:kern w:val="0"/>
                <w:sz w:val="24"/>
              </w:rPr>
              <w:t>m</w:t>
            </w:r>
            <w:r>
              <w:rPr>
                <w:rFonts w:hint="default" w:ascii="Times New Roman" w:hAnsi="Times New Roman" w:cs="Times New Roman"/>
                <w:snapToGrid w:val="0"/>
                <w:color w:val="auto"/>
                <w:kern w:val="0"/>
                <w:sz w:val="24"/>
                <w:vertAlign w:val="superscript"/>
              </w:rPr>
              <w:t>3</w:t>
            </w:r>
            <w:bookmarkEnd w:id="2"/>
            <w:r>
              <w:rPr>
                <w:rFonts w:hint="default" w:ascii="Times New Roman" w:hAnsi="Times New Roman" w:cs="Times New Roman"/>
                <w:snapToGrid w:val="0"/>
                <w:color w:val="auto"/>
                <w:kern w:val="0"/>
                <w:sz w:val="24"/>
              </w:rPr>
              <w:t>/a，主要包括站区职工生活污水</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snapToGrid w:val="0"/>
                <w:color w:val="auto"/>
                <w:kern w:val="0"/>
                <w:sz w:val="24"/>
              </w:rPr>
              <w:t>顾客公厕废水</w:t>
            </w:r>
            <w:r>
              <w:rPr>
                <w:rFonts w:hint="default" w:ascii="Times New Roman" w:hAnsi="Times New Roman" w:cs="Times New Roman"/>
                <w:snapToGrid w:val="0"/>
                <w:color w:val="auto"/>
                <w:kern w:val="0"/>
                <w:sz w:val="24"/>
                <w:lang w:eastAsia="zh-CN"/>
              </w:rPr>
              <w:t>、办公生活区清洗废水</w:t>
            </w:r>
            <w:r>
              <w:rPr>
                <w:rFonts w:hint="default" w:ascii="Times New Roman" w:hAnsi="Times New Roman" w:cs="Times New Roman"/>
                <w:snapToGrid w:val="0"/>
                <w:color w:val="auto"/>
                <w:kern w:val="0"/>
                <w:sz w:val="24"/>
              </w:rPr>
              <w:t>，</w:t>
            </w:r>
            <w:r>
              <w:rPr>
                <w:rFonts w:hint="default" w:ascii="Times New Roman" w:hAnsi="Times New Roman" w:cs="Times New Roman"/>
                <w:color w:val="auto"/>
                <w:sz w:val="24"/>
              </w:rPr>
              <w:t>污水中的主要污染物为COD、BOD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、SS、NH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-N和动植物油，</w:t>
            </w:r>
            <w:r>
              <w:rPr>
                <w:rFonts w:hint="default" w:ascii="Times New Roman" w:hAnsi="Times New Roman" w:cs="Times New Roman"/>
                <w:snapToGrid w:val="0"/>
                <w:color w:val="auto"/>
                <w:kern w:val="0"/>
                <w:sz w:val="24"/>
              </w:rPr>
              <w:t>经化粪池处理后提供给周边的农户用作农肥。</w:t>
            </w:r>
          </w:p>
          <w:p>
            <w:pPr>
              <w:spacing w:line="480" w:lineRule="exact"/>
              <w:ind w:firstLine="482" w:firstLineChars="200"/>
              <w:rPr>
                <w:rFonts w:hint="default" w:ascii="Times New Roman" w:hAnsi="Times New Roman" w:cs="Times New Roman"/>
                <w:snapToGrid w:val="0"/>
                <w:color w:val="auto"/>
                <w:kern w:val="0"/>
                <w:sz w:val="24"/>
                <w:lang w:eastAsia="zh-CN"/>
              </w:rPr>
            </w:pPr>
            <w:r>
              <w:rPr>
                <w:rFonts w:hint="default" w:ascii="Times New Roman" w:hAnsi="Times New Roman" w:cs="Times New Roman"/>
                <w:b/>
                <w:snapToGrid w:val="0"/>
                <w:color w:val="auto"/>
                <w:kern w:val="0"/>
                <w:sz w:val="24"/>
              </w:rPr>
              <w:t>生活污水经化粪池处理可行性分析</w:t>
            </w:r>
            <w:r>
              <w:rPr>
                <w:rFonts w:hint="default" w:ascii="Times New Roman" w:hAnsi="Times New Roman" w:cs="Times New Roman"/>
                <w:snapToGrid w:val="0"/>
                <w:color w:val="auto"/>
                <w:kern w:val="0"/>
                <w:sz w:val="24"/>
              </w:rPr>
              <w:t>：</w:t>
            </w:r>
            <w:r>
              <w:rPr>
                <w:rFonts w:hint="eastAsia" w:ascii="Times New Roman" w:hAnsi="Times New Roman" w:cs="Times New Roman"/>
                <w:snapToGrid w:val="0"/>
                <w:color w:val="auto"/>
                <w:kern w:val="0"/>
                <w:sz w:val="24"/>
                <w:lang w:eastAsia="zh-CN"/>
              </w:rPr>
              <w:t>根据工程分析，</w:t>
            </w:r>
            <w:r>
              <w:rPr>
                <w:rFonts w:hint="default" w:ascii="Times New Roman" w:hAnsi="Times New Roman" w:cs="Times New Roman"/>
                <w:snapToGrid w:val="0"/>
                <w:color w:val="auto"/>
                <w:kern w:val="0"/>
                <w:sz w:val="24"/>
              </w:rPr>
              <w:t>项目日产污水量最大为</w:t>
            </w:r>
            <w:r>
              <w:rPr>
                <w:rFonts w:hint="eastAsia" w:ascii="Times New Roman" w:hAnsi="Times New Roman" w:cs="Times New Roman"/>
                <w:snapToGrid w:val="0"/>
                <w:color w:val="auto"/>
                <w:kern w:val="0"/>
                <w:sz w:val="24"/>
                <w:lang w:val="en-US" w:eastAsia="zh-CN"/>
              </w:rPr>
              <w:t>0.76</w:t>
            </w:r>
            <w:r>
              <w:rPr>
                <w:rFonts w:hint="default" w:ascii="Times New Roman" w:hAnsi="Times New Roman" w:cs="Times New Roman"/>
                <w:snapToGrid w:val="0"/>
                <w:color w:val="auto"/>
                <w:kern w:val="0"/>
                <w:sz w:val="24"/>
              </w:rPr>
              <w:t>m</w:t>
            </w:r>
            <w:r>
              <w:rPr>
                <w:rFonts w:hint="default" w:ascii="Times New Roman" w:hAnsi="Times New Roman" w:cs="Times New Roman"/>
                <w:snapToGrid w:val="0"/>
                <w:color w:val="auto"/>
                <w:kern w:val="0"/>
                <w:sz w:val="24"/>
                <w:vertAlign w:val="superscript"/>
              </w:rPr>
              <w:t>3</w:t>
            </w:r>
            <w:r>
              <w:rPr>
                <w:rFonts w:hint="default" w:ascii="Times New Roman" w:hAnsi="Times New Roman" w:cs="Times New Roman"/>
                <w:snapToGrid w:val="0"/>
                <w:color w:val="auto"/>
                <w:kern w:val="0"/>
                <w:sz w:val="24"/>
              </w:rPr>
              <w:t>，</w:t>
            </w:r>
            <w:r>
              <w:rPr>
                <w:rFonts w:hint="default" w:ascii="Times New Roman" w:hAnsi="Times New Roman" w:cs="Times New Roman"/>
                <w:snapToGrid w:val="0"/>
                <w:color w:val="auto"/>
                <w:kern w:val="0"/>
                <w:sz w:val="24"/>
                <w:lang w:eastAsia="zh-CN"/>
              </w:rPr>
              <w:t>项目</w:t>
            </w:r>
            <w:r>
              <w:rPr>
                <w:rFonts w:hint="eastAsia" w:ascii="Times New Roman" w:hAnsi="Times New Roman" w:cs="Times New Roman"/>
                <w:snapToGrid w:val="0"/>
                <w:color w:val="auto"/>
                <w:kern w:val="0"/>
                <w:sz w:val="24"/>
                <w:lang w:eastAsia="zh-CN"/>
              </w:rPr>
              <w:t>建有</w:t>
            </w:r>
            <w:r>
              <w:rPr>
                <w:rFonts w:hint="default" w:ascii="Times New Roman" w:hAnsi="Times New Roman" w:cs="Times New Roman"/>
                <w:snapToGrid w:val="0"/>
                <w:color w:val="auto"/>
                <w:kern w:val="0"/>
                <w:sz w:val="24"/>
                <w:lang w:eastAsia="zh-CN"/>
              </w:rPr>
              <w:t>一个</w:t>
            </w:r>
            <w:r>
              <w:rPr>
                <w:rFonts w:hint="default" w:ascii="Times New Roman" w:hAnsi="Times New Roman" w:cs="Times New Roman"/>
                <w:snapToGrid w:val="0"/>
                <w:color w:val="auto"/>
                <w:kern w:val="0"/>
                <w:sz w:val="24"/>
              </w:rPr>
              <w:t>容积为</w:t>
            </w:r>
            <w:r>
              <w:rPr>
                <w:rFonts w:hint="eastAsia" w:ascii="Times New Roman" w:hAnsi="Times New Roman" w:cs="Times New Roman"/>
                <w:snapToGrid w:val="0"/>
                <w:color w:val="auto"/>
                <w:kern w:val="0"/>
                <w:sz w:val="24"/>
                <w:lang w:val="en-US" w:eastAsia="zh-CN"/>
              </w:rPr>
              <w:t>20</w:t>
            </w:r>
            <w:r>
              <w:rPr>
                <w:rFonts w:hint="default" w:ascii="Times New Roman" w:hAnsi="Times New Roman" w:cs="Times New Roman"/>
                <w:snapToGrid w:val="0"/>
                <w:color w:val="auto"/>
                <w:kern w:val="0"/>
                <w:sz w:val="24"/>
              </w:rPr>
              <w:t>m</w:t>
            </w:r>
            <w:r>
              <w:rPr>
                <w:rFonts w:hint="default" w:ascii="Times New Roman" w:hAnsi="Times New Roman" w:cs="Times New Roman"/>
                <w:snapToGrid w:val="0"/>
                <w:color w:val="auto"/>
                <w:kern w:val="0"/>
                <w:sz w:val="24"/>
                <w:vertAlign w:val="superscript"/>
              </w:rPr>
              <w:t>3</w:t>
            </w:r>
            <w:r>
              <w:rPr>
                <w:rFonts w:hint="default" w:ascii="Times New Roman" w:hAnsi="Times New Roman" w:cs="Times New Roman"/>
                <w:snapToGrid w:val="0"/>
                <w:color w:val="auto"/>
                <w:kern w:val="0"/>
                <w:sz w:val="24"/>
              </w:rPr>
              <w:t>的化粪池来收集污水，可以存储</w:t>
            </w:r>
            <w:r>
              <w:rPr>
                <w:rFonts w:hint="eastAsia" w:ascii="Times New Roman" w:hAnsi="Times New Roman" w:cs="Times New Roman"/>
                <w:snapToGrid w:val="0"/>
                <w:color w:val="auto"/>
                <w:kern w:val="0"/>
                <w:sz w:val="24"/>
                <w:lang w:val="en-US" w:eastAsia="zh-CN"/>
              </w:rPr>
              <w:t>26.3</w:t>
            </w:r>
            <w:r>
              <w:rPr>
                <w:rFonts w:hint="default" w:ascii="Times New Roman" w:hAnsi="Times New Roman" w:cs="Times New Roman"/>
                <w:snapToGrid w:val="0"/>
                <w:color w:val="auto"/>
                <w:kern w:val="0"/>
                <w:sz w:val="24"/>
              </w:rPr>
              <w:t>天的污水量，项目</w:t>
            </w:r>
            <w:r>
              <w:rPr>
                <w:rFonts w:hint="eastAsia" w:ascii="Times New Roman" w:hAnsi="Times New Roman" w:cs="Times New Roman"/>
                <w:snapToGrid w:val="0"/>
                <w:color w:val="auto"/>
                <w:kern w:val="0"/>
                <w:sz w:val="24"/>
                <w:lang w:eastAsia="zh-CN"/>
              </w:rPr>
              <w:t>东侧、西北侧</w:t>
            </w:r>
            <w:r>
              <w:rPr>
                <w:rFonts w:hint="default" w:ascii="Times New Roman" w:hAnsi="Times New Roman" w:cs="Times New Roman"/>
                <w:snapToGrid w:val="0"/>
                <w:color w:val="auto"/>
                <w:kern w:val="0"/>
                <w:sz w:val="24"/>
                <w:lang w:val="en-US" w:eastAsia="zh-CN"/>
              </w:rPr>
              <w:t>有大</w:t>
            </w:r>
            <w:r>
              <w:rPr>
                <w:rFonts w:hint="eastAsia" w:ascii="Times New Roman" w:hAnsi="Times New Roman" w:cs="Times New Roman"/>
                <w:snapToGrid w:val="0"/>
                <w:color w:val="auto"/>
                <w:kern w:val="0"/>
                <w:sz w:val="24"/>
                <w:lang w:val="en-US" w:eastAsia="zh-CN"/>
              </w:rPr>
              <w:t>片旱地</w:t>
            </w:r>
            <w:r>
              <w:rPr>
                <w:rFonts w:hint="default" w:ascii="Times New Roman" w:hAnsi="Times New Roman" w:cs="Times New Roman"/>
                <w:snapToGrid w:val="0"/>
                <w:color w:val="auto"/>
                <w:kern w:val="0"/>
                <w:sz w:val="24"/>
                <w:lang w:eastAsia="zh-CN"/>
              </w:rPr>
              <w:t>，需要大量的农肥，</w:t>
            </w:r>
            <w:r>
              <w:rPr>
                <w:rFonts w:hint="default" w:ascii="Times New Roman" w:hAnsi="Times New Roman" w:cs="Times New Roman"/>
                <w:snapToGrid w:val="0"/>
                <w:color w:val="auto"/>
                <w:kern w:val="0"/>
                <w:sz w:val="24"/>
              </w:rPr>
              <w:t>业主</w:t>
            </w:r>
            <w:r>
              <w:rPr>
                <w:rFonts w:hint="default" w:ascii="Times New Roman" w:hAnsi="Times New Roman" w:cs="Times New Roman"/>
                <w:snapToGrid w:val="0"/>
                <w:color w:val="auto"/>
                <w:kern w:val="0"/>
                <w:sz w:val="24"/>
                <w:lang w:eastAsia="zh-CN"/>
              </w:rPr>
              <w:t>通过与周边的农户签订协议，</w:t>
            </w:r>
            <w:r>
              <w:rPr>
                <w:rFonts w:hint="default" w:ascii="Times New Roman" w:hAnsi="Times New Roman" w:cs="Times New Roman"/>
                <w:snapToGrid w:val="0"/>
                <w:color w:val="auto"/>
                <w:kern w:val="0"/>
                <w:sz w:val="24"/>
              </w:rPr>
              <w:t>委托周边的农户</w:t>
            </w:r>
            <w:r>
              <w:rPr>
                <w:rFonts w:hint="default" w:ascii="Times New Roman" w:hAnsi="Times New Roman" w:cs="Times New Roman"/>
                <w:snapToGrid w:val="0"/>
                <w:color w:val="auto"/>
                <w:kern w:val="0"/>
                <w:sz w:val="24"/>
                <w:lang w:eastAsia="zh-CN"/>
              </w:rPr>
              <w:t>每</w:t>
            </w:r>
            <w:r>
              <w:rPr>
                <w:rFonts w:hint="eastAsia" w:ascii="Times New Roman" w:hAnsi="Times New Roman" w:cs="Times New Roman"/>
                <w:snapToGrid w:val="0"/>
                <w:color w:val="auto"/>
                <w:kern w:val="0"/>
                <w:sz w:val="24"/>
                <w:lang w:val="en-US" w:eastAsia="zh-CN"/>
              </w:rPr>
              <w:t>20</w:t>
            </w:r>
            <w:r>
              <w:rPr>
                <w:rFonts w:hint="default" w:ascii="Times New Roman" w:hAnsi="Times New Roman" w:cs="Times New Roman"/>
                <w:snapToGrid w:val="0"/>
                <w:color w:val="auto"/>
                <w:kern w:val="0"/>
                <w:sz w:val="24"/>
              </w:rPr>
              <w:t>天清掏一次，可以保证污水不长时间存储。综上</w:t>
            </w:r>
            <w:r>
              <w:rPr>
                <w:rFonts w:hint="eastAsia" w:ascii="Times New Roman" w:hAnsi="Times New Roman" w:cs="Times New Roman"/>
                <w:snapToGrid w:val="0"/>
                <w:color w:val="auto"/>
                <w:kern w:val="0"/>
                <w:sz w:val="24"/>
                <w:lang w:eastAsia="zh-CN"/>
              </w:rPr>
              <w:t>，</w:t>
            </w:r>
            <w:r>
              <w:rPr>
                <w:rFonts w:hint="default" w:ascii="Times New Roman" w:hAnsi="Times New Roman" w:cs="Times New Roman"/>
                <w:snapToGrid w:val="0"/>
                <w:color w:val="auto"/>
                <w:kern w:val="0"/>
                <w:sz w:val="24"/>
              </w:rPr>
              <w:t>项目生活废水和站内清洗废水经化粪池处理后</w:t>
            </w:r>
            <w:r>
              <w:rPr>
                <w:rFonts w:hint="eastAsia" w:ascii="Times New Roman" w:hAnsi="Times New Roman" w:cs="Times New Roman"/>
                <w:snapToGrid w:val="0"/>
                <w:color w:val="auto"/>
                <w:kern w:val="0"/>
                <w:sz w:val="24"/>
                <w:lang w:eastAsia="zh-CN"/>
              </w:rPr>
              <w:t>提供给周边的农户用作农肥，</w:t>
            </w:r>
            <w:r>
              <w:rPr>
                <w:rFonts w:hint="default" w:ascii="Times New Roman" w:hAnsi="Times New Roman" w:cs="Times New Roman"/>
                <w:snapToGrid w:val="0"/>
                <w:color w:val="auto"/>
                <w:kern w:val="0"/>
                <w:sz w:val="24"/>
              </w:rPr>
              <w:t>可及时有效的处理，对周边环境影响不大。</w:t>
            </w:r>
            <w:r>
              <w:rPr>
                <w:rFonts w:hint="default" w:ascii="Times New Roman" w:hAnsi="Times New Roman" w:cs="Times New Roman"/>
                <w:snapToGrid w:val="0"/>
                <w:color w:val="auto"/>
                <w:kern w:val="0"/>
                <w:sz w:val="24"/>
                <w:lang w:eastAsia="zh-CN"/>
              </w:rPr>
              <w:t>项目生活污水受纳点详见下图：</w:t>
            </w:r>
          </w:p>
          <w:p>
            <w:pPr>
              <w:spacing w:line="480" w:lineRule="exact"/>
              <w:ind w:firstLine="480" w:firstLineChars="200"/>
              <w:rPr>
                <w:rFonts w:hint="default" w:ascii="Times New Roman" w:hAnsi="Times New Roman" w:cs="Times New Roman"/>
                <w:snapToGrid w:val="0"/>
                <w:color w:val="auto"/>
                <w:kern w:val="0"/>
                <w:sz w:val="24"/>
                <w:lang w:eastAsia="zh-CN"/>
              </w:rPr>
            </w:pPr>
            <w:r>
              <w:rPr>
                <w:rFonts w:hint="default" w:ascii="Times New Roman" w:hAnsi="Times New Roman" w:cs="Times New Roman"/>
                <w:snapToGrid w:val="0"/>
                <w:color w:val="auto"/>
                <w:kern w:val="0"/>
                <w:sz w:val="24"/>
                <w:lang w:eastAsia="zh-CN"/>
              </w:rPr>
              <w:drawing>
                <wp:anchor distT="0" distB="0" distL="114300" distR="114300" simplePos="0" relativeHeight="251658240" behindDoc="1" locked="0" layoutInCell="1" allowOverlap="1">
                  <wp:simplePos x="0" y="0"/>
                  <wp:positionH relativeFrom="column">
                    <wp:posOffset>447675</wp:posOffset>
                  </wp:positionH>
                  <wp:positionV relativeFrom="paragraph">
                    <wp:posOffset>37465</wp:posOffset>
                  </wp:positionV>
                  <wp:extent cx="5051425" cy="3597275"/>
                  <wp:effectExtent l="0" t="0" r="15875" b="3175"/>
                  <wp:wrapNone/>
                  <wp:docPr id="1" name="图片 1888" descr="QQ截图2019061511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88" descr="QQ截图20190615114122"/>
                          <pic:cNvPicPr>
                            <a:picLocks noChangeAspect="1"/>
                          </pic:cNvPicPr>
                        </pic:nvPicPr>
                        <pic:blipFill>
                          <a:blip r:embed="rId24"/>
                          <a:stretch>
                            <a:fillRect/>
                          </a:stretch>
                        </pic:blipFill>
                        <pic:spPr>
                          <a:xfrm>
                            <a:off x="0" y="0"/>
                            <a:ext cx="5051425" cy="3597275"/>
                          </a:xfrm>
                          <a:prstGeom prst="rect">
                            <a:avLst/>
                          </a:prstGeom>
                          <a:noFill/>
                          <a:ln w="9525">
                            <a:noFill/>
                          </a:ln>
                        </pic:spPr>
                      </pic:pic>
                    </a:graphicData>
                  </a:graphic>
                </wp:anchor>
              </w:drawing>
            </w:r>
          </w:p>
          <w:p>
            <w:pPr>
              <w:spacing w:line="480" w:lineRule="exact"/>
              <w:ind w:firstLine="480" w:firstLineChars="200"/>
              <w:rPr>
                <w:rFonts w:hint="default" w:ascii="Times New Roman" w:hAnsi="Times New Roman" w:cs="Times New Roman"/>
                <w:snapToGrid w:val="0"/>
                <w:color w:val="auto"/>
                <w:kern w:val="0"/>
                <w:sz w:val="24"/>
                <w:lang w:eastAsia="zh-CN"/>
              </w:rPr>
            </w:pPr>
          </w:p>
          <w:p>
            <w:pPr>
              <w:spacing w:line="480" w:lineRule="exact"/>
              <w:ind w:firstLine="480" w:firstLineChars="200"/>
              <w:rPr>
                <w:rFonts w:hint="default" w:ascii="Times New Roman" w:hAnsi="Times New Roman" w:cs="Times New Roman"/>
                <w:snapToGrid w:val="0"/>
                <w:color w:val="auto"/>
                <w:kern w:val="0"/>
                <w:sz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676672" behindDoc="0" locked="0" layoutInCell="1" allowOverlap="1">
                      <wp:simplePos x="0" y="0"/>
                      <wp:positionH relativeFrom="column">
                        <wp:posOffset>3455035</wp:posOffset>
                      </wp:positionH>
                      <wp:positionV relativeFrom="paragraph">
                        <wp:posOffset>9525</wp:posOffset>
                      </wp:positionV>
                      <wp:extent cx="714375" cy="733425"/>
                      <wp:effectExtent l="560070" t="5080" r="20955" b="4445"/>
                      <wp:wrapNone/>
                      <wp:docPr id="194" name="自选图形 1889"/>
                      <wp:cNvGraphicFramePr/>
                      <a:graphic xmlns:a="http://schemas.openxmlformats.org/drawingml/2006/main">
                        <a:graphicData uri="http://schemas.microsoft.com/office/word/2010/wordprocessingShape">
                          <wps:wsp>
                            <wps:cNvSpPr/>
                            <wps:spPr>
                              <a:xfrm>
                                <a:off x="0" y="0"/>
                                <a:ext cx="714375" cy="733425"/>
                              </a:xfrm>
                              <a:prstGeom prst="wedgeRectCallout">
                                <a:avLst>
                                  <a:gd name="adj1" fmla="val -124486"/>
                                  <a:gd name="adj2" fmla="val 1484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生活污水受纳区域</w:t>
                                  </w:r>
                                </w:p>
                              </w:txbxContent>
                            </wps:txbx>
                            <wps:bodyPr vert="horz" wrap="square" anchor="t" upright="1"/>
                          </wps:wsp>
                        </a:graphicData>
                      </a:graphic>
                    </wp:anchor>
                  </w:drawing>
                </mc:Choice>
                <mc:Fallback>
                  <w:pict>
                    <v:shape id="自选图形 1889" o:spid="_x0000_s1026" o:spt="61" type="#_x0000_t61" style="position:absolute;left:0pt;margin-left:272.05pt;margin-top:0.75pt;height:57.75pt;width:56.25pt;z-index:251676672;mso-width-relative:page;mso-height-relative:page;" fillcolor="#FFFFFF" filled="t" stroked="t" coordsize="21600,21600" o:gfxdata="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CN3JU1QAAAAkB&#10;AAAPAAAAAAAAAAEAIAAAACIAAABkcnMvZG93bnJldi54bWxQSwECFAAUAAAACACHTuJA+VzCx1cC&#10;AAC3BAAADgAAAAAAAAABACAAAAAkAQAAZHJzL2Uyb0RvYy54bWxQSwUGAAAAAAYABgBZAQAA7QUA&#10;AAAA&#10;" adj="-16089,14007">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生活污水受纳区域</w:t>
                            </w:r>
                          </w:p>
                        </w:txbxContent>
                      </v:textbox>
                    </v:shape>
                  </w:pict>
                </mc:Fallback>
              </mc:AlternateContent>
            </w:r>
          </w:p>
          <w:p>
            <w:pPr>
              <w:spacing w:line="480" w:lineRule="exact"/>
              <w:ind w:firstLine="480" w:firstLineChars="200"/>
              <w:rPr>
                <w:rFonts w:hint="default" w:ascii="Times New Roman" w:hAnsi="Times New Roman" w:cs="Times New Roman"/>
                <w:snapToGrid w:val="0"/>
                <w:color w:val="auto"/>
                <w:kern w:val="0"/>
                <w:sz w:val="24"/>
                <w:lang w:eastAsia="zh-CN"/>
              </w:rPr>
            </w:pPr>
          </w:p>
          <w:p>
            <w:pPr>
              <w:spacing w:line="480" w:lineRule="exact"/>
              <w:ind w:firstLine="480" w:firstLineChars="200"/>
              <w:rPr>
                <w:rFonts w:hint="default" w:ascii="Times New Roman" w:hAnsi="Times New Roman" w:cs="Times New Roman"/>
                <w:snapToGrid w:val="0"/>
                <w:color w:val="auto"/>
                <w:kern w:val="0"/>
                <w:sz w:val="24"/>
                <w:lang w:eastAsia="zh-CN"/>
              </w:rPr>
            </w:pPr>
          </w:p>
          <w:p>
            <w:pPr>
              <w:spacing w:line="480" w:lineRule="exact"/>
              <w:ind w:firstLine="480" w:firstLineChars="200"/>
              <w:rPr>
                <w:rFonts w:hint="default" w:ascii="Times New Roman" w:hAnsi="Times New Roman" w:cs="Times New Roman"/>
                <w:snapToGrid w:val="0"/>
                <w:color w:val="auto"/>
                <w:kern w:val="0"/>
                <w:sz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1283970</wp:posOffset>
                      </wp:positionH>
                      <wp:positionV relativeFrom="paragraph">
                        <wp:posOffset>69215</wp:posOffset>
                      </wp:positionV>
                      <wp:extent cx="744855" cy="490855"/>
                      <wp:effectExtent l="4445" t="4445" r="355600" b="76200"/>
                      <wp:wrapNone/>
                      <wp:docPr id="102" name="自选图形 1283"/>
                      <wp:cNvGraphicFramePr/>
                      <a:graphic xmlns:a="http://schemas.openxmlformats.org/drawingml/2006/main">
                        <a:graphicData uri="http://schemas.microsoft.com/office/word/2010/wordprocessingShape">
                          <wps:wsp>
                            <wps:cNvSpPr/>
                            <wps:spPr>
                              <a:xfrm flipH="1" flipV="1">
                                <a:off x="0" y="0"/>
                                <a:ext cx="744855" cy="490855"/>
                              </a:xfrm>
                              <a:prstGeom prst="wedgeRectCallout">
                                <a:avLst>
                                  <a:gd name="adj1" fmla="val -93046"/>
                                  <a:gd name="adj2" fmla="val -6151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项目位置所在地</w:t>
                                  </w:r>
                                </w:p>
                              </w:txbxContent>
                            </wps:txbx>
                            <wps:bodyPr vert="horz" wrap="square" anchor="t" upright="1"/>
                          </wps:wsp>
                        </a:graphicData>
                      </a:graphic>
                    </wp:anchor>
                  </w:drawing>
                </mc:Choice>
                <mc:Fallback>
                  <w:pict>
                    <v:shape id="自选图形 1283" o:spid="_x0000_s1026" o:spt="61" type="#_x0000_t61" style="position:absolute;left:0pt;flip:x y;margin-left:101.1pt;margin-top:5.45pt;height:38.65pt;width:58.65pt;z-index:251666432;mso-width-relative:page;mso-height-relative:page;" fillcolor="#FFFFFF" filled="t" stroked="t" coordsize="21600,21600" o:gfxdata="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x78tkAAAAJAQAADwAAAAAAAAABACAAAAAiAAAAZHJzL2Rvd25yZXYueG1sUEsBAhQAFAAA&#10;AAgAh07iQMR2l9VgAgAAywQAAA4AAAAAAAAAAQAgAAAAKAEAAGRycy9lMm9Eb2MueG1sUEsFBgAA&#10;AAAGAAYAWQEAAPoFAAAAAA==&#10;" adj="-9298,-2488">
                      <v:fill on="t" focussize="0,0"/>
                      <v:stroke color="#000000" joinstyle="miter"/>
                      <v:imagedata o:title=""/>
                      <o:lock v:ext="edit" aspectratio="f"/>
                      <v:textbox>
                        <w:txbxContent>
                          <w:p>
                            <w:pPr>
                              <w:rPr>
                                <w:rFonts w:hint="eastAsia" w:eastAsia="宋体"/>
                                <w:lang w:eastAsia="zh-CN"/>
                              </w:rPr>
                            </w:pPr>
                            <w:r>
                              <w:rPr>
                                <w:rFonts w:hint="eastAsia"/>
                                <w:lang w:eastAsia="zh-CN"/>
                              </w:rPr>
                              <w:t>项目位置所在地</w:t>
                            </w:r>
                          </w:p>
                        </w:txbxContent>
                      </v:textbox>
                    </v:shape>
                  </w:pict>
                </mc:Fallback>
              </mc:AlternateContent>
            </w:r>
          </w:p>
          <w:p>
            <w:pPr>
              <w:spacing w:line="480" w:lineRule="exact"/>
              <w:ind w:firstLine="480" w:firstLineChars="200"/>
              <w:rPr>
                <w:rFonts w:hint="default" w:ascii="Times New Roman" w:hAnsi="Times New Roman" w:cs="Times New Roman"/>
                <w:snapToGrid w:val="0"/>
                <w:color w:val="auto"/>
                <w:kern w:val="0"/>
                <w:sz w:val="24"/>
                <w:lang w:eastAsia="zh-CN"/>
              </w:rPr>
            </w:pPr>
          </w:p>
          <w:p>
            <w:pPr>
              <w:spacing w:line="480" w:lineRule="exact"/>
              <w:ind w:firstLine="480" w:firstLineChars="200"/>
              <w:rPr>
                <w:rFonts w:hint="default" w:ascii="Times New Roman" w:hAnsi="Times New Roman" w:cs="Times New Roman"/>
                <w:snapToGrid w:val="0"/>
                <w:color w:val="auto"/>
                <w:kern w:val="0"/>
                <w:sz w:val="24"/>
                <w:lang w:eastAsia="zh-CN"/>
              </w:rPr>
            </w:pPr>
          </w:p>
          <w:p>
            <w:pPr>
              <w:spacing w:line="480" w:lineRule="exact"/>
              <w:ind w:firstLine="480" w:firstLineChars="200"/>
              <w:rPr>
                <w:rFonts w:hint="default" w:ascii="Times New Roman" w:hAnsi="Times New Roman" w:cs="Times New Roman"/>
                <w:snapToGrid w:val="0"/>
                <w:color w:val="auto"/>
                <w:kern w:val="0"/>
                <w:sz w:val="24"/>
                <w:lang w:eastAsia="zh-CN"/>
              </w:rPr>
            </w:pPr>
          </w:p>
          <w:p>
            <w:pPr>
              <w:spacing w:line="480" w:lineRule="exact"/>
              <w:ind w:firstLine="480" w:firstLineChars="200"/>
              <w:rPr>
                <w:rFonts w:hint="default" w:ascii="Times New Roman" w:hAnsi="Times New Roman" w:cs="Times New Roman"/>
                <w:snapToGrid w:val="0"/>
                <w:color w:val="auto"/>
                <w:kern w:val="0"/>
                <w:sz w:val="24"/>
                <w:lang w:eastAsia="zh-CN"/>
              </w:rPr>
            </w:pPr>
          </w:p>
          <w:p>
            <w:pPr>
              <w:spacing w:line="480" w:lineRule="exact"/>
              <w:ind w:firstLine="480" w:firstLineChars="200"/>
              <w:rPr>
                <w:rFonts w:hint="default" w:ascii="Times New Roman" w:hAnsi="Times New Roman" w:cs="Times New Roman"/>
                <w:snapToGrid w:val="0"/>
                <w:color w:val="auto"/>
                <w:kern w:val="0"/>
                <w:sz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1350010</wp:posOffset>
                      </wp:positionH>
                      <wp:positionV relativeFrom="paragraph">
                        <wp:posOffset>66675</wp:posOffset>
                      </wp:positionV>
                      <wp:extent cx="1019175" cy="476250"/>
                      <wp:effectExtent l="5080" t="676275" r="4445" b="9525"/>
                      <wp:wrapNone/>
                      <wp:docPr id="103" name="自选图形 1286"/>
                      <wp:cNvGraphicFramePr/>
                      <a:graphic xmlns:a="http://schemas.openxmlformats.org/drawingml/2006/main">
                        <a:graphicData uri="http://schemas.microsoft.com/office/word/2010/wordprocessingShape">
                          <wps:wsp>
                            <wps:cNvSpPr/>
                            <wps:spPr>
                              <a:xfrm>
                                <a:off x="0" y="0"/>
                                <a:ext cx="1019175" cy="476250"/>
                              </a:xfrm>
                              <a:prstGeom prst="wedgeRectCallout">
                                <a:avLst>
                                  <a:gd name="adj1" fmla="val 11120"/>
                                  <a:gd name="adj2" fmla="val -186796"/>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生活污水受纳区域</w:t>
                                  </w:r>
                                </w:p>
                              </w:txbxContent>
                            </wps:txbx>
                            <wps:bodyPr vert="horz" wrap="square" anchor="t" upright="1"/>
                          </wps:wsp>
                        </a:graphicData>
                      </a:graphic>
                    </wp:anchor>
                  </w:drawing>
                </mc:Choice>
                <mc:Fallback>
                  <w:pict>
                    <v:shape id="自选图形 1286" o:spid="_x0000_s1026" o:spt="61" type="#_x0000_t61" style="position:absolute;left:0pt;margin-left:106.3pt;margin-top:5.25pt;height:37.5pt;width:80.25pt;z-index:251667456;mso-width-relative:page;mso-height-relative:page;" fillcolor="#FFFFFF" filled="t" stroked="t" coordsize="21600,21600" o:gfxdata="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WjS49cA&#10;AAAJAQAADwAAAAAAAAABACAAAAAiAAAAZHJzL2Rvd25yZXYueG1sUEsBAhQAFAAAAAgAh07iQEqJ&#10;RiNZAgAAuAQAAA4AAAAAAAAAAQAgAAAAJgEAAGRycy9lMm9Eb2MueG1sUEsFBgAAAAAGAAYAWQEA&#10;APEFAAAAAA==&#10;" adj="13202,-29548">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生活污水受纳区域</w:t>
                            </w:r>
                          </w:p>
                        </w:txbxContent>
                      </v:textbox>
                    </v:shape>
                  </w:pict>
                </mc:Fallback>
              </mc:AlternateContent>
            </w:r>
          </w:p>
          <w:p>
            <w:pPr>
              <w:spacing w:line="480" w:lineRule="exact"/>
              <w:rPr>
                <w:rFonts w:hint="default" w:ascii="Times New Roman" w:hAnsi="Times New Roman" w:cs="Times New Roman"/>
                <w:snapToGrid w:val="0"/>
                <w:color w:val="auto"/>
                <w:kern w:val="0"/>
                <w:sz w:val="24"/>
                <w:lang w:eastAsia="zh-CN"/>
              </w:rPr>
            </w:pPr>
          </w:p>
          <w:p>
            <w:pPr>
              <w:spacing w:line="480" w:lineRule="exact"/>
              <w:rPr>
                <w:rFonts w:hint="default" w:ascii="Times New Roman" w:hAnsi="Times New Roman" w:cs="Times New Roman"/>
                <w:b/>
                <w:snapToGrid w:val="0"/>
                <w:color w:val="auto"/>
                <w:kern w:val="0"/>
                <w:sz w:val="24"/>
              </w:rPr>
            </w:pPr>
          </w:p>
          <w:p>
            <w:pPr>
              <w:spacing w:line="480" w:lineRule="exact"/>
              <w:ind w:firstLine="2880" w:firstLineChars="1200"/>
              <w:rPr>
                <w:rFonts w:hint="default" w:ascii="Times New Roman" w:hAnsi="Times New Roman" w:cs="Times New Roman"/>
                <w:b/>
                <w:snapToGrid w:val="0"/>
                <w:color w:val="auto"/>
                <w:kern w:val="0"/>
                <w:sz w:val="24"/>
              </w:rPr>
            </w:pPr>
            <w:r>
              <w:rPr>
                <w:rFonts w:hint="default" w:ascii="Times New Roman" w:hAnsi="Times New Roman" w:cs="Times New Roman"/>
                <w:b w:val="0"/>
                <w:bCs/>
                <w:snapToGrid w:val="0"/>
                <w:color w:val="auto"/>
                <w:kern w:val="0"/>
                <w:sz w:val="24"/>
                <w:lang w:eastAsia="zh-CN"/>
              </w:rPr>
              <w:t>图</w:t>
            </w:r>
            <w:r>
              <w:rPr>
                <w:rFonts w:hint="default" w:ascii="Times New Roman" w:hAnsi="Times New Roman" w:cs="Times New Roman"/>
                <w:b w:val="0"/>
                <w:bCs/>
                <w:snapToGrid w:val="0"/>
                <w:color w:val="auto"/>
                <w:kern w:val="0"/>
                <w:sz w:val="24"/>
                <w:lang w:val="en-US" w:eastAsia="zh-CN"/>
              </w:rPr>
              <w:t>7-1项目与污水受纳区域位置关系图</w:t>
            </w:r>
          </w:p>
          <w:p>
            <w:pPr>
              <w:spacing w:line="480" w:lineRule="exact"/>
              <w:ind w:firstLine="482" w:firstLineChars="200"/>
              <w:rPr>
                <w:rFonts w:hint="default" w:ascii="Times New Roman" w:hAnsi="Times New Roman" w:cs="Times New Roman"/>
                <w:b/>
                <w:snapToGrid w:val="0"/>
                <w:color w:val="auto"/>
                <w:kern w:val="0"/>
                <w:sz w:val="24"/>
              </w:rPr>
            </w:pPr>
            <w:r>
              <w:rPr>
                <w:rFonts w:hint="eastAsia" w:ascii="Times New Roman" w:hAnsi="Times New Roman" w:cs="Times New Roman"/>
                <w:b/>
                <w:snapToGrid w:val="0"/>
                <w:color w:val="auto"/>
                <w:kern w:val="0"/>
                <w:sz w:val="24"/>
                <w:lang w:eastAsia="zh-CN"/>
              </w:rPr>
              <w:t>（</w:t>
            </w:r>
            <w:r>
              <w:rPr>
                <w:rFonts w:hint="eastAsia" w:ascii="Times New Roman" w:hAnsi="Times New Roman" w:cs="Times New Roman"/>
                <w:b/>
                <w:snapToGrid w:val="0"/>
                <w:color w:val="auto"/>
                <w:kern w:val="0"/>
                <w:sz w:val="24"/>
                <w:lang w:val="en-US" w:eastAsia="zh-CN"/>
              </w:rPr>
              <w:t>2</w:t>
            </w:r>
            <w:r>
              <w:rPr>
                <w:rFonts w:hint="eastAsia" w:ascii="Times New Roman" w:hAnsi="Times New Roman" w:cs="Times New Roman"/>
                <w:b/>
                <w:snapToGrid w:val="0"/>
                <w:color w:val="auto"/>
                <w:kern w:val="0"/>
                <w:sz w:val="24"/>
                <w:lang w:eastAsia="zh-CN"/>
              </w:rPr>
              <w:t>）初期</w:t>
            </w:r>
            <w:r>
              <w:rPr>
                <w:rFonts w:hint="default" w:ascii="Times New Roman" w:hAnsi="Times New Roman" w:cs="Times New Roman"/>
                <w:b/>
                <w:snapToGrid w:val="0"/>
                <w:color w:val="auto"/>
                <w:kern w:val="0"/>
                <w:sz w:val="24"/>
              </w:rPr>
              <w:t>雨水处理可行性</w:t>
            </w:r>
          </w:p>
          <w:p>
            <w:pPr>
              <w:spacing w:line="480" w:lineRule="exact"/>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考虑到项目经营性质，站内地面易残留少量矿物质油，</w:t>
            </w:r>
            <w:r>
              <w:rPr>
                <w:rFonts w:hint="default" w:ascii="Times New Roman" w:hAnsi="Times New Roman" w:cs="Times New Roman"/>
                <w:snapToGrid w:val="0"/>
                <w:color w:val="auto"/>
                <w:kern w:val="0"/>
                <w:sz w:val="24"/>
                <w:lang w:eastAsia="zh-CN"/>
              </w:rPr>
              <w:t>当发生突发事件后地面洒落油品更加突出。场区雨水特别是初期雨水，含有石油类和</w:t>
            </w:r>
            <w:r>
              <w:rPr>
                <w:rFonts w:hint="default" w:ascii="Times New Roman" w:hAnsi="Times New Roman" w:cs="Times New Roman"/>
                <w:snapToGrid w:val="0"/>
                <w:color w:val="auto"/>
                <w:kern w:val="0"/>
                <w:sz w:val="24"/>
                <w:lang w:val="en-US" w:eastAsia="zh-CN"/>
              </w:rPr>
              <w:t>SS，</w:t>
            </w:r>
            <w:r>
              <w:rPr>
                <w:rFonts w:hint="default" w:ascii="Times New Roman" w:hAnsi="Times New Roman" w:cs="Times New Roman"/>
                <w:snapToGrid w:val="0"/>
                <w:color w:val="auto"/>
                <w:kern w:val="0"/>
                <w:sz w:val="24"/>
              </w:rPr>
              <w:t>若直接外排</w:t>
            </w:r>
            <w:r>
              <w:rPr>
                <w:rFonts w:hint="default" w:ascii="Times New Roman" w:hAnsi="Times New Roman" w:cs="Times New Roman"/>
                <w:snapToGrid w:val="0"/>
                <w:color w:val="auto"/>
                <w:kern w:val="0"/>
                <w:sz w:val="24"/>
                <w:lang w:eastAsia="zh-CN"/>
              </w:rPr>
              <w:t>，将会顺着雨水沟进入</w:t>
            </w:r>
            <w:r>
              <w:rPr>
                <w:rFonts w:hint="eastAsia" w:ascii="Times New Roman" w:hAnsi="Times New Roman" w:cs="Times New Roman"/>
                <w:snapToGrid w:val="0"/>
                <w:color w:val="auto"/>
                <w:kern w:val="0"/>
                <w:sz w:val="24"/>
                <w:lang w:eastAsia="zh-CN"/>
              </w:rPr>
              <w:t>周边的旱地和河流，影响农作物生长和河流水质</w:t>
            </w:r>
            <w:r>
              <w:rPr>
                <w:rFonts w:hint="default" w:ascii="Times New Roman" w:hAnsi="Times New Roman" w:cs="Times New Roman"/>
                <w:snapToGrid w:val="0"/>
                <w:color w:val="auto"/>
                <w:kern w:val="0"/>
                <w:sz w:val="24"/>
                <w:lang w:eastAsia="zh-CN"/>
              </w:rPr>
              <w:t>。根据</w:t>
            </w:r>
            <w:r>
              <w:rPr>
                <w:rFonts w:hint="default" w:ascii="Times New Roman" w:hAnsi="Times New Roman" w:cs="Times New Roman"/>
                <w:snapToGrid w:val="0"/>
                <w:color w:val="auto"/>
                <w:kern w:val="0"/>
                <w:sz w:val="24"/>
              </w:rPr>
              <w:t>因此需对站内地面雨水进行预处理，</w:t>
            </w:r>
            <w:r>
              <w:rPr>
                <w:rFonts w:hint="default" w:ascii="Times New Roman" w:hAnsi="Times New Roman" w:cs="Times New Roman"/>
                <w:snapToGrid w:val="0"/>
                <w:color w:val="auto"/>
                <w:kern w:val="0"/>
                <w:sz w:val="24"/>
                <w:lang w:eastAsia="zh-CN"/>
              </w:rPr>
              <w:t>根据</w:t>
            </w:r>
            <w:r>
              <w:rPr>
                <w:rFonts w:hint="default" w:ascii="Times New Roman" w:hAnsi="Times New Roman" w:cs="Times New Roman"/>
                <w:color w:val="auto"/>
                <w:sz w:val="24"/>
              </w:rPr>
              <w:t>《汽车加油加气站设计与施工规范（2014年版）》（GB50156-2012）</w:t>
            </w:r>
            <w:r>
              <w:rPr>
                <w:rFonts w:hint="default" w:ascii="Times New Roman" w:hAnsi="Times New Roman" w:cs="Times New Roman"/>
                <w:color w:val="auto"/>
                <w:sz w:val="24"/>
                <w:lang w:eastAsia="zh-CN"/>
              </w:rPr>
              <w:t>要求“加油站、LPG 加气站或加油与LPG 加气合建站排出建筑物或围墙的污水，在建筑物墙外或围墙内应分别设水封井（独立的生活污水除外）。水封井的水封高度不应小于</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lang w:eastAsia="zh-CN"/>
              </w:rPr>
              <w:t>25m，水封并应设沉泥段，沉泥段局度不应小于0. 25m，</w:t>
            </w:r>
            <w:r>
              <w:rPr>
                <w:rFonts w:hint="default" w:ascii="Times New Roman" w:hAnsi="Times New Roman" w:cs="Times New Roman"/>
                <w:snapToGrid w:val="0"/>
                <w:color w:val="auto"/>
                <w:kern w:val="0"/>
                <w:sz w:val="24"/>
              </w:rPr>
              <w:t>项目拟在</w:t>
            </w:r>
            <w:r>
              <w:rPr>
                <w:rFonts w:hint="eastAsia" w:ascii="Times New Roman" w:hAnsi="Times New Roman" w:cs="Times New Roman"/>
                <w:snapToGrid w:val="0"/>
                <w:color w:val="auto"/>
                <w:kern w:val="0"/>
                <w:sz w:val="24"/>
                <w:lang w:eastAsia="zh-CN"/>
              </w:rPr>
              <w:t>东南</w:t>
            </w:r>
            <w:r>
              <w:rPr>
                <w:rFonts w:hint="default" w:ascii="Times New Roman" w:hAnsi="Times New Roman" w:cs="Times New Roman"/>
                <w:snapToGrid w:val="0"/>
                <w:color w:val="auto"/>
                <w:kern w:val="0"/>
                <w:sz w:val="24"/>
              </w:rPr>
              <w:t>侧建设水封井1座</w:t>
            </w:r>
            <w:r>
              <w:rPr>
                <w:rFonts w:hint="default" w:ascii="Times New Roman" w:hAnsi="Times New Roman" w:cs="Times New Roman"/>
                <w:snapToGrid w:val="0"/>
                <w:color w:val="auto"/>
                <w:kern w:val="0"/>
                <w:sz w:val="24"/>
                <w:lang w:eastAsia="zh-CN"/>
              </w:rPr>
              <w:t>（具体尺寸以设计为主），</w:t>
            </w:r>
            <w:r>
              <w:rPr>
                <w:rFonts w:hint="default" w:ascii="Times New Roman" w:hAnsi="Times New Roman" w:cs="Times New Roman"/>
                <w:snapToGrid w:val="0"/>
                <w:color w:val="auto"/>
                <w:kern w:val="0"/>
                <w:sz w:val="24"/>
              </w:rPr>
              <w:t>站内含油雨水经引流沟收集后排入水封井中，</w:t>
            </w:r>
            <w:r>
              <w:rPr>
                <w:rFonts w:hint="default" w:ascii="Times New Roman" w:hAnsi="Times New Roman" w:cs="Times New Roman"/>
                <w:snapToGrid w:val="0"/>
                <w:color w:val="auto"/>
                <w:kern w:val="0"/>
                <w:sz w:val="24"/>
                <w:lang w:eastAsia="zh-CN"/>
              </w:rPr>
              <w:t>经水封井处理后</w:t>
            </w:r>
            <w:r>
              <w:rPr>
                <w:rFonts w:hint="default" w:ascii="Times New Roman" w:hAnsi="Times New Roman" w:cs="Times New Roman"/>
                <w:snapToGrid w:val="0"/>
                <w:color w:val="auto"/>
                <w:kern w:val="0"/>
                <w:sz w:val="24"/>
              </w:rPr>
              <w:t>再外排至地表沟渠，</w:t>
            </w:r>
            <w:r>
              <w:rPr>
                <w:rFonts w:hint="default" w:ascii="Times New Roman" w:hAnsi="Times New Roman" w:cs="Times New Roman"/>
                <w:snapToGrid w:val="0"/>
                <w:color w:val="auto"/>
                <w:kern w:val="0"/>
                <w:sz w:val="24"/>
                <w:lang w:eastAsia="zh-CN"/>
              </w:rPr>
              <w:t>水封井可以有效的降低外排雨水中的石油类，</w:t>
            </w:r>
            <w:r>
              <w:rPr>
                <w:rFonts w:hint="default" w:ascii="Times New Roman" w:hAnsi="Times New Roman" w:cs="Times New Roman"/>
                <w:snapToGrid w:val="0"/>
                <w:color w:val="auto"/>
                <w:kern w:val="0"/>
                <w:sz w:val="24"/>
              </w:rPr>
              <w:t>对地表水体影响较小。</w:t>
            </w:r>
            <w:r>
              <w:rPr>
                <w:rFonts w:hint="eastAsia" w:ascii="Times New Roman" w:hAnsi="Times New Roman" w:cs="Times New Roman"/>
                <w:snapToGrid w:val="0"/>
                <w:color w:val="auto"/>
                <w:kern w:val="0"/>
                <w:sz w:val="24"/>
                <w:lang w:eastAsia="zh-CN"/>
              </w:rPr>
              <w:t>其工作原理为利用介质密度不同或封隔区域内外压力不同达到隔离目的，防止隔离介质漫流或外部介质混入，以达到防止环境污染作用。</w:t>
            </w:r>
          </w:p>
          <w:p>
            <w:pPr>
              <w:spacing w:line="480" w:lineRule="exact"/>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水封井：水封井是一种设置在石油、化工企业有可燃气体、易燃液体蒸气或油污的污水管网上，防止燃烧、爆炸沿污水管网蔓延扩展的安全液封装置。根据水封井工作原理，</w:t>
            </w:r>
          </w:p>
          <w:p>
            <w:pPr>
              <w:spacing w:line="480" w:lineRule="exact"/>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其作用可隔离水中的油脂，使项目含有雨水经油水分离后排放，大大降低了外排废水中的矿物油含量。</w:t>
            </w:r>
          </w:p>
          <w:p>
            <w:pPr>
              <w:spacing w:line="480" w:lineRule="exact"/>
              <w:rPr>
                <w:rFonts w:hint="default" w:ascii="Times New Roman" w:hAnsi="Times New Roman" w:cs="Times New Roman"/>
                <w:snapToGrid w:val="0"/>
                <w:color w:val="auto"/>
                <w:kern w:val="0"/>
                <w:sz w:val="24"/>
              </w:rPr>
            </w:pPr>
            <w:r>
              <w:rPr>
                <w:rFonts w:hint="default" w:ascii="Times New Roman" w:hAnsi="Times New Roman" w:cs="Times New Roman"/>
                <w:color w:val="auto"/>
              </w:rPr>
              <w:drawing>
                <wp:anchor distT="0" distB="0" distL="114300" distR="114300" simplePos="0" relativeHeight="251673600" behindDoc="0" locked="0" layoutInCell="1" allowOverlap="1">
                  <wp:simplePos x="0" y="0"/>
                  <wp:positionH relativeFrom="column">
                    <wp:posOffset>-28575</wp:posOffset>
                  </wp:positionH>
                  <wp:positionV relativeFrom="paragraph">
                    <wp:posOffset>52705</wp:posOffset>
                  </wp:positionV>
                  <wp:extent cx="5772150" cy="2295525"/>
                  <wp:effectExtent l="0" t="0" r="0" b="9525"/>
                  <wp:wrapNone/>
                  <wp:docPr id="139" name="图片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815"/>
                          <pic:cNvPicPr>
                            <a:picLocks noChangeAspect="1"/>
                          </pic:cNvPicPr>
                        </pic:nvPicPr>
                        <pic:blipFill>
                          <a:blip r:embed="rId25"/>
                          <a:stretch>
                            <a:fillRect/>
                          </a:stretch>
                        </pic:blipFill>
                        <pic:spPr>
                          <a:xfrm>
                            <a:off x="0" y="0"/>
                            <a:ext cx="5772150" cy="2295525"/>
                          </a:xfrm>
                          <a:prstGeom prst="rect">
                            <a:avLst/>
                          </a:prstGeom>
                          <a:noFill/>
                          <a:ln w="9525">
                            <a:noFill/>
                          </a:ln>
                        </pic:spPr>
                      </pic:pic>
                    </a:graphicData>
                  </a:graphic>
                </wp:anchor>
              </w:drawing>
            </w:r>
          </w:p>
          <w:p>
            <w:pPr>
              <w:spacing w:line="480" w:lineRule="exact"/>
              <w:ind w:firstLine="480"/>
              <w:rPr>
                <w:rFonts w:hint="default" w:ascii="Times New Roman" w:hAnsi="Times New Roman" w:cs="Times New Roman"/>
                <w:snapToGrid w:val="0"/>
                <w:color w:val="auto"/>
                <w:kern w:val="0"/>
                <w:sz w:val="24"/>
              </w:rPr>
            </w:pPr>
          </w:p>
          <w:p>
            <w:pPr>
              <w:spacing w:line="480" w:lineRule="exact"/>
              <w:ind w:firstLine="480"/>
              <w:rPr>
                <w:rFonts w:hint="default" w:ascii="Times New Roman" w:hAnsi="Times New Roman" w:cs="Times New Roman"/>
                <w:snapToGrid w:val="0"/>
                <w:color w:val="auto"/>
                <w:kern w:val="0"/>
                <w:sz w:val="24"/>
              </w:rPr>
            </w:pPr>
          </w:p>
          <w:p>
            <w:pPr>
              <w:spacing w:line="480" w:lineRule="exact"/>
              <w:ind w:firstLine="480"/>
              <w:rPr>
                <w:rFonts w:hint="default" w:ascii="Times New Roman" w:hAnsi="Times New Roman" w:cs="Times New Roman"/>
                <w:snapToGrid w:val="0"/>
                <w:color w:val="auto"/>
                <w:kern w:val="0"/>
                <w:sz w:val="24"/>
              </w:rPr>
            </w:pPr>
          </w:p>
          <w:p>
            <w:pPr>
              <w:spacing w:line="480" w:lineRule="exact"/>
              <w:rPr>
                <w:rFonts w:hint="default" w:ascii="Times New Roman" w:hAnsi="Times New Roman" w:cs="Times New Roman"/>
                <w:snapToGrid w:val="0"/>
                <w:color w:val="auto"/>
                <w:kern w:val="0"/>
                <w:sz w:val="24"/>
              </w:rPr>
            </w:pPr>
          </w:p>
          <w:p>
            <w:pPr>
              <w:spacing w:line="480" w:lineRule="exact"/>
              <w:rPr>
                <w:rFonts w:hint="default" w:ascii="Times New Roman" w:hAnsi="Times New Roman" w:cs="Times New Roman"/>
                <w:snapToGrid w:val="0"/>
                <w:color w:val="auto"/>
                <w:kern w:val="0"/>
                <w:sz w:val="24"/>
              </w:rPr>
            </w:pPr>
          </w:p>
          <w:p>
            <w:pPr>
              <w:spacing w:line="480" w:lineRule="exact"/>
              <w:rPr>
                <w:rFonts w:hint="default" w:ascii="Times New Roman" w:hAnsi="Times New Roman" w:cs="Times New Roman"/>
                <w:snapToGrid w:val="0"/>
                <w:color w:val="auto"/>
                <w:kern w:val="0"/>
                <w:sz w:val="24"/>
              </w:rPr>
            </w:pPr>
          </w:p>
          <w:p>
            <w:pPr>
              <w:spacing w:line="480" w:lineRule="exact"/>
              <w:rPr>
                <w:rFonts w:hint="default" w:ascii="Times New Roman" w:hAnsi="Times New Roman" w:cs="Times New Roman"/>
                <w:snapToGrid w:val="0"/>
                <w:color w:val="auto"/>
                <w:kern w:val="0"/>
                <w:sz w:val="24"/>
              </w:rPr>
            </w:pPr>
          </w:p>
          <w:p>
            <w:pPr>
              <w:spacing w:line="480" w:lineRule="exact"/>
              <w:ind w:firstLine="3120" w:firstLineChars="13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  图7-</w:t>
            </w:r>
            <w:r>
              <w:rPr>
                <w:rFonts w:hint="default" w:ascii="Times New Roman" w:hAnsi="Times New Roman" w:cs="Times New Roman"/>
                <w:snapToGrid w:val="0"/>
                <w:color w:val="auto"/>
                <w:kern w:val="0"/>
                <w:sz w:val="24"/>
                <w:lang w:val="en-US" w:eastAsia="zh-CN"/>
              </w:rPr>
              <w:t>3</w:t>
            </w:r>
            <w:r>
              <w:rPr>
                <w:rFonts w:hint="default" w:ascii="Times New Roman" w:hAnsi="Times New Roman" w:cs="Times New Roman"/>
                <w:snapToGrid w:val="0"/>
                <w:color w:val="auto"/>
                <w:kern w:val="0"/>
                <w:sz w:val="24"/>
              </w:rPr>
              <w:t xml:space="preserve"> 水封井工艺流程图</w:t>
            </w:r>
          </w:p>
          <w:p>
            <w:pPr>
              <w:spacing w:line="360" w:lineRule="auto"/>
              <w:ind w:firstLine="482"/>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综上，由于项目运营过程，由</w:t>
            </w:r>
            <w:r>
              <w:rPr>
                <w:rFonts w:hint="default" w:ascii="Times New Roman" w:hAnsi="Times New Roman" w:cs="Times New Roman"/>
                <w:snapToGrid w:val="0"/>
                <w:color w:val="auto"/>
                <w:kern w:val="0"/>
                <w:sz w:val="24"/>
                <w:lang w:eastAsia="zh-CN"/>
              </w:rPr>
              <w:t>场区雨水</w:t>
            </w:r>
            <w:r>
              <w:rPr>
                <w:rFonts w:hint="default" w:ascii="Times New Roman" w:hAnsi="Times New Roman" w:cs="Times New Roman"/>
                <w:snapToGrid w:val="0"/>
                <w:color w:val="auto"/>
                <w:kern w:val="0"/>
                <w:sz w:val="24"/>
              </w:rPr>
              <w:t>冲刷产生的废水中主要含有悬浮物和石油类</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snapToGrid w:val="0"/>
                <w:color w:val="auto"/>
                <w:kern w:val="0"/>
                <w:sz w:val="24"/>
              </w:rPr>
              <w:t>通过使用水封井可有效的降低悬浮物和石油类浓度，</w:t>
            </w:r>
            <w:r>
              <w:rPr>
                <w:rFonts w:hint="default" w:ascii="Times New Roman" w:hAnsi="Times New Roman" w:cs="Times New Roman"/>
                <w:snapToGrid w:val="0"/>
                <w:color w:val="auto"/>
                <w:kern w:val="0"/>
                <w:sz w:val="24"/>
                <w:lang w:eastAsia="zh-CN"/>
              </w:rPr>
              <w:t>且场区雨水本身含油</w:t>
            </w:r>
            <w:r>
              <w:rPr>
                <w:rFonts w:hint="default" w:ascii="Times New Roman" w:hAnsi="Times New Roman" w:cs="Times New Roman"/>
                <w:snapToGrid w:val="0"/>
                <w:color w:val="auto"/>
                <w:kern w:val="0"/>
                <w:sz w:val="24"/>
              </w:rPr>
              <w:t>悬浮物和石油类</w:t>
            </w:r>
            <w:r>
              <w:rPr>
                <w:rFonts w:hint="default" w:ascii="Times New Roman" w:hAnsi="Times New Roman" w:cs="Times New Roman"/>
                <w:snapToGrid w:val="0"/>
                <w:color w:val="auto"/>
                <w:kern w:val="0"/>
                <w:sz w:val="24"/>
                <w:lang w:eastAsia="zh-CN"/>
              </w:rPr>
              <w:t>较少</w:t>
            </w:r>
            <w:r>
              <w:rPr>
                <w:rFonts w:hint="default" w:ascii="Times New Roman" w:hAnsi="Times New Roman" w:cs="Times New Roman"/>
                <w:snapToGrid w:val="0"/>
                <w:color w:val="auto"/>
                <w:kern w:val="0"/>
                <w:sz w:val="24"/>
              </w:rPr>
              <w:t>，</w:t>
            </w:r>
            <w:r>
              <w:rPr>
                <w:rFonts w:hint="default" w:ascii="Times New Roman" w:hAnsi="Times New Roman" w:cs="Times New Roman"/>
                <w:snapToGrid w:val="0"/>
                <w:color w:val="auto"/>
                <w:kern w:val="0"/>
                <w:sz w:val="24"/>
                <w:lang w:eastAsia="zh-CN"/>
              </w:rPr>
              <w:t>经水封井处理后</w:t>
            </w:r>
            <w:r>
              <w:rPr>
                <w:rFonts w:hint="default" w:ascii="Times New Roman" w:hAnsi="Times New Roman" w:cs="Times New Roman"/>
                <w:snapToGrid w:val="0"/>
                <w:color w:val="auto"/>
                <w:kern w:val="0"/>
                <w:sz w:val="24"/>
              </w:rPr>
              <w:t>对周边的环境影响不大。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jc w:val="left"/>
              <w:textAlignment w:val="auto"/>
              <w:outlineLvl w:val="9"/>
              <w:rPr>
                <w:rFonts w:hint="default" w:ascii="Times New Roman" w:hAnsi="Times New Roman" w:cs="Times New Roman"/>
                <w:b/>
                <w:color w:val="auto"/>
                <w:sz w:val="24"/>
              </w:rPr>
            </w:pPr>
            <w:r>
              <w:rPr>
                <w:rFonts w:hint="eastAsia" w:ascii="Times New Roman" w:hAnsi="Times New Roman" w:cs="Times New Roman"/>
                <w:b/>
                <w:snapToGrid w:val="0"/>
                <w:color w:val="auto"/>
                <w:kern w:val="0"/>
                <w:sz w:val="24"/>
                <w:lang w:eastAsia="zh-CN"/>
              </w:rPr>
              <w:t>（</w:t>
            </w:r>
            <w:r>
              <w:rPr>
                <w:rFonts w:hint="eastAsia" w:ascii="Times New Roman" w:hAnsi="Times New Roman" w:cs="Times New Roman"/>
                <w:b/>
                <w:snapToGrid w:val="0"/>
                <w:color w:val="auto"/>
                <w:kern w:val="0"/>
                <w:sz w:val="24"/>
                <w:lang w:val="en-US" w:eastAsia="zh-CN"/>
              </w:rPr>
              <w:t>3</w:t>
            </w:r>
            <w:r>
              <w:rPr>
                <w:rFonts w:hint="eastAsia" w:ascii="Times New Roman" w:hAnsi="Times New Roman" w:cs="Times New Roman"/>
                <w:b/>
                <w:snapToGrid w:val="0"/>
                <w:color w:val="auto"/>
                <w:kern w:val="0"/>
                <w:sz w:val="24"/>
                <w:lang w:eastAsia="zh-CN"/>
              </w:rPr>
              <w:t>）</w:t>
            </w:r>
            <w:r>
              <w:rPr>
                <w:rFonts w:hint="default" w:ascii="Times New Roman" w:hAnsi="Times New Roman" w:cs="Times New Roman"/>
                <w:b/>
                <w:color w:val="auto"/>
                <w:sz w:val="24"/>
              </w:rPr>
              <w:t>废水对地表水环境影响分析</w:t>
            </w:r>
          </w:p>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项目运营期废水主要为人员生活污水和办公生活区的清洗废水，各种废水均不含对地表水有严重污染的因子。针对项目产生的废水，</w:t>
            </w:r>
            <w:r>
              <w:rPr>
                <w:rFonts w:hint="eastAsia" w:ascii="Times New Roman" w:hAnsi="Times New Roman" w:cs="Times New Roman"/>
                <w:color w:val="auto"/>
                <w:sz w:val="24"/>
                <w:lang w:eastAsia="zh-CN"/>
              </w:rPr>
              <w:t>建设方</w:t>
            </w:r>
            <w:r>
              <w:rPr>
                <w:rFonts w:hint="default" w:ascii="Times New Roman" w:hAnsi="Times New Roman" w:cs="Times New Roman"/>
                <w:color w:val="auto"/>
                <w:sz w:val="24"/>
              </w:rPr>
              <w:t>拟采取通过废水收集管道收集至化粪池，</w:t>
            </w:r>
            <w:r>
              <w:rPr>
                <w:rFonts w:hint="eastAsia" w:ascii="Times New Roman" w:hAnsi="Times New Roman" w:cs="Times New Roman"/>
                <w:color w:val="auto"/>
                <w:sz w:val="24"/>
                <w:lang w:eastAsia="zh-CN"/>
              </w:rPr>
              <w:t>经化粪池处理后委托周边的农户定期清掏，不外排；</w:t>
            </w:r>
            <w:r>
              <w:rPr>
                <w:rFonts w:hint="default" w:ascii="Times New Roman" w:hAnsi="Times New Roman" w:cs="Times New Roman"/>
                <w:color w:val="auto"/>
                <w:sz w:val="24"/>
              </w:rPr>
              <w:t>场区雨水经雨水管道收集至水封井，经水封井</w:t>
            </w:r>
            <w:r>
              <w:rPr>
                <w:rFonts w:hint="eastAsia" w:ascii="Times New Roman" w:hAnsi="Times New Roman" w:cs="Times New Roman"/>
                <w:color w:val="auto"/>
                <w:sz w:val="24"/>
                <w:lang w:eastAsia="zh-CN"/>
              </w:rPr>
              <w:t>预</w:t>
            </w:r>
            <w:r>
              <w:rPr>
                <w:rFonts w:hint="default" w:ascii="Times New Roman" w:hAnsi="Times New Roman" w:cs="Times New Roman"/>
                <w:color w:val="auto"/>
                <w:sz w:val="24"/>
              </w:rPr>
              <w:t>处理后排放，</w:t>
            </w:r>
            <w:r>
              <w:rPr>
                <w:rFonts w:hint="default" w:ascii="Times New Roman" w:hAnsi="Times New Roman" w:cs="Times New Roman"/>
                <w:color w:val="auto"/>
                <w:spacing w:val="6"/>
                <w:sz w:val="24"/>
              </w:rPr>
              <w:t>项目运营期各类废水</w:t>
            </w:r>
            <w:r>
              <w:rPr>
                <w:rFonts w:hint="eastAsia" w:ascii="Times New Roman" w:hAnsi="Times New Roman" w:cs="Times New Roman"/>
                <w:color w:val="auto"/>
                <w:spacing w:val="6"/>
                <w:sz w:val="24"/>
                <w:lang w:eastAsia="zh-CN"/>
              </w:rPr>
              <w:t>均不外排</w:t>
            </w:r>
            <w:r>
              <w:rPr>
                <w:rFonts w:hint="default" w:ascii="Times New Roman" w:hAnsi="Times New Roman" w:cs="Times New Roman"/>
                <w:color w:val="auto"/>
                <w:spacing w:val="6"/>
                <w:sz w:val="24"/>
              </w:rPr>
              <w:t>，均得到有效处理，项目运营期各类废水对地表水环境影响不大。</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w:t>
            </w:r>
            <w:r>
              <w:rPr>
                <w:rFonts w:hint="eastAsia" w:ascii="Times New Roman" w:hAnsi="Times New Roman" w:cs="Times New Roman"/>
                <w:b/>
                <w:color w:val="auto"/>
                <w:sz w:val="24"/>
                <w:lang w:val="en-US" w:eastAsia="zh-CN"/>
              </w:rPr>
              <w:t>4</w:t>
            </w:r>
            <w:r>
              <w:rPr>
                <w:rFonts w:hint="default" w:ascii="Times New Roman" w:hAnsi="Times New Roman" w:cs="Times New Roman"/>
                <w:b/>
                <w:color w:val="auto"/>
                <w:sz w:val="24"/>
              </w:rPr>
              <w:t>）项目地下水影响分析</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lang w:val="en-US" w:eastAsia="zh-CN"/>
              </w:rPr>
              <w:t>1）</w:t>
            </w:r>
            <w:r>
              <w:rPr>
                <w:rFonts w:hint="eastAsia" w:ascii="宋体" w:hAnsi="宋体" w:eastAsia="宋体" w:cs="宋体"/>
                <w:b/>
                <w:color w:val="auto"/>
                <w:sz w:val="24"/>
              </w:rPr>
              <w:t>评价等级</w:t>
            </w:r>
          </w:p>
          <w:p>
            <w:pPr>
              <w:spacing w:line="480" w:lineRule="exact"/>
              <w:ind w:firstLine="523" w:firstLineChars="218"/>
              <w:rPr>
                <w:rFonts w:hint="eastAsia" w:ascii="宋体" w:hAnsi="宋体" w:eastAsia="宋体" w:cs="宋体"/>
                <w:color w:val="auto"/>
                <w:sz w:val="24"/>
              </w:rPr>
            </w:pPr>
            <w:r>
              <w:rPr>
                <w:rFonts w:hint="eastAsia" w:ascii="宋体" w:hAnsi="宋体" w:eastAsia="宋体" w:cs="宋体"/>
                <w:color w:val="auto"/>
                <w:sz w:val="24"/>
              </w:rPr>
              <w:t>根据《环境影响评价技术导则—地下水环境》（HJ610-2016）要求，建设项目地下水环境影响评价工作等级的划分应根据“建设项目地下水环境影响评价行业分类”和“建设项目所在区域和地下水环境敏感程度”划分。</w:t>
            </w:r>
          </w:p>
          <w:p>
            <w:pPr>
              <w:spacing w:line="180" w:lineRule="exact"/>
              <w:ind w:firstLine="523" w:firstLineChars="218"/>
              <w:rPr>
                <w:rFonts w:hint="eastAsia" w:ascii="宋体" w:hAnsi="宋体" w:eastAsia="宋体" w:cs="宋体"/>
                <w:color w:val="auto"/>
                <w:sz w:val="24"/>
              </w:rPr>
            </w:pPr>
          </w:p>
          <w:p>
            <w:pPr>
              <w:pStyle w:val="47"/>
              <w:rPr>
                <w:rFonts w:hint="eastAsia" w:ascii="宋体" w:hAnsi="宋体" w:eastAsia="宋体" w:cs="宋体"/>
                <w:color w:val="auto"/>
                <w:sz w:val="21"/>
                <w:szCs w:val="21"/>
              </w:rPr>
            </w:pPr>
            <w:bookmarkStart w:id="3" w:name="_Toc29672_WPSOffice_Level2"/>
            <w:bookmarkStart w:id="4" w:name="_Toc17019_WPSOffice_Level2"/>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7-</w:t>
            </w:r>
            <w:r>
              <w:rPr>
                <w:rFonts w:hint="eastAsia" w:ascii="宋体" w:eastAsia="宋体" w:cs="宋体"/>
                <w:color w:val="auto"/>
                <w:sz w:val="21"/>
                <w:szCs w:val="21"/>
                <w:lang w:val="en-US" w:eastAsia="zh-CN"/>
              </w:rPr>
              <w:t>3</w:t>
            </w:r>
            <w:r>
              <w:rPr>
                <w:rFonts w:hint="eastAsia" w:ascii="宋体" w:hAnsi="宋体" w:eastAsia="宋体" w:cs="宋体"/>
                <w:color w:val="auto"/>
                <w:sz w:val="21"/>
                <w:szCs w:val="21"/>
              </w:rPr>
              <w:t>地下水环境敏感程度分级表</w:t>
            </w:r>
            <w:bookmarkEnd w:id="3"/>
            <w:bookmarkEnd w:id="4"/>
          </w:p>
          <w:tbl>
            <w:tblPr>
              <w:tblStyle w:val="23"/>
              <w:tblW w:w="852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55"/>
              <w:gridCol w:w="736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55" w:type="dxa"/>
                  <w:tcBorders>
                    <w:tl2br w:val="nil"/>
                    <w:tr2bl w:val="nil"/>
                  </w:tcBorders>
                  <w:vAlign w:val="center"/>
                </w:tcPr>
                <w:p>
                  <w:pPr>
                    <w:pStyle w:val="58"/>
                    <w:spacing w:line="360" w:lineRule="exact"/>
                    <w:rPr>
                      <w:rFonts w:hint="eastAsia" w:ascii="宋体" w:hAnsi="宋体" w:eastAsia="宋体" w:cs="宋体"/>
                      <w:color w:val="auto"/>
                    </w:rPr>
                  </w:pPr>
                  <w:r>
                    <w:rPr>
                      <w:rFonts w:hint="eastAsia" w:ascii="宋体" w:hAnsi="宋体" w:eastAsia="宋体" w:cs="宋体"/>
                      <w:color w:val="auto"/>
                    </w:rPr>
                    <w:t>敏感程度</w:t>
                  </w:r>
                </w:p>
              </w:tc>
              <w:tc>
                <w:tcPr>
                  <w:tcW w:w="7367" w:type="dxa"/>
                  <w:tcBorders>
                    <w:tl2br w:val="nil"/>
                    <w:tr2bl w:val="nil"/>
                  </w:tcBorders>
                  <w:vAlign w:val="center"/>
                </w:tcPr>
                <w:p>
                  <w:pPr>
                    <w:pStyle w:val="58"/>
                    <w:spacing w:line="360" w:lineRule="exact"/>
                    <w:rPr>
                      <w:rFonts w:hint="eastAsia" w:ascii="宋体" w:hAnsi="宋体" w:eastAsia="宋体" w:cs="宋体"/>
                      <w:color w:val="auto"/>
                    </w:rPr>
                  </w:pPr>
                  <w:r>
                    <w:rPr>
                      <w:rFonts w:hint="eastAsia" w:ascii="宋体" w:hAnsi="宋体" w:eastAsia="宋体" w:cs="宋体"/>
                      <w:color w:val="auto"/>
                    </w:rPr>
                    <w:t>地下水环境敏感特征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55" w:type="dxa"/>
                  <w:tcBorders>
                    <w:tl2br w:val="nil"/>
                    <w:tr2bl w:val="nil"/>
                  </w:tcBorders>
                  <w:vAlign w:val="center"/>
                </w:tcPr>
                <w:p>
                  <w:pPr>
                    <w:pStyle w:val="58"/>
                    <w:spacing w:line="360" w:lineRule="exact"/>
                    <w:rPr>
                      <w:rFonts w:hint="eastAsia" w:ascii="宋体" w:hAnsi="宋体" w:eastAsia="宋体" w:cs="宋体"/>
                      <w:color w:val="auto"/>
                    </w:rPr>
                  </w:pPr>
                  <w:r>
                    <w:rPr>
                      <w:rFonts w:hint="eastAsia" w:ascii="宋体" w:hAnsi="宋体" w:eastAsia="宋体" w:cs="宋体"/>
                      <w:color w:val="auto"/>
                    </w:rPr>
                    <w:t>敏感</w:t>
                  </w:r>
                </w:p>
              </w:tc>
              <w:tc>
                <w:tcPr>
                  <w:tcW w:w="7367" w:type="dxa"/>
                  <w:tcBorders>
                    <w:tl2br w:val="nil"/>
                    <w:tr2bl w:val="nil"/>
                  </w:tcBorders>
                  <w:vAlign w:val="center"/>
                </w:tcPr>
                <w:p>
                  <w:pPr>
                    <w:pStyle w:val="58"/>
                    <w:spacing w:line="360" w:lineRule="exact"/>
                    <w:jc w:val="left"/>
                    <w:rPr>
                      <w:rFonts w:hint="eastAsia" w:ascii="宋体" w:hAnsi="宋体" w:eastAsia="宋体" w:cs="宋体"/>
                      <w:color w:val="auto"/>
                    </w:rPr>
                  </w:pPr>
                  <w:r>
                    <w:rPr>
                      <w:rFonts w:hint="eastAsia" w:ascii="宋体" w:hAnsi="宋体" w:eastAsia="宋体" w:cs="宋体"/>
                      <w:color w:val="auto"/>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55" w:type="dxa"/>
                  <w:tcBorders>
                    <w:tl2br w:val="nil"/>
                    <w:tr2bl w:val="nil"/>
                  </w:tcBorders>
                  <w:vAlign w:val="center"/>
                </w:tcPr>
                <w:p>
                  <w:pPr>
                    <w:pStyle w:val="58"/>
                    <w:spacing w:line="360" w:lineRule="exact"/>
                    <w:rPr>
                      <w:rFonts w:hint="eastAsia" w:ascii="宋体" w:hAnsi="宋体" w:eastAsia="宋体" w:cs="宋体"/>
                      <w:color w:val="auto"/>
                    </w:rPr>
                  </w:pPr>
                  <w:r>
                    <w:rPr>
                      <w:rFonts w:hint="eastAsia" w:ascii="宋体" w:hAnsi="宋体" w:eastAsia="宋体" w:cs="宋体"/>
                      <w:color w:val="auto"/>
                    </w:rPr>
                    <w:t>较敏感</w:t>
                  </w:r>
                </w:p>
              </w:tc>
              <w:tc>
                <w:tcPr>
                  <w:tcW w:w="7367" w:type="dxa"/>
                  <w:tcBorders>
                    <w:tl2br w:val="nil"/>
                    <w:tr2bl w:val="nil"/>
                  </w:tcBorders>
                  <w:vAlign w:val="center"/>
                </w:tcPr>
                <w:p>
                  <w:pPr>
                    <w:pStyle w:val="58"/>
                    <w:spacing w:line="360" w:lineRule="exact"/>
                    <w:jc w:val="left"/>
                    <w:rPr>
                      <w:rFonts w:hint="eastAsia" w:ascii="宋体" w:hAnsi="宋体" w:eastAsia="宋体" w:cs="宋体"/>
                      <w:color w:val="auto"/>
                    </w:rPr>
                  </w:pPr>
                  <w:r>
                    <w:rPr>
                      <w:rFonts w:hint="eastAsia" w:ascii="宋体" w:hAnsi="宋体" w:eastAsia="宋体" w:cs="宋体"/>
                      <w:color w:val="auto"/>
                    </w:rPr>
                    <w:t>集中式饮用水水源（包括已建成的在用、备用、应急水源，在建和规划的饮用水水源）准保护区以外的补给径流区；未划定准保护区的集中水式饮用水源，其保护区以外的补给径流区；分散式饮用水水源地；特殊地下水资源（如矿泉水、温泉等）保护区以外的分布区等其他未列入上述敏感分级的环境敏感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155" w:type="dxa"/>
                  <w:tcBorders>
                    <w:tl2br w:val="nil"/>
                    <w:tr2bl w:val="nil"/>
                  </w:tcBorders>
                  <w:vAlign w:val="center"/>
                </w:tcPr>
                <w:p>
                  <w:pPr>
                    <w:pStyle w:val="58"/>
                    <w:spacing w:line="360" w:lineRule="exact"/>
                    <w:rPr>
                      <w:rFonts w:hint="eastAsia" w:ascii="宋体" w:hAnsi="宋体" w:eastAsia="宋体" w:cs="宋体"/>
                      <w:color w:val="auto"/>
                    </w:rPr>
                  </w:pPr>
                  <w:r>
                    <w:rPr>
                      <w:rFonts w:hint="eastAsia" w:ascii="宋体" w:hAnsi="宋体" w:eastAsia="宋体" w:cs="宋体"/>
                      <w:color w:val="auto"/>
                    </w:rPr>
                    <w:t>不敏感</w:t>
                  </w:r>
                </w:p>
              </w:tc>
              <w:tc>
                <w:tcPr>
                  <w:tcW w:w="7367" w:type="dxa"/>
                  <w:tcBorders>
                    <w:tl2br w:val="nil"/>
                    <w:tr2bl w:val="nil"/>
                  </w:tcBorders>
                  <w:vAlign w:val="center"/>
                </w:tcPr>
                <w:p>
                  <w:pPr>
                    <w:pStyle w:val="58"/>
                    <w:spacing w:line="360" w:lineRule="exact"/>
                    <w:rPr>
                      <w:rFonts w:hint="eastAsia" w:ascii="宋体" w:hAnsi="宋体" w:eastAsia="宋体" w:cs="宋体"/>
                      <w:color w:val="auto"/>
                    </w:rPr>
                  </w:pPr>
                  <w:r>
                    <w:rPr>
                      <w:rFonts w:hint="eastAsia" w:ascii="宋体" w:hAnsi="宋体" w:eastAsia="宋体" w:cs="宋体"/>
                      <w:color w:val="auto"/>
                    </w:rPr>
                    <w:t>上述地区之外的其它地区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8522" w:type="dxa"/>
                  <w:gridSpan w:val="2"/>
                  <w:tcBorders>
                    <w:tl2br w:val="nil"/>
                    <w:tr2bl w:val="nil"/>
                  </w:tcBorders>
                  <w:vAlign w:val="center"/>
                </w:tcPr>
                <w:p>
                  <w:pPr>
                    <w:pStyle w:val="58"/>
                    <w:spacing w:line="360" w:lineRule="exact"/>
                    <w:jc w:val="left"/>
                    <w:rPr>
                      <w:rFonts w:hint="eastAsia" w:ascii="宋体" w:hAnsi="宋体" w:eastAsia="宋体" w:cs="宋体"/>
                      <w:color w:val="auto"/>
                    </w:rPr>
                  </w:pPr>
                  <w:r>
                    <w:rPr>
                      <w:rFonts w:hint="eastAsia" w:ascii="宋体" w:hAnsi="宋体" w:eastAsia="宋体" w:cs="宋体"/>
                      <w:color w:val="auto"/>
                    </w:rPr>
                    <w:t>注：“环境敏感区”是指《建设项目环境影响评价分类管理名录》中所界定的涉及地下水的环境敏感区。</w:t>
                  </w:r>
                </w:p>
              </w:tc>
            </w:tr>
          </w:tbl>
          <w:p>
            <w:pPr>
              <w:pStyle w:val="47"/>
              <w:rPr>
                <w:rFonts w:hint="eastAsia" w:ascii="宋体" w:hAnsi="宋体" w:eastAsia="宋体" w:cs="宋体"/>
                <w:color w:val="auto"/>
                <w:sz w:val="21"/>
                <w:szCs w:val="21"/>
              </w:rPr>
            </w:pPr>
            <w:bookmarkStart w:id="5" w:name="_Toc12919_WPSOffice_Level2"/>
            <w:bookmarkStart w:id="6" w:name="_Toc18909_WPSOffice_Level2"/>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7-</w:t>
            </w:r>
            <w:r>
              <w:rPr>
                <w:rFonts w:hint="eastAsia" w:ascii="宋体" w:eastAsia="宋体" w:cs="宋体"/>
                <w:color w:val="auto"/>
                <w:sz w:val="21"/>
                <w:szCs w:val="21"/>
                <w:lang w:val="en-US" w:eastAsia="zh-CN"/>
              </w:rPr>
              <w:t>4</w:t>
            </w:r>
            <w:r>
              <w:rPr>
                <w:rFonts w:hint="eastAsia" w:ascii="宋体" w:hAnsi="宋体" w:eastAsia="宋体" w:cs="宋体"/>
                <w:color w:val="auto"/>
                <w:sz w:val="21"/>
                <w:szCs w:val="21"/>
              </w:rPr>
              <w:t>地下水评价工作等级分级表</w:t>
            </w:r>
            <w:bookmarkEnd w:id="5"/>
            <w:bookmarkEnd w:id="6"/>
          </w:p>
          <w:tbl>
            <w:tblPr>
              <w:tblStyle w:val="23"/>
              <w:tblW w:w="852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31"/>
              <w:gridCol w:w="2129"/>
              <w:gridCol w:w="2132"/>
              <w:gridCol w:w="21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31"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mc:AlternateContent>
                      <mc:Choice Requires="wps">
                        <w:drawing>
                          <wp:anchor distT="0" distB="0" distL="114300" distR="114300" simplePos="0" relativeHeight="251668480" behindDoc="0" locked="0" layoutInCell="1" allowOverlap="1">
                            <wp:simplePos x="0" y="0"/>
                            <wp:positionH relativeFrom="column">
                              <wp:posOffset>-58420</wp:posOffset>
                            </wp:positionH>
                            <wp:positionV relativeFrom="paragraph">
                              <wp:posOffset>0</wp:posOffset>
                            </wp:positionV>
                            <wp:extent cx="1336040" cy="508635"/>
                            <wp:effectExtent l="1905" t="4445" r="14605" b="20320"/>
                            <wp:wrapNone/>
                            <wp:docPr id="104" name="直线 2"/>
                            <wp:cNvGraphicFramePr/>
                            <a:graphic xmlns:a="http://schemas.openxmlformats.org/drawingml/2006/main">
                              <a:graphicData uri="http://schemas.microsoft.com/office/word/2010/wordprocessingShape">
                                <wps:wsp>
                                  <wps:cNvCnPr/>
                                  <wps:spPr>
                                    <a:xfrm>
                                      <a:off x="0" y="0"/>
                                      <a:ext cx="1302385" cy="3625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margin-left:-4.6pt;margin-top:0pt;height:40.05pt;width:105.2pt;z-index:251668480;mso-width-relative:page;mso-height-relative:page;" filled="f" stroked="t" coordsize="21600,21600" o:gfxdata="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s7KXdQAAAAGAQAADwAAAAAAAAABACAAAAAiAAAAZHJzL2Rvd25yZXYueG1sUEsBAhQAFAAAAAgA&#10;h07iQMNevkXwAQAA8AMAAA4AAAAAAAAAAQAgAAAAIw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宋体"/>
                      <w:color w:val="auto"/>
                    </w:rPr>
                    <w:t xml:space="preserve">      项目类别</w:t>
                  </w:r>
                </w:p>
                <w:p>
                  <w:pPr>
                    <w:pStyle w:val="58"/>
                    <w:jc w:val="both"/>
                    <w:rPr>
                      <w:rFonts w:hint="eastAsia" w:ascii="宋体" w:hAnsi="宋体" w:eastAsia="宋体" w:cs="宋体"/>
                      <w:color w:val="auto"/>
                    </w:rPr>
                  </w:pPr>
                  <w:r>
                    <w:rPr>
                      <w:rFonts w:hint="eastAsia" w:ascii="宋体" w:hAnsi="宋体" w:eastAsia="宋体" w:cs="宋体"/>
                      <w:color w:val="auto"/>
                    </w:rPr>
                    <w:t>环境敏感程度</w:t>
                  </w:r>
                </w:p>
              </w:tc>
              <w:tc>
                <w:tcPr>
                  <w:tcW w:w="2129"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Ⅰ类项目</w:t>
                  </w:r>
                </w:p>
              </w:tc>
              <w:tc>
                <w:tcPr>
                  <w:tcW w:w="2132"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Ⅱ类项目</w:t>
                  </w:r>
                </w:p>
              </w:tc>
              <w:tc>
                <w:tcPr>
                  <w:tcW w:w="2130"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Ⅲ类项目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2131"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敏感</w:t>
                  </w:r>
                </w:p>
              </w:tc>
              <w:tc>
                <w:tcPr>
                  <w:tcW w:w="2129"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一</w:t>
                  </w:r>
                </w:p>
              </w:tc>
              <w:tc>
                <w:tcPr>
                  <w:tcW w:w="2132"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一</w:t>
                  </w:r>
                </w:p>
              </w:tc>
              <w:tc>
                <w:tcPr>
                  <w:tcW w:w="2130"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31"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较敏感</w:t>
                  </w:r>
                </w:p>
              </w:tc>
              <w:tc>
                <w:tcPr>
                  <w:tcW w:w="2129"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一</w:t>
                  </w:r>
                </w:p>
              </w:tc>
              <w:tc>
                <w:tcPr>
                  <w:tcW w:w="2132"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二</w:t>
                  </w:r>
                </w:p>
              </w:tc>
              <w:tc>
                <w:tcPr>
                  <w:tcW w:w="2130"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131"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不敏感</w:t>
                  </w:r>
                </w:p>
              </w:tc>
              <w:tc>
                <w:tcPr>
                  <w:tcW w:w="2129"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二</w:t>
                  </w:r>
                </w:p>
              </w:tc>
              <w:tc>
                <w:tcPr>
                  <w:tcW w:w="2132"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三</w:t>
                  </w:r>
                </w:p>
              </w:tc>
              <w:tc>
                <w:tcPr>
                  <w:tcW w:w="2130" w:type="dxa"/>
                  <w:tcBorders>
                    <w:tl2br w:val="nil"/>
                    <w:tr2bl w:val="nil"/>
                  </w:tcBorders>
                  <w:vAlign w:val="center"/>
                </w:tcPr>
                <w:p>
                  <w:pPr>
                    <w:pStyle w:val="58"/>
                    <w:rPr>
                      <w:rFonts w:hint="eastAsia" w:ascii="宋体" w:hAnsi="宋体" w:eastAsia="宋体" w:cs="宋体"/>
                      <w:color w:val="auto"/>
                    </w:rPr>
                  </w:pPr>
                  <w:r>
                    <w:rPr>
                      <w:rFonts w:hint="eastAsia" w:ascii="宋体" w:hAnsi="宋体" w:eastAsia="宋体" w:cs="宋体"/>
                      <w:color w:val="auto"/>
                    </w:rPr>
                    <w:t>三</w:t>
                  </w:r>
                </w:p>
              </w:tc>
            </w:tr>
          </w:tbl>
          <w:p>
            <w:pPr>
              <w:spacing w:line="480" w:lineRule="exact"/>
              <w:ind w:firstLine="523" w:firstLineChars="218"/>
              <w:rPr>
                <w:rFonts w:hint="eastAsia" w:ascii="宋体" w:hAnsi="宋体" w:eastAsia="宋体" w:cs="宋体"/>
                <w:color w:val="auto"/>
                <w:sz w:val="24"/>
              </w:rPr>
            </w:pPr>
            <w:r>
              <w:rPr>
                <w:rFonts w:hint="eastAsia" w:ascii="宋体" w:hAnsi="宋体" w:eastAsia="宋体" w:cs="宋体"/>
                <w:color w:val="auto"/>
                <w:sz w:val="24"/>
              </w:rPr>
              <w:t>本项目为加油站项目，根据《环境影响评价技术导则—地下水环境》（HJ610-2016）附录A“地下水环境影响评价行业分类表”，加油站建设项目属于Ⅱ类项目。本项目</w:t>
            </w:r>
            <w:r>
              <w:rPr>
                <w:rFonts w:hint="eastAsia" w:ascii="宋体" w:hAnsi="宋体" w:eastAsia="宋体" w:cs="宋体"/>
                <w:color w:val="auto"/>
                <w:sz w:val="24"/>
                <w:lang w:eastAsia="zh-CN"/>
              </w:rPr>
              <w:t>位于</w:t>
            </w:r>
            <w:r>
              <w:rPr>
                <w:rFonts w:hint="eastAsia" w:ascii="Times New Roman" w:hAnsi="Times New Roman" w:eastAsia="宋体"/>
                <w:color w:val="auto"/>
                <w:sz w:val="24"/>
                <w:lang w:eastAsia="zh-CN"/>
              </w:rPr>
              <w:t>砚山县蚌峨乡蚌峨新寨</w:t>
            </w:r>
            <w:r>
              <w:rPr>
                <w:rFonts w:hint="eastAsia" w:ascii="宋体" w:hAnsi="宋体" w:eastAsia="宋体" w:cs="宋体"/>
                <w:color w:val="auto"/>
                <w:sz w:val="24"/>
              </w:rPr>
              <w:t>，项目周边没有集中式饮用水水源、分散式饮用水水源和特殊地下水源，项目属于地下水环境不敏感区。由此判断，本项目地下水环境影响评价工作等级为三级。</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lang w:val="en-US" w:eastAsia="zh-CN"/>
              </w:rPr>
              <w:t>2）</w:t>
            </w:r>
            <w:r>
              <w:rPr>
                <w:rFonts w:hint="eastAsia" w:ascii="宋体" w:hAnsi="宋体" w:eastAsia="宋体" w:cs="宋体"/>
                <w:b/>
                <w:color w:val="auto"/>
                <w:sz w:val="24"/>
              </w:rPr>
              <w:t>地下水污染途径</w:t>
            </w:r>
          </w:p>
          <w:p>
            <w:pPr>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bCs/>
                <w:color w:val="auto"/>
                <w:kern w:val="0"/>
                <w:sz w:val="24"/>
              </w:rPr>
            </w:pPr>
            <w:r>
              <w:rPr>
                <w:rFonts w:hint="eastAsia" w:ascii="宋体" w:hAnsi="宋体" w:eastAsia="宋体" w:cs="宋体"/>
                <w:bCs/>
                <w:color w:val="auto"/>
                <w:kern w:val="0"/>
                <w:sz w:val="24"/>
              </w:rPr>
              <w:t>项目可能影响地下水的途径是：通过泄漏污染地下水，污染对象主要为浅部含水层，污染程度除受废水污染物化学成分、浓度及当地的降水、径流和入渗等条件影响外，还受地质结构、岩土成分、厚度、饱和和非饱和渗透性能以及对污染物的吸附滞留能力的影响。</w:t>
            </w:r>
          </w:p>
          <w:p>
            <w:pPr>
              <w:pStyle w:val="3"/>
              <w:pageBreakBefore w:val="0"/>
              <w:widowControl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b/>
                <w:bCs w:val="0"/>
                <w:color w:val="auto"/>
                <w:kern w:val="2"/>
                <w:sz w:val="24"/>
                <w:szCs w:val="24"/>
                <w:lang w:val="en-US" w:eastAsia="zh-CN" w:bidi="ar-SA"/>
              </w:rPr>
            </w:pPr>
            <w:bookmarkStart w:id="7" w:name="_Toc10808_WPSOffice_Level2"/>
            <w:r>
              <w:rPr>
                <w:rFonts w:hint="eastAsia" w:ascii="宋体" w:hAnsi="宋体" w:eastAsia="宋体" w:cs="宋体"/>
                <w:b/>
                <w:bCs w:val="0"/>
                <w:color w:val="auto"/>
                <w:kern w:val="2"/>
                <w:sz w:val="24"/>
                <w:szCs w:val="24"/>
                <w:lang w:val="en-US" w:eastAsia="zh-CN" w:bidi="ar-SA"/>
              </w:rPr>
              <w:t>3）地下水预测</w:t>
            </w:r>
            <w:bookmarkEnd w:id="7"/>
          </w:p>
          <w:p>
            <w:pPr>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① 预测范围</w:t>
            </w:r>
          </w:p>
          <w:p>
            <w:pPr>
              <w:pageBreakBefore w:val="0"/>
              <w:widowControl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b/>
                <w:color w:val="auto"/>
                <w:sz w:val="24"/>
                <w:lang w:eastAsia="zh-CN"/>
              </w:rPr>
            </w:pPr>
            <w:r>
              <w:rPr>
                <w:rFonts w:hint="eastAsia" w:ascii="宋体" w:hAnsi="宋体" w:eastAsia="宋体" w:cs="宋体"/>
                <w:color w:val="auto"/>
                <w:sz w:val="24"/>
              </w:rPr>
              <w:t>根据《环境影响评价技术导则—地下水环境》（HJ610-2016）中的查表确定本项目地下水环境影响评价范围为：以埋地储罐为中心，</w:t>
            </w:r>
            <w:r>
              <w:rPr>
                <w:rFonts w:hint="eastAsia" w:ascii="宋体" w:hAnsi="宋体" w:eastAsia="宋体" w:cs="宋体"/>
                <w:color w:val="auto"/>
                <w:sz w:val="24"/>
                <w:lang w:val="en-US" w:eastAsia="zh-CN"/>
              </w:rPr>
              <w:t>6km</w:t>
            </w:r>
            <w:r>
              <w:rPr>
                <w:rFonts w:hint="eastAsia" w:ascii="宋体" w:hAnsi="宋体" w:eastAsia="宋体" w:cs="宋体"/>
                <w:color w:val="auto"/>
                <w:sz w:val="24"/>
                <w:vertAlign w:val="superscript"/>
                <w:lang w:val="en-US" w:eastAsia="zh-CN"/>
              </w:rPr>
              <w:t>2</w:t>
            </w:r>
            <w:r>
              <w:rPr>
                <w:rFonts w:hint="eastAsia" w:ascii="宋体" w:hAnsi="宋体" w:eastAsia="宋体" w:cs="宋体"/>
                <w:color w:val="auto"/>
                <w:sz w:val="24"/>
              </w:rPr>
              <w:t>的</w:t>
            </w:r>
            <w:r>
              <w:rPr>
                <w:rFonts w:hint="eastAsia" w:ascii="宋体" w:hAnsi="宋体" w:eastAsia="宋体" w:cs="宋体"/>
                <w:color w:val="auto"/>
                <w:sz w:val="24"/>
                <w:lang w:eastAsia="zh-CN"/>
              </w:rPr>
              <w:t>圆形区域，预测层位为地下水的潜水含水层</w:t>
            </w:r>
            <w:r>
              <w:rPr>
                <w:rFonts w:hint="eastAsia" w:ascii="宋体" w:hAnsi="宋体" w:eastAsia="宋体" w:cs="宋体"/>
                <w:color w:val="auto"/>
                <w:sz w:val="24"/>
              </w:rPr>
              <w:t>。</w:t>
            </w:r>
          </w:p>
          <w:p>
            <w:pPr>
              <w:spacing w:line="480" w:lineRule="exact"/>
              <w:ind w:firstLine="523" w:firstLineChars="218"/>
              <w:rPr>
                <w:rFonts w:hint="eastAsia" w:ascii="宋体" w:hAnsi="宋体" w:eastAsia="宋体" w:cs="宋体"/>
                <w:color w:val="auto"/>
                <w:sz w:val="24"/>
              </w:rPr>
            </w:pPr>
            <w:r>
              <w:rPr>
                <w:rFonts w:hint="eastAsia" w:ascii="宋体" w:hAnsi="宋体" w:eastAsia="宋体" w:cs="宋体"/>
                <w:color w:val="auto"/>
                <w:sz w:val="24"/>
              </w:rPr>
              <w:t>②预测时段</w:t>
            </w:r>
          </w:p>
          <w:p>
            <w:pPr>
              <w:spacing w:line="480" w:lineRule="exact"/>
              <w:ind w:firstLine="523" w:firstLineChars="218"/>
              <w:rPr>
                <w:rFonts w:hint="eastAsia" w:ascii="宋体" w:hAnsi="宋体" w:eastAsia="宋体" w:cs="宋体"/>
                <w:color w:val="auto"/>
                <w:sz w:val="24"/>
              </w:rPr>
            </w:pPr>
            <w:r>
              <w:rPr>
                <w:rFonts w:hint="eastAsia" w:ascii="宋体" w:hAnsi="宋体" w:eastAsia="宋体" w:cs="宋体"/>
                <w:color w:val="auto"/>
                <w:sz w:val="24"/>
              </w:rPr>
              <w:t>结合地下水跟踪监测的频率，预测时段设定为发生油品泄露后的100、1000天及服务年限30年。</w:t>
            </w:r>
          </w:p>
          <w:p>
            <w:pPr>
              <w:spacing w:line="48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③ 情景设置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在正常工况状态下，本项目不会有大量油品泄露，仅在加油站作业过程中会有少量的跑冒滴漏油品落在地表，不会对地下水造成污染。因此本项目的预测时段确定为事故状态。本项目储油罐材质为双层钢材，罐体外由玻璃纤维层包裹，输油管线为吸取式，材质为无缝钢管，外层有玻璃纤维包裹。正常运营状态下不会有油品泄漏，当因地质塌陷、设备老旧腐蚀（20年以上的设备容易发生腐蚀）等突发情况和事故状态下可能造成油品泄漏，本项目针对事故状态下进行地下水环境影响预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rPr>
              <w:t>类比同类项目设定事故状态如下，假定汽油储罐和柴油储罐同事发生泄漏</w:t>
            </w:r>
          </w:p>
          <w:p>
            <w:pPr>
              <w:pStyle w:val="47"/>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7-</w:t>
            </w:r>
            <w:r>
              <w:rPr>
                <w:rFonts w:hint="eastAsia" w:ascii="宋体" w:eastAsia="宋体" w:cs="宋体"/>
                <w:color w:val="auto"/>
                <w:sz w:val="21"/>
                <w:szCs w:val="21"/>
                <w:lang w:val="en-US" w:eastAsia="zh-CN"/>
              </w:rPr>
              <w:t>5</w:t>
            </w:r>
            <w:r>
              <w:rPr>
                <w:rFonts w:hint="eastAsia" w:ascii="宋体" w:hAnsi="宋体" w:eastAsia="宋体" w:cs="宋体"/>
                <w:color w:val="auto"/>
                <w:sz w:val="21"/>
                <w:szCs w:val="21"/>
              </w:rPr>
              <w:t>油罐泄漏事故场景设定</w:t>
            </w:r>
          </w:p>
          <w:tbl>
            <w:tblPr>
              <w:tblStyle w:val="23"/>
              <w:tblW w:w="852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3"/>
              <w:gridCol w:w="1065"/>
              <w:gridCol w:w="1503"/>
              <w:gridCol w:w="1221"/>
              <w:gridCol w:w="975"/>
              <w:gridCol w:w="855"/>
              <w:gridCol w:w="18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1083"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储罐</w:t>
                  </w:r>
                </w:p>
              </w:tc>
              <w:tc>
                <w:tcPr>
                  <w:tcW w:w="1065"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储罐数量</w:t>
                  </w:r>
                </w:p>
              </w:tc>
              <w:tc>
                <w:tcPr>
                  <w:tcW w:w="1503"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储罐材质</w:t>
                  </w:r>
                </w:p>
              </w:tc>
              <w:tc>
                <w:tcPr>
                  <w:tcW w:w="1221"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储罐容积</w:t>
                  </w:r>
                </w:p>
              </w:tc>
              <w:tc>
                <w:tcPr>
                  <w:tcW w:w="975"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充装度</w:t>
                  </w:r>
                </w:p>
              </w:tc>
              <w:tc>
                <w:tcPr>
                  <w:tcW w:w="855"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储量</w:t>
                  </w:r>
                </w:p>
              </w:tc>
              <w:tc>
                <w:tcPr>
                  <w:tcW w:w="1820"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泄漏量/占比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1083"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汽油储罐</w:t>
                  </w:r>
                </w:p>
              </w:tc>
              <w:tc>
                <w:tcPr>
                  <w:tcW w:w="1065"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1座</w:t>
                  </w:r>
                </w:p>
              </w:tc>
              <w:tc>
                <w:tcPr>
                  <w:tcW w:w="1503" w:type="dxa"/>
                  <w:vMerge w:val="restart"/>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内层钢材</w:t>
                  </w:r>
                </w:p>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外层玻璃纤维</w:t>
                  </w:r>
                </w:p>
              </w:tc>
              <w:tc>
                <w:tcPr>
                  <w:tcW w:w="1221"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30</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/罐</w:t>
                  </w:r>
                </w:p>
              </w:tc>
              <w:tc>
                <w:tcPr>
                  <w:tcW w:w="975"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855"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17.52</w:t>
                  </w:r>
                  <w:r>
                    <w:rPr>
                      <w:rFonts w:hint="eastAsia" w:ascii="宋体" w:hAnsi="宋体" w:eastAsia="宋体" w:cs="宋体"/>
                      <w:color w:val="auto"/>
                      <w:sz w:val="21"/>
                      <w:szCs w:val="21"/>
                    </w:rPr>
                    <w:t>t</w:t>
                  </w:r>
                </w:p>
              </w:tc>
              <w:tc>
                <w:tcPr>
                  <w:tcW w:w="1820"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17.52</w:t>
                  </w:r>
                  <w:r>
                    <w:rPr>
                      <w:rFonts w:hint="eastAsia" w:ascii="宋体" w:hAnsi="宋体" w:eastAsia="宋体" w:cs="宋体"/>
                      <w:color w:val="auto"/>
                      <w:sz w:val="21"/>
                      <w:szCs w:val="21"/>
                    </w:rPr>
                    <w:t>kg/d，0.1%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6" w:hRule="atLeast"/>
                <w:jc w:val="center"/>
              </w:trPr>
              <w:tc>
                <w:tcPr>
                  <w:tcW w:w="1083"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柴油储罐</w:t>
                  </w:r>
                </w:p>
              </w:tc>
              <w:tc>
                <w:tcPr>
                  <w:tcW w:w="1065" w:type="dxa"/>
                  <w:tcBorders>
                    <w:tl2br w:val="nil"/>
                    <w:tr2bl w:val="nil"/>
                  </w:tcBorders>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1座</w:t>
                  </w:r>
                </w:p>
              </w:tc>
              <w:tc>
                <w:tcPr>
                  <w:tcW w:w="1503" w:type="dxa"/>
                  <w:vMerge w:val="continue"/>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p>
              </w:tc>
              <w:tc>
                <w:tcPr>
                  <w:tcW w:w="1221"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50</w:t>
                  </w:r>
                  <w:r>
                    <w:rPr>
                      <w:rFonts w:hint="eastAsia" w:ascii="宋体" w:hAnsi="宋体" w:eastAsia="宋体" w:cs="宋体"/>
                      <w:color w:val="auto"/>
                      <w:sz w:val="21"/>
                      <w:szCs w:val="21"/>
                    </w:rPr>
                    <w:t>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/罐</w:t>
                  </w:r>
                </w:p>
              </w:tc>
              <w:tc>
                <w:tcPr>
                  <w:tcW w:w="975"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855" w:type="dxa"/>
                  <w:tcBorders>
                    <w:tl2br w:val="nil"/>
                    <w:tr2bl w:val="nil"/>
                  </w:tcBorders>
                  <w:vAlign w:val="center"/>
                </w:tcPr>
                <w:p>
                  <w:pPr>
                    <w:pStyle w:val="22"/>
                    <w:ind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33.2t</w:t>
                  </w:r>
                </w:p>
              </w:tc>
              <w:tc>
                <w:tcPr>
                  <w:tcW w:w="1820" w:type="dxa"/>
                  <w:tcBorders>
                    <w:tl2br w:val="nil"/>
                    <w:tr2bl w:val="nil"/>
                  </w:tcBorders>
                  <w:vAlign w:val="center"/>
                </w:tcPr>
                <w:p>
                  <w:pPr>
                    <w:pStyle w:val="22"/>
                    <w:ind w:firstLine="0" w:firstLine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33.2</w:t>
                  </w:r>
                  <w:r>
                    <w:rPr>
                      <w:rFonts w:hint="eastAsia" w:ascii="宋体" w:hAnsi="宋体" w:eastAsia="宋体" w:cs="宋体"/>
                      <w:color w:val="auto"/>
                      <w:sz w:val="21"/>
                      <w:szCs w:val="21"/>
                    </w:rPr>
                    <w:t>kg/d，0.1%</w:t>
                  </w:r>
                </w:p>
              </w:tc>
            </w:tr>
          </w:tbl>
          <w:p>
            <w:pPr>
              <w:spacing w:line="48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④预测因子</w:t>
            </w:r>
          </w:p>
          <w:p>
            <w:pPr>
              <w:spacing w:line="48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根据本项目的污染特征确定预测因子为石油类。</w:t>
            </w:r>
          </w:p>
          <w:p>
            <w:pPr>
              <w:spacing w:line="48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⑤预测模式</w:t>
            </w:r>
          </w:p>
          <w:p>
            <w:pPr>
              <w:spacing w:line="48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a.预测模式</w:t>
            </w:r>
          </w:p>
          <w:p>
            <w:pPr>
              <w:pStyle w:val="56"/>
              <w:snapToGrid w:val="0"/>
              <w:spacing w:line="520" w:lineRule="exact"/>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根据《环境影响评价技术导则 地下水环境》（HJ610-2016）要求，地下水环境影响评价三级评价预测方法可以选用解析法。根据本项目地下水的污染特性选用“连续注入示踪剂-平面连续点源预测模型”，公示如下：</w:t>
            </w:r>
          </w:p>
          <w:p>
            <w:pPr>
              <w:snapToGrid w:val="0"/>
              <w:spacing w:line="500" w:lineRule="exact"/>
              <w:ind w:firstLine="315" w:firstLineChars="150"/>
              <w:rPr>
                <w:rFonts w:hint="eastAsia" w:ascii="宋体" w:hAnsi="宋体" w:eastAsia="宋体" w:cs="宋体"/>
                <w:color w:val="auto"/>
                <w:sz w:val="28"/>
              </w:rPr>
            </w:pPr>
            <w:r>
              <w:rPr>
                <w:rFonts w:hint="eastAsia" w:ascii="宋体" w:hAnsi="宋体" w:eastAsia="宋体" w:cs="宋体"/>
                <w:color w:val="auto"/>
              </w:rPr>
              <w:drawing>
                <wp:anchor distT="0" distB="0" distL="114300" distR="114300" simplePos="0" relativeHeight="251669504" behindDoc="0" locked="0" layoutInCell="1" allowOverlap="1">
                  <wp:simplePos x="0" y="0"/>
                  <wp:positionH relativeFrom="column">
                    <wp:posOffset>1104900</wp:posOffset>
                  </wp:positionH>
                  <wp:positionV relativeFrom="paragraph">
                    <wp:posOffset>53340</wp:posOffset>
                  </wp:positionV>
                  <wp:extent cx="2773680" cy="1013460"/>
                  <wp:effectExtent l="0" t="0" r="7620" b="15240"/>
                  <wp:wrapNone/>
                  <wp:docPr id="105" name="图片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13"/>
                          <pic:cNvPicPr>
                            <a:picLocks noChangeAspect="1"/>
                          </pic:cNvPicPr>
                        </pic:nvPicPr>
                        <pic:blipFill>
                          <a:blip r:embed="rId26"/>
                          <a:stretch>
                            <a:fillRect/>
                          </a:stretch>
                        </pic:blipFill>
                        <pic:spPr>
                          <a:xfrm>
                            <a:off x="0" y="0"/>
                            <a:ext cx="2773680" cy="1013460"/>
                          </a:xfrm>
                          <a:prstGeom prst="rect">
                            <a:avLst/>
                          </a:prstGeom>
                          <a:noFill/>
                          <a:ln w="9525">
                            <a:noFill/>
                          </a:ln>
                        </pic:spPr>
                      </pic:pic>
                    </a:graphicData>
                  </a:graphic>
                </wp:anchor>
              </w:drawing>
            </w:r>
          </w:p>
          <w:p>
            <w:pPr>
              <w:snapToGrid w:val="0"/>
              <w:spacing w:line="500" w:lineRule="exact"/>
              <w:ind w:firstLine="420" w:firstLineChars="150"/>
              <w:rPr>
                <w:rFonts w:hint="eastAsia" w:ascii="宋体" w:hAnsi="宋体" w:eastAsia="宋体" w:cs="宋体"/>
                <w:color w:val="auto"/>
                <w:sz w:val="28"/>
              </w:rPr>
            </w:pPr>
          </w:p>
          <w:p>
            <w:pPr>
              <w:pStyle w:val="56"/>
              <w:snapToGrid w:val="0"/>
              <w:spacing w:line="520" w:lineRule="exact"/>
              <w:ind w:firstLine="480" w:firstLineChars="200"/>
              <w:jc w:val="both"/>
              <w:rPr>
                <w:rFonts w:hint="eastAsia" w:ascii="宋体" w:hAnsi="宋体" w:eastAsia="宋体" w:cs="宋体"/>
                <w:color w:val="auto"/>
                <w:sz w:val="24"/>
                <w:szCs w:val="24"/>
              </w:rPr>
            </w:pPr>
          </w:p>
          <w:p>
            <w:pPr>
              <w:pStyle w:val="56"/>
              <w:snapToGrid w:val="0"/>
              <w:spacing w:line="520" w:lineRule="exact"/>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式中：x—距注入点的距离，m；</w:t>
            </w:r>
          </w:p>
          <w:p>
            <w:pPr>
              <w:pStyle w:val="56"/>
              <w:snapToGrid w:val="0"/>
              <w:spacing w:line="520" w:lineRule="exact"/>
              <w:ind w:firstLine="1200" w:firstLineChars="500"/>
              <w:jc w:val="both"/>
              <w:rPr>
                <w:rFonts w:hint="eastAsia" w:ascii="宋体" w:hAnsi="宋体" w:eastAsia="宋体" w:cs="宋体"/>
                <w:color w:val="auto"/>
                <w:sz w:val="24"/>
                <w:szCs w:val="24"/>
              </w:rPr>
            </w:pPr>
            <w:r>
              <w:rPr>
                <w:rFonts w:hint="eastAsia" w:ascii="宋体" w:hAnsi="宋体" w:eastAsia="宋体" w:cs="宋体"/>
                <w:color w:val="auto"/>
                <w:sz w:val="24"/>
                <w:szCs w:val="24"/>
              </w:rPr>
              <w:t>t—预测时间，d；</w:t>
            </w:r>
          </w:p>
          <w:p>
            <w:pPr>
              <w:pStyle w:val="56"/>
              <w:snapToGrid w:val="0"/>
              <w:spacing w:line="520" w:lineRule="exact"/>
              <w:ind w:firstLine="1200" w:firstLineChars="500"/>
              <w:jc w:val="both"/>
              <w:rPr>
                <w:rFonts w:hint="eastAsia" w:ascii="宋体" w:hAnsi="宋体" w:eastAsia="宋体" w:cs="宋体"/>
                <w:color w:val="auto"/>
                <w:sz w:val="24"/>
                <w:szCs w:val="24"/>
              </w:rPr>
            </w:pPr>
            <w:r>
              <w:rPr>
                <w:rFonts w:hint="eastAsia" w:ascii="宋体" w:hAnsi="宋体" w:eastAsia="宋体" w:cs="宋体"/>
                <w:color w:val="auto"/>
                <w:sz w:val="24"/>
                <w:szCs w:val="24"/>
              </w:rPr>
              <w:t>C（x，t）—t时刻在x处污染物浓度，g/L；</w:t>
            </w:r>
          </w:p>
          <w:p>
            <w:pPr>
              <w:pStyle w:val="56"/>
              <w:snapToGrid w:val="0"/>
              <w:spacing w:line="520" w:lineRule="exact"/>
              <w:ind w:firstLine="1200" w:firstLineChars="500"/>
              <w:jc w:val="both"/>
              <w:rPr>
                <w:rFonts w:hint="eastAsia" w:ascii="宋体" w:hAnsi="宋体" w:eastAsia="宋体" w:cs="宋体"/>
                <w:color w:val="auto"/>
                <w:sz w:val="24"/>
                <w:szCs w:val="24"/>
              </w:rPr>
            </w:pPr>
            <w:r>
              <w:rPr>
                <w:rFonts w:hint="eastAsia" w:ascii="宋体" w:hAnsi="宋体" w:eastAsia="宋体" w:cs="宋体"/>
                <w:color w:val="auto"/>
                <w:sz w:val="24"/>
                <w:szCs w:val="24"/>
              </w:rPr>
              <w:t>m—注入的示踪剂质量，kg；</w:t>
            </w:r>
          </w:p>
          <w:p>
            <w:pPr>
              <w:pStyle w:val="56"/>
              <w:snapToGrid w:val="0"/>
              <w:spacing w:line="520" w:lineRule="exact"/>
              <w:ind w:firstLine="1200" w:firstLineChars="500"/>
              <w:jc w:val="both"/>
              <w:rPr>
                <w:rFonts w:hint="eastAsia" w:ascii="宋体" w:hAnsi="宋体" w:eastAsia="宋体" w:cs="宋体"/>
                <w:color w:val="auto"/>
                <w:sz w:val="24"/>
                <w:szCs w:val="24"/>
              </w:rPr>
            </w:pPr>
            <w:r>
              <w:rPr>
                <w:rFonts w:hint="eastAsia" w:ascii="宋体" w:hAnsi="宋体" w:eastAsia="宋体" w:cs="宋体"/>
                <w:color w:val="auto"/>
                <w:sz w:val="24"/>
                <w:szCs w:val="24"/>
              </w:rPr>
              <w:t>w—横截面面积，m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w:t>
            </w:r>
          </w:p>
          <w:p>
            <w:pPr>
              <w:pStyle w:val="56"/>
              <w:snapToGrid w:val="0"/>
              <w:spacing w:line="520" w:lineRule="exact"/>
              <w:ind w:firstLine="1200" w:firstLineChars="500"/>
              <w:jc w:val="both"/>
              <w:rPr>
                <w:rFonts w:hint="eastAsia" w:ascii="宋体" w:hAnsi="宋体" w:eastAsia="宋体" w:cs="宋体"/>
                <w:color w:val="auto"/>
                <w:sz w:val="24"/>
                <w:szCs w:val="24"/>
              </w:rPr>
            </w:pPr>
            <w:r>
              <w:rPr>
                <w:rFonts w:hint="eastAsia" w:ascii="宋体" w:hAnsi="宋体" w:eastAsia="宋体" w:cs="宋体"/>
                <w:color w:val="auto"/>
                <w:sz w:val="24"/>
                <w:szCs w:val="24"/>
              </w:rPr>
              <w:t>u—水流速度，m/d;</w:t>
            </w:r>
          </w:p>
          <w:p>
            <w:pPr>
              <w:pStyle w:val="56"/>
              <w:snapToGrid w:val="0"/>
              <w:spacing w:line="520" w:lineRule="exact"/>
              <w:ind w:firstLine="1200" w:firstLineChars="500"/>
              <w:jc w:val="both"/>
              <w:rPr>
                <w:rFonts w:hint="eastAsia" w:ascii="宋体" w:hAnsi="宋体" w:eastAsia="宋体" w:cs="宋体"/>
                <w:color w:val="auto"/>
                <w:sz w:val="24"/>
                <w:szCs w:val="24"/>
              </w:rPr>
            </w:pPr>
            <w:r>
              <w:rPr>
                <w:rFonts w:hint="eastAsia" w:ascii="宋体" w:hAnsi="宋体" w:eastAsia="宋体" w:cs="宋体"/>
                <w:color w:val="auto"/>
                <w:sz w:val="24"/>
                <w:szCs w:val="24"/>
              </w:rPr>
              <w:t>n</w:t>
            </w:r>
            <w:r>
              <w:rPr>
                <w:rFonts w:hint="eastAsia" w:ascii="宋体" w:hAnsi="宋体" w:eastAsia="宋体" w:cs="宋体"/>
                <w:color w:val="auto"/>
                <w:sz w:val="24"/>
                <w:szCs w:val="24"/>
                <w:vertAlign w:val="subscript"/>
              </w:rPr>
              <w:t>e</w:t>
            </w:r>
            <w:r>
              <w:rPr>
                <w:rFonts w:hint="eastAsia" w:ascii="宋体" w:hAnsi="宋体" w:eastAsia="宋体" w:cs="宋体"/>
                <w:color w:val="auto"/>
                <w:sz w:val="24"/>
                <w:szCs w:val="24"/>
              </w:rPr>
              <w:t>—有效孔隙度，无量纲；</w:t>
            </w:r>
          </w:p>
          <w:p>
            <w:pPr>
              <w:pStyle w:val="56"/>
              <w:snapToGrid w:val="0"/>
              <w:spacing w:line="520" w:lineRule="exact"/>
              <w:ind w:firstLine="1200" w:firstLineChars="500"/>
              <w:jc w:val="both"/>
              <w:rPr>
                <w:rFonts w:hint="eastAsia" w:ascii="宋体" w:hAnsi="宋体" w:eastAsia="宋体" w:cs="宋体"/>
                <w:color w:val="auto"/>
                <w:sz w:val="24"/>
                <w:szCs w:val="24"/>
              </w:rPr>
            </w:pPr>
            <w:r>
              <w:rPr>
                <w:rFonts w:hint="eastAsia" w:ascii="宋体" w:hAnsi="宋体" w:eastAsia="宋体" w:cs="宋体"/>
                <w:color w:val="auto"/>
                <w:sz w:val="24"/>
                <w:szCs w:val="24"/>
              </w:rPr>
              <w:t>D</w:t>
            </w:r>
            <w:r>
              <w:rPr>
                <w:rFonts w:hint="eastAsia" w:ascii="宋体" w:hAnsi="宋体" w:eastAsia="宋体" w:cs="宋体"/>
                <w:color w:val="auto"/>
                <w:sz w:val="24"/>
                <w:szCs w:val="24"/>
                <w:vertAlign w:val="subscript"/>
              </w:rPr>
              <w:t>L</w:t>
            </w:r>
            <w:r>
              <w:rPr>
                <w:rFonts w:hint="eastAsia" w:ascii="宋体" w:hAnsi="宋体" w:eastAsia="宋体" w:cs="宋体"/>
                <w:color w:val="auto"/>
                <w:sz w:val="24"/>
                <w:szCs w:val="24"/>
              </w:rPr>
              <w:t>—弥散系数，m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/d；</w:t>
            </w:r>
          </w:p>
          <w:p>
            <w:pPr>
              <w:pStyle w:val="56"/>
              <w:snapToGrid w:val="0"/>
              <w:spacing w:line="520" w:lineRule="exact"/>
              <w:ind w:firstLine="1200" w:firstLineChars="500"/>
              <w:jc w:val="both"/>
              <w:rPr>
                <w:rFonts w:hint="eastAsia" w:ascii="宋体" w:hAnsi="宋体" w:eastAsia="宋体" w:cs="宋体"/>
                <w:color w:val="auto"/>
                <w:sz w:val="24"/>
                <w:szCs w:val="24"/>
              </w:rPr>
            </w:pPr>
            <w:r>
              <w:rPr>
                <w:rFonts w:hint="eastAsia" w:ascii="宋体" w:hAnsi="宋体" w:eastAsia="宋体" w:cs="宋体"/>
                <w:color w:val="auto"/>
                <w:sz w:val="24"/>
                <w:szCs w:val="24"/>
              </w:rPr>
              <w:t>π—圆周率。</w:t>
            </w:r>
          </w:p>
          <w:p>
            <w:pPr>
              <w:pStyle w:val="56"/>
              <w:snapToGrid w:val="0"/>
              <w:spacing w:line="520" w:lineRule="exact"/>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b.模式中参数的确定</w:t>
            </w:r>
          </w:p>
          <w:p>
            <w:pPr>
              <w:pStyle w:val="56"/>
              <w:snapToGrid w:val="0"/>
              <w:spacing w:line="520" w:lineRule="exact"/>
              <w:ind w:firstLine="480" w:firstLineChars="200"/>
              <w:jc w:val="both"/>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注入的示踪剂质量（m）—非正常泄露时间跟企业管理程度有关，项目设有漏油在线监测系统，当发生泄露时，很快就会发现，一般不会出现连续一天以上的事故泄露，故本项目非正常下渗时间按1天计，故注入示踪剂（石油类）质量为</w:t>
            </w:r>
            <w:r>
              <w:rPr>
                <w:rFonts w:hint="eastAsia" w:ascii="宋体" w:hAnsi="宋体" w:eastAsia="宋体" w:cs="宋体"/>
                <w:color w:val="auto"/>
                <w:sz w:val="24"/>
                <w:szCs w:val="24"/>
                <w:lang w:val="en-US" w:eastAsia="zh-CN"/>
              </w:rPr>
              <w:t>50.72</w:t>
            </w:r>
            <w:r>
              <w:rPr>
                <w:rFonts w:hint="eastAsia" w:ascii="宋体" w:hAnsi="宋体" w:eastAsia="宋体" w:cs="宋体"/>
                <w:color w:val="auto"/>
                <w:sz w:val="24"/>
                <w:szCs w:val="24"/>
              </w:rPr>
              <w:t>kg。</w:t>
            </w:r>
          </w:p>
          <w:p>
            <w:pPr>
              <w:pStyle w:val="56"/>
              <w:snapToGrid w:val="0"/>
              <w:spacing w:line="520" w:lineRule="exact"/>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横截面面积—假设裂口为0.01m</w:t>
            </w:r>
            <w:r>
              <w:rPr>
                <w:rFonts w:hint="eastAsia" w:ascii="宋体" w:hAnsi="宋体" w:eastAsia="宋体" w:cs="宋体"/>
                <w:color w:val="auto"/>
                <w:sz w:val="24"/>
                <w:szCs w:val="24"/>
                <w:vertAlign w:val="superscript"/>
              </w:rPr>
              <w:t>2</w:t>
            </w:r>
          </w:p>
          <w:p>
            <w:pPr>
              <w:pStyle w:val="56"/>
              <w:snapToGrid w:val="0"/>
              <w:spacing w:line="520" w:lineRule="exact"/>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水流速度—本项目潜水层</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水流速度为0.033m/d</w:t>
            </w:r>
          </w:p>
          <w:p>
            <w:pPr>
              <w:pStyle w:val="56"/>
              <w:snapToGrid w:val="0"/>
              <w:spacing w:line="520" w:lineRule="exact"/>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有效孔隙度—有效孔隙度查阅《水文地质手册》及地勘报告，取值0.30</w:t>
            </w:r>
          </w:p>
          <w:p>
            <w:pPr>
              <w:pStyle w:val="56"/>
              <w:snapToGrid w:val="0"/>
              <w:spacing w:line="520" w:lineRule="exact"/>
              <w:ind w:firstLine="480" w:firstLineChars="200"/>
              <w:jc w:val="both"/>
              <w:rPr>
                <w:rFonts w:hint="eastAsia" w:ascii="宋体" w:hAnsi="宋体" w:eastAsia="宋体" w:cs="宋体"/>
                <w:color w:val="auto"/>
              </w:rPr>
            </w:pPr>
            <w:r>
              <w:rPr>
                <w:rFonts w:hint="eastAsia" w:ascii="宋体" w:hAnsi="宋体" w:eastAsia="宋体" w:cs="宋体"/>
                <w:color w:val="auto"/>
                <w:sz w:val="24"/>
                <w:szCs w:val="24"/>
              </w:rPr>
              <w:t>弥散系数—根据经验值取0.4m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/d。</w:t>
            </w:r>
            <w:bookmarkStart w:id="8" w:name="_Toc8469_WPSOffice_Level2"/>
            <w:bookmarkStart w:id="9" w:name="_Toc24749_WPSOffice_Level2"/>
          </w:p>
          <w:bookmarkEnd w:id="8"/>
          <w:bookmarkEnd w:id="9"/>
          <w:p>
            <w:pPr>
              <w:pStyle w:val="56"/>
              <w:snapToGrid w:val="0"/>
              <w:spacing w:line="480" w:lineRule="exact"/>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将上述预测参数代入地下水溶质运移解析模型中，计算污染物石油类在非正常工况渗漏100d、1000d和服务年限30a的迁移情况，预测结果见表</w:t>
            </w:r>
            <w:r>
              <w:rPr>
                <w:rFonts w:hint="eastAsia" w:ascii="宋体" w:hAnsi="宋体" w:eastAsia="宋体" w:cs="宋体"/>
                <w:color w:val="auto"/>
                <w:sz w:val="24"/>
                <w:szCs w:val="24"/>
                <w:lang w:val="en-US" w:eastAsia="zh-CN"/>
              </w:rPr>
              <w:t>7-6</w:t>
            </w:r>
            <w:r>
              <w:rPr>
                <w:rFonts w:hint="eastAsia" w:ascii="宋体" w:hAnsi="宋体" w:eastAsia="宋体" w:cs="宋体"/>
                <w:color w:val="auto"/>
                <w:sz w:val="24"/>
                <w:szCs w:val="24"/>
              </w:rPr>
              <w:t>。</w:t>
            </w:r>
            <w:bookmarkStart w:id="10" w:name="_Toc17888_WPSOffice_Level2"/>
            <w:bookmarkStart w:id="11" w:name="_Toc17733_WPSOffice_Level2"/>
          </w:p>
          <w:p>
            <w:pPr>
              <w:spacing w:line="480" w:lineRule="exact"/>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 xml:space="preserve">7-6  </w:t>
            </w:r>
            <w:r>
              <w:rPr>
                <w:rFonts w:hint="eastAsia" w:ascii="宋体" w:hAnsi="宋体" w:eastAsia="宋体" w:cs="宋体"/>
                <w:color w:val="auto"/>
                <w:sz w:val="21"/>
                <w:szCs w:val="21"/>
              </w:rPr>
              <w:t>100d、1000d和30a地下水中污染物迁移情况</w:t>
            </w:r>
            <w:bookmarkEnd w:id="10"/>
            <w:bookmarkEnd w:id="11"/>
          </w:p>
          <w:tbl>
            <w:tblPr>
              <w:tblStyle w:val="23"/>
              <w:tblW w:w="862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20"/>
              <w:gridCol w:w="1421"/>
              <w:gridCol w:w="1420"/>
              <w:gridCol w:w="1421"/>
              <w:gridCol w:w="1421"/>
              <w:gridCol w:w="15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4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100d污染物迁移结果</w:t>
                  </w:r>
                </w:p>
              </w:tc>
              <w:tc>
                <w:tcPr>
                  <w:tcW w:w="284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1000d污染物迁移结果</w:t>
                  </w:r>
                </w:p>
              </w:tc>
              <w:tc>
                <w:tcPr>
                  <w:tcW w:w="294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30a污染物迁移结果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距离（m）</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浓度（mg/L）</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距离（m）</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浓度（mg/L）</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距离（m）</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浓度（mg/L）</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509434.8394</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87308.43765</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30.21425963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527580.8689</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155158.4872</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206.0502415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539585.9508</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167242.8936</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1056.310805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545008.912</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109338.3422</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4070.689831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543648.1975</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43356.0958</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11792.38183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535554.2684</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22633.86394</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25679.86003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521027.295</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10427.50662</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42037.94163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411908.9046</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4239.508948</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51730.58755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95421.34007</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1521.120327</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47853.22928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6333.178022</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481.6427033</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33276.11198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120.4286687</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134.5858647</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17394.46783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0.656099891</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33.18845418</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6835.140031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0.363693943</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7.222509654</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2019.022399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0.199101141</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1.387082323</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448.3243769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0.107642222</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0.235087522</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74.83727013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0.057472865</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190</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0.035161706</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9.390039072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55</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0.030305003</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191</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0.028878083</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0.885709406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jc w:val="center"/>
              </w:trPr>
              <w:tc>
                <w:tcPr>
                  <w:tcW w:w="1420"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0.015781101</w:t>
                  </w: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192</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0.023687747</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820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0.318007216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0.008115804</w:t>
                  </w:r>
                </w:p>
              </w:tc>
              <w:tc>
                <w:tcPr>
                  <w:tcW w:w="1420"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193</w:t>
                  </w:r>
                </w:p>
              </w:tc>
              <w:tc>
                <w:tcPr>
                  <w:tcW w:w="1421"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0.019406009</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840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0.109081655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58</w:t>
                  </w:r>
                </w:p>
              </w:tc>
              <w:tc>
                <w:tcPr>
                  <w:tcW w:w="1421" w:type="dxa"/>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0.004121895</w:t>
                  </w:r>
                </w:p>
              </w:tc>
              <w:tc>
                <w:tcPr>
                  <w:tcW w:w="1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194</w:t>
                  </w:r>
                </w:p>
              </w:tc>
              <w:tc>
                <w:tcPr>
                  <w:tcW w:w="14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0.015878371</w:t>
                  </w:r>
                </w:p>
              </w:tc>
              <w:tc>
                <w:tcPr>
                  <w:tcW w:w="1421" w:type="dxa"/>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860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0.035746677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195</w:t>
                  </w:r>
                </w:p>
              </w:tc>
              <w:tc>
                <w:tcPr>
                  <w:tcW w:w="1421"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0.01297576</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870</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0.020115981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7"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196</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0.010590504</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875</w:t>
                  </w:r>
                </w:p>
              </w:tc>
              <w:tc>
                <w:tcPr>
                  <w:tcW w:w="1525" w:type="dxa"/>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0.015025703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876</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0.014169182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 w:hRule="atLeast"/>
                <w:jc w:val="cent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877</w:t>
                  </w:r>
                </w:p>
              </w:tc>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0.01335996</w:t>
                  </w:r>
                </w:p>
              </w:tc>
            </w:tr>
          </w:tbl>
          <w:p>
            <w:pPr>
              <w:spacing w:line="480" w:lineRule="exact"/>
              <w:ind w:firstLine="480" w:firstLineChars="200"/>
              <w:rPr>
                <w:rFonts w:hint="eastAsia" w:ascii="宋体" w:hAnsi="宋体" w:eastAsia="宋体" w:cs="宋体"/>
                <w:color w:val="auto"/>
              </w:rPr>
            </w:pPr>
            <w:r>
              <w:rPr>
                <w:rFonts w:hint="eastAsia" w:ascii="宋体" w:hAnsi="宋体" w:eastAsia="宋体" w:cs="宋体"/>
                <w:color w:val="auto"/>
                <w:sz w:val="24"/>
              </w:rPr>
              <w:t>污染物超标扩散距离见表</w:t>
            </w:r>
            <w:r>
              <w:rPr>
                <w:rFonts w:hint="eastAsia" w:ascii="宋体" w:hAnsi="宋体" w:eastAsia="宋体" w:cs="宋体"/>
                <w:color w:val="auto"/>
                <w:sz w:val="24"/>
                <w:lang w:val="en-US" w:eastAsia="zh-CN"/>
              </w:rPr>
              <w:t>7-7</w:t>
            </w:r>
            <w:r>
              <w:rPr>
                <w:rFonts w:hint="eastAsia" w:ascii="宋体" w:hAnsi="宋体" w:eastAsia="宋体" w:cs="宋体"/>
                <w:color w:val="auto"/>
                <w:sz w:val="24"/>
              </w:rPr>
              <w:t>。</w:t>
            </w:r>
            <w:bookmarkStart w:id="12" w:name="_Toc920_WPSOffice_Level2"/>
            <w:bookmarkStart w:id="13" w:name="_Toc18428_WPSOffice_Level2"/>
          </w:p>
          <w:p>
            <w:pPr>
              <w:pStyle w:val="47"/>
              <w:rPr>
                <w:rFonts w:hint="eastAsia" w:ascii="宋体" w:hAnsi="宋体" w:eastAsia="宋体" w:cs="宋体"/>
                <w:color w:val="auto"/>
                <w:sz w:val="21"/>
                <w:szCs w:val="21"/>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7-</w:t>
            </w:r>
            <w:r>
              <w:rPr>
                <w:rFonts w:hint="eastAsia" w:ascii="宋体" w:eastAsia="宋体" w:cs="宋体"/>
                <w:color w:val="auto"/>
                <w:sz w:val="21"/>
                <w:szCs w:val="21"/>
                <w:lang w:val="en-US" w:eastAsia="zh-CN"/>
              </w:rPr>
              <w:t>7</w:t>
            </w:r>
            <w:r>
              <w:rPr>
                <w:rFonts w:hint="eastAsia" w:ascii="宋体" w:hAnsi="宋体" w:eastAsia="宋体" w:cs="宋体"/>
                <w:color w:val="auto"/>
                <w:sz w:val="21"/>
                <w:szCs w:val="21"/>
              </w:rPr>
              <w:t xml:space="preserve"> 污染物扩散达标距离</w:t>
            </w:r>
            <w:bookmarkEnd w:id="12"/>
            <w:bookmarkEnd w:id="13"/>
          </w:p>
          <w:tbl>
            <w:tblPr>
              <w:tblStyle w:val="23"/>
              <w:tblW w:w="8508" w:type="dxa"/>
              <w:tblInd w:w="12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38"/>
              <w:gridCol w:w="3318"/>
              <w:gridCol w:w="1248"/>
              <w:gridCol w:w="26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338" w:type="dxa"/>
                  <w:tcBorders>
                    <w:tl2br w:val="nil"/>
                    <w:tr2bl w:val="nil"/>
                  </w:tcBorders>
                  <w:vAlign w:val="center"/>
                </w:tcPr>
                <w:p>
                  <w:pPr>
                    <w:snapToGrid w:val="0"/>
                    <w:spacing w:line="360" w:lineRule="exact"/>
                    <w:jc w:val="center"/>
                    <w:rPr>
                      <w:rFonts w:hint="eastAsia" w:ascii="宋体" w:hAnsi="宋体" w:eastAsia="宋体" w:cs="宋体"/>
                      <w:color w:val="auto"/>
                      <w:szCs w:val="21"/>
                    </w:rPr>
                  </w:pPr>
                  <w:r>
                    <w:rPr>
                      <w:rFonts w:hint="eastAsia" w:ascii="宋体" w:hAnsi="宋体" w:eastAsia="宋体" w:cs="宋体"/>
                      <w:color w:val="auto"/>
                      <w:szCs w:val="21"/>
                    </w:rPr>
                    <w:t>污染物</w:t>
                  </w:r>
                </w:p>
              </w:tc>
              <w:tc>
                <w:tcPr>
                  <w:tcW w:w="3318" w:type="dxa"/>
                  <w:tcBorders>
                    <w:tl2br w:val="nil"/>
                    <w:tr2bl w:val="nil"/>
                  </w:tcBorders>
                  <w:vAlign w:val="center"/>
                </w:tcPr>
                <w:p>
                  <w:pPr>
                    <w:snapToGrid w:val="0"/>
                    <w:spacing w:line="360" w:lineRule="exact"/>
                    <w:jc w:val="center"/>
                    <w:rPr>
                      <w:rFonts w:hint="eastAsia" w:ascii="宋体" w:hAnsi="宋体" w:eastAsia="宋体" w:cs="宋体"/>
                      <w:color w:val="auto"/>
                      <w:szCs w:val="21"/>
                    </w:rPr>
                  </w:pPr>
                  <w:r>
                    <w:rPr>
                      <w:rFonts w:hint="eastAsia" w:ascii="宋体" w:hAnsi="宋体" w:eastAsia="宋体" w:cs="宋体"/>
                      <w:color w:val="auto"/>
                      <w:szCs w:val="21"/>
                    </w:rPr>
                    <w:t>标准</w:t>
                  </w:r>
                </w:p>
              </w:tc>
              <w:tc>
                <w:tcPr>
                  <w:tcW w:w="1248" w:type="dxa"/>
                  <w:tcBorders>
                    <w:tl2br w:val="nil"/>
                    <w:tr2bl w:val="nil"/>
                  </w:tcBorders>
                  <w:vAlign w:val="center"/>
                </w:tcPr>
                <w:p>
                  <w:pPr>
                    <w:snapToGrid w:val="0"/>
                    <w:spacing w:line="360" w:lineRule="exact"/>
                    <w:jc w:val="center"/>
                    <w:rPr>
                      <w:rFonts w:hint="eastAsia" w:ascii="宋体" w:hAnsi="宋体" w:eastAsia="宋体" w:cs="宋体"/>
                      <w:color w:val="auto"/>
                      <w:szCs w:val="21"/>
                    </w:rPr>
                  </w:pPr>
                  <w:r>
                    <w:rPr>
                      <w:rFonts w:hint="eastAsia" w:ascii="宋体" w:hAnsi="宋体" w:eastAsia="宋体" w:cs="宋体"/>
                      <w:color w:val="auto"/>
                      <w:szCs w:val="21"/>
                    </w:rPr>
                    <w:t>时间（d）</w:t>
                  </w:r>
                </w:p>
              </w:tc>
              <w:tc>
                <w:tcPr>
                  <w:tcW w:w="2604" w:type="dxa"/>
                  <w:tcBorders>
                    <w:tl2br w:val="nil"/>
                    <w:tr2bl w:val="nil"/>
                  </w:tcBorders>
                  <w:vAlign w:val="center"/>
                </w:tcPr>
                <w:p>
                  <w:pPr>
                    <w:snapToGrid w:val="0"/>
                    <w:spacing w:line="360" w:lineRule="exact"/>
                    <w:jc w:val="center"/>
                    <w:rPr>
                      <w:rFonts w:hint="eastAsia" w:ascii="宋体" w:hAnsi="宋体" w:eastAsia="宋体" w:cs="宋体"/>
                      <w:color w:val="auto"/>
                      <w:szCs w:val="21"/>
                    </w:rPr>
                  </w:pPr>
                  <w:r>
                    <w:rPr>
                      <w:rFonts w:hint="eastAsia" w:ascii="宋体" w:hAnsi="宋体" w:eastAsia="宋体" w:cs="宋体"/>
                      <w:color w:val="auto"/>
                      <w:szCs w:val="21"/>
                    </w:rPr>
                    <w:t>污染物扩散达标距离（m）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4" w:hRule="atLeast"/>
              </w:trPr>
              <w:tc>
                <w:tcPr>
                  <w:tcW w:w="1338" w:type="dxa"/>
                  <w:vMerge w:val="restart"/>
                  <w:tcBorders>
                    <w:tl2br w:val="nil"/>
                    <w:tr2bl w:val="nil"/>
                  </w:tcBorders>
                  <w:vAlign w:val="center"/>
                </w:tcPr>
                <w:p>
                  <w:pPr>
                    <w:snapToGrid w:val="0"/>
                    <w:spacing w:line="360" w:lineRule="exact"/>
                    <w:jc w:val="center"/>
                    <w:rPr>
                      <w:rFonts w:hint="eastAsia" w:ascii="宋体" w:hAnsi="宋体" w:eastAsia="宋体" w:cs="宋体"/>
                      <w:color w:val="auto"/>
                      <w:szCs w:val="21"/>
                    </w:rPr>
                  </w:pPr>
                  <w:r>
                    <w:rPr>
                      <w:rFonts w:hint="eastAsia" w:ascii="宋体" w:hAnsi="宋体" w:eastAsia="宋体" w:cs="宋体"/>
                      <w:color w:val="auto"/>
                      <w:szCs w:val="21"/>
                    </w:rPr>
                    <w:t>石油类</w:t>
                  </w:r>
                </w:p>
              </w:tc>
              <w:tc>
                <w:tcPr>
                  <w:tcW w:w="33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《地下水质量标准》（GB/T14848－2017）中Ⅲ类水质标准，≤0.05mg/L</w:t>
                  </w:r>
                </w:p>
              </w:tc>
              <w:tc>
                <w:tcPr>
                  <w:tcW w:w="12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c>
                <w:tcPr>
                  <w:tcW w:w="2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1" w:hRule="atLeast"/>
              </w:trPr>
              <w:tc>
                <w:tcPr>
                  <w:tcW w:w="1338" w:type="dxa"/>
                  <w:vMerge w:val="continue"/>
                  <w:tcBorders>
                    <w:tl2br w:val="nil"/>
                    <w:tr2bl w:val="nil"/>
                  </w:tcBorders>
                  <w:vAlign w:val="center"/>
                </w:tcPr>
                <w:p>
                  <w:pPr>
                    <w:snapToGrid w:val="0"/>
                    <w:spacing w:line="360" w:lineRule="exact"/>
                    <w:ind w:firstLine="420"/>
                    <w:jc w:val="center"/>
                    <w:rPr>
                      <w:rFonts w:hint="eastAsia" w:ascii="宋体" w:hAnsi="宋体" w:eastAsia="宋体" w:cs="宋体"/>
                      <w:color w:val="auto"/>
                      <w:szCs w:val="21"/>
                    </w:rPr>
                  </w:pPr>
                </w:p>
              </w:tc>
              <w:tc>
                <w:tcPr>
                  <w:tcW w:w="3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2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w:t>
                  </w:r>
                </w:p>
              </w:tc>
              <w:tc>
                <w:tcPr>
                  <w:tcW w:w="2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1" w:hRule="atLeast"/>
              </w:trPr>
              <w:tc>
                <w:tcPr>
                  <w:tcW w:w="1338" w:type="dxa"/>
                  <w:vMerge w:val="continue"/>
                  <w:tcBorders>
                    <w:tl2br w:val="nil"/>
                    <w:tr2bl w:val="nil"/>
                  </w:tcBorders>
                  <w:vAlign w:val="center"/>
                </w:tcPr>
                <w:p>
                  <w:pPr>
                    <w:snapToGrid w:val="0"/>
                    <w:spacing w:line="360" w:lineRule="exact"/>
                    <w:ind w:firstLine="420"/>
                    <w:jc w:val="center"/>
                    <w:rPr>
                      <w:rFonts w:hint="eastAsia" w:ascii="宋体" w:hAnsi="宋体" w:eastAsia="宋体" w:cs="宋体"/>
                      <w:color w:val="auto"/>
                      <w:szCs w:val="21"/>
                    </w:rPr>
                  </w:pPr>
                </w:p>
              </w:tc>
              <w:tc>
                <w:tcPr>
                  <w:tcW w:w="33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p>
              </w:tc>
              <w:tc>
                <w:tcPr>
                  <w:tcW w:w="12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30a</w:t>
                  </w:r>
                </w:p>
              </w:tc>
              <w:tc>
                <w:tcPr>
                  <w:tcW w:w="26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860</w:t>
                  </w:r>
                </w:p>
              </w:tc>
            </w:tr>
          </w:tbl>
          <w:p>
            <w:pPr>
              <w:spacing w:line="48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由表</w:t>
            </w:r>
            <w:r>
              <w:rPr>
                <w:rFonts w:hint="eastAsia" w:ascii="宋体" w:hAnsi="宋体" w:eastAsia="宋体" w:cs="宋体"/>
                <w:color w:val="auto"/>
                <w:sz w:val="24"/>
                <w:lang w:val="en-US" w:eastAsia="zh-CN"/>
              </w:rPr>
              <w:t>7-6</w:t>
            </w:r>
            <w:r>
              <w:rPr>
                <w:rFonts w:hint="eastAsia" w:ascii="宋体" w:hAnsi="宋体" w:eastAsia="宋体" w:cs="宋体"/>
                <w:color w:val="auto"/>
                <w:sz w:val="24"/>
              </w:rPr>
              <w:t>可知，区域地下水流动缓慢，如污染物渗入地下水，污染物随地下水迁移速度较慢，100d污染物（石油类）扩散达标距离为</w:t>
            </w:r>
            <w:r>
              <w:rPr>
                <w:rFonts w:hint="eastAsia" w:ascii="宋体" w:hAnsi="宋体" w:eastAsia="宋体" w:cs="宋体"/>
                <w:color w:val="auto"/>
                <w:sz w:val="24"/>
                <w:lang w:val="en-US" w:eastAsia="zh-CN"/>
              </w:rPr>
              <w:t>55</w:t>
            </w:r>
            <w:r>
              <w:rPr>
                <w:rFonts w:hint="eastAsia" w:ascii="宋体" w:hAnsi="宋体" w:eastAsia="宋体" w:cs="宋体"/>
                <w:color w:val="auto"/>
                <w:sz w:val="24"/>
              </w:rPr>
              <w:t>m，1000d污染物（石油类）扩散达标距离为</w:t>
            </w:r>
            <w:r>
              <w:rPr>
                <w:rFonts w:hint="eastAsia" w:ascii="宋体" w:hAnsi="宋体" w:eastAsia="宋体" w:cs="宋体"/>
                <w:color w:val="auto"/>
                <w:sz w:val="24"/>
                <w:lang w:val="en-US" w:eastAsia="zh-CN"/>
              </w:rPr>
              <w:t>190</w:t>
            </w:r>
            <w:r>
              <w:rPr>
                <w:rFonts w:hint="eastAsia" w:ascii="宋体" w:hAnsi="宋体" w:eastAsia="宋体" w:cs="宋体"/>
                <w:color w:val="auto"/>
                <w:sz w:val="24"/>
              </w:rPr>
              <w:t>m，30a污染物（石油类）扩散达标距离为</w:t>
            </w:r>
            <w:r>
              <w:rPr>
                <w:rFonts w:hint="eastAsia" w:ascii="宋体" w:hAnsi="宋体" w:eastAsia="宋体" w:cs="宋体"/>
                <w:color w:val="auto"/>
                <w:sz w:val="24"/>
                <w:lang w:val="en-US" w:eastAsia="zh-CN"/>
              </w:rPr>
              <w:t>860</w:t>
            </w:r>
            <w:r>
              <w:rPr>
                <w:rFonts w:hint="eastAsia" w:ascii="宋体" w:hAnsi="宋体" w:eastAsia="宋体" w:cs="宋体"/>
                <w:color w:val="auto"/>
                <w:sz w:val="24"/>
              </w:rPr>
              <w:t>m。</w:t>
            </w:r>
          </w:p>
          <w:p>
            <w:pPr>
              <w:spacing w:line="480" w:lineRule="exact"/>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lang w:val="en-US" w:eastAsia="zh-CN"/>
              </w:rPr>
              <w:t>4）</w:t>
            </w:r>
            <w:r>
              <w:rPr>
                <w:rFonts w:hint="eastAsia" w:ascii="宋体" w:hAnsi="宋体" w:eastAsia="宋体" w:cs="宋体"/>
                <w:b/>
                <w:bCs/>
                <w:color w:val="auto"/>
                <w:sz w:val="24"/>
              </w:rPr>
              <w:t>地下水影响预测结论</w:t>
            </w:r>
            <w:r>
              <w:rPr>
                <w:rFonts w:hint="eastAsia" w:ascii="宋体" w:hAnsi="宋体" w:eastAsia="宋体" w:cs="宋体"/>
                <w:b/>
                <w:bCs/>
                <w:color w:val="auto"/>
                <w:sz w:val="24"/>
                <w:lang w:eastAsia="zh-CN"/>
              </w:rPr>
              <w:t>：</w:t>
            </w:r>
          </w:p>
          <w:p>
            <w:pPr>
              <w:spacing w:line="480" w:lineRule="exact"/>
              <w:ind w:firstLine="480" w:firstLineChars="200"/>
              <w:rPr>
                <w:rFonts w:hint="eastAsia" w:ascii="宋体" w:hAnsi="宋体" w:eastAsia="宋体" w:cs="宋体"/>
                <w:b/>
                <w:bCs/>
                <w:color w:val="auto"/>
                <w:sz w:val="24"/>
              </w:rPr>
            </w:pPr>
            <w:r>
              <w:rPr>
                <w:rFonts w:hint="eastAsia" w:ascii="宋体" w:hAnsi="宋体" w:eastAsia="宋体" w:cs="宋体"/>
                <w:color w:val="auto"/>
                <w:sz w:val="24"/>
              </w:rPr>
              <w:t>污染物在潜水层以水平扩散为主，水利坡度0.1%，地下水流速缓慢；储油罐年久失修导致泄漏，100d污染物（石油类）扩散达标距离为</w:t>
            </w:r>
            <w:r>
              <w:rPr>
                <w:rFonts w:hint="eastAsia" w:ascii="宋体" w:hAnsi="宋体" w:eastAsia="宋体" w:cs="宋体"/>
                <w:color w:val="auto"/>
                <w:sz w:val="24"/>
                <w:lang w:val="en-US" w:eastAsia="zh-CN"/>
              </w:rPr>
              <w:t>55</w:t>
            </w:r>
            <w:r>
              <w:rPr>
                <w:rFonts w:hint="eastAsia" w:ascii="宋体" w:hAnsi="宋体" w:eastAsia="宋体" w:cs="宋体"/>
                <w:color w:val="auto"/>
                <w:sz w:val="24"/>
              </w:rPr>
              <w:t>m，1000d污染物（石油类）扩散达标距离为</w:t>
            </w:r>
            <w:r>
              <w:rPr>
                <w:rFonts w:hint="eastAsia" w:ascii="宋体" w:hAnsi="宋体" w:eastAsia="宋体" w:cs="宋体"/>
                <w:color w:val="auto"/>
                <w:sz w:val="24"/>
                <w:lang w:val="en-US" w:eastAsia="zh-CN"/>
              </w:rPr>
              <w:t>190</w:t>
            </w:r>
            <w:r>
              <w:rPr>
                <w:rFonts w:hint="eastAsia" w:ascii="宋体" w:hAnsi="宋体" w:eastAsia="宋体" w:cs="宋体"/>
                <w:color w:val="auto"/>
                <w:sz w:val="24"/>
              </w:rPr>
              <w:t>m，30a污染物（石油类）扩散达标距离为</w:t>
            </w:r>
            <w:r>
              <w:rPr>
                <w:rFonts w:hint="eastAsia" w:ascii="宋体" w:hAnsi="宋体" w:eastAsia="宋体" w:cs="宋体"/>
                <w:color w:val="auto"/>
                <w:sz w:val="24"/>
                <w:lang w:val="en-US" w:eastAsia="zh-CN"/>
              </w:rPr>
              <w:t>860</w:t>
            </w:r>
            <w:r>
              <w:rPr>
                <w:rFonts w:hint="eastAsia" w:ascii="宋体" w:hAnsi="宋体" w:eastAsia="宋体" w:cs="宋体"/>
                <w:color w:val="auto"/>
                <w:sz w:val="24"/>
              </w:rPr>
              <w:t>m。通过现状调查，项目区周边无</w:t>
            </w:r>
            <w:r>
              <w:rPr>
                <w:rFonts w:hint="eastAsia" w:ascii="宋体" w:hAnsi="宋体" w:eastAsia="宋体" w:cs="宋体"/>
                <w:color w:val="auto"/>
                <w:sz w:val="24"/>
                <w:lang w:eastAsia="zh-CN"/>
              </w:rPr>
              <w:t>住户、企业</w:t>
            </w:r>
            <w:r>
              <w:rPr>
                <w:rFonts w:hint="eastAsia" w:ascii="宋体" w:hAnsi="宋体" w:eastAsia="宋体" w:cs="宋体"/>
                <w:color w:val="auto"/>
                <w:sz w:val="24"/>
              </w:rPr>
              <w:t>饮用地下水，项目建设对周边生活用水不造成影响。区域地下水扩散时地下水超标范围内无地下水敏感保护目标，因此项目建设对区域地下水环境影响较小。</w:t>
            </w:r>
          </w:p>
          <w:p>
            <w:pPr>
              <w:spacing w:line="360" w:lineRule="auto"/>
              <w:ind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防渗措施及管理措施</w:t>
            </w:r>
          </w:p>
          <w:p>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采用双层灌，做到①项目的地面采取防渗处理，且项目的导水沟、化粪池、污水管、储油罐、输油管线、双层油罐等采取防渗处理。②项目产生的废水应严格按照环评的要求，经化粪池等处理达标后，最终排入地表水体。禁止项目废水未经处理随意乱排。③设置低液位报警液位监测系统，卸油时当油料达到油罐容量90%时，高液位报警装置应被触动发出警示；当油料达到油罐容量95%时，禁止继续向油罐内卸油。④采用双层储油罐，油罐埋地设置于双层油罐内，油罐采取防渗、防漏、防腐等处理，双层油罐采取防渗处理。各双层油罐内均需设检测立管，定期检查油罐是否泄漏，并记录备案。⑤双层油罐内间隙用沙填充，一旦发生油品泄漏，吸收了油品的沙应作为危险废物，委托有资质的单位清运处置。⑥危废暂存间应设置成封闭式，地面需采取防渗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防止储油罐和输油管线或渗漏对地下水造成污染，建设单位在施工建设时应严格按照《汽车加油加气站设计与施工规范（2014年版）》（GB50156-2012）中“第6.5条防渗措施”及《加油站地下水污染防治技术指南（试行）》中“第2.1条双层罐设置”的相关要求落实以下防治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加油站的储油罐拟采用由内、外罐罐壁构成具有双层间隙的双层储罐。罐顶低于周围4m范围内的地面，并采用中性砂回填。储油罐体内外表面、防油堤的内表面、储油罐区地面、输油管线外表面做防渗防腐处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B.双层储罐需采用专业厂家制作的合格产品。双层储罐壁厚大于6mm。与土壤接触的双层储罐外表面，其防腐设计应符合现行行业标准《石油化工设备和管道涂料防腐蚀技术规范》（SH 3022）的有关规定，且防腐等级不应低于加强级。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C.双层储罐装设的液位自动监测系统应具有高液位报警功能。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D.双层储罐装设的液位自动监测系统的渗漏检测分辨率应大于0.8L/h。</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E.双层储罐装设的高液位报警系统的最高液位设定，应满足报警2min 后进油量不超过油罐的安全装油液位。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F.双层储罐装设的液位自动监测系统应具有油罐渗漏的监测功能，及时感应并发出警报，同时开展地下水监测，当日常监测中发现加油站发生油品泄漏事故或者地下水中任何一特征指标超标，需开展地下水环境调查，确定是否发生污染、污染程度和范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G.双层储罐应采取防止油罐上浮的措施。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H.装有潜油泵的油罐人孔操作井、卸油口井、加油机底槽等可能发生油品泄漏的部位也采取相应的防漏防渗措施。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I.地下储油罐体周围设计防渗漏检查孔，可及时发现地下储油罐体渗漏，防止成品油泄漏造成大面积的地下水污染。</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J.埋地加油管道采用双层管道。加油站内的工艺管道除必须露出地面的以外，均埋地敷设；采用管沟敷设时，管沟用中性沙子或细沙填满、填实。</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如果一旦油罐发生泄漏，对于少量泄露，立即使用砂子或其它惰性材料吸收；一旦油罐发生大量泄露，建设单位还应采取以下措施：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A.关闭泄露源头，切断油泵电源。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B.用消防沙袋将泄露的油品围住，以防流入排水系统或更大范围地扩散。</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C.用棉纱或拖布等不易产生静电的物品尽可能回收漏出的油品，清理油污。</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D.关闭加油站入口，禁止闲杂人员及其他车辆进入加油站。</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E.禁止任何车辆启动引擎。</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F.记录详细情况并写出事故报告，如实向主管部门汇报。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建设单位必须制定突发环境事件应急预案，建设单位必须就油罐、输油管道、加油设施泄漏事故制定应急响应措施，确保在发生泄漏时油品不进入地表及地下水体。</w:t>
            </w:r>
          </w:p>
          <w:p>
            <w:pPr>
              <w:pStyle w:val="22"/>
              <w:spacing w:after="0" w:line="48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2、运营期大气环境影响分析以及环保措施</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（1）非甲烷总烃环境影响分析</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1）非甲烷总烃</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据工程分析结果可知，项目运营期非甲烷总烃排放总量为</w:t>
            </w:r>
            <w:r>
              <w:rPr>
                <w:rFonts w:hint="eastAsia" w:ascii="Times New Roman" w:hAnsi="Times New Roman" w:cs="Times New Roman"/>
                <w:color w:val="auto"/>
                <w:sz w:val="24"/>
                <w:lang w:val="en-US" w:eastAsia="zh-CN"/>
              </w:rPr>
              <w:t>1509</w:t>
            </w:r>
            <w:r>
              <w:rPr>
                <w:rFonts w:hint="default" w:ascii="Times New Roman" w:hAnsi="Times New Roman" w:cs="Times New Roman"/>
                <w:color w:val="auto"/>
                <w:sz w:val="24"/>
              </w:rPr>
              <w:t>kg/a。大多有机物对人体健康有害，大多数症状表现为呼吸道疾病和皮肤病，个别有机污染物还具有致畸致癌作用，非甲烷总烃中的烯烃是引起光化学烟雾的重要因素，光化学烟雾对人的危害性主要表现在刺激人的眼睛和呼吸系统，危害人体健康和植物生长。</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经项目设计的汽油油气回收装置处理后，非甲烷总烃实际排放量为</w:t>
            </w:r>
            <w:r>
              <w:rPr>
                <w:rFonts w:hint="eastAsia" w:ascii="Times New Roman" w:hAnsi="Times New Roman" w:cs="Times New Roman"/>
                <w:color w:val="auto"/>
                <w:sz w:val="24"/>
                <w:lang w:val="en-US" w:eastAsia="zh-CN"/>
              </w:rPr>
              <w:t>531</w:t>
            </w:r>
            <w:r>
              <w:rPr>
                <w:rFonts w:hint="default" w:ascii="Times New Roman" w:hAnsi="Times New Roman" w:cs="Times New Roman"/>
                <w:color w:val="auto"/>
                <w:sz w:val="24"/>
              </w:rPr>
              <w:t>kg/a，具体如下：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①油罐车卸油、储油罐呼吸损失环节非甲烷总烃排放总量为</w:t>
            </w:r>
            <w:r>
              <w:rPr>
                <w:rFonts w:hint="eastAsia" w:ascii="Times New Roman" w:hAnsi="Times New Roman" w:cs="Times New Roman"/>
                <w:color w:val="auto"/>
                <w:sz w:val="24"/>
                <w:lang w:val="en-US" w:eastAsia="zh-CN"/>
              </w:rPr>
              <w:t>660</w:t>
            </w:r>
            <w:r>
              <w:rPr>
                <w:rFonts w:hint="default" w:ascii="Times New Roman" w:hAnsi="Times New Roman" w:cs="Times New Roman"/>
                <w:color w:val="auto"/>
                <w:sz w:val="24"/>
              </w:rPr>
              <w:t>kg/a（其中汽</w:t>
            </w:r>
            <w:r>
              <w:rPr>
                <w:rFonts w:hint="default" w:ascii="Times New Roman" w:hAnsi="Times New Roman" w:cs="Times New Roman"/>
                <w:color w:val="auto"/>
                <w:sz w:val="24"/>
                <w:lang w:eastAsia="zh-CN"/>
              </w:rPr>
              <w:t>油</w:t>
            </w:r>
            <w:r>
              <w:rPr>
                <w:rFonts w:hint="eastAsia" w:ascii="Times New Roman" w:hAnsi="Times New Roman" w:cs="Times New Roman"/>
                <w:color w:val="auto"/>
                <w:sz w:val="24"/>
                <w:lang w:val="en-US" w:eastAsia="zh-CN"/>
              </w:rPr>
              <w:t>480</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180</w:t>
            </w:r>
            <w:r>
              <w:rPr>
                <w:rFonts w:hint="default" w:ascii="Times New Roman" w:hAnsi="Times New Roman" w:cs="Times New Roman"/>
                <w:color w:val="auto"/>
                <w:sz w:val="24"/>
              </w:rPr>
              <w:t>kg/a），经一级油气回收装置（油气回收率为95%）处理后，非甲烷总烃实际排放量为</w:t>
            </w:r>
            <w:r>
              <w:rPr>
                <w:rFonts w:hint="eastAsia" w:ascii="Times New Roman" w:hAnsi="Times New Roman" w:cs="Times New Roman"/>
                <w:color w:val="auto"/>
                <w:sz w:val="24"/>
                <w:lang w:val="en-US" w:eastAsia="zh-CN"/>
              </w:rPr>
              <w:t>204</w:t>
            </w:r>
            <w:r>
              <w:rPr>
                <w:rFonts w:hint="default" w:ascii="Times New Roman" w:hAnsi="Times New Roman" w:cs="Times New Roman"/>
                <w:color w:val="auto"/>
                <w:sz w:val="24"/>
              </w:rPr>
              <w:t>kg/a。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②加油机作业损失环节非甲烷总烃排放总量为</w:t>
            </w:r>
            <w:r>
              <w:rPr>
                <w:rFonts w:hint="eastAsia" w:ascii="Times New Roman" w:hAnsi="Times New Roman" w:cs="Times New Roman"/>
                <w:color w:val="auto"/>
                <w:sz w:val="24"/>
                <w:lang w:val="en-US" w:eastAsia="zh-CN"/>
              </w:rPr>
              <w:t>820</w:t>
            </w:r>
            <w:r>
              <w:rPr>
                <w:rFonts w:hint="default" w:ascii="Times New Roman" w:hAnsi="Times New Roman" w:cs="Times New Roman"/>
                <w:color w:val="auto"/>
                <w:sz w:val="24"/>
              </w:rPr>
              <w:t>kg/a（其中汽油</w:t>
            </w:r>
            <w:r>
              <w:rPr>
                <w:rFonts w:hint="eastAsia" w:ascii="Times New Roman" w:hAnsi="Times New Roman" w:cs="Times New Roman"/>
                <w:color w:val="auto"/>
                <w:sz w:val="24"/>
                <w:lang w:val="en-US" w:eastAsia="zh-CN"/>
              </w:rPr>
              <w:t>580</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240</w:t>
            </w:r>
            <w:r>
              <w:rPr>
                <w:rFonts w:hint="default" w:ascii="Times New Roman" w:hAnsi="Times New Roman" w:cs="Times New Roman"/>
                <w:color w:val="auto"/>
                <w:sz w:val="24"/>
              </w:rPr>
              <w:t>kg/a），汽油油气经二级油气回收装置（油气回收率为90%）处理后，非甲烷总烃实际排放量为</w:t>
            </w:r>
            <w:r>
              <w:rPr>
                <w:rFonts w:hint="eastAsia" w:ascii="Times New Roman" w:hAnsi="Times New Roman" w:cs="Times New Roman"/>
                <w:color w:val="auto"/>
                <w:sz w:val="24"/>
                <w:lang w:val="en-US" w:eastAsia="zh-CN"/>
              </w:rPr>
              <w:t>298</w:t>
            </w:r>
            <w:r>
              <w:rPr>
                <w:rFonts w:hint="default" w:ascii="Times New Roman" w:hAnsi="Times New Roman" w:cs="Times New Roman"/>
                <w:color w:val="auto"/>
                <w:sz w:val="24"/>
              </w:rPr>
              <w:t>kg/a。</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③加油机作业跑冒滴漏损失环节非甲烷总烃排放总量约为</w:t>
            </w:r>
            <w:r>
              <w:rPr>
                <w:rFonts w:hint="eastAsia" w:ascii="Times New Roman" w:hAnsi="Times New Roman" w:cs="Times New Roman"/>
                <w:color w:val="auto"/>
                <w:sz w:val="24"/>
                <w:lang w:val="en-US" w:eastAsia="zh-CN"/>
              </w:rPr>
              <w:t>29</w:t>
            </w:r>
            <w:r>
              <w:rPr>
                <w:rFonts w:hint="default" w:ascii="Times New Roman" w:hAnsi="Times New Roman" w:cs="Times New Roman"/>
                <w:color w:val="auto"/>
                <w:sz w:val="24"/>
              </w:rPr>
              <w:t>kg/a（其中汽油</w:t>
            </w:r>
            <w:r>
              <w:rPr>
                <w:rFonts w:hint="eastAsia" w:ascii="Times New Roman" w:hAnsi="Times New Roman" w:cs="Times New Roman"/>
                <w:color w:val="auto"/>
                <w:sz w:val="24"/>
                <w:lang w:val="en-US" w:eastAsia="zh-CN"/>
              </w:rPr>
              <w:t>23</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kg/a）。</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所以，本项目运营期非甲烷总烃实际排放总量为</w:t>
            </w:r>
            <w:r>
              <w:rPr>
                <w:rFonts w:hint="eastAsia" w:ascii="Times New Roman" w:hAnsi="Times New Roman" w:cs="Times New Roman"/>
                <w:color w:val="auto"/>
                <w:sz w:val="24"/>
                <w:lang w:val="en-US" w:eastAsia="zh-CN"/>
              </w:rPr>
              <w:t>531</w:t>
            </w:r>
            <w:r>
              <w:rPr>
                <w:rFonts w:hint="default" w:ascii="Times New Roman" w:hAnsi="Times New Roman" w:cs="Times New Roman"/>
                <w:color w:val="auto"/>
                <w:sz w:val="24"/>
              </w:rPr>
              <w:t>kg/a（其中汽油</w:t>
            </w:r>
            <w:r>
              <w:rPr>
                <w:rFonts w:hint="eastAsia" w:ascii="Times New Roman" w:hAnsi="Times New Roman" w:cs="Times New Roman"/>
                <w:color w:val="auto"/>
                <w:sz w:val="24"/>
                <w:lang w:val="en-US" w:eastAsia="zh-CN"/>
              </w:rPr>
              <w:t>105</w:t>
            </w:r>
            <w:r>
              <w:rPr>
                <w:rFonts w:hint="default" w:ascii="Times New Roman" w:hAnsi="Times New Roman" w:cs="Times New Roman"/>
                <w:color w:val="auto"/>
                <w:sz w:val="24"/>
              </w:rPr>
              <w:t>kg/a、柴油</w:t>
            </w:r>
            <w:r>
              <w:rPr>
                <w:rFonts w:hint="eastAsia" w:ascii="Times New Roman" w:hAnsi="Times New Roman" w:cs="Times New Roman"/>
                <w:color w:val="auto"/>
                <w:sz w:val="24"/>
                <w:lang w:val="en-US" w:eastAsia="zh-CN"/>
              </w:rPr>
              <w:t>426</w:t>
            </w:r>
            <w:r>
              <w:rPr>
                <w:rFonts w:hint="default" w:ascii="Times New Roman" w:hAnsi="Times New Roman" w:cs="Times New Roman"/>
                <w:color w:val="auto"/>
                <w:sz w:val="24"/>
              </w:rPr>
              <w:t>kg/a）。</w:t>
            </w:r>
          </w:p>
          <w:p>
            <w:pPr>
              <w:adjustRightInd w:val="0"/>
              <w:snapToGrid w:val="0"/>
              <w:spacing w:line="360" w:lineRule="auto"/>
              <w:ind w:firstLine="482" w:firstLineChars="200"/>
              <w:jc w:val="left"/>
              <w:rPr>
                <w:rFonts w:hint="default" w:ascii="Times New Roman" w:hAnsi="Times New Roman" w:cs="Times New Roman"/>
                <w:b/>
                <w:color w:val="auto"/>
                <w:sz w:val="24"/>
              </w:rPr>
            </w:pPr>
            <w:r>
              <w:rPr>
                <w:rFonts w:hint="default" w:ascii="Times New Roman" w:hAnsi="Times New Roman" w:cs="Times New Roman"/>
                <w:b/>
                <w:color w:val="auto"/>
                <w:sz w:val="24"/>
              </w:rPr>
              <w:t>2）环境影响分析</w:t>
            </w:r>
          </w:p>
          <w:p>
            <w:pPr>
              <w:pStyle w:val="8"/>
              <w:spacing w:line="500" w:lineRule="exact"/>
              <w:ind w:firstLine="480" w:firstLineChars="200"/>
              <w:jc w:val="both"/>
              <w:rPr>
                <w:rFonts w:hint="eastAsia" w:ascii="宋体" w:hAnsi="宋体" w:eastAsia="宋体" w:cs="宋体"/>
                <w:color w:val="auto"/>
                <w:kern w:val="0"/>
                <w:sz w:val="24"/>
                <w:szCs w:val="24"/>
              </w:rPr>
            </w:pPr>
            <w:r>
              <w:rPr>
                <w:rFonts w:hint="eastAsia" w:ascii="宋体" w:hAnsi="宋体" w:eastAsia="宋体" w:cs="宋体"/>
                <w:color w:val="auto"/>
                <w:sz w:val="24"/>
                <w:szCs w:val="24"/>
              </w:rPr>
              <w:t>根据HJ2.2-2018《环境影响评价技术导则  大气环境》要求，采用估算模式进行估算。估算模式即为AERSCREEN3模型。估算结果如下：</w:t>
            </w:r>
          </w:p>
          <w:p>
            <w:pPr>
              <w:spacing w:line="500" w:lineRule="exact"/>
              <w:ind w:firstLine="424" w:firstLineChars="176"/>
              <w:rPr>
                <w:rFonts w:hint="eastAsia" w:ascii="宋体" w:hAnsi="宋体" w:eastAsia="宋体" w:cs="宋体"/>
                <w:b/>
                <w:bCs/>
                <w:color w:val="auto"/>
                <w:sz w:val="24"/>
                <w:szCs w:val="24"/>
              </w:rPr>
            </w:pPr>
            <w:r>
              <w:rPr>
                <w:rFonts w:hint="eastAsia" w:ascii="宋体" w:hAnsi="宋体" w:eastAsia="宋体" w:cs="宋体"/>
                <w:b/>
                <w:bCs/>
                <w:color w:val="auto"/>
                <w:sz w:val="24"/>
                <w:szCs w:val="24"/>
              </w:rPr>
              <w:t>①大气环境影响评价工作等级的确定</w:t>
            </w:r>
          </w:p>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numPr>
                <w:ilvl w:val="0"/>
                <w:numId w:val="10"/>
              </w:numPr>
              <w:spacing w:line="5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P</w:t>
            </w:r>
            <w:r>
              <w:rPr>
                <w:rFonts w:hint="eastAsia" w:ascii="宋体" w:hAnsi="宋体" w:eastAsia="宋体" w:cs="宋体"/>
                <w:b/>
                <w:bCs/>
                <w:color w:val="auto"/>
                <w:sz w:val="24"/>
                <w:szCs w:val="24"/>
                <w:vertAlign w:val="subscript"/>
              </w:rPr>
              <w:t>max</w:t>
            </w:r>
            <w:r>
              <w:rPr>
                <w:rFonts w:hint="eastAsia" w:ascii="宋体" w:hAnsi="宋体" w:eastAsia="宋体" w:cs="宋体"/>
                <w:b/>
                <w:bCs/>
                <w:color w:val="auto"/>
                <w:sz w:val="24"/>
                <w:szCs w:val="24"/>
              </w:rPr>
              <w:t>及D</w:t>
            </w:r>
            <w:r>
              <w:rPr>
                <w:rFonts w:hint="eastAsia" w:ascii="宋体" w:hAnsi="宋体" w:eastAsia="宋体" w:cs="宋体"/>
                <w:b/>
                <w:bCs/>
                <w:color w:val="auto"/>
                <w:sz w:val="24"/>
                <w:szCs w:val="24"/>
                <w:vertAlign w:val="subscript"/>
              </w:rPr>
              <w:t>10%</w:t>
            </w:r>
            <w:r>
              <w:rPr>
                <w:rFonts w:hint="eastAsia" w:ascii="宋体" w:hAnsi="宋体" w:eastAsia="宋体" w:cs="宋体"/>
                <w:b/>
                <w:bCs/>
                <w:color w:val="auto"/>
                <w:sz w:val="24"/>
                <w:szCs w:val="24"/>
              </w:rPr>
              <w:t>的确定</w:t>
            </w:r>
          </w:p>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t>依据《环境影响评价技术导则 大气环境》(HJ2.2-20</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8)中最大地面浓度占标率P</w:t>
            </w:r>
            <w:r>
              <w:rPr>
                <w:rFonts w:hint="eastAsia" w:ascii="宋体" w:hAnsi="宋体" w:eastAsia="宋体" w:cs="宋体"/>
                <w:i/>
                <w:color w:val="auto"/>
                <w:sz w:val="24"/>
                <w:szCs w:val="24"/>
              </w:rPr>
              <w:t>i</w:t>
            </w:r>
            <w:r>
              <w:rPr>
                <w:rFonts w:hint="eastAsia" w:ascii="宋体" w:hAnsi="宋体" w:eastAsia="宋体" w:cs="宋体"/>
                <w:color w:val="auto"/>
                <w:sz w:val="24"/>
                <w:szCs w:val="24"/>
              </w:rPr>
              <w:t>定义如下：</w:t>
            </w:r>
          </w:p>
          <w:p>
            <w:pPr>
              <w:spacing w:line="276" w:lineRule="auto"/>
              <w:ind w:firstLine="422" w:firstLineChars="176"/>
              <w:jc w:val="center"/>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114300" distR="114300">
                  <wp:extent cx="1082040" cy="396240"/>
                  <wp:effectExtent l="0" t="0" r="3810" b="3175"/>
                  <wp:docPr id="1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6"/>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1082040" cy="396240"/>
                          </a:xfrm>
                          <a:prstGeom prst="rect">
                            <a:avLst/>
                          </a:prstGeom>
                          <a:noFill/>
                          <a:ln w="9525">
                            <a:noFill/>
                          </a:ln>
                        </pic:spPr>
                      </pic:pic>
                    </a:graphicData>
                  </a:graphic>
                </wp:inline>
              </w:drawing>
            </w:r>
          </w:p>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QUOTE </w:instrText>
            </w:r>
            <w:r>
              <w:rPr>
                <w:rFonts w:hint="eastAsia" w:ascii="宋体" w:hAnsi="宋体" w:eastAsia="宋体" w:cs="宋体"/>
                <w:color w:val="auto"/>
                <w:position w:val="-6"/>
                <w:sz w:val="24"/>
                <w:szCs w:val="24"/>
              </w:rPr>
              <w:drawing>
                <wp:inline distT="0" distB="0" distL="114300" distR="114300">
                  <wp:extent cx="129540" cy="198120"/>
                  <wp:effectExtent l="0" t="0" r="3810" b="12700"/>
                  <wp:docPr id="1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7"/>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129540" cy="198120"/>
                          </a:xfrm>
                          <a:prstGeom prst="rect">
                            <a:avLst/>
                          </a:prstGeom>
                          <a:noFill/>
                          <a:ln w="9525">
                            <a:noFill/>
                          </a:ln>
                        </pic:spPr>
                      </pic:pic>
                    </a:graphicData>
                  </a:graphic>
                </wp:inline>
              </w:drawing>
            </w:r>
            <w:r>
              <w:rPr>
                <w:rFonts w:hint="eastAsia" w:ascii="宋体" w:hAnsi="宋体" w:eastAsia="宋体" w:cs="宋体"/>
                <w:color w:val="auto"/>
                <w:sz w:val="24"/>
                <w:szCs w:val="24"/>
              </w:rPr>
              <w:instrText xml:space="preserve"> </w:instrText>
            </w:r>
            <w:r>
              <w:rPr>
                <w:rFonts w:hint="eastAsia" w:ascii="宋体" w:hAnsi="宋体" w:eastAsia="宋体" w:cs="宋体"/>
                <w:color w:val="auto"/>
                <w:sz w:val="24"/>
                <w:szCs w:val="24"/>
              </w:rPr>
              <w:fldChar w:fldCharType="separate"/>
            </w:r>
            <w:r>
              <w:rPr>
                <w:rFonts w:hint="eastAsia" w:ascii="宋体" w:hAnsi="宋体" w:eastAsia="宋体" w:cs="宋体"/>
                <w:color w:val="auto"/>
                <w:position w:val="-6"/>
                <w:sz w:val="24"/>
                <w:szCs w:val="24"/>
              </w:rPr>
              <w:drawing>
                <wp:inline distT="0" distB="0" distL="114300" distR="114300">
                  <wp:extent cx="129540" cy="198120"/>
                  <wp:effectExtent l="0" t="0" r="3810" b="12700"/>
                  <wp:docPr id="1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8"/>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129540" cy="198120"/>
                          </a:xfrm>
                          <a:prstGeom prst="rect">
                            <a:avLst/>
                          </a:prstGeom>
                          <a:noFill/>
                          <a:ln w="9525">
                            <a:noFill/>
                          </a:ln>
                        </pic:spPr>
                      </pic:pic>
                    </a:graphicData>
                  </a:graphic>
                </wp:inline>
              </w:drawing>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 xml:space="preserve"> ——第i个污染物的最大地面空气质量浓度 占标率，%；</w:t>
            </w:r>
          </w:p>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QUOTE </w:instrText>
            </w:r>
            <w:r>
              <w:rPr>
                <w:rFonts w:hint="eastAsia" w:ascii="宋体" w:hAnsi="宋体" w:eastAsia="宋体" w:cs="宋体"/>
                <w:color w:val="auto"/>
                <w:position w:val="-6"/>
                <w:sz w:val="24"/>
                <w:szCs w:val="24"/>
              </w:rPr>
              <w:drawing>
                <wp:inline distT="0" distB="0" distL="114300" distR="114300">
                  <wp:extent cx="129540" cy="198120"/>
                  <wp:effectExtent l="0" t="0" r="3810" b="12700"/>
                  <wp:docPr id="20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129540" cy="198120"/>
                          </a:xfrm>
                          <a:prstGeom prst="rect">
                            <a:avLst/>
                          </a:prstGeom>
                          <a:noFill/>
                          <a:ln w="9525">
                            <a:noFill/>
                          </a:ln>
                        </pic:spPr>
                      </pic:pic>
                    </a:graphicData>
                  </a:graphic>
                </wp:inline>
              </w:drawing>
            </w:r>
            <w:r>
              <w:rPr>
                <w:rFonts w:hint="eastAsia" w:ascii="宋体" w:hAnsi="宋体" w:eastAsia="宋体" w:cs="宋体"/>
                <w:color w:val="auto"/>
                <w:sz w:val="24"/>
                <w:szCs w:val="24"/>
              </w:rPr>
              <w:instrText xml:space="preserve"> </w:instrText>
            </w:r>
            <w:r>
              <w:rPr>
                <w:rFonts w:hint="eastAsia" w:ascii="宋体" w:hAnsi="宋体" w:eastAsia="宋体" w:cs="宋体"/>
                <w:color w:val="auto"/>
                <w:sz w:val="24"/>
                <w:szCs w:val="24"/>
              </w:rPr>
              <w:fldChar w:fldCharType="separate"/>
            </w:r>
            <w:r>
              <w:rPr>
                <w:rFonts w:hint="eastAsia" w:ascii="宋体" w:hAnsi="宋体" w:eastAsia="宋体" w:cs="宋体"/>
                <w:color w:val="auto"/>
                <w:position w:val="-6"/>
                <w:sz w:val="24"/>
                <w:szCs w:val="24"/>
              </w:rPr>
              <w:drawing>
                <wp:inline distT="0" distB="0" distL="114300" distR="114300">
                  <wp:extent cx="129540" cy="198120"/>
                  <wp:effectExtent l="0" t="0" r="3810" b="12700"/>
                  <wp:docPr id="20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129540" cy="198120"/>
                          </a:xfrm>
                          <a:prstGeom prst="rect">
                            <a:avLst/>
                          </a:prstGeom>
                          <a:noFill/>
                          <a:ln w="9525">
                            <a:noFill/>
                          </a:ln>
                        </pic:spPr>
                      </pic:pic>
                    </a:graphicData>
                  </a:graphic>
                </wp:inline>
              </w:drawing>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——采用估算模型计算出的第i个污染物的最大1h地面空气质量浓度，μg/m</w:t>
            </w:r>
            <w:r>
              <w:rPr>
                <w:rFonts w:hint="eastAsia" w:ascii="宋体" w:hAnsi="宋体" w:eastAsia="宋体" w:cs="宋体"/>
                <w:color w:val="auto"/>
                <w:sz w:val="24"/>
                <w:szCs w:val="24"/>
                <w:vertAlign w:val="superscript"/>
              </w:rPr>
              <w:t>3</w:t>
            </w:r>
            <w:r>
              <w:rPr>
                <w:rFonts w:hint="eastAsia" w:ascii="宋体" w:hAnsi="宋体" w:eastAsia="宋体" w:cs="宋体"/>
                <w:color w:val="auto"/>
                <w:sz w:val="24"/>
                <w:szCs w:val="24"/>
              </w:rPr>
              <w:t>；</w:t>
            </w:r>
          </w:p>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QUOTE </w:instrText>
            </w:r>
            <w:r>
              <w:rPr>
                <w:rFonts w:hint="eastAsia" w:ascii="宋体" w:hAnsi="宋体" w:eastAsia="宋体" w:cs="宋体"/>
                <w:color w:val="auto"/>
                <w:position w:val="-6"/>
                <w:sz w:val="24"/>
                <w:szCs w:val="24"/>
              </w:rPr>
              <w:drawing>
                <wp:inline distT="0" distB="0" distL="114300" distR="114300">
                  <wp:extent cx="190500" cy="198120"/>
                  <wp:effectExtent l="0" t="0" r="0" b="12700"/>
                  <wp:docPr id="2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1"/>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190500" cy="198120"/>
                          </a:xfrm>
                          <a:prstGeom prst="rect">
                            <a:avLst/>
                          </a:prstGeom>
                          <a:noFill/>
                          <a:ln w="9525">
                            <a:noFill/>
                          </a:ln>
                        </pic:spPr>
                      </pic:pic>
                    </a:graphicData>
                  </a:graphic>
                </wp:inline>
              </w:drawing>
            </w:r>
            <w:r>
              <w:rPr>
                <w:rFonts w:hint="eastAsia" w:ascii="宋体" w:hAnsi="宋体" w:eastAsia="宋体" w:cs="宋体"/>
                <w:color w:val="auto"/>
                <w:sz w:val="24"/>
                <w:szCs w:val="24"/>
              </w:rPr>
              <w:instrText xml:space="preserve"> </w:instrText>
            </w:r>
            <w:r>
              <w:rPr>
                <w:rFonts w:hint="eastAsia" w:ascii="宋体" w:hAnsi="宋体" w:eastAsia="宋体" w:cs="宋体"/>
                <w:color w:val="auto"/>
                <w:sz w:val="24"/>
                <w:szCs w:val="24"/>
              </w:rPr>
              <w:fldChar w:fldCharType="separate"/>
            </w:r>
            <w:r>
              <w:rPr>
                <w:rFonts w:hint="eastAsia" w:ascii="宋体" w:hAnsi="宋体" w:eastAsia="宋体" w:cs="宋体"/>
                <w:color w:val="auto"/>
                <w:position w:val="-6"/>
                <w:sz w:val="24"/>
                <w:szCs w:val="24"/>
              </w:rPr>
              <w:drawing>
                <wp:inline distT="0" distB="0" distL="114300" distR="114300">
                  <wp:extent cx="190500" cy="198120"/>
                  <wp:effectExtent l="0" t="0" r="0" b="12700"/>
                  <wp:docPr id="2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190500" cy="198120"/>
                          </a:xfrm>
                          <a:prstGeom prst="rect">
                            <a:avLst/>
                          </a:prstGeom>
                          <a:noFill/>
                          <a:ln w="9525">
                            <a:noFill/>
                          </a:ln>
                        </pic:spPr>
                      </pic:pic>
                    </a:graphicData>
                  </a:graphic>
                </wp:inline>
              </w:drawing>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——第i个污染物的环境空气质量浓度标准，μg/m</w:t>
            </w:r>
            <w:r>
              <w:rPr>
                <w:rFonts w:hint="eastAsia" w:ascii="宋体" w:hAnsi="宋体" w:eastAsia="宋体" w:cs="宋体"/>
                <w:color w:val="auto"/>
                <w:sz w:val="24"/>
                <w:szCs w:val="24"/>
                <w:vertAlign w:val="superscript"/>
              </w:rPr>
              <w:t>3</w:t>
            </w:r>
            <w:r>
              <w:rPr>
                <w:rFonts w:hint="eastAsia" w:ascii="宋体" w:hAnsi="宋体" w:eastAsia="宋体" w:cs="宋体"/>
                <w:color w:val="auto"/>
                <w:sz w:val="24"/>
                <w:szCs w:val="24"/>
              </w:rPr>
              <w:t>。</w:t>
            </w:r>
          </w:p>
          <w:p>
            <w:pPr>
              <w:numPr>
                <w:ilvl w:val="0"/>
                <w:numId w:val="10"/>
              </w:numPr>
              <w:spacing w:line="5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评价等级判别表</w:t>
            </w:r>
          </w:p>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t>评价等级按下表的分级判据进行划分。</w:t>
            </w:r>
          </w:p>
          <w:p>
            <w:pPr>
              <w:spacing w:line="480" w:lineRule="exact"/>
              <w:ind w:firstLine="371" w:firstLineChars="176"/>
              <w:jc w:val="center"/>
              <w:rPr>
                <w:rFonts w:ascii="Times New Roman" w:hAnsi="Times New Roman"/>
                <w:b/>
                <w:color w:val="auto"/>
                <w:sz w:val="21"/>
              </w:rPr>
            </w:pPr>
            <w:r>
              <w:rPr>
                <w:rFonts w:ascii="Times New Roman" w:hAnsi="Times New Roman"/>
                <w:b/>
                <w:color w:val="auto"/>
                <w:sz w:val="21"/>
              </w:rPr>
              <w:t>表</w:t>
            </w:r>
            <w:r>
              <w:rPr>
                <w:rFonts w:hint="eastAsia" w:ascii="Times New Roman" w:hAnsi="Times New Roman"/>
                <w:b/>
                <w:color w:val="auto"/>
                <w:sz w:val="21"/>
              </w:rPr>
              <w:t>7-</w:t>
            </w:r>
            <w:r>
              <w:rPr>
                <w:rFonts w:hint="eastAsia" w:ascii="Times New Roman" w:hAnsi="Times New Roman"/>
                <w:b/>
                <w:color w:val="auto"/>
                <w:sz w:val="21"/>
                <w:lang w:val="en-US" w:eastAsia="zh-CN"/>
              </w:rPr>
              <w:t>8</w:t>
            </w:r>
            <w:r>
              <w:rPr>
                <w:rFonts w:hint="eastAsia" w:ascii="Times New Roman" w:hAnsi="Times New Roman"/>
                <w:b/>
                <w:color w:val="auto"/>
                <w:sz w:val="21"/>
              </w:rPr>
              <w:t xml:space="preserve">    </w:t>
            </w:r>
            <w:r>
              <w:rPr>
                <w:rFonts w:ascii="Times New Roman" w:hAnsi="Times New Roman"/>
                <w:b/>
                <w:color w:val="auto"/>
                <w:sz w:val="21"/>
              </w:rPr>
              <w:t>评价等级判别表</w:t>
            </w:r>
          </w:p>
          <w:tbl>
            <w:tblPr>
              <w:tblStyle w:val="2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643" w:type="dxa"/>
                  <w:vAlign w:val="center"/>
                </w:tcPr>
                <w:p>
                  <w:pPr>
                    <w:widowControl w:val="0"/>
                    <w:jc w:val="center"/>
                    <w:rPr>
                      <w:rFonts w:ascii="Times New Roman" w:hAnsi="Times New Roman"/>
                      <w:color w:val="auto"/>
                      <w:sz w:val="21"/>
                    </w:rPr>
                  </w:pPr>
                  <w:r>
                    <w:rPr>
                      <w:rFonts w:ascii="Times New Roman" w:hAnsi="Times New Roman"/>
                      <w:color w:val="auto"/>
                      <w:sz w:val="21"/>
                    </w:rPr>
                    <w:t>评价工作等级</w:t>
                  </w:r>
                </w:p>
              </w:tc>
              <w:tc>
                <w:tcPr>
                  <w:tcW w:w="4643" w:type="dxa"/>
                  <w:vAlign w:val="center"/>
                </w:tcPr>
                <w:p>
                  <w:pPr>
                    <w:widowControl w:val="0"/>
                    <w:jc w:val="center"/>
                    <w:rPr>
                      <w:rFonts w:ascii="Times New Roman" w:hAnsi="Times New Roman"/>
                      <w:color w:val="auto"/>
                      <w:sz w:val="21"/>
                    </w:rPr>
                  </w:pPr>
                  <w:r>
                    <w:rPr>
                      <w:rFonts w:ascii="Times New Roman" w:hAnsi="Times New Roman"/>
                      <w:color w:val="auto"/>
                      <w:sz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643" w:type="dxa"/>
                  <w:vAlign w:val="center"/>
                </w:tcPr>
                <w:p>
                  <w:pPr>
                    <w:widowControl w:val="0"/>
                    <w:jc w:val="center"/>
                    <w:rPr>
                      <w:rFonts w:ascii="Times New Roman" w:hAnsi="Times New Roman"/>
                      <w:color w:val="auto"/>
                      <w:sz w:val="21"/>
                    </w:rPr>
                  </w:pPr>
                  <w:r>
                    <w:rPr>
                      <w:rFonts w:ascii="Times New Roman" w:hAnsi="Times New Roman"/>
                      <w:color w:val="auto"/>
                      <w:sz w:val="21"/>
                    </w:rPr>
                    <w:t>一级评价</w:t>
                  </w:r>
                </w:p>
              </w:tc>
              <w:tc>
                <w:tcPr>
                  <w:tcW w:w="4643" w:type="dxa"/>
                  <w:vAlign w:val="center"/>
                </w:tcPr>
                <w:p>
                  <w:pPr>
                    <w:widowControl w:val="0"/>
                    <w:jc w:val="center"/>
                    <w:rPr>
                      <w:rFonts w:ascii="Times New Roman" w:hAnsi="Times New Roman"/>
                      <w:color w:val="auto"/>
                      <w:sz w:val="21"/>
                    </w:rPr>
                  </w:pPr>
                  <w:r>
                    <w:rPr>
                      <w:rFonts w:ascii="Times New Roman" w:hAnsi="Times New Roman"/>
                      <w:color w:val="auto"/>
                      <w:sz w:val="21"/>
                    </w:rPr>
                    <w:t>Pmax</w:t>
                  </w:r>
                  <w:r>
                    <w:rPr>
                      <w:rFonts w:hint="eastAsia" w:ascii="宋体" w:hAnsi="宋体" w:cs="宋体"/>
                      <w:color w:val="auto"/>
                      <w:sz w:val="21"/>
                    </w:rPr>
                    <w:t>≧</w:t>
                  </w:r>
                  <w:r>
                    <w:rPr>
                      <w:rFonts w:ascii="Times New Roman" w:hAnsi="Times New Roman"/>
                      <w:color w:val="auto"/>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643" w:type="dxa"/>
                  <w:vAlign w:val="center"/>
                </w:tcPr>
                <w:p>
                  <w:pPr>
                    <w:widowControl w:val="0"/>
                    <w:jc w:val="center"/>
                    <w:rPr>
                      <w:rFonts w:ascii="Times New Roman" w:hAnsi="Times New Roman"/>
                      <w:color w:val="auto"/>
                      <w:sz w:val="21"/>
                    </w:rPr>
                  </w:pPr>
                  <w:r>
                    <w:rPr>
                      <w:rFonts w:ascii="Times New Roman" w:hAnsi="Times New Roman"/>
                      <w:color w:val="auto"/>
                      <w:sz w:val="21"/>
                    </w:rPr>
                    <w:t>二级评价</w:t>
                  </w:r>
                </w:p>
              </w:tc>
              <w:tc>
                <w:tcPr>
                  <w:tcW w:w="4643" w:type="dxa"/>
                  <w:vAlign w:val="center"/>
                </w:tcPr>
                <w:p>
                  <w:pPr>
                    <w:widowControl w:val="0"/>
                    <w:jc w:val="center"/>
                    <w:rPr>
                      <w:rFonts w:ascii="Times New Roman" w:hAnsi="Times New Roman"/>
                      <w:color w:val="auto"/>
                      <w:sz w:val="21"/>
                    </w:rPr>
                  </w:pPr>
                  <w:r>
                    <w:rPr>
                      <w:rFonts w:ascii="Times New Roman" w:hAnsi="Times New Roman"/>
                      <w:color w:val="auto"/>
                      <w:sz w:val="21"/>
                    </w:rPr>
                    <w:t>1%</w:t>
                  </w:r>
                  <w:r>
                    <w:rPr>
                      <w:rFonts w:hint="eastAsia" w:ascii="宋体" w:hAnsi="宋体" w:cs="宋体"/>
                      <w:color w:val="auto"/>
                      <w:sz w:val="21"/>
                    </w:rPr>
                    <w:t>≦</w:t>
                  </w:r>
                  <w:r>
                    <w:rPr>
                      <w:rFonts w:ascii="Times New Roman" w:hAnsi="Times New Roman"/>
                      <w:color w:val="auto"/>
                      <w:sz w:val="21"/>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643" w:type="dxa"/>
                  <w:vAlign w:val="center"/>
                </w:tcPr>
                <w:p>
                  <w:pPr>
                    <w:widowControl w:val="0"/>
                    <w:jc w:val="center"/>
                    <w:rPr>
                      <w:rFonts w:ascii="Times New Roman" w:hAnsi="Times New Roman"/>
                      <w:color w:val="auto"/>
                      <w:sz w:val="21"/>
                    </w:rPr>
                  </w:pPr>
                  <w:r>
                    <w:rPr>
                      <w:rFonts w:ascii="Times New Roman" w:hAnsi="Times New Roman"/>
                      <w:color w:val="auto"/>
                      <w:sz w:val="21"/>
                    </w:rPr>
                    <w:t>三级评价</w:t>
                  </w:r>
                </w:p>
              </w:tc>
              <w:tc>
                <w:tcPr>
                  <w:tcW w:w="4643" w:type="dxa"/>
                  <w:vAlign w:val="center"/>
                </w:tcPr>
                <w:p>
                  <w:pPr>
                    <w:widowControl w:val="0"/>
                    <w:jc w:val="center"/>
                    <w:rPr>
                      <w:rFonts w:ascii="Times New Roman" w:hAnsi="Times New Roman"/>
                      <w:color w:val="auto"/>
                      <w:sz w:val="21"/>
                    </w:rPr>
                  </w:pPr>
                  <w:r>
                    <w:rPr>
                      <w:rFonts w:ascii="Times New Roman" w:hAnsi="Times New Roman"/>
                      <w:color w:val="auto"/>
                      <w:sz w:val="21"/>
                    </w:rPr>
                    <w:t>Pmax&lt;1%</w:t>
                  </w:r>
                </w:p>
              </w:tc>
            </w:tr>
          </w:tbl>
          <w:p>
            <w:pPr>
              <w:numPr>
                <w:ilvl w:val="0"/>
                <w:numId w:val="10"/>
              </w:numPr>
              <w:spacing w:line="5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污染物评价标准</w:t>
            </w:r>
          </w:p>
          <w:p>
            <w:pPr>
              <w:spacing w:line="480" w:lineRule="exact"/>
              <w:ind w:firstLine="480" w:firstLineChars="200"/>
              <w:rPr>
                <w:bCs/>
                <w:snapToGrid w:val="0"/>
                <w:color w:val="auto"/>
                <w:sz w:val="24"/>
              </w:rPr>
            </w:pPr>
            <w:r>
              <w:rPr>
                <w:bCs/>
                <w:snapToGrid w:val="0"/>
                <w:color w:val="auto"/>
                <w:sz w:val="24"/>
              </w:rPr>
              <w:t>非甲烷总烃环境质量标准参考《大气污染物综合排放标准详解》，原文为： 由于我国目前没有“非甲烷总烃”的环境质量标准，美国的同类标准已废除，故我国石化部门和若干地区通常采用以色列同类标准的短期平均值，为5mg/m</w:t>
            </w:r>
            <w:r>
              <w:rPr>
                <w:bCs/>
                <w:snapToGrid w:val="0"/>
                <w:color w:val="auto"/>
                <w:sz w:val="24"/>
                <w:vertAlign w:val="superscript"/>
              </w:rPr>
              <w:t>3</w:t>
            </w:r>
            <w:r>
              <w:rPr>
                <w:bCs/>
                <w:snapToGrid w:val="0"/>
                <w:color w:val="auto"/>
                <w:sz w:val="24"/>
              </w:rPr>
              <w:t>。但考虑到我国多数地区的实测值，“非甲烷总烃”的环境浓度一般不超过1.0mg/m</w:t>
            </w:r>
            <w:r>
              <w:rPr>
                <w:bCs/>
                <w:snapToGrid w:val="0"/>
                <w:color w:val="auto"/>
                <w:sz w:val="24"/>
                <w:vertAlign w:val="superscript"/>
              </w:rPr>
              <w:t>3</w:t>
            </w:r>
            <w:r>
              <w:rPr>
                <w:bCs/>
                <w:snapToGrid w:val="0"/>
                <w:color w:val="auto"/>
                <w:sz w:val="24"/>
              </w:rPr>
              <w:t>，因此在制定本标准时选用2mg/m</w:t>
            </w:r>
            <w:r>
              <w:rPr>
                <w:bCs/>
                <w:snapToGrid w:val="0"/>
                <w:color w:val="auto"/>
                <w:sz w:val="24"/>
                <w:vertAlign w:val="superscript"/>
              </w:rPr>
              <w:t>3</w:t>
            </w:r>
            <w:r>
              <w:rPr>
                <w:rFonts w:hint="eastAsia"/>
                <w:bCs/>
                <w:snapToGrid w:val="0"/>
                <w:color w:val="auto"/>
                <w:sz w:val="24"/>
              </w:rPr>
              <w:t>（小时浓度）</w:t>
            </w:r>
            <w:r>
              <w:rPr>
                <w:bCs/>
                <w:snapToGrid w:val="0"/>
                <w:color w:val="auto"/>
                <w:sz w:val="24"/>
              </w:rPr>
              <w:t>作为计算依据。</w:t>
            </w:r>
          </w:p>
          <w:p>
            <w:pPr>
              <w:spacing w:line="500" w:lineRule="exact"/>
              <w:ind w:firstLine="424" w:firstLineChars="176"/>
              <w:rPr>
                <w:rFonts w:hint="eastAsia" w:ascii="宋体" w:hAnsi="宋体" w:eastAsia="宋体" w:cs="宋体"/>
                <w:b/>
                <w:bCs/>
                <w:color w:val="auto"/>
                <w:sz w:val="24"/>
                <w:szCs w:val="24"/>
              </w:rPr>
            </w:pPr>
            <w:r>
              <w:rPr>
                <w:rFonts w:hint="eastAsia" w:ascii="宋体" w:hAnsi="宋体" w:eastAsia="宋体" w:cs="宋体"/>
                <w:b/>
                <w:bCs/>
                <w:color w:val="auto"/>
                <w:sz w:val="24"/>
                <w:szCs w:val="24"/>
              </w:rPr>
              <w:t>②污染源参数</w:t>
            </w:r>
          </w:p>
          <w:p>
            <w:pPr>
              <w:spacing w:line="500" w:lineRule="exact"/>
              <w:ind w:firstLine="422" w:firstLineChars="176"/>
              <w:rPr>
                <w:rFonts w:hint="eastAsia" w:ascii="宋体" w:hAnsi="宋体" w:eastAsia="宋体" w:cs="宋体"/>
                <w:color w:val="auto"/>
                <w:sz w:val="24"/>
                <w:szCs w:val="24"/>
              </w:rPr>
            </w:pPr>
            <w:r>
              <w:rPr>
                <w:rFonts w:hint="default" w:ascii="Times New Roman" w:hAnsi="Times New Roman" w:cs="Times New Roman"/>
                <w:color w:val="auto"/>
                <w:sz w:val="24"/>
              </w:rPr>
              <w:t>根据工程分析，项目非甲烷总烃排放总量为</w:t>
            </w:r>
            <w:r>
              <w:rPr>
                <w:rFonts w:hint="eastAsia" w:ascii="Times New Roman" w:hAnsi="Times New Roman" w:cs="Times New Roman"/>
                <w:color w:val="auto"/>
                <w:sz w:val="24"/>
                <w:lang w:val="en-US" w:eastAsia="zh-CN"/>
              </w:rPr>
              <w:t>531kg</w:t>
            </w:r>
            <w:r>
              <w:rPr>
                <w:rFonts w:hint="default" w:ascii="Times New Roman" w:hAnsi="Times New Roman" w:cs="Times New Roman"/>
                <w:color w:val="auto"/>
                <w:sz w:val="24"/>
              </w:rPr>
              <w:t>/a。</w:t>
            </w:r>
            <w:r>
              <w:rPr>
                <w:rFonts w:hint="eastAsia" w:ascii="宋体" w:hAnsi="宋体" w:eastAsia="宋体" w:cs="宋体"/>
                <w:color w:val="auto"/>
                <w:sz w:val="24"/>
                <w:szCs w:val="24"/>
              </w:rPr>
              <w:t>主要废气污染源排放参数见下表：</w:t>
            </w:r>
          </w:p>
          <w:p>
            <w:pPr>
              <w:spacing w:line="276"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rPr>
              <w:t xml:space="preserve"> 项目估算模式相关参数一览表</w:t>
            </w:r>
          </w:p>
          <w:tbl>
            <w:tblPr>
              <w:tblStyle w:val="23"/>
              <w:tblW w:w="8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701"/>
              <w:gridCol w:w="1417"/>
              <w:gridCol w:w="1177"/>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vAlign w:val="center"/>
                </w:tcPr>
                <w:p>
                  <w:pPr>
                    <w:snapToGrid w:val="0"/>
                    <w:jc w:val="center"/>
                    <w:rPr>
                      <w:rFonts w:hint="default" w:ascii="Times New Roman" w:hAnsi="Times New Roman" w:cs="Times New Roman"/>
                      <w:color w:val="auto"/>
                      <w:kern w:val="18"/>
                      <w:szCs w:val="21"/>
                    </w:rPr>
                  </w:pPr>
                  <w:r>
                    <w:rPr>
                      <w:rFonts w:hint="default" w:ascii="Times New Roman" w:hAnsi="Times New Roman" w:cs="Times New Roman"/>
                      <w:color w:val="auto"/>
                      <w:kern w:val="18"/>
                      <w:szCs w:val="21"/>
                    </w:rPr>
                    <w:t>废气名称</w:t>
                  </w:r>
                </w:p>
              </w:tc>
              <w:tc>
                <w:tcPr>
                  <w:tcW w:w="1701" w:type="dxa"/>
                  <w:vAlign w:val="center"/>
                </w:tcPr>
                <w:p>
                  <w:pPr>
                    <w:snapToGrid w:val="0"/>
                    <w:jc w:val="center"/>
                    <w:rPr>
                      <w:rFonts w:hint="default" w:ascii="Times New Roman" w:hAnsi="Times New Roman" w:cs="Times New Roman"/>
                      <w:color w:val="auto"/>
                      <w:kern w:val="18"/>
                      <w:szCs w:val="21"/>
                    </w:rPr>
                  </w:pPr>
                  <w:r>
                    <w:rPr>
                      <w:rFonts w:hint="default" w:ascii="Times New Roman" w:hAnsi="Times New Roman" w:cs="Times New Roman"/>
                      <w:color w:val="auto"/>
                      <w:kern w:val="18"/>
                      <w:szCs w:val="21"/>
                    </w:rPr>
                    <w:t>有效高度</w:t>
                  </w:r>
                </w:p>
              </w:tc>
              <w:tc>
                <w:tcPr>
                  <w:tcW w:w="1417" w:type="dxa"/>
                  <w:vAlign w:val="center"/>
                </w:tcPr>
                <w:p>
                  <w:pPr>
                    <w:snapToGrid w:val="0"/>
                    <w:jc w:val="center"/>
                    <w:rPr>
                      <w:rFonts w:hint="default" w:ascii="Times New Roman" w:hAnsi="Times New Roman" w:cs="Times New Roman"/>
                      <w:color w:val="auto"/>
                      <w:kern w:val="18"/>
                      <w:szCs w:val="21"/>
                    </w:rPr>
                  </w:pPr>
                  <w:r>
                    <w:rPr>
                      <w:rFonts w:hint="default" w:ascii="Times New Roman" w:hAnsi="Times New Roman" w:cs="Times New Roman"/>
                      <w:color w:val="auto"/>
                      <w:kern w:val="18"/>
                      <w:szCs w:val="21"/>
                    </w:rPr>
                    <w:t>面源宽度</w:t>
                  </w:r>
                </w:p>
              </w:tc>
              <w:tc>
                <w:tcPr>
                  <w:tcW w:w="1177" w:type="dxa"/>
                  <w:vAlign w:val="center"/>
                </w:tcPr>
                <w:p>
                  <w:pPr>
                    <w:snapToGrid w:val="0"/>
                    <w:jc w:val="center"/>
                    <w:rPr>
                      <w:rFonts w:hint="default" w:ascii="Times New Roman" w:hAnsi="Times New Roman" w:cs="Times New Roman"/>
                      <w:color w:val="auto"/>
                      <w:kern w:val="18"/>
                      <w:szCs w:val="21"/>
                    </w:rPr>
                  </w:pPr>
                  <w:r>
                    <w:rPr>
                      <w:rFonts w:hint="default" w:ascii="Times New Roman" w:hAnsi="Times New Roman" w:cs="Times New Roman"/>
                      <w:color w:val="auto"/>
                      <w:kern w:val="18"/>
                      <w:szCs w:val="21"/>
                    </w:rPr>
                    <w:t>面源长度</w:t>
                  </w:r>
                </w:p>
              </w:tc>
              <w:tc>
                <w:tcPr>
                  <w:tcW w:w="1980" w:type="dxa"/>
                  <w:vAlign w:val="center"/>
                </w:tcPr>
                <w:p>
                  <w:pPr>
                    <w:snapToGrid w:val="0"/>
                    <w:jc w:val="center"/>
                    <w:rPr>
                      <w:rFonts w:hint="default" w:ascii="Times New Roman" w:hAnsi="Times New Roman" w:cs="Times New Roman"/>
                      <w:color w:val="auto"/>
                      <w:kern w:val="18"/>
                      <w:szCs w:val="21"/>
                    </w:rPr>
                  </w:pPr>
                  <w:r>
                    <w:rPr>
                      <w:rFonts w:hint="default" w:ascii="Times New Roman" w:hAnsi="Times New Roman" w:cs="Times New Roman"/>
                      <w:color w:val="auto"/>
                      <w:kern w:val="18"/>
                      <w:szCs w:val="21"/>
                    </w:rPr>
                    <w:t>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vAlign w:val="center"/>
                </w:tcPr>
                <w:p>
                  <w:pPr>
                    <w:snapToGrid w:val="0"/>
                    <w:jc w:val="center"/>
                    <w:rPr>
                      <w:rFonts w:hint="default" w:ascii="Times New Roman" w:hAnsi="Times New Roman" w:cs="Times New Roman"/>
                      <w:color w:val="auto"/>
                      <w:kern w:val="18"/>
                      <w:szCs w:val="21"/>
                    </w:rPr>
                  </w:pPr>
                  <w:r>
                    <w:rPr>
                      <w:rFonts w:hint="default" w:ascii="Times New Roman" w:hAnsi="Times New Roman" w:cs="Times New Roman"/>
                      <w:color w:val="auto"/>
                      <w:kern w:val="18"/>
                      <w:szCs w:val="21"/>
                    </w:rPr>
                    <w:t>非甲烷总烃</w:t>
                  </w:r>
                </w:p>
              </w:tc>
              <w:tc>
                <w:tcPr>
                  <w:tcW w:w="1701" w:type="dxa"/>
                  <w:vAlign w:val="center"/>
                </w:tcPr>
                <w:p>
                  <w:pPr>
                    <w:snapToGrid w:val="0"/>
                    <w:jc w:val="center"/>
                    <w:rPr>
                      <w:rFonts w:hint="default" w:ascii="Times New Roman" w:hAnsi="Times New Roman" w:cs="Times New Roman"/>
                      <w:color w:val="auto"/>
                      <w:kern w:val="18"/>
                      <w:szCs w:val="21"/>
                    </w:rPr>
                  </w:pPr>
                  <w:r>
                    <w:rPr>
                      <w:rFonts w:hint="default" w:ascii="Times New Roman" w:hAnsi="Times New Roman" w:cs="Times New Roman"/>
                      <w:color w:val="auto"/>
                      <w:kern w:val="18"/>
                      <w:szCs w:val="21"/>
                      <w:lang w:val="en-US" w:eastAsia="zh-CN"/>
                    </w:rPr>
                    <w:t>4.5</w:t>
                  </w:r>
                  <w:r>
                    <w:rPr>
                      <w:rFonts w:hint="default" w:ascii="Times New Roman" w:hAnsi="Times New Roman" w:cs="Times New Roman"/>
                      <w:color w:val="auto"/>
                      <w:kern w:val="18"/>
                      <w:szCs w:val="21"/>
                    </w:rPr>
                    <w:t>m</w:t>
                  </w:r>
                </w:p>
              </w:tc>
              <w:tc>
                <w:tcPr>
                  <w:tcW w:w="1417" w:type="dxa"/>
                  <w:vAlign w:val="center"/>
                </w:tcPr>
                <w:p>
                  <w:pPr>
                    <w:snapToGrid w:val="0"/>
                    <w:jc w:val="center"/>
                    <w:rPr>
                      <w:rFonts w:hint="default" w:ascii="Times New Roman" w:hAnsi="Times New Roman" w:cs="Times New Roman"/>
                      <w:color w:val="auto"/>
                      <w:kern w:val="18"/>
                      <w:szCs w:val="21"/>
                    </w:rPr>
                  </w:pPr>
                  <w:r>
                    <w:rPr>
                      <w:rFonts w:hint="eastAsia" w:ascii="Times New Roman" w:hAnsi="Times New Roman" w:cs="Times New Roman"/>
                      <w:color w:val="auto"/>
                      <w:kern w:val="18"/>
                      <w:szCs w:val="21"/>
                      <w:lang w:val="en-US" w:eastAsia="zh-CN"/>
                    </w:rPr>
                    <w:t>30</w:t>
                  </w:r>
                  <w:r>
                    <w:rPr>
                      <w:rFonts w:hint="default" w:ascii="Times New Roman" w:hAnsi="Times New Roman" w:cs="Times New Roman"/>
                      <w:color w:val="auto"/>
                      <w:kern w:val="18"/>
                      <w:szCs w:val="21"/>
                    </w:rPr>
                    <w:t>m</w:t>
                  </w:r>
                </w:p>
              </w:tc>
              <w:tc>
                <w:tcPr>
                  <w:tcW w:w="1177" w:type="dxa"/>
                  <w:vAlign w:val="center"/>
                </w:tcPr>
                <w:p>
                  <w:pPr>
                    <w:snapToGrid w:val="0"/>
                    <w:jc w:val="center"/>
                    <w:rPr>
                      <w:rFonts w:hint="default" w:ascii="Times New Roman" w:hAnsi="Times New Roman" w:cs="Times New Roman"/>
                      <w:color w:val="auto"/>
                      <w:kern w:val="18"/>
                      <w:szCs w:val="21"/>
                    </w:rPr>
                  </w:pPr>
                  <w:r>
                    <w:rPr>
                      <w:rFonts w:hint="eastAsia" w:ascii="Times New Roman" w:hAnsi="Times New Roman" w:cs="Times New Roman"/>
                      <w:color w:val="auto"/>
                      <w:kern w:val="18"/>
                      <w:szCs w:val="21"/>
                      <w:lang w:val="en-US" w:eastAsia="zh-CN"/>
                    </w:rPr>
                    <w:t>38</w:t>
                  </w:r>
                  <w:r>
                    <w:rPr>
                      <w:rFonts w:hint="default" w:ascii="Times New Roman" w:hAnsi="Times New Roman" w:cs="Times New Roman"/>
                      <w:color w:val="auto"/>
                      <w:kern w:val="18"/>
                      <w:szCs w:val="21"/>
                    </w:rPr>
                    <w:t>m</w:t>
                  </w:r>
                </w:p>
              </w:tc>
              <w:tc>
                <w:tcPr>
                  <w:tcW w:w="1980" w:type="dxa"/>
                  <w:vAlign w:val="center"/>
                </w:tcPr>
                <w:p>
                  <w:pPr>
                    <w:snapToGrid w:val="0"/>
                    <w:jc w:val="center"/>
                    <w:rPr>
                      <w:rFonts w:hint="default" w:ascii="Times New Roman" w:hAnsi="Times New Roman" w:cs="Times New Roman"/>
                      <w:color w:val="auto"/>
                      <w:kern w:val="18"/>
                      <w:szCs w:val="21"/>
                    </w:rPr>
                  </w:pPr>
                  <w:r>
                    <w:rPr>
                      <w:rFonts w:hint="default" w:ascii="Times New Roman" w:hAnsi="Times New Roman" w:cs="Times New Roman"/>
                      <w:color w:val="auto"/>
                      <w:kern w:val="18"/>
                      <w:szCs w:val="21"/>
                    </w:rPr>
                    <w:t>0.0000</w:t>
                  </w:r>
                  <w:r>
                    <w:rPr>
                      <w:rFonts w:hint="eastAsia" w:ascii="Times New Roman" w:hAnsi="Times New Roman" w:cs="Times New Roman"/>
                      <w:color w:val="auto"/>
                      <w:kern w:val="18"/>
                      <w:szCs w:val="21"/>
                      <w:lang w:val="en-US" w:eastAsia="zh-CN"/>
                    </w:rPr>
                    <w:t>15</w:t>
                  </w:r>
                  <w:r>
                    <w:rPr>
                      <w:rFonts w:hint="default" w:ascii="Times New Roman" w:hAnsi="Times New Roman" w:cs="Times New Roman"/>
                      <w:color w:val="auto"/>
                      <w:kern w:val="18"/>
                      <w:szCs w:val="21"/>
                    </w:rPr>
                    <w:t>g/(s.m</w:t>
                  </w:r>
                  <w:r>
                    <w:rPr>
                      <w:rFonts w:hint="default" w:ascii="Times New Roman" w:hAnsi="Times New Roman" w:cs="Times New Roman"/>
                      <w:color w:val="auto"/>
                      <w:kern w:val="18"/>
                      <w:szCs w:val="21"/>
                      <w:vertAlign w:val="superscript"/>
                    </w:rPr>
                    <w:t>2</w:t>
                  </w:r>
                  <w:r>
                    <w:rPr>
                      <w:rFonts w:hint="default" w:ascii="Times New Roman" w:hAnsi="Times New Roman" w:cs="Times New Roman"/>
                      <w:color w:val="auto"/>
                      <w:kern w:val="18"/>
                      <w:szCs w:val="21"/>
                    </w:rPr>
                    <w:t>)</w:t>
                  </w:r>
                </w:p>
              </w:tc>
            </w:tr>
          </w:tbl>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t>③项目参数</w:t>
            </w:r>
          </w:p>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t>估算模式所用参数见下表：</w:t>
            </w:r>
          </w:p>
          <w:p>
            <w:pPr>
              <w:spacing w:line="500" w:lineRule="exact"/>
              <w:ind w:firstLine="371" w:firstLineChars="176"/>
              <w:jc w:val="center"/>
              <w:rPr>
                <w:rFonts w:hint="eastAsia" w:ascii="宋体" w:hAnsi="宋体" w:eastAsia="宋体" w:cs="宋体"/>
                <w:b/>
                <w:color w:val="auto"/>
                <w:sz w:val="21"/>
              </w:rPr>
            </w:pPr>
            <w:r>
              <w:rPr>
                <w:rFonts w:hint="eastAsia" w:ascii="宋体" w:hAnsi="宋体" w:eastAsia="宋体" w:cs="宋体"/>
                <w:b/>
                <w:color w:val="auto"/>
                <w:sz w:val="21"/>
              </w:rPr>
              <w:t>表7-</w:t>
            </w:r>
            <w:r>
              <w:rPr>
                <w:rFonts w:hint="eastAsia" w:ascii="宋体" w:hAnsi="宋体" w:eastAsia="宋体" w:cs="宋体"/>
                <w:b/>
                <w:color w:val="auto"/>
                <w:sz w:val="21"/>
                <w:lang w:val="en-US" w:eastAsia="zh-CN"/>
              </w:rPr>
              <w:t>10</w:t>
            </w:r>
            <w:r>
              <w:rPr>
                <w:rFonts w:hint="eastAsia" w:ascii="宋体" w:hAnsi="宋体" w:eastAsia="宋体" w:cs="宋体"/>
                <w:b/>
                <w:color w:val="auto"/>
                <w:sz w:val="21"/>
              </w:rPr>
              <w:t xml:space="preserve">    估算模型参数表</w:t>
            </w:r>
          </w:p>
          <w:tbl>
            <w:tblPr>
              <w:tblStyle w:val="23"/>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2782"/>
              <w:gridCol w:w="3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196" w:type="dxa"/>
                  <w:gridSpan w:val="2"/>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参数</w:t>
                  </w:r>
                </w:p>
              </w:tc>
              <w:tc>
                <w:tcPr>
                  <w:tcW w:w="3744"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414" w:type="dxa"/>
                  <w:vMerge w:val="restart"/>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城市农村/选项</w:t>
                  </w:r>
                </w:p>
              </w:tc>
              <w:tc>
                <w:tcPr>
                  <w:tcW w:w="2782"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城市/农村</w:t>
                  </w:r>
                </w:p>
              </w:tc>
              <w:tc>
                <w:tcPr>
                  <w:tcW w:w="3744"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414" w:type="dxa"/>
                  <w:vMerge w:val="continue"/>
                  <w:vAlign w:val="center"/>
                </w:tcPr>
                <w:p>
                  <w:pPr>
                    <w:widowControl w:val="0"/>
                    <w:jc w:val="center"/>
                    <w:rPr>
                      <w:rFonts w:hint="eastAsia" w:ascii="宋体" w:hAnsi="宋体" w:eastAsia="宋体" w:cs="宋体"/>
                      <w:color w:val="auto"/>
                      <w:sz w:val="21"/>
                      <w:szCs w:val="21"/>
                    </w:rPr>
                  </w:pPr>
                </w:p>
              </w:tc>
              <w:tc>
                <w:tcPr>
                  <w:tcW w:w="2782"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人口数(城市人口数)</w:t>
                  </w:r>
                </w:p>
              </w:tc>
              <w:tc>
                <w:tcPr>
                  <w:tcW w:w="3744"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196" w:type="dxa"/>
                  <w:gridSpan w:val="2"/>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最高环境温度</w:t>
                  </w:r>
                </w:p>
              </w:tc>
              <w:tc>
                <w:tcPr>
                  <w:tcW w:w="3744"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38.7</w:t>
                  </w:r>
                  <w:r>
                    <w:rPr>
                      <w:rFonts w:hint="eastAsia" w:ascii="宋体" w:hAnsi="宋体" w:eastAsia="宋体" w:cs="宋体"/>
                      <w:color w:val="auto"/>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196" w:type="dxa"/>
                  <w:gridSpan w:val="2"/>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最低环境温度</w:t>
                  </w:r>
                </w:p>
              </w:tc>
              <w:tc>
                <w:tcPr>
                  <w:tcW w:w="3744"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196" w:type="dxa"/>
                  <w:gridSpan w:val="2"/>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土地利用类型</w:t>
                  </w:r>
                </w:p>
              </w:tc>
              <w:tc>
                <w:tcPr>
                  <w:tcW w:w="3744" w:type="dxa"/>
                  <w:vAlign w:val="center"/>
                </w:tcPr>
                <w:p>
                  <w:pPr>
                    <w:widowControl w:val="0"/>
                    <w:jc w:val="center"/>
                    <w:rPr>
                      <w:rFonts w:hint="eastAsia" w:ascii="宋体" w:hAnsi="宋体" w:eastAsia="宋体" w:cs="宋体"/>
                      <w:color w:val="auto"/>
                      <w:sz w:val="21"/>
                      <w:szCs w:val="21"/>
                      <w:lang w:val="en-US" w:eastAsia="zh-CN"/>
                    </w:rPr>
                  </w:pPr>
                  <w:r>
                    <w:rPr>
                      <w:rFonts w:hint="eastAsia"/>
                      <w:color w:val="auto"/>
                    </w:rPr>
                    <w:t>工矿建设用地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196" w:type="dxa"/>
                  <w:gridSpan w:val="2"/>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区域湿度条件</w:t>
                  </w:r>
                </w:p>
              </w:tc>
              <w:tc>
                <w:tcPr>
                  <w:tcW w:w="3744"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414" w:type="dxa"/>
                  <w:vMerge w:val="restart"/>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是否考虑地形</w:t>
                  </w:r>
                </w:p>
              </w:tc>
              <w:tc>
                <w:tcPr>
                  <w:tcW w:w="2782"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考虑地形</w:t>
                  </w:r>
                </w:p>
              </w:tc>
              <w:tc>
                <w:tcPr>
                  <w:tcW w:w="3744"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414" w:type="dxa"/>
                  <w:vMerge w:val="continue"/>
                  <w:vAlign w:val="center"/>
                </w:tcPr>
                <w:p>
                  <w:pPr>
                    <w:widowControl w:val="0"/>
                    <w:jc w:val="center"/>
                    <w:rPr>
                      <w:rFonts w:hint="eastAsia" w:ascii="宋体" w:hAnsi="宋体" w:eastAsia="宋体" w:cs="宋体"/>
                      <w:color w:val="auto"/>
                      <w:sz w:val="21"/>
                      <w:szCs w:val="21"/>
                    </w:rPr>
                  </w:pPr>
                </w:p>
              </w:tc>
              <w:tc>
                <w:tcPr>
                  <w:tcW w:w="2782"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地形数据分辨率(m)</w:t>
                  </w:r>
                </w:p>
              </w:tc>
              <w:tc>
                <w:tcPr>
                  <w:tcW w:w="3744"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414" w:type="dxa"/>
                  <w:vMerge w:val="restart"/>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是否考虑海岸线熏烟</w:t>
                  </w:r>
                </w:p>
              </w:tc>
              <w:tc>
                <w:tcPr>
                  <w:tcW w:w="2782"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考虑海岸线熏烟</w:t>
                  </w:r>
                </w:p>
              </w:tc>
              <w:tc>
                <w:tcPr>
                  <w:tcW w:w="3744"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414" w:type="dxa"/>
                  <w:vMerge w:val="continue"/>
                  <w:vAlign w:val="center"/>
                </w:tcPr>
                <w:p>
                  <w:pPr>
                    <w:widowControl w:val="0"/>
                    <w:jc w:val="center"/>
                    <w:rPr>
                      <w:rFonts w:hint="eastAsia" w:ascii="宋体" w:hAnsi="宋体" w:eastAsia="宋体" w:cs="宋体"/>
                      <w:color w:val="auto"/>
                      <w:sz w:val="21"/>
                      <w:szCs w:val="21"/>
                    </w:rPr>
                  </w:pPr>
                </w:p>
              </w:tc>
              <w:tc>
                <w:tcPr>
                  <w:tcW w:w="2782"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海岸线距离/km</w:t>
                  </w:r>
                </w:p>
              </w:tc>
              <w:tc>
                <w:tcPr>
                  <w:tcW w:w="3744"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414" w:type="dxa"/>
                  <w:vMerge w:val="continue"/>
                  <w:vAlign w:val="center"/>
                </w:tcPr>
                <w:p>
                  <w:pPr>
                    <w:widowControl w:val="0"/>
                    <w:jc w:val="center"/>
                    <w:rPr>
                      <w:rFonts w:hint="eastAsia" w:ascii="宋体" w:hAnsi="宋体" w:eastAsia="宋体" w:cs="宋体"/>
                      <w:color w:val="auto"/>
                      <w:sz w:val="21"/>
                      <w:szCs w:val="21"/>
                    </w:rPr>
                  </w:pPr>
                </w:p>
              </w:tc>
              <w:tc>
                <w:tcPr>
                  <w:tcW w:w="2782"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海岸线方向/</w:t>
                  </w:r>
                  <w:r>
                    <w:rPr>
                      <w:rFonts w:hint="eastAsia" w:ascii="宋体" w:hAnsi="宋体" w:eastAsia="宋体" w:cs="宋体"/>
                      <w:color w:val="auto"/>
                      <w:sz w:val="21"/>
                      <w:szCs w:val="21"/>
                      <w:vertAlign w:val="superscript"/>
                    </w:rPr>
                    <w:t>o</w:t>
                  </w:r>
                </w:p>
              </w:tc>
              <w:tc>
                <w:tcPr>
                  <w:tcW w:w="3744"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w:t>
                  </w:r>
                </w:p>
              </w:tc>
            </w:tr>
          </w:tbl>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t>④评级工作等级确定</w:t>
            </w:r>
          </w:p>
          <w:p>
            <w:pPr>
              <w:spacing w:line="500" w:lineRule="exact"/>
              <w:ind w:firstLine="422" w:firstLineChars="176"/>
              <w:rPr>
                <w:rFonts w:hint="eastAsia" w:ascii="宋体" w:hAnsi="宋体" w:eastAsia="宋体" w:cs="宋体"/>
                <w:color w:val="auto"/>
                <w:sz w:val="24"/>
                <w:szCs w:val="24"/>
              </w:rPr>
            </w:pPr>
            <w:r>
              <w:rPr>
                <w:rFonts w:hint="eastAsia" w:ascii="宋体" w:hAnsi="宋体" w:eastAsia="宋体" w:cs="宋体"/>
                <w:color w:val="auto"/>
                <w:sz w:val="24"/>
                <w:szCs w:val="24"/>
              </w:rPr>
              <w:t>本项目所有污染源的正常排放的污染物的P</w:t>
            </w:r>
            <w:r>
              <w:rPr>
                <w:rFonts w:hint="eastAsia" w:ascii="宋体" w:hAnsi="宋体" w:eastAsia="宋体" w:cs="宋体"/>
                <w:color w:val="auto"/>
                <w:sz w:val="24"/>
                <w:szCs w:val="24"/>
                <w:vertAlign w:val="subscript"/>
              </w:rPr>
              <w:t>max</w:t>
            </w:r>
            <w:r>
              <w:rPr>
                <w:rFonts w:hint="eastAsia" w:ascii="宋体" w:hAnsi="宋体" w:eastAsia="宋体" w:cs="宋体"/>
                <w:color w:val="auto"/>
                <w:sz w:val="24"/>
                <w:szCs w:val="24"/>
              </w:rPr>
              <w:t>和D</w:t>
            </w:r>
            <w:r>
              <w:rPr>
                <w:rFonts w:hint="eastAsia" w:ascii="宋体" w:hAnsi="宋体" w:eastAsia="宋体" w:cs="宋体"/>
                <w:color w:val="auto"/>
                <w:sz w:val="24"/>
                <w:szCs w:val="24"/>
                <w:vertAlign w:val="subscript"/>
              </w:rPr>
              <w:t>10%</w:t>
            </w:r>
            <w:r>
              <w:rPr>
                <w:rFonts w:hint="eastAsia" w:ascii="宋体" w:hAnsi="宋体" w:eastAsia="宋体" w:cs="宋体"/>
                <w:color w:val="auto"/>
                <w:sz w:val="24"/>
                <w:szCs w:val="24"/>
              </w:rPr>
              <w:t>预测结果如下：</w:t>
            </w:r>
          </w:p>
          <w:p>
            <w:pPr>
              <w:spacing w:before="62" w:beforeLines="20" w:line="276" w:lineRule="auto"/>
              <w:jc w:val="center"/>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11</w:t>
            </w:r>
            <w:r>
              <w:rPr>
                <w:rFonts w:hint="default" w:ascii="Times New Roman" w:hAnsi="Times New Roman" w:cs="Times New Roman"/>
                <w:b/>
                <w:bCs/>
                <w:color w:val="auto"/>
                <w:sz w:val="21"/>
                <w:szCs w:val="21"/>
              </w:rPr>
              <w:t xml:space="preserve">  非甲烷总烃估算模式预测结果</w:t>
            </w:r>
          </w:p>
          <w:tbl>
            <w:tblPr>
              <w:tblStyle w:val="23"/>
              <w:tblW w:w="5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2"/>
              <w:gridCol w:w="1925"/>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blHeader/>
                <w:jc w:val="center"/>
              </w:trPr>
              <w:tc>
                <w:tcPr>
                  <w:tcW w:w="230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距源中心下风向距离D/m</w:t>
                  </w:r>
                </w:p>
              </w:tc>
              <w:tc>
                <w:tcPr>
                  <w:tcW w:w="358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blHeader/>
                <w:jc w:val="center"/>
              </w:trPr>
              <w:tc>
                <w:tcPr>
                  <w:tcW w:w="2302" w:type="dxa"/>
                  <w:vMerge w:val="continue"/>
                  <w:vAlign w:val="center"/>
                </w:tcPr>
                <w:p>
                  <w:pPr>
                    <w:jc w:val="center"/>
                    <w:rPr>
                      <w:rFonts w:hint="default" w:ascii="Times New Roman" w:hAnsi="Times New Roman" w:cs="Times New Roman"/>
                      <w:color w:val="auto"/>
                      <w:szCs w:val="21"/>
                    </w:rPr>
                  </w:pPr>
                </w:p>
              </w:tc>
              <w:tc>
                <w:tcPr>
                  <w:tcW w:w="192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浓度（mg/m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65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blHeader/>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0.02069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blHeader/>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0.05735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2.87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blHeader/>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eastAsia" w:ascii="Times New Roman" w:hAnsi="Times New Roman" w:cs="Times New Roman"/>
                      <w:color w:val="auto"/>
                      <w:szCs w:val="21"/>
                      <w:lang w:val="en-US" w:eastAsia="zh-CN"/>
                    </w:rPr>
                    <w:t>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0.05796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0.04802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2.40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0.03655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0.02797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0.02192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0.01761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0.01460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0.01234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0.01058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1100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0.00924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0.00814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2"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1300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0.00724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1400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0.00650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1500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0.00588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1600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0.00534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1700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0.00488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1800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0.00448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1900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0.00413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0.00383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2100</w:t>
                  </w:r>
                </w:p>
              </w:tc>
              <w:tc>
                <w:tcPr>
                  <w:tcW w:w="1925"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0.00358 </w:t>
                  </w:r>
                </w:p>
              </w:tc>
              <w:tc>
                <w:tcPr>
                  <w:tcW w:w="1658"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2200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0.00335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2300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0.00315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2400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0.00296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02"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2500</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0.00279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02" w:type="dxa"/>
                  <w:vAlign w:val="top"/>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189（最大落地浓度）</w:t>
                  </w:r>
                </w:p>
              </w:tc>
              <w:tc>
                <w:tcPr>
                  <w:tcW w:w="1925"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0.05816 </w:t>
                  </w:r>
                </w:p>
              </w:tc>
              <w:tc>
                <w:tcPr>
                  <w:tcW w:w="1658"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2.91 </w:t>
                  </w:r>
                </w:p>
              </w:tc>
            </w:tr>
          </w:tbl>
          <w:p>
            <w:pPr>
              <w:spacing w:line="500" w:lineRule="exact"/>
              <w:ind w:firstLine="2741" w:firstLineChars="1300"/>
              <w:jc w:val="both"/>
              <w:rPr>
                <w:rFonts w:hint="eastAsia" w:ascii="宋体" w:hAnsi="宋体" w:eastAsia="宋体" w:cs="宋体"/>
                <w:b/>
                <w:color w:val="auto"/>
                <w:sz w:val="21"/>
              </w:rPr>
            </w:pPr>
            <w:r>
              <w:rPr>
                <w:rFonts w:hint="eastAsia" w:ascii="宋体" w:hAnsi="宋体" w:eastAsia="宋体" w:cs="宋体"/>
                <w:b/>
                <w:color w:val="auto"/>
                <w:sz w:val="21"/>
              </w:rPr>
              <w:t>表7-</w:t>
            </w:r>
            <w:r>
              <w:rPr>
                <w:rFonts w:hint="eastAsia" w:ascii="宋体" w:hAnsi="宋体" w:eastAsia="宋体" w:cs="宋体"/>
                <w:b/>
                <w:color w:val="auto"/>
                <w:sz w:val="21"/>
                <w:lang w:val="en-US" w:eastAsia="zh-CN"/>
              </w:rPr>
              <w:t>12</w:t>
            </w:r>
            <w:r>
              <w:rPr>
                <w:rFonts w:hint="eastAsia" w:ascii="宋体" w:hAnsi="宋体" w:eastAsia="宋体" w:cs="宋体"/>
                <w:b/>
                <w:color w:val="auto"/>
                <w:sz w:val="21"/>
              </w:rPr>
              <w:t xml:space="preserve">    P</w:t>
            </w:r>
            <w:r>
              <w:rPr>
                <w:rFonts w:hint="eastAsia" w:ascii="宋体" w:hAnsi="宋体" w:eastAsia="宋体" w:cs="宋体"/>
                <w:b/>
                <w:color w:val="auto"/>
                <w:sz w:val="21"/>
                <w:vertAlign w:val="subscript"/>
              </w:rPr>
              <w:t>max</w:t>
            </w:r>
            <w:r>
              <w:rPr>
                <w:rFonts w:hint="eastAsia" w:ascii="宋体" w:hAnsi="宋体" w:eastAsia="宋体" w:cs="宋体"/>
                <w:b/>
                <w:color w:val="auto"/>
                <w:sz w:val="21"/>
              </w:rPr>
              <w:t>和D</w:t>
            </w:r>
            <w:r>
              <w:rPr>
                <w:rFonts w:hint="eastAsia" w:ascii="宋体" w:hAnsi="宋体" w:eastAsia="宋体" w:cs="宋体"/>
                <w:b/>
                <w:color w:val="auto"/>
                <w:sz w:val="21"/>
                <w:vertAlign w:val="subscript"/>
              </w:rPr>
              <w:t>10%</w:t>
            </w:r>
            <w:r>
              <w:rPr>
                <w:rFonts w:hint="eastAsia" w:ascii="宋体" w:hAnsi="宋体" w:eastAsia="宋体" w:cs="宋体"/>
                <w:b/>
                <w:color w:val="auto"/>
                <w:sz w:val="21"/>
              </w:rPr>
              <w:t>预测和计算结果一览表</w:t>
            </w:r>
          </w:p>
          <w:tbl>
            <w:tblPr>
              <w:tblStyle w:val="23"/>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558"/>
              <w:gridCol w:w="1559"/>
              <w:gridCol w:w="1557"/>
              <w:gridCol w:w="1559"/>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556"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污染源名称</w:t>
                  </w:r>
                </w:p>
              </w:tc>
              <w:tc>
                <w:tcPr>
                  <w:tcW w:w="1558"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评价因子</w:t>
                  </w:r>
                </w:p>
              </w:tc>
              <w:tc>
                <w:tcPr>
                  <w:tcW w:w="1559"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评价标准(</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rPr>
                    <w:t>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557"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C</w:t>
                  </w:r>
                  <w:r>
                    <w:rPr>
                      <w:rFonts w:hint="eastAsia" w:ascii="宋体" w:hAnsi="宋体" w:eastAsia="宋体" w:cs="宋体"/>
                      <w:color w:val="auto"/>
                      <w:sz w:val="21"/>
                      <w:szCs w:val="21"/>
                      <w:vertAlign w:val="subscript"/>
                    </w:rPr>
                    <w:t>max</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rPr>
                    <w:t>g/m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w:t>
                  </w:r>
                </w:p>
              </w:tc>
              <w:tc>
                <w:tcPr>
                  <w:tcW w:w="1559"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P</w:t>
                  </w:r>
                  <w:r>
                    <w:rPr>
                      <w:rFonts w:hint="eastAsia" w:ascii="宋体" w:hAnsi="宋体" w:eastAsia="宋体" w:cs="宋体"/>
                      <w:color w:val="auto"/>
                      <w:sz w:val="21"/>
                      <w:szCs w:val="21"/>
                      <w:vertAlign w:val="subscript"/>
                    </w:rPr>
                    <w:t>max</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555"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D</w:t>
                  </w:r>
                  <w:r>
                    <w:rPr>
                      <w:rFonts w:hint="eastAsia" w:ascii="宋体" w:hAnsi="宋体" w:eastAsia="宋体" w:cs="宋体"/>
                      <w:color w:val="auto"/>
                      <w:sz w:val="21"/>
                      <w:szCs w:val="21"/>
                      <w:vertAlign w:val="subscript"/>
                    </w:rPr>
                    <w:t>10%</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56" w:type="dxa"/>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面源</w:t>
                  </w:r>
                </w:p>
              </w:tc>
              <w:tc>
                <w:tcPr>
                  <w:tcW w:w="1558"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非甲烷总烃</w:t>
                  </w:r>
                </w:p>
              </w:tc>
              <w:tc>
                <w:tcPr>
                  <w:tcW w:w="1559" w:type="dxa"/>
                  <w:vAlign w:val="center"/>
                </w:tcPr>
                <w:p>
                  <w:pPr>
                    <w:widowControl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w:t>
                  </w:r>
                </w:p>
              </w:tc>
              <w:tc>
                <w:tcPr>
                  <w:tcW w:w="1557"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0.05816 </w:t>
                  </w:r>
                </w:p>
              </w:tc>
              <w:tc>
                <w:tcPr>
                  <w:tcW w:w="1559" w:type="dxa"/>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2.91 </w:t>
                  </w:r>
                </w:p>
              </w:tc>
              <w:tc>
                <w:tcPr>
                  <w:tcW w:w="1555" w:type="dxa"/>
                  <w:vAlign w:val="center"/>
                </w:tcPr>
                <w:p>
                  <w:pPr>
                    <w:widowControl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Times New Roman" w:hAnsi="Times New Roman" w:cs="Times New Roman"/>
                <w:color w:val="auto"/>
                <w:sz w:val="24"/>
              </w:rPr>
            </w:pPr>
            <w:r>
              <w:rPr>
                <w:rFonts w:hint="default" w:ascii="Times New Roman" w:hAnsi="Times New Roman" w:cs="Times New Roman"/>
                <w:color w:val="auto"/>
                <w:sz w:val="24"/>
              </w:rPr>
              <w:t>综合以上分析，本项目Pmax最大值出现为</w:t>
            </w:r>
            <w:r>
              <w:rPr>
                <w:rFonts w:hint="eastAsia" w:ascii="Times New Roman" w:hAnsi="Times New Roman" w:cs="Times New Roman"/>
                <w:color w:val="auto"/>
                <w:sz w:val="24"/>
                <w:lang w:val="en-US" w:eastAsia="zh-CN"/>
              </w:rPr>
              <w:t>2.91</w:t>
            </w:r>
            <w:r>
              <w:rPr>
                <w:rFonts w:hint="default" w:ascii="Times New Roman" w:hAnsi="Times New Roman" w:cs="Times New Roman"/>
                <w:color w:val="auto"/>
                <w:sz w:val="24"/>
              </w:rPr>
              <w:t>%</w:t>
            </w:r>
            <w:r>
              <w:rPr>
                <w:rFonts w:hint="eastAsia" w:ascii="Times New Roman" w:hAnsi="Times New Roman" w:cs="Times New Roman"/>
                <w:color w:val="auto"/>
                <w:sz w:val="24"/>
              </w:rPr>
              <w:t>，</w:t>
            </w:r>
            <w:r>
              <w:rPr>
                <w:rFonts w:hint="default" w:ascii="Times New Roman" w:hAnsi="Times New Roman" w:cs="Times New Roman"/>
                <w:color w:val="auto"/>
                <w:sz w:val="24"/>
              </w:rPr>
              <w:t>Cmax为</w:t>
            </w:r>
            <w:r>
              <w:rPr>
                <w:rFonts w:hint="eastAsia" w:ascii="Times New Roman" w:hAnsi="Times New Roman" w:cs="Times New Roman"/>
                <w:color w:val="auto"/>
                <w:sz w:val="24"/>
                <w:lang w:val="en-US" w:eastAsia="zh-CN"/>
              </w:rPr>
              <w:t>0.05816</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m</w:t>
            </w:r>
            <w:r>
              <w:rPr>
                <w:rFonts w:hint="default" w:ascii="Times New Roman" w:hAnsi="Times New Roman" w:cs="Times New Roman"/>
                <w:color w:val="auto"/>
                <w:sz w:val="24"/>
              </w:rPr>
              <w:t>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)，根据《环境影响评价技术导则 大气环境》(HJ2.2-20</w:t>
            </w:r>
            <w:r>
              <w:rPr>
                <w:rFonts w:hint="eastAsia" w:ascii="Times New Roman" w:hAnsi="Times New Roman" w:cs="Times New Roman"/>
                <w:color w:val="auto"/>
                <w:sz w:val="24"/>
              </w:rPr>
              <w:t>1</w:t>
            </w:r>
            <w:r>
              <w:rPr>
                <w:rFonts w:hint="default" w:ascii="Times New Roman" w:hAnsi="Times New Roman" w:cs="Times New Roman"/>
                <w:color w:val="auto"/>
                <w:sz w:val="24"/>
              </w:rPr>
              <w:t>8)分级判据，确定</w:t>
            </w:r>
            <w:r>
              <w:rPr>
                <w:rFonts w:hint="eastAsia" w:ascii="Times New Roman" w:hAnsi="Times New Roman" w:cs="Times New Roman"/>
                <w:color w:val="auto"/>
                <w:sz w:val="24"/>
              </w:rPr>
              <w:t>本项目</w:t>
            </w:r>
            <w:r>
              <w:rPr>
                <w:rFonts w:hint="default" w:ascii="Times New Roman" w:hAnsi="Times New Roman" w:cs="Times New Roman"/>
                <w:color w:val="auto"/>
                <w:sz w:val="24"/>
              </w:rPr>
              <w:t>大气环境影响评价工作等级为二级。</w:t>
            </w:r>
            <w:r>
              <w:rPr>
                <w:rFonts w:hint="eastAsia" w:ascii="Times New Roman" w:hAnsi="Times New Roman" w:cs="Times New Roman"/>
                <w:color w:val="auto"/>
                <w:sz w:val="24"/>
              </w:rPr>
              <w:t>不需进行进一步预测与评价，只对污染物排放量进行核算。</w:t>
            </w:r>
          </w:p>
          <w:p>
            <w:pPr>
              <w:spacing w:line="360" w:lineRule="auto"/>
              <w:ind w:firstLine="480" w:firstLineChars="200"/>
              <w:rPr>
                <w:color w:val="auto"/>
                <w:sz w:val="24"/>
              </w:rPr>
            </w:pPr>
            <w:r>
              <w:rPr>
                <w:rFonts w:hint="eastAsia" w:ascii="宋体" w:hAnsi="宋体" w:eastAsia="宋体" w:cs="宋体"/>
                <w:color w:val="auto"/>
                <w:sz w:val="24"/>
                <w:szCs w:val="24"/>
                <w:lang w:eastAsia="zh-CN"/>
              </w:rPr>
              <w:t>⑤</w:t>
            </w:r>
            <w:r>
              <w:rPr>
                <w:rFonts w:hint="eastAsia" w:eastAsia="宋体"/>
                <w:color w:val="auto"/>
                <w:sz w:val="24"/>
                <w:lang w:eastAsia="zh-CN"/>
              </w:rPr>
              <w:t>非甲烷总烃</w:t>
            </w:r>
            <w:r>
              <w:rPr>
                <w:rFonts w:hint="eastAsia"/>
                <w:color w:val="auto"/>
                <w:sz w:val="24"/>
              </w:rPr>
              <w:t>对环境保护目标的影响</w:t>
            </w:r>
          </w:p>
          <w:p>
            <w:pPr>
              <w:spacing w:line="360" w:lineRule="auto"/>
              <w:ind w:firstLine="480" w:firstLineChars="200"/>
              <w:rPr>
                <w:color w:val="auto"/>
                <w:sz w:val="24"/>
              </w:rPr>
            </w:pPr>
            <w:r>
              <w:rPr>
                <w:rFonts w:hint="eastAsia"/>
                <w:color w:val="auto"/>
                <w:sz w:val="24"/>
                <w:lang w:eastAsia="zh-CN"/>
              </w:rPr>
              <w:t>非甲烷总烃</w:t>
            </w:r>
            <w:r>
              <w:rPr>
                <w:rFonts w:hint="eastAsia"/>
                <w:color w:val="auto"/>
                <w:sz w:val="24"/>
              </w:rPr>
              <w:t>对环境保护目标的影响见表7-</w:t>
            </w:r>
            <w:r>
              <w:rPr>
                <w:rFonts w:hint="eastAsia"/>
                <w:color w:val="auto"/>
                <w:sz w:val="24"/>
                <w:lang w:val="en-US" w:eastAsia="zh-CN"/>
              </w:rPr>
              <w:t>13</w:t>
            </w:r>
            <w:r>
              <w:rPr>
                <w:rFonts w:hint="eastAsia"/>
                <w:color w:val="auto"/>
                <w:sz w:val="24"/>
              </w:rPr>
              <w:t>。</w:t>
            </w:r>
          </w:p>
          <w:p>
            <w:pPr>
              <w:spacing w:line="360" w:lineRule="auto"/>
              <w:jc w:val="center"/>
              <w:rPr>
                <w:b/>
                <w:color w:val="auto"/>
                <w:sz w:val="21"/>
                <w:szCs w:val="21"/>
              </w:rPr>
            </w:pPr>
            <w:r>
              <w:rPr>
                <w:rFonts w:hint="eastAsia"/>
                <w:b/>
                <w:color w:val="auto"/>
                <w:sz w:val="21"/>
                <w:szCs w:val="21"/>
              </w:rPr>
              <w:t>表7-</w:t>
            </w:r>
            <w:r>
              <w:rPr>
                <w:rFonts w:hint="eastAsia"/>
                <w:b/>
                <w:color w:val="auto"/>
                <w:sz w:val="21"/>
                <w:szCs w:val="21"/>
                <w:lang w:val="en-US" w:eastAsia="zh-CN"/>
              </w:rPr>
              <w:t>13</w:t>
            </w:r>
            <w:r>
              <w:rPr>
                <w:rFonts w:hint="eastAsia"/>
                <w:b/>
                <w:color w:val="auto"/>
                <w:sz w:val="21"/>
                <w:szCs w:val="21"/>
              </w:rPr>
              <w:t>项目</w:t>
            </w:r>
            <w:r>
              <w:rPr>
                <w:rFonts w:hint="eastAsia"/>
                <w:b/>
                <w:color w:val="auto"/>
                <w:sz w:val="21"/>
                <w:szCs w:val="21"/>
                <w:lang w:eastAsia="zh-CN"/>
              </w:rPr>
              <w:t>非甲烷总烃</w:t>
            </w:r>
            <w:r>
              <w:rPr>
                <w:rFonts w:hint="eastAsia"/>
                <w:b/>
                <w:color w:val="auto"/>
                <w:sz w:val="21"/>
                <w:szCs w:val="21"/>
              </w:rPr>
              <w:t>对环境保护目标影响评价结果统计表</w:t>
            </w:r>
          </w:p>
          <w:tbl>
            <w:tblPr>
              <w:tblStyle w:val="23"/>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238"/>
              <w:gridCol w:w="882"/>
              <w:gridCol w:w="1398"/>
              <w:gridCol w:w="1396"/>
              <w:gridCol w:w="1164"/>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919" w:type="dxa"/>
                  <w:tcBorders>
                    <w:tl2br w:val="nil"/>
                    <w:tr2bl w:val="nil"/>
                  </w:tcBorders>
                  <w:vAlign w:val="center"/>
                </w:tcPr>
                <w:p>
                  <w:pPr>
                    <w:jc w:val="center"/>
                    <w:rPr>
                      <w:b w:val="0"/>
                      <w:bCs/>
                      <w:color w:val="auto"/>
                      <w:szCs w:val="21"/>
                    </w:rPr>
                  </w:pPr>
                  <w:r>
                    <w:rPr>
                      <w:rFonts w:hint="eastAsia"/>
                      <w:b w:val="0"/>
                      <w:bCs/>
                      <w:color w:val="auto"/>
                      <w:szCs w:val="21"/>
                    </w:rPr>
                    <w:t>序号</w:t>
                  </w:r>
                </w:p>
              </w:tc>
              <w:tc>
                <w:tcPr>
                  <w:tcW w:w="1238" w:type="dxa"/>
                  <w:tcBorders>
                    <w:tl2br w:val="nil"/>
                    <w:tr2bl w:val="nil"/>
                  </w:tcBorders>
                  <w:vAlign w:val="center"/>
                </w:tcPr>
                <w:p>
                  <w:pPr>
                    <w:jc w:val="center"/>
                    <w:rPr>
                      <w:b w:val="0"/>
                      <w:bCs/>
                      <w:color w:val="auto"/>
                      <w:szCs w:val="21"/>
                    </w:rPr>
                  </w:pPr>
                  <w:r>
                    <w:rPr>
                      <w:rFonts w:hint="eastAsia"/>
                      <w:b w:val="0"/>
                      <w:bCs/>
                      <w:color w:val="auto"/>
                      <w:szCs w:val="21"/>
                    </w:rPr>
                    <w:t>环境保护</w:t>
                  </w:r>
                </w:p>
                <w:p>
                  <w:pPr>
                    <w:jc w:val="center"/>
                    <w:rPr>
                      <w:b w:val="0"/>
                      <w:bCs/>
                      <w:color w:val="auto"/>
                      <w:szCs w:val="21"/>
                    </w:rPr>
                  </w:pPr>
                  <w:r>
                    <w:rPr>
                      <w:rFonts w:hint="eastAsia"/>
                      <w:b w:val="0"/>
                      <w:bCs/>
                      <w:color w:val="auto"/>
                      <w:szCs w:val="21"/>
                    </w:rPr>
                    <w:t>目标</w:t>
                  </w:r>
                </w:p>
              </w:tc>
              <w:tc>
                <w:tcPr>
                  <w:tcW w:w="882" w:type="dxa"/>
                  <w:tcBorders>
                    <w:tl2br w:val="nil"/>
                    <w:tr2bl w:val="nil"/>
                  </w:tcBorders>
                  <w:vAlign w:val="center"/>
                </w:tcPr>
                <w:p>
                  <w:pPr>
                    <w:jc w:val="center"/>
                    <w:rPr>
                      <w:b w:val="0"/>
                      <w:bCs/>
                      <w:color w:val="auto"/>
                      <w:szCs w:val="21"/>
                    </w:rPr>
                  </w:pPr>
                  <w:r>
                    <w:rPr>
                      <w:rFonts w:hint="eastAsia"/>
                      <w:b w:val="0"/>
                      <w:bCs/>
                      <w:color w:val="auto"/>
                      <w:szCs w:val="21"/>
                    </w:rPr>
                    <w:t>距离</w:t>
                  </w:r>
                </w:p>
                <w:p>
                  <w:pPr>
                    <w:jc w:val="center"/>
                    <w:rPr>
                      <w:b w:val="0"/>
                      <w:bCs/>
                      <w:color w:val="auto"/>
                      <w:szCs w:val="21"/>
                    </w:rPr>
                  </w:pPr>
                  <w:r>
                    <w:rPr>
                      <w:rFonts w:hint="eastAsia"/>
                      <w:b w:val="0"/>
                      <w:bCs/>
                      <w:color w:val="auto"/>
                      <w:szCs w:val="21"/>
                    </w:rPr>
                    <w:t>（m）</w:t>
                  </w:r>
                </w:p>
              </w:tc>
              <w:tc>
                <w:tcPr>
                  <w:tcW w:w="1398" w:type="dxa"/>
                  <w:tcBorders>
                    <w:tl2br w:val="nil"/>
                    <w:tr2bl w:val="nil"/>
                  </w:tcBorders>
                  <w:vAlign w:val="center"/>
                </w:tcPr>
                <w:p>
                  <w:pPr>
                    <w:jc w:val="center"/>
                    <w:rPr>
                      <w:b w:val="0"/>
                      <w:bCs/>
                      <w:color w:val="auto"/>
                      <w:szCs w:val="21"/>
                    </w:rPr>
                  </w:pPr>
                  <w:r>
                    <w:rPr>
                      <w:rFonts w:hint="eastAsia"/>
                      <w:b w:val="0"/>
                      <w:bCs/>
                      <w:color w:val="auto"/>
                      <w:szCs w:val="21"/>
                    </w:rPr>
                    <w:t>预测结果</w:t>
                  </w:r>
                </w:p>
                <w:p>
                  <w:pPr>
                    <w:jc w:val="center"/>
                    <w:rPr>
                      <w:b w:val="0"/>
                      <w:bCs/>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396" w:type="dxa"/>
                  <w:tcBorders>
                    <w:tl2br w:val="nil"/>
                    <w:tr2bl w:val="nil"/>
                  </w:tcBorders>
                  <w:vAlign w:val="center"/>
                </w:tcPr>
                <w:p>
                  <w:pPr>
                    <w:jc w:val="center"/>
                    <w:rPr>
                      <w:b w:val="0"/>
                      <w:bCs/>
                      <w:color w:val="auto"/>
                      <w:szCs w:val="21"/>
                    </w:rPr>
                  </w:pPr>
                  <w:r>
                    <w:rPr>
                      <w:rFonts w:hint="eastAsia"/>
                      <w:b w:val="0"/>
                      <w:bCs/>
                      <w:color w:val="auto"/>
                      <w:szCs w:val="21"/>
                    </w:rPr>
                    <w:t>评价标准</w:t>
                  </w:r>
                </w:p>
                <w:p>
                  <w:pPr>
                    <w:jc w:val="center"/>
                    <w:rPr>
                      <w:b w:val="0"/>
                      <w:bCs/>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164" w:type="dxa"/>
                  <w:tcBorders>
                    <w:tl2br w:val="nil"/>
                    <w:tr2bl w:val="nil"/>
                  </w:tcBorders>
                  <w:vAlign w:val="center"/>
                </w:tcPr>
                <w:p>
                  <w:pPr>
                    <w:jc w:val="center"/>
                    <w:rPr>
                      <w:b w:val="0"/>
                      <w:bCs/>
                      <w:color w:val="auto"/>
                      <w:szCs w:val="21"/>
                    </w:rPr>
                  </w:pPr>
                  <w:r>
                    <w:rPr>
                      <w:rFonts w:hint="eastAsia"/>
                      <w:b w:val="0"/>
                      <w:bCs/>
                      <w:color w:val="auto"/>
                      <w:szCs w:val="21"/>
                    </w:rPr>
                    <w:t>占标率</w:t>
                  </w:r>
                </w:p>
                <w:p>
                  <w:pPr>
                    <w:jc w:val="center"/>
                    <w:rPr>
                      <w:b w:val="0"/>
                      <w:bCs/>
                      <w:color w:val="auto"/>
                      <w:szCs w:val="21"/>
                    </w:rPr>
                  </w:pPr>
                  <w:r>
                    <w:rPr>
                      <w:rFonts w:hint="eastAsia"/>
                      <w:b w:val="0"/>
                      <w:bCs/>
                      <w:color w:val="auto"/>
                      <w:szCs w:val="21"/>
                    </w:rPr>
                    <w:t>（%）</w:t>
                  </w:r>
                </w:p>
              </w:tc>
              <w:tc>
                <w:tcPr>
                  <w:tcW w:w="1163" w:type="dxa"/>
                  <w:tcBorders>
                    <w:tl2br w:val="nil"/>
                    <w:tr2bl w:val="nil"/>
                  </w:tcBorders>
                  <w:vAlign w:val="center"/>
                </w:tcPr>
                <w:p>
                  <w:pPr>
                    <w:jc w:val="center"/>
                    <w:rPr>
                      <w:b w:val="0"/>
                      <w:bCs/>
                      <w:color w:val="auto"/>
                      <w:szCs w:val="21"/>
                    </w:rPr>
                  </w:pPr>
                  <w:r>
                    <w:rPr>
                      <w:rFonts w:hint="eastAsia"/>
                      <w:b w:val="0"/>
                      <w:bCs/>
                      <w:color w:val="auto"/>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1238"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color w:val="auto"/>
                      <w:szCs w:val="21"/>
                      <w:lang w:eastAsia="zh-CN"/>
                    </w:rPr>
                    <w:t>私人住户</w:t>
                  </w:r>
                </w:p>
              </w:tc>
              <w:tc>
                <w:tcPr>
                  <w:tcW w:w="882"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20</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0.03434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1.72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1238"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color w:val="auto"/>
                      <w:szCs w:val="21"/>
                      <w:lang w:eastAsia="zh-CN"/>
                    </w:rPr>
                    <w:t>私人住户</w:t>
                  </w:r>
                </w:p>
              </w:tc>
              <w:tc>
                <w:tcPr>
                  <w:tcW w:w="882"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15</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0.02781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1.39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w:t>
                  </w:r>
                </w:p>
              </w:tc>
              <w:tc>
                <w:tcPr>
                  <w:tcW w:w="1238"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color w:val="auto"/>
                      <w:szCs w:val="21"/>
                      <w:lang w:eastAsia="zh-CN"/>
                    </w:rPr>
                    <w:t>私人住户</w:t>
                  </w:r>
                </w:p>
              </w:tc>
              <w:tc>
                <w:tcPr>
                  <w:tcW w:w="882" w:type="dxa"/>
                  <w:tcBorders>
                    <w:tl2br w:val="nil"/>
                    <w:tr2bl w:val="nil"/>
                  </w:tcBorders>
                  <w:vAlign w:val="center"/>
                </w:tcPr>
                <w:p>
                  <w:pPr>
                    <w:tabs>
                      <w:tab w:val="left" w:pos="2265"/>
                    </w:tabs>
                    <w:jc w:val="center"/>
                    <w:rPr>
                      <w:rFonts w:hint="eastAsia" w:ascii="Times New Roman" w:hAnsi="Times New Roman" w:cs="Times New Roman"/>
                      <w:color w:val="auto"/>
                      <w:szCs w:val="21"/>
                      <w:lang w:val="en-US" w:eastAsia="zh-CN"/>
                    </w:rPr>
                  </w:pPr>
                  <w:r>
                    <w:rPr>
                      <w:rFonts w:hint="eastAsia" w:eastAsia="宋体"/>
                      <w:color w:val="auto"/>
                      <w:kern w:val="2"/>
                      <w:sz w:val="21"/>
                      <w:szCs w:val="21"/>
                      <w:lang w:val="en-US" w:eastAsia="zh-CN" w:bidi="ar-SA"/>
                    </w:rPr>
                    <w:t>25</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0.03923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1.96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p>
              </w:tc>
              <w:tc>
                <w:tcPr>
                  <w:tcW w:w="1238"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color w:val="auto"/>
                      <w:szCs w:val="21"/>
                      <w:lang w:eastAsia="zh-CN"/>
                    </w:rPr>
                    <w:t>私人住户</w:t>
                  </w:r>
                </w:p>
              </w:tc>
              <w:tc>
                <w:tcPr>
                  <w:tcW w:w="882" w:type="dxa"/>
                  <w:tcBorders>
                    <w:tl2br w:val="nil"/>
                    <w:tr2bl w:val="nil"/>
                  </w:tcBorders>
                  <w:vAlign w:val="center"/>
                </w:tcPr>
                <w:p>
                  <w:pPr>
                    <w:tabs>
                      <w:tab w:val="left" w:pos="2265"/>
                    </w:tabs>
                    <w:jc w:val="center"/>
                    <w:rPr>
                      <w:rFonts w:hint="eastAsia" w:ascii="Times New Roman" w:hAnsi="Times New Roman" w:cs="Times New Roman"/>
                      <w:color w:val="auto"/>
                      <w:szCs w:val="21"/>
                      <w:lang w:val="en-US" w:eastAsia="zh-CN"/>
                    </w:rPr>
                  </w:pPr>
                  <w:r>
                    <w:rPr>
                      <w:rFonts w:hint="eastAsia" w:eastAsia="宋体"/>
                      <w:color w:val="auto"/>
                      <w:kern w:val="2"/>
                      <w:sz w:val="21"/>
                      <w:szCs w:val="21"/>
                      <w:lang w:val="en-US" w:eastAsia="zh-CN" w:bidi="ar-SA"/>
                    </w:rPr>
                    <w:t>15</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0.02781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1.39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w:t>
                  </w:r>
                </w:p>
              </w:tc>
              <w:tc>
                <w:tcPr>
                  <w:tcW w:w="1238" w:type="dxa"/>
                  <w:tcBorders>
                    <w:tl2br w:val="nil"/>
                    <w:tr2bl w:val="nil"/>
                  </w:tcBorders>
                  <w:vAlign w:val="center"/>
                </w:tcPr>
                <w:p>
                  <w:pPr>
                    <w:jc w:val="center"/>
                    <w:rPr>
                      <w:rFonts w:hint="eastAsia" w:eastAsia="宋体"/>
                      <w:color w:val="auto"/>
                      <w:kern w:val="2"/>
                      <w:sz w:val="21"/>
                      <w:szCs w:val="21"/>
                      <w:lang w:val="en-US" w:eastAsia="zh-CN" w:bidi="ar-SA"/>
                    </w:rPr>
                  </w:pPr>
                  <w:r>
                    <w:rPr>
                      <w:rFonts w:hint="eastAsia"/>
                      <w:color w:val="auto"/>
                      <w:szCs w:val="21"/>
                      <w:lang w:eastAsia="zh-CN"/>
                    </w:rPr>
                    <w:t>私人住户</w:t>
                  </w:r>
                </w:p>
              </w:tc>
              <w:tc>
                <w:tcPr>
                  <w:tcW w:w="882"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0.03434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1.72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w:t>
                  </w:r>
                </w:p>
              </w:tc>
              <w:tc>
                <w:tcPr>
                  <w:tcW w:w="1238" w:type="dxa"/>
                  <w:tcBorders>
                    <w:tl2br w:val="nil"/>
                    <w:tr2bl w:val="nil"/>
                  </w:tcBorders>
                  <w:vAlign w:val="center"/>
                </w:tcPr>
                <w:p>
                  <w:pPr>
                    <w:jc w:val="center"/>
                    <w:rPr>
                      <w:rFonts w:hint="eastAsia" w:eastAsia="宋体"/>
                      <w:color w:val="auto"/>
                      <w:kern w:val="2"/>
                      <w:sz w:val="21"/>
                      <w:szCs w:val="21"/>
                      <w:lang w:val="en-US" w:eastAsia="zh-CN" w:bidi="ar-SA"/>
                    </w:rPr>
                  </w:pPr>
                  <w:r>
                    <w:rPr>
                      <w:rFonts w:hint="eastAsia"/>
                      <w:color w:val="auto"/>
                      <w:szCs w:val="21"/>
                      <w:lang w:eastAsia="zh-CN"/>
                    </w:rPr>
                    <w:t>私人住户</w:t>
                  </w:r>
                </w:p>
              </w:tc>
              <w:tc>
                <w:tcPr>
                  <w:tcW w:w="882"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0.03434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1.72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w:t>
                  </w:r>
                </w:p>
              </w:tc>
              <w:tc>
                <w:tcPr>
                  <w:tcW w:w="1238" w:type="dxa"/>
                  <w:tcBorders>
                    <w:tl2br w:val="nil"/>
                    <w:tr2bl w:val="nil"/>
                  </w:tcBorders>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蚌峨主街</w:t>
                  </w:r>
                </w:p>
              </w:tc>
              <w:tc>
                <w:tcPr>
                  <w:tcW w:w="882"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400</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0.03655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1.83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w:t>
                  </w:r>
                </w:p>
              </w:tc>
              <w:tc>
                <w:tcPr>
                  <w:tcW w:w="1238" w:type="dxa"/>
                  <w:tcBorders>
                    <w:tl2br w:val="nil"/>
                    <w:tr2bl w:val="nil"/>
                  </w:tcBorders>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六掌村</w:t>
                  </w:r>
                </w:p>
              </w:tc>
              <w:tc>
                <w:tcPr>
                  <w:tcW w:w="882"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2083</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0.00362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0.18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w:t>
                  </w:r>
                </w:p>
              </w:tc>
              <w:tc>
                <w:tcPr>
                  <w:tcW w:w="1238" w:type="dxa"/>
                  <w:tcBorders>
                    <w:tl2br w:val="nil"/>
                    <w:tr2bl w:val="nil"/>
                  </w:tcBorders>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波美</w:t>
                  </w:r>
                </w:p>
              </w:tc>
              <w:tc>
                <w:tcPr>
                  <w:tcW w:w="882"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781</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0.01510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0.76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w:t>
                  </w:r>
                </w:p>
              </w:tc>
              <w:tc>
                <w:tcPr>
                  <w:tcW w:w="1238" w:type="dxa"/>
                  <w:tcBorders>
                    <w:tl2br w:val="nil"/>
                    <w:tr2bl w:val="nil"/>
                  </w:tcBorders>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六肥上寨</w:t>
                  </w:r>
                </w:p>
              </w:tc>
              <w:tc>
                <w:tcPr>
                  <w:tcW w:w="882"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1949</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0.00398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0.20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11</w:t>
                  </w:r>
                </w:p>
              </w:tc>
              <w:tc>
                <w:tcPr>
                  <w:tcW w:w="1238" w:type="dxa"/>
                  <w:tcBorders>
                    <w:tl2br w:val="nil"/>
                    <w:tr2bl w:val="nil"/>
                  </w:tcBorders>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六肥中寨</w:t>
                  </w:r>
                </w:p>
              </w:tc>
              <w:tc>
                <w:tcPr>
                  <w:tcW w:w="882"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897</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0.01240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0.62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919"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w:t>
                  </w:r>
                </w:p>
              </w:tc>
              <w:tc>
                <w:tcPr>
                  <w:tcW w:w="1238" w:type="dxa"/>
                  <w:tcBorders>
                    <w:tl2br w:val="nil"/>
                    <w:tr2bl w:val="nil"/>
                  </w:tcBorders>
                  <w:vAlign w:val="center"/>
                </w:tcPr>
                <w:p>
                  <w:pPr>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大箐</w:t>
                  </w:r>
                </w:p>
              </w:tc>
              <w:tc>
                <w:tcPr>
                  <w:tcW w:w="882"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995</w:t>
                  </w:r>
                </w:p>
              </w:tc>
              <w:tc>
                <w:tcPr>
                  <w:tcW w:w="1398"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0.01066 </w:t>
                  </w:r>
                </w:p>
              </w:tc>
              <w:tc>
                <w:tcPr>
                  <w:tcW w:w="1396"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2.0</w:t>
                  </w:r>
                </w:p>
              </w:tc>
              <w:tc>
                <w:tcPr>
                  <w:tcW w:w="1164" w:type="dxa"/>
                  <w:tcBorders>
                    <w:tl2br w:val="nil"/>
                    <w:tr2bl w:val="nil"/>
                  </w:tcBorders>
                  <w:vAlign w:val="center"/>
                </w:tcPr>
                <w:p>
                  <w:pPr>
                    <w:tabs>
                      <w:tab w:val="left" w:pos="2265"/>
                    </w:tabs>
                    <w:jc w:val="center"/>
                    <w:rPr>
                      <w:rFonts w:hint="eastAsia" w:eastAsia="宋体"/>
                      <w:color w:val="auto"/>
                      <w:kern w:val="2"/>
                      <w:sz w:val="21"/>
                      <w:szCs w:val="21"/>
                      <w:lang w:val="en-US" w:eastAsia="zh-CN" w:bidi="ar-SA"/>
                    </w:rPr>
                  </w:pPr>
                  <w:r>
                    <w:rPr>
                      <w:rFonts w:hint="eastAsia" w:eastAsia="宋体"/>
                      <w:color w:val="auto"/>
                      <w:kern w:val="2"/>
                      <w:sz w:val="21"/>
                      <w:szCs w:val="21"/>
                      <w:lang w:val="en-US" w:eastAsia="zh-CN" w:bidi="ar-SA"/>
                    </w:rPr>
                    <w:t xml:space="preserve">0.53 </w:t>
                  </w:r>
                </w:p>
              </w:tc>
              <w:tc>
                <w:tcPr>
                  <w:tcW w:w="1163" w:type="dxa"/>
                  <w:tcBorders>
                    <w:tl2br w:val="nil"/>
                    <w:tr2bl w:val="nil"/>
                  </w:tcBorders>
                  <w:vAlign w:val="center"/>
                </w:tcPr>
                <w:p>
                  <w:pPr>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达标</w:t>
                  </w:r>
                </w:p>
              </w:tc>
            </w:tr>
          </w:tbl>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根据现场调查，项目安装油气回收装置后的非甲烷总烃在无组织排放时，</w:t>
            </w:r>
            <w:r>
              <w:rPr>
                <w:rFonts w:hint="default" w:ascii="Times New Roman" w:hAnsi="Times New Roman" w:cs="Times New Roman"/>
                <w:color w:val="auto"/>
                <w:kern w:val="0"/>
                <w:sz w:val="24"/>
              </w:rPr>
              <w:t>各敏感点处的</w:t>
            </w:r>
            <w:r>
              <w:rPr>
                <w:rFonts w:hint="default" w:ascii="Times New Roman" w:hAnsi="Times New Roman" w:cs="Times New Roman"/>
                <w:color w:val="auto"/>
                <w:sz w:val="24"/>
              </w:rPr>
              <w:t>落地浓度最大为</w:t>
            </w:r>
            <w:r>
              <w:rPr>
                <w:rFonts w:hint="eastAsia" w:ascii="Times New Roman" w:hAnsi="Times New Roman" w:cs="Times New Roman"/>
                <w:color w:val="auto"/>
                <w:sz w:val="24"/>
                <w:lang w:val="en-US" w:eastAsia="zh-CN"/>
              </w:rPr>
              <w:t>0.03923</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，满足“非甲烷总烃”的环境质量标准参考</w:t>
            </w:r>
            <w:r>
              <w:rPr>
                <w:rFonts w:hint="default" w:ascii="Times New Roman" w:hAnsi="Times New Roman" w:cs="Times New Roman"/>
                <w:color w:val="auto"/>
                <w:sz w:val="24"/>
                <w:lang w:val="zh-CN"/>
              </w:rPr>
              <w:t>值</w:t>
            </w:r>
            <w:r>
              <w:rPr>
                <w:rFonts w:hint="default" w:ascii="Times New Roman" w:hAnsi="Times New Roman" w:cs="Times New Roman"/>
                <w:bCs/>
                <w:snapToGrid w:val="0"/>
                <w:color w:val="auto"/>
                <w:sz w:val="24"/>
              </w:rPr>
              <w:t>2mg/m</w:t>
            </w:r>
            <w:r>
              <w:rPr>
                <w:rFonts w:hint="default" w:ascii="Times New Roman" w:hAnsi="Times New Roman" w:cs="Times New Roman"/>
                <w:bCs/>
                <w:snapToGrid w:val="0"/>
                <w:color w:val="auto"/>
                <w:sz w:val="24"/>
                <w:vertAlign w:val="superscript"/>
              </w:rPr>
              <w:t>3</w:t>
            </w:r>
            <w:r>
              <w:rPr>
                <w:rFonts w:hint="default" w:ascii="Times New Roman" w:hAnsi="Times New Roman" w:cs="Times New Roman"/>
                <w:color w:val="auto"/>
                <w:sz w:val="24"/>
                <w:lang w:val="zh-CN"/>
              </w:rPr>
              <w:t>要求</w:t>
            </w:r>
            <w:r>
              <w:rPr>
                <w:rFonts w:hint="default" w:ascii="Times New Roman" w:hAnsi="Times New Roman" w:cs="Times New Roman"/>
                <w:color w:val="auto"/>
                <w:sz w:val="24"/>
              </w:rPr>
              <w:t>，对周边环境敏感点的影响小。</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3）大气环境防护距离计算</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大气环境》（HJ2.2-2008）的有关规定，确定无组织排放源的大气环境防护距离。采用导则推荐模式中的大气环境保护距离模式计算各无组织源的大气环境保护距离。计算出的距离是以污染源中心为起点的控制距离，并结合厂区的平面布置图，确定控制距离的范围，超出厂界以外的范围，即为项目大气环境防护距离。当无组织源排放多种污染物时，应分别计算，并按计算结果的最大值确定其大气环境保护距离，对于同属一生产单元（生产车间或工段）的无组织排放源，应合并作为单一面源计算并确定大气环境保护距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经采用推荐模式中的大气环境防护距离模式计算项目无组织排放源的大气环境防护距离，“无超标点”因此，项目不设置大气环境防护距离。</w:t>
            </w: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cs="Times New Roman"/>
                <w:color w:val="auto"/>
                <w:sz w:val="24"/>
              </w:rPr>
            </w:pP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drawing>
                <wp:inline distT="0" distB="0" distL="114300" distR="114300">
                  <wp:extent cx="5428615" cy="3218815"/>
                  <wp:effectExtent l="0" t="0" r="635" b="635"/>
                  <wp:docPr id="204" name="图片 24" descr="QQ截图20190615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4" descr="QQ截图20190615121123"/>
                          <pic:cNvPicPr>
                            <a:picLocks noChangeAspect="1"/>
                          </pic:cNvPicPr>
                        </pic:nvPicPr>
                        <pic:blipFill>
                          <a:blip r:embed="rId31"/>
                          <a:stretch>
                            <a:fillRect/>
                          </a:stretch>
                        </pic:blipFill>
                        <pic:spPr>
                          <a:xfrm>
                            <a:off x="0" y="0"/>
                            <a:ext cx="5428615" cy="3218815"/>
                          </a:xfrm>
                          <a:prstGeom prst="rect">
                            <a:avLst/>
                          </a:prstGeom>
                          <a:noFill/>
                          <a:ln w="9525">
                            <a:noFill/>
                          </a:ln>
                        </pic:spPr>
                      </pic:pic>
                    </a:graphicData>
                  </a:graphic>
                </wp:inline>
              </w:drawing>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4）油气控制措施</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项目针对汽油储罐、汽油卸油、汽油加油工艺设置油气回收装置（共</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套），其中：</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台92#汽油双枪税控加油机</w:t>
            </w:r>
            <w:r>
              <w:rPr>
                <w:rFonts w:hint="eastAsia" w:ascii="Times New Roman" w:hAnsi="Times New Roman" w:cs="Times New Roman"/>
                <w:color w:val="auto"/>
                <w:sz w:val="24"/>
                <w:szCs w:val="24"/>
                <w:lang w:eastAsia="zh-CN"/>
              </w:rPr>
              <w:t>和</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个容积为</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的92#汽油储罐设置加油储油混合油气回收装置；</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②92#汽油卸油区设置卸油油气回收装置</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套。</w:t>
            </w:r>
          </w:p>
          <w:p>
            <w:pPr>
              <w:autoSpaceDE w:val="0"/>
              <w:autoSpaceDN w:val="0"/>
              <w:adjustRightInd w:val="0"/>
              <w:snapToGrid w:val="0"/>
              <w:spacing w:line="360" w:lineRule="auto"/>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szCs w:val="24"/>
              </w:rPr>
              <w:t>根据拟采取的废气治理措施处理后，对排放的废气进行影响预测结果表明，</w:t>
            </w:r>
            <w:r>
              <w:rPr>
                <w:rFonts w:hint="default" w:ascii="Times New Roman" w:hAnsi="Times New Roman" w:cs="Times New Roman"/>
                <w:color w:val="auto"/>
                <w:sz w:val="24"/>
                <w:szCs w:val="24"/>
                <w:lang w:val="zh-CN"/>
              </w:rPr>
              <w:t>项目在运营时通气口排放的油气能够满足《加油站大气污染物排放标准》（GB20952-2007）中要求：≤25g/m</w:t>
            </w:r>
            <w:r>
              <w:rPr>
                <w:rFonts w:hint="default" w:ascii="Times New Roman" w:hAnsi="Times New Roman" w:cs="Times New Roman"/>
                <w:color w:val="auto"/>
                <w:sz w:val="24"/>
                <w:szCs w:val="24"/>
                <w:vertAlign w:val="superscript"/>
                <w:lang w:val="zh-CN"/>
              </w:rPr>
              <w:t>3</w:t>
            </w:r>
            <w:r>
              <w:rPr>
                <w:rFonts w:hint="default" w:ascii="Times New Roman" w:hAnsi="Times New Roman" w:cs="Times New Roman"/>
                <w:color w:val="auto"/>
                <w:sz w:val="24"/>
                <w:szCs w:val="24"/>
                <w:lang w:val="zh-CN"/>
              </w:rPr>
              <w:t>；无组织排放的油气能够满足</w:t>
            </w:r>
            <w:r>
              <w:rPr>
                <w:rFonts w:hint="default" w:ascii="Times New Roman" w:hAnsi="Times New Roman" w:cs="Times New Roman"/>
                <w:color w:val="auto"/>
                <w:sz w:val="24"/>
                <w:szCs w:val="24"/>
              </w:rPr>
              <w:t>《大气污染物综合排放标准》（GB16297-1996）中：周界外浓度最高点≤4.0mg/m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。并且通过采取以上措施后，</w:t>
            </w:r>
            <w:r>
              <w:rPr>
                <w:rFonts w:hint="default" w:ascii="Times New Roman" w:hAnsi="Times New Roman" w:cs="Times New Roman"/>
                <w:color w:val="auto"/>
                <w:sz w:val="24"/>
                <w:szCs w:val="24"/>
                <w:lang w:val="zh-CN"/>
              </w:rPr>
              <w:t>可以减少项目油气对大气环境的影响。</w:t>
            </w:r>
            <w:r>
              <w:rPr>
                <w:rFonts w:hint="default" w:ascii="Times New Roman" w:hAnsi="Times New Roman" w:cs="Times New Roman"/>
                <w:color w:val="auto"/>
                <w:sz w:val="24"/>
                <w:szCs w:val="24"/>
              </w:rPr>
              <w:t>因此，项目已采取的废气治理措施后，处理后排放的</w:t>
            </w:r>
            <w:r>
              <w:rPr>
                <w:rFonts w:hint="default" w:ascii="Times New Roman" w:hAnsi="Times New Roman" w:cs="Times New Roman"/>
                <w:color w:val="auto"/>
                <w:sz w:val="24"/>
                <w:szCs w:val="24"/>
                <w:lang w:val="zh-CN"/>
              </w:rPr>
              <w:t>油气废气对外环境影响较小。</w:t>
            </w:r>
            <w:r>
              <w:rPr>
                <w:rFonts w:hint="default" w:ascii="Times New Roman" w:hAnsi="Times New Roman" w:cs="Times New Roman"/>
                <w:color w:val="auto"/>
                <w:sz w:val="24"/>
                <w:szCs w:val="24"/>
              </w:rPr>
              <w:t>满足环保要求，设置合理。</w:t>
            </w:r>
          </w:p>
          <w:p>
            <w:pPr>
              <w:spacing w:line="353"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采用地埋式储油罐，该罐密闭型较好，顶部有约0.5m的覆土，周围回填的沙子和细土厚度也约0.3m，因此储油罐罐室内气温比较稳定，受大气环境稳定影响较小，可减少油罐小呼吸蒸发损耗，延缓油品变质，并采用自封式加油枪及密闭卸油等方式，可一定程度上减少非甲烷总烃的排放。为进一步减小影响，项目作了如下补充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a.卸油环节油气排放控制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①应采用浸没卸油方式，卸油管出油口距罐底高度应小于200mm；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②卸油和油气回收接口应安装DN100mm的截流阀、密封式快速接口和帽盖；</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③连接软油管应采用DN100mm的密封式快速接口与卸油车连接，卸油后连接油管内不能存留残油；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④所有油气连接管线排放口应按GB50156的要求设置压力（真空阀）；</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⑤连接排油气管的地下关系应坡向油罐。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b.储油罐呼吸环节油气排放控制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①所有影响储油油气密闭性的部件，包括油气线管和所联系的阀门、快接头以及其他相关部件都应保证在小于750Pa时不漏气；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②埋地式油罐应采用电子式液位计进行汽油密闭测量，宜选择具有测漏功能的电子式液位测量系统；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③应采用符合相关规定的溢油控制措施。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c.加油机作业环节油气排放控制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①油气回收管线应坡向油罐，坡度不小于1%；</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②加油软管应配备拉断截止阀，加油时应防止溢油和滴油；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③应严格按规程和管理油气回收设施，定期检查、维护；</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④当汽车油箱油面达到自动停止加油高度时，不应再向油箱内加油。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d.加油机作业跑冒滴漏损失的油气排放控制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①加强操作人员的业务培训和学习，严格按照行业操作规程作业，从管理和作业上减少排污量；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②避开人流高峰时段卸油，将排放口设置在项目</w:t>
            </w:r>
            <w:r>
              <w:rPr>
                <w:rFonts w:hint="default" w:ascii="Times New Roman" w:hAnsi="Times New Roman" w:cs="Times New Roman"/>
                <w:color w:val="auto"/>
                <w:sz w:val="24"/>
                <w:lang w:eastAsia="zh-CN"/>
              </w:rPr>
              <w:t>西南</w:t>
            </w:r>
            <w:r>
              <w:rPr>
                <w:rFonts w:hint="default" w:ascii="Times New Roman" w:hAnsi="Times New Roman" w:cs="Times New Roman"/>
                <w:color w:val="auto"/>
                <w:sz w:val="24"/>
              </w:rPr>
              <w:t>侧。</w:t>
            </w:r>
          </w:p>
          <w:p>
            <w:pPr>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2）机动车车尾气</w:t>
            </w:r>
          </w:p>
          <w:p>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据工程分析结果可知，进站加油的机动车所排放的尾气中各污染物量为：总烃0.</w:t>
            </w:r>
            <w:r>
              <w:rPr>
                <w:rFonts w:hint="eastAsia" w:ascii="Times New Roman" w:hAnsi="Times New Roman" w:cs="Times New Roman"/>
                <w:color w:val="auto"/>
                <w:sz w:val="24"/>
                <w:lang w:val="en-US" w:eastAsia="zh-CN"/>
              </w:rPr>
              <w:t>45</w:t>
            </w:r>
            <w:r>
              <w:rPr>
                <w:rFonts w:hint="default" w:ascii="Times New Roman" w:hAnsi="Times New Roman" w:cs="Times New Roman"/>
                <w:color w:val="auto"/>
                <w:sz w:val="24"/>
              </w:rPr>
              <w:t>kg/a、CO</w:t>
            </w:r>
            <w:r>
              <w:rPr>
                <w:rFonts w:hint="eastAsia" w:ascii="Times New Roman" w:hAnsi="Times New Roman" w:cs="Times New Roman"/>
                <w:color w:val="auto"/>
                <w:sz w:val="24"/>
                <w:lang w:val="en-US" w:eastAsia="zh-CN"/>
              </w:rPr>
              <w:t>2.22</w:t>
            </w:r>
            <w:r>
              <w:rPr>
                <w:rFonts w:hint="default" w:ascii="Times New Roman" w:hAnsi="Times New Roman" w:cs="Times New Roman"/>
                <w:color w:val="auto"/>
                <w:sz w:val="24"/>
              </w:rPr>
              <w:t>kg/a、NO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0.</w:t>
            </w:r>
            <w:r>
              <w:rPr>
                <w:rFonts w:hint="eastAsia" w:ascii="Times New Roman" w:hAnsi="Times New Roman" w:cs="Times New Roman"/>
                <w:color w:val="auto"/>
                <w:sz w:val="24"/>
                <w:lang w:val="en-US" w:eastAsia="zh-CN"/>
              </w:rPr>
              <w:t>22</w:t>
            </w:r>
            <w:r>
              <w:rPr>
                <w:rFonts w:hint="default" w:ascii="Times New Roman" w:hAnsi="Times New Roman" w:cs="Times New Roman"/>
                <w:color w:val="auto"/>
                <w:sz w:val="24"/>
              </w:rPr>
              <w:t>kg/a，汽车尾气中含有的污染物主要是CO、碳氢化合物等，其产生量及废气中污染物浓度视其使用频率及发动机对燃料的燃烧情况而异。机械尾气属低架点源无组织排放性质，具有间断性产生、产生量较小、产生点相对分散、易被稀释扩散等特点，加之项目区大气扩散条件相对较好，故一般情况下，机械尾气经自然扩散和稀释后，对评价区域的环境空气质量影响不大。</w:t>
            </w:r>
          </w:p>
          <w:p>
            <w:pPr>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3）烹饪油烟</w:t>
            </w:r>
          </w:p>
          <w:p>
            <w:pPr>
              <w:pStyle w:val="48"/>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员工在厨房内烹饪过程，使用清洁能源电作为热源，不产生燃料废气，只有在烹饪过程会产生油烟废气，食堂厨房安装油烟抽排装置，</w:t>
            </w:r>
            <w:r>
              <w:rPr>
                <w:rFonts w:hint="default" w:ascii="Times New Roman" w:hAnsi="Times New Roman" w:cs="Times New Roman"/>
                <w:color w:val="auto"/>
                <w:sz w:val="24"/>
                <w:lang w:eastAsia="zh-CN"/>
              </w:rPr>
              <w:t>经油烟装置抽排后屋顶排放。项目场区位置开阔，油烟可及时扩散，</w:t>
            </w:r>
            <w:r>
              <w:rPr>
                <w:rFonts w:hint="default" w:ascii="Times New Roman" w:hAnsi="Times New Roman" w:cs="Times New Roman"/>
                <w:color w:val="auto"/>
                <w:sz w:val="24"/>
              </w:rPr>
              <w:t>对环境空气影响轻微。</w:t>
            </w:r>
          </w:p>
          <w:p>
            <w:pPr>
              <w:spacing w:line="360" w:lineRule="auto"/>
              <w:ind w:firstLine="720" w:firstLineChars="300"/>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4）恶臭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①垃圾收集点恶臭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成投入使用过程中，恶臭气体主要来源于垃圾收集点中，固体废弃物不及时清理有机物腐败产生的恶臭，为减少恶臭的影响，环评要求：a、在各垃圾堆放点粘贴温馨提示牌，禁止乱丢垃圾，日产日清；b、各类垃圾规范处置，定期清洁，保持良好的环境卫生；c、</w:t>
            </w:r>
            <w:r>
              <w:rPr>
                <w:rFonts w:hint="default" w:ascii="Times New Roman" w:hAnsi="Times New Roman" w:cs="Times New Roman"/>
                <w:color w:val="auto"/>
                <w:sz w:val="24"/>
                <w:lang w:eastAsia="zh-CN"/>
              </w:rPr>
              <w:t>集中收集后，及时运至</w:t>
            </w:r>
            <w:r>
              <w:rPr>
                <w:rFonts w:hint="eastAsia" w:ascii="Times New Roman" w:hAnsi="Times New Roman" w:cs="Times New Roman"/>
                <w:color w:val="auto"/>
                <w:sz w:val="24"/>
                <w:lang w:eastAsia="zh-CN"/>
              </w:rPr>
              <w:t>蚌峨垃圾处置点</w:t>
            </w:r>
            <w:r>
              <w:rPr>
                <w:rFonts w:hint="default" w:ascii="Times New Roman" w:hAnsi="Times New Roman" w:cs="Times New Roman"/>
                <w:color w:val="auto"/>
                <w:sz w:val="24"/>
              </w:rPr>
              <w:t>，采取相关措施后，项目内垃圾收集点产生的恶臭对环境影响不大。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②公厕恶臭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由于项目公厕为水冲厕，其在使用过程中产生的粪便和尿液及时冲入化粪池内，另外在营运过程中设置专人管理及时清扫，保证公厕清洁，公厕恶臭对周边环境影响不大。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③化粪池恶臭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化粪池恶臭气体主要来源于有机物生物降解过程中，产生的一些还原性有毒有害气态物质，经水解或自身挥发恶臭气体。项目化粪池应规划设计于靠近绿化植被较多的地方，施工建设过程中应做好化粪池的密封连接、加封井盖，定期委托</w:t>
            </w:r>
            <w:r>
              <w:rPr>
                <w:rFonts w:hint="default" w:ascii="Times New Roman" w:hAnsi="Times New Roman" w:cs="Times New Roman"/>
                <w:color w:val="auto"/>
                <w:sz w:val="24"/>
                <w:lang w:eastAsia="zh-CN"/>
              </w:rPr>
              <w:t>周边的农户</w:t>
            </w:r>
            <w:r>
              <w:rPr>
                <w:rFonts w:hint="default" w:ascii="Times New Roman" w:hAnsi="Times New Roman" w:cs="Times New Roman"/>
                <w:color w:val="auto"/>
                <w:sz w:val="24"/>
              </w:rPr>
              <w:t>清掏维护，保障正常功能和避免堵塞。化粪池产生的污泥、滤渣、油泥等要及时清掏抽取，尽快处置，清淘和装运工具要定期用氯水或漂白粉液冲洗、喷洒消毒，污泥运输车辆及时进行清洗消毒，采取相关措施后，化粪池产生的恶臭对环境影响不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（5）应急发电机燃油废气环境影响分析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本项目营运期配有备用发电机，该发电机仅在项目建设区停电的情况下运作，正常情况下不使用，由于</w:t>
            </w:r>
            <w:r>
              <w:rPr>
                <w:rFonts w:hint="eastAsia" w:ascii="Times New Roman" w:hAnsi="Times New Roman" w:cs="Times New Roman"/>
                <w:color w:val="auto"/>
                <w:sz w:val="24"/>
                <w:lang w:eastAsia="zh-CN"/>
              </w:rPr>
              <w:t>蚌峨乡</w:t>
            </w:r>
            <w:r>
              <w:rPr>
                <w:rFonts w:hint="default" w:ascii="Times New Roman" w:hAnsi="Times New Roman" w:cs="Times New Roman"/>
                <w:color w:val="auto"/>
                <w:sz w:val="24"/>
              </w:rPr>
              <w:t>供电正常，停电时间较短，应急发电机使用时间少，备用发电机为检验合格的产品，所产生的燃油废气严格执行《非道路移动机械用柴油机排气污染物排放限值及测量方法（中国Ⅰ、Ⅱ阶段）》（GB20891-2007）中的第Ⅱ阶段标准，废气呈无组织排放，备用发电机燃油废气中的污染物年排放量较小，对周围的保护目标的影响较小。</w:t>
            </w:r>
          </w:p>
          <w:p>
            <w:pPr>
              <w:pStyle w:val="9"/>
              <w:spacing w:line="360" w:lineRule="auto"/>
              <w:ind w:firstLine="0" w:firstLineChars="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3、营运期声环境影响分析以及环保措施</w:t>
            </w:r>
          </w:p>
          <w:p>
            <w:pPr>
              <w:spacing w:line="360" w:lineRule="auto"/>
              <w:ind w:left="86" w:firstLine="393" w:firstLineChars="164"/>
              <w:rPr>
                <w:rFonts w:hint="default" w:ascii="Times New Roman" w:hAnsi="Times New Roman" w:cs="Times New Roman"/>
                <w:color w:val="auto"/>
                <w:sz w:val="24"/>
              </w:rPr>
            </w:pPr>
            <w:r>
              <w:rPr>
                <w:rFonts w:hint="default" w:ascii="Times New Roman" w:hAnsi="Times New Roman" w:cs="Times New Roman"/>
                <w:color w:val="auto"/>
                <w:sz w:val="24"/>
              </w:rPr>
              <w:t>根据工程分析知项目运营过程交通噪声声压级范围为75～80dB(A)，社会噪声</w:t>
            </w:r>
            <w:bookmarkStart w:id="14" w:name="OLE_LINK19"/>
            <w:bookmarkStart w:id="15" w:name="OLE_LINK18"/>
            <w:r>
              <w:rPr>
                <w:rFonts w:hint="default" w:ascii="Times New Roman" w:hAnsi="Times New Roman" w:cs="Times New Roman"/>
                <w:color w:val="auto"/>
                <w:sz w:val="24"/>
              </w:rPr>
              <w:t>声压级范围为</w:t>
            </w:r>
            <w:bookmarkEnd w:id="14"/>
            <w:bookmarkEnd w:id="15"/>
            <w:r>
              <w:rPr>
                <w:rFonts w:hint="default" w:ascii="Times New Roman" w:hAnsi="Times New Roman" w:cs="Times New Roman"/>
                <w:color w:val="auto"/>
                <w:sz w:val="24"/>
              </w:rPr>
              <w:t>50～60dB(A)，设备噪声声压级范围为75～90dB（A）。</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（1）厂界噪声分析</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临时停电时自备发电机工作产生的噪声，声压级约为</w:t>
            </w:r>
            <w:bookmarkStart w:id="16" w:name="OLE_LINK20"/>
            <w:r>
              <w:rPr>
                <w:rFonts w:hint="default" w:ascii="Times New Roman" w:hAnsi="Times New Roman" w:cs="Times New Roman"/>
                <w:color w:val="auto"/>
                <w:sz w:val="24"/>
              </w:rPr>
              <w:t>75～90dB（A）</w:t>
            </w:r>
            <w:bookmarkEnd w:id="16"/>
            <w:r>
              <w:rPr>
                <w:rFonts w:hint="default" w:ascii="Times New Roman" w:hAnsi="Times New Roman" w:cs="Times New Roman"/>
                <w:color w:val="auto"/>
                <w:sz w:val="24"/>
              </w:rPr>
              <w:t>，因发电机在站房发电间内，根据导则HJ2.4-2009中附录A.1.3室内声源等效室外声源声功率级计算方法进行计算：</w:t>
            </w:r>
          </w:p>
          <w:p>
            <w:pPr>
              <w:spacing w:line="360" w:lineRule="auto"/>
              <w:ind w:firstLine="3240" w:firstLineChars="1350"/>
              <w:rPr>
                <w:rFonts w:hint="default" w:ascii="Times New Roman" w:hAnsi="Times New Roman" w:cs="Times New Roman"/>
                <w:color w:val="auto"/>
                <w:sz w:val="24"/>
              </w:rPr>
            </w:pPr>
            <w:r>
              <w:rPr>
                <w:rFonts w:hint="default" w:ascii="Times New Roman" w:hAnsi="Times New Roman" w:cs="Times New Roman"/>
                <w:color w:val="auto"/>
                <w:position w:val="-14"/>
                <w:sz w:val="24"/>
              </w:rPr>
              <w:object>
                <v:shape id="_x0000_i1035" o:spt="75" type="#_x0000_t75" style="height:19pt;width:99pt;" o:ole="t" filled="f" o:preferrelative="t" stroked="f" coordsize="21600,21600">
                  <v:path/>
                  <v:fill on="f" alignshape="1" focussize="0,0"/>
                  <v:stroke on="f"/>
                  <v:imagedata r:id="rId33" o:title=""/>
                  <o:lock v:ext="edit" aspectratio="t"/>
                  <w10:wrap type="none"/>
                  <w10:anchorlock/>
                </v:shape>
                <o:OLEObject Type="Embed" ProgID="Equation.3" ShapeID="_x0000_i1035" DrawAspect="Content" ObjectID="_1468075735" r:id="rId32">
                  <o:LockedField>false</o:LockedField>
                </o:OLEObject>
              </w:object>
            </w:r>
          </w:p>
          <w:p>
            <w:pPr>
              <w:spacing w:line="360" w:lineRule="auto"/>
              <w:ind w:firstLine="1800" w:firstLineChars="750"/>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position w:val="-4"/>
                <w:sz w:val="24"/>
              </w:rPr>
              <w:object>
                <v:shape id="_x0000_i1036" o:spt="75" type="#_x0000_t75" style="height:13pt;width:17pt;" o:ole="t" filled="f" o:preferrelative="t" stroked="f" coordsize="21600,21600">
                  <v:path/>
                  <v:fill on="f" alignshape="1" focussize="0,0"/>
                  <v:stroke on="f"/>
                  <v:imagedata r:id="rId35" o:title=""/>
                  <o:lock v:ext="edit" aspectratio="t"/>
                  <w10:wrap type="none"/>
                  <w10:anchorlock/>
                </v:shape>
                <o:OLEObject Type="Embed" ProgID="Equation.3" ShapeID="_x0000_i1036" DrawAspect="Content" ObjectID="_1468075736" r:id="rId34">
                  <o:LockedField>false</o:LockedField>
                </o:OLEObject>
              </w:object>
            </w:r>
            <w:r>
              <w:rPr>
                <w:rFonts w:hint="default" w:ascii="Times New Roman" w:hAnsi="Times New Roman" w:cs="Times New Roman"/>
                <w:color w:val="auto"/>
                <w:sz w:val="24"/>
              </w:rPr>
              <w:t xml:space="preserve">：隔墙（或窗户）的隔声量，dB。此处取15 </w:t>
            </w:r>
            <w:r>
              <w:rPr>
                <w:rFonts w:hint="default" w:ascii="Times New Roman" w:hAnsi="Times New Roman" w:cs="Times New Roman"/>
                <w:color w:val="auto"/>
                <w:szCs w:val="21"/>
              </w:rPr>
              <w:t>dB。</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经计算，发电机噪声等效室外1m处的声功率级在54～69 dB（A）之间，再考虑几何发散衰减和空气吸收衰减的情况下，经过进一步计算得到：距离发电机安置室10m处的噪声在34～49 dB（A）之间，对周边环境产生的影响不大。</w:t>
            </w:r>
          </w:p>
          <w:p>
            <w:pPr>
              <w:spacing w:line="34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（2）敏感点噪声分析</w:t>
            </w:r>
          </w:p>
          <w:p>
            <w:pPr>
              <w:spacing w:line="346"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根据建设项目噪声分布、噪声强度，采用噪声衰减模型对噪声影响进行预测：</w:t>
            </w:r>
          </w:p>
          <w:p>
            <w:pPr>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Loct®＝Loct(r0)－20lg(r/r0)－△Loct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pPr>
              <w:spacing w:line="346"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Loct®—点声源在预测点产生的声压级；</w:t>
            </w:r>
          </w:p>
          <w:p>
            <w:pPr>
              <w:spacing w:line="346"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Loct(r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)—参考位置处的声压级；</w:t>
            </w:r>
          </w:p>
          <w:p>
            <w:pPr>
              <w:spacing w:line="346"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—参考位置测点与声源之间的距离(m)；</w:t>
            </w:r>
          </w:p>
          <w:p>
            <w:pPr>
              <w:spacing w:line="346"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r—预测点与声源之间的距离(m)；</w:t>
            </w:r>
          </w:p>
          <w:p>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△Loct—各种因素引起的衰减量(包括声屏障、遮挡物、空气吸收、地面效应引起的衰减量)，本项目取0dB(A)。距噪声源不同距离处的噪声预测值见下表：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项目作业时，距离噪声源不同距离处的噪声预测值为：</w:t>
            </w:r>
          </w:p>
          <w:tbl>
            <w:tblPr>
              <w:tblStyle w:val="23"/>
              <w:tblW w:w="7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2053"/>
              <w:gridCol w:w="893"/>
              <w:gridCol w:w="570"/>
              <w:gridCol w:w="612"/>
              <w:gridCol w:w="693"/>
              <w:gridCol w:w="315"/>
              <w:gridCol w:w="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50" w:type="dxa"/>
                <w:trHeight w:val="292" w:hRule="atLeast"/>
                <w:jc w:val="center"/>
              </w:trPr>
              <w:tc>
                <w:tcPr>
                  <w:tcW w:w="6868" w:type="dxa"/>
                  <w:gridSpan w:val="7"/>
                  <w:tcBorders>
                    <w:top w:val="nil"/>
                    <w:left w:val="nil"/>
                    <w:bottom w:val="single" w:color="auto" w:sz="4" w:space="0"/>
                    <w:right w:val="nil"/>
                  </w:tcBorders>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w:t>
                  </w:r>
                  <w:r>
                    <w:rPr>
                      <w:rFonts w:hint="default" w:ascii="Times New Roman" w:hAnsi="Times New Roman" w:cs="Times New Roman"/>
                      <w:b/>
                      <w:color w:val="auto"/>
                      <w:szCs w:val="21"/>
                    </w:rPr>
                    <w:t>表7-</w:t>
                  </w:r>
                  <w:r>
                    <w:rPr>
                      <w:rFonts w:hint="eastAsia" w:ascii="Times New Roman" w:hAnsi="Times New Roman" w:cs="Times New Roman"/>
                      <w:b/>
                      <w:color w:val="auto"/>
                      <w:szCs w:val="21"/>
                      <w:lang w:val="en-US" w:eastAsia="zh-CN"/>
                    </w:rPr>
                    <w:t>14</w:t>
                  </w:r>
                  <w:r>
                    <w:rPr>
                      <w:rFonts w:hint="default" w:ascii="Times New Roman" w:hAnsi="Times New Roman" w:cs="Times New Roman"/>
                      <w:b/>
                      <w:color w:val="auto"/>
                      <w:szCs w:val="21"/>
                    </w:rPr>
                    <w:t xml:space="preserve"> 距源不同距离处的噪声预测值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785" w:type="dxa"/>
                  <w:gridSpan w:val="2"/>
                  <w:vMerge w:val="restart"/>
                  <w:tcBorders>
                    <w:top w:val="single" w:color="auto" w:sz="4" w:space="0"/>
                    <w:tl2br w:val="single" w:color="auto" w:sz="4" w:space="0"/>
                  </w:tcBorders>
                  <w:vAlign w:val="center"/>
                </w:tcPr>
                <w:p>
                  <w:pPr>
                    <w:wordWrap w:val="0"/>
                    <w:spacing w:line="240" w:lineRule="exact"/>
                    <w:jc w:val="right"/>
                    <w:rPr>
                      <w:rFonts w:hint="default" w:ascii="Times New Roman" w:hAnsi="Times New Roman" w:cs="Times New Roman"/>
                      <w:color w:val="auto"/>
                      <w:szCs w:val="21"/>
                    </w:rPr>
                  </w:pPr>
                  <w:r>
                    <w:rPr>
                      <w:rFonts w:hint="default" w:ascii="Times New Roman" w:hAnsi="Times New Roman" w:cs="Times New Roman"/>
                      <w:color w:val="auto"/>
                      <w:szCs w:val="21"/>
                    </w:rPr>
                    <w:t>噪声值（dB）</w:t>
                  </w:r>
                </w:p>
                <w:p>
                  <w:pPr>
                    <w:spacing w:line="240" w:lineRule="exact"/>
                    <w:rPr>
                      <w:rFonts w:hint="default" w:ascii="Times New Roman" w:hAnsi="Times New Roman" w:cs="Times New Roman"/>
                      <w:color w:val="auto"/>
                      <w:szCs w:val="21"/>
                    </w:rPr>
                  </w:pPr>
                  <w:r>
                    <w:rPr>
                      <w:rFonts w:hint="default" w:ascii="Times New Roman" w:hAnsi="Times New Roman" w:cs="Times New Roman"/>
                      <w:color w:val="auto"/>
                      <w:szCs w:val="21"/>
                    </w:rPr>
                    <w:t>声源声级dB(A)</w:t>
                  </w:r>
                </w:p>
              </w:tc>
              <w:tc>
                <w:tcPr>
                  <w:tcW w:w="3533" w:type="dxa"/>
                  <w:gridSpan w:val="6"/>
                  <w:tcBorders>
                    <w:top w:val="single" w:color="auto" w:sz="4" w:space="0"/>
                    <w:right w:val="single" w:color="auto" w:sz="4" w:space="0"/>
                  </w:tcBorders>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距声源的距离（m）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3785" w:type="dxa"/>
                  <w:gridSpan w:val="2"/>
                  <w:vMerge w:val="continue"/>
                  <w:tcBorders>
                    <w:tl2br w:val="single" w:color="auto" w:sz="4" w:space="0"/>
                  </w:tcBorders>
                  <w:vAlign w:val="center"/>
                </w:tcPr>
                <w:p>
                  <w:pPr>
                    <w:spacing w:line="240" w:lineRule="exact"/>
                    <w:rPr>
                      <w:rFonts w:hint="default" w:ascii="Times New Roman" w:hAnsi="Times New Roman" w:cs="Times New Roman"/>
                      <w:color w:val="auto"/>
                      <w:szCs w:val="21"/>
                    </w:rPr>
                  </w:pPr>
                </w:p>
              </w:tc>
              <w:tc>
                <w:tcPr>
                  <w:tcW w:w="893" w:type="dxa"/>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rPr>
                    <w:t>3</w:t>
                  </w:r>
                </w:p>
              </w:tc>
              <w:tc>
                <w:tcPr>
                  <w:tcW w:w="570" w:type="dxa"/>
                  <w:tcBorders>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612" w:type="dxa"/>
                  <w:tcBorders>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18</w:t>
                  </w:r>
                </w:p>
              </w:tc>
              <w:tc>
                <w:tcPr>
                  <w:tcW w:w="693" w:type="dxa"/>
                  <w:tcBorders>
                    <w:right w:val="single" w:color="auto" w:sz="4" w:space="0"/>
                  </w:tcBorders>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765" w:type="dxa"/>
                  <w:gridSpan w:val="2"/>
                  <w:tcBorders>
                    <w:right w:val="single" w:color="auto" w:sz="4" w:space="0"/>
                  </w:tcBorders>
                  <w:vAlign w:val="center"/>
                </w:tcPr>
                <w:p>
                  <w:pPr>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732" w:type="dxa"/>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交通噪声</w:t>
                  </w:r>
                </w:p>
              </w:tc>
              <w:tc>
                <w:tcPr>
                  <w:tcW w:w="2053" w:type="dxa"/>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rPr>
                    <w:t>80</w:t>
                  </w:r>
                </w:p>
              </w:tc>
              <w:tc>
                <w:tcPr>
                  <w:tcW w:w="893" w:type="dxa"/>
                  <w:vAlign w:val="center"/>
                </w:tcPr>
                <w:p>
                  <w:pPr>
                    <w:spacing w:line="24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70 </w:t>
                  </w:r>
                </w:p>
              </w:tc>
              <w:tc>
                <w:tcPr>
                  <w:tcW w:w="570" w:type="dxa"/>
                  <w:tcBorders>
                    <w:right w:val="single" w:color="auto" w:sz="4" w:space="0"/>
                  </w:tcBorders>
                  <w:vAlign w:val="center"/>
                </w:tcPr>
                <w:p>
                  <w:pPr>
                    <w:spacing w:line="24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56 </w:t>
                  </w:r>
                </w:p>
              </w:tc>
              <w:tc>
                <w:tcPr>
                  <w:tcW w:w="612" w:type="dxa"/>
                  <w:tcBorders>
                    <w:right w:val="single" w:color="auto" w:sz="4" w:space="0"/>
                  </w:tcBorders>
                  <w:vAlign w:val="center"/>
                </w:tcPr>
                <w:p>
                  <w:pPr>
                    <w:spacing w:line="24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55 </w:t>
                  </w:r>
                </w:p>
              </w:tc>
              <w:tc>
                <w:tcPr>
                  <w:tcW w:w="693" w:type="dxa"/>
                  <w:tcBorders>
                    <w:right w:val="single" w:color="auto" w:sz="4" w:space="0"/>
                  </w:tcBorders>
                  <w:vAlign w:val="center"/>
                </w:tcPr>
                <w:p>
                  <w:pPr>
                    <w:spacing w:line="240" w:lineRule="exact"/>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54 </w:t>
                  </w:r>
                </w:p>
              </w:tc>
              <w:tc>
                <w:tcPr>
                  <w:tcW w:w="765" w:type="dxa"/>
                  <w:gridSpan w:val="2"/>
                  <w:tcBorders>
                    <w:right w:val="single" w:color="auto" w:sz="4" w:space="0"/>
                  </w:tcBorders>
                  <w:vAlign w:val="center"/>
                </w:tcPr>
                <w:p>
                  <w:pPr>
                    <w:spacing w:line="240" w:lineRule="exact"/>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 xml:space="preserve">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732" w:type="dxa"/>
                  <w:vAlign w:val="center"/>
                </w:tcPr>
                <w:p>
                  <w:pPr>
                    <w:spacing w:line="240" w:lineRule="exact"/>
                    <w:jc w:val="center"/>
                    <w:rPr>
                      <w:rFonts w:hint="default" w:ascii="Times New Roman" w:hAnsi="Times New Roman" w:cs="Times New Roman"/>
                      <w:color w:val="auto"/>
                      <w:szCs w:val="21"/>
                    </w:rPr>
                  </w:pPr>
                  <w:bookmarkStart w:id="17" w:name="_Hlk459555207"/>
                  <w:bookmarkStart w:id="18" w:name="OLE_LINK23" w:colFirst="1" w:colLast="1"/>
                  <w:bookmarkStart w:id="19" w:name="OLE_LINK24" w:colFirst="1" w:colLast="1"/>
                  <w:r>
                    <w:rPr>
                      <w:rFonts w:hint="default" w:ascii="Times New Roman" w:hAnsi="Times New Roman" w:cs="Times New Roman"/>
                      <w:color w:val="auto"/>
                      <w:szCs w:val="21"/>
                    </w:rPr>
                    <w:t>社会噪声</w:t>
                  </w:r>
                </w:p>
              </w:tc>
              <w:tc>
                <w:tcPr>
                  <w:tcW w:w="2053" w:type="dxa"/>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893" w:type="dxa"/>
                  <w:vAlign w:val="center"/>
                </w:tcPr>
                <w:p>
                  <w:pPr>
                    <w:spacing w:line="24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50</w:t>
                  </w:r>
                </w:p>
              </w:tc>
              <w:tc>
                <w:tcPr>
                  <w:tcW w:w="570" w:type="dxa"/>
                  <w:tcBorders>
                    <w:right w:val="single" w:color="auto" w:sz="4" w:space="0"/>
                  </w:tcBorders>
                  <w:vAlign w:val="center"/>
                </w:tcPr>
                <w:p>
                  <w:pPr>
                    <w:spacing w:line="24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12" w:type="dxa"/>
                  <w:tcBorders>
                    <w:right w:val="single" w:color="auto" w:sz="4" w:space="0"/>
                  </w:tcBorders>
                  <w:vAlign w:val="center"/>
                </w:tcPr>
                <w:p>
                  <w:pPr>
                    <w:jc w:val="center"/>
                    <w:rPr>
                      <w:rFonts w:hint="default" w:ascii="Times New Roman" w:hAnsi="Times New Roman" w:cs="Times New Roman"/>
                      <w:color w:val="auto"/>
                    </w:rPr>
                  </w:pPr>
                </w:p>
              </w:tc>
              <w:tc>
                <w:tcPr>
                  <w:tcW w:w="693" w:type="dxa"/>
                  <w:tcBorders>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765" w:type="dxa"/>
                  <w:gridSpan w:val="2"/>
                  <w:tcBorders>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r>
            <w:bookmarkEnd w:id="17"/>
            <w:bookmarkEnd w:id="18"/>
            <w:bookmarkEnd w:id="19"/>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交通噪声：根据衰减公式计算，昼间和夜间在分别距离项目3m处、17m处的噪声值能达到《</w:t>
            </w:r>
            <w:r>
              <w:rPr>
                <w:rFonts w:hint="default" w:ascii="Times New Roman" w:hAnsi="Times New Roman" w:cs="Times New Roman"/>
                <w:color w:val="auto"/>
                <w:sz w:val="24"/>
                <w:lang w:eastAsia="zh-CN"/>
              </w:rPr>
              <w:t>声环境质量</w:t>
            </w:r>
            <w:r>
              <w:rPr>
                <w:rFonts w:hint="default" w:ascii="Times New Roman" w:hAnsi="Times New Roman" w:cs="Times New Roman"/>
                <w:color w:val="auto"/>
                <w:sz w:val="24"/>
              </w:rPr>
              <w:t>标准》（GB</w:t>
            </w:r>
            <w:r>
              <w:rPr>
                <w:rFonts w:hint="default" w:ascii="Times New Roman" w:hAnsi="Times New Roman" w:cs="Times New Roman"/>
                <w:color w:val="auto"/>
                <w:sz w:val="24"/>
                <w:lang w:val="en-US" w:eastAsia="zh-CN"/>
              </w:rPr>
              <w:t>3096</w:t>
            </w:r>
            <w:r>
              <w:rPr>
                <w:rFonts w:hint="default" w:ascii="Times New Roman" w:hAnsi="Times New Roman" w:cs="Times New Roman"/>
                <w:color w:val="auto"/>
                <w:sz w:val="24"/>
              </w:rPr>
              <w:t>－2008）中4</w:t>
            </w: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类标准限值（昼间≤70 dB（A），夜间≤55 dB（A））的要求，</w:t>
            </w:r>
            <w:r>
              <w:rPr>
                <w:rFonts w:hint="eastAsia" w:ascii="Times New Roman" w:hAnsi="Times New Roman" w:cs="Times New Roman"/>
                <w:color w:val="auto"/>
                <w:sz w:val="24"/>
                <w:lang w:val="en-US" w:eastAsia="zh-CN"/>
              </w:rPr>
              <w:t>17m</w:t>
            </w:r>
            <w:r>
              <w:rPr>
                <w:rFonts w:hint="eastAsia" w:ascii="Times New Roman" w:hAnsi="Times New Roman" w:cs="Times New Roman"/>
                <w:color w:val="auto"/>
                <w:sz w:val="24"/>
                <w:lang w:eastAsia="zh-CN"/>
              </w:rPr>
              <w:t>范围内项目</w:t>
            </w:r>
            <w:r>
              <w:rPr>
                <w:rFonts w:hint="eastAsia" w:ascii="Times New Roman" w:hAnsi="Times New Roman" w:eastAsia="宋体"/>
                <w:color w:val="auto"/>
                <w:sz w:val="24"/>
                <w:lang w:val="en-US" w:eastAsia="zh-CN"/>
              </w:rPr>
              <w:t>南侧、西侧15m处有私人住户</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交通噪声会对周边住户日常休息产生一定的影响。</w:t>
            </w:r>
            <w:r>
              <w:rPr>
                <w:rFonts w:hint="default" w:ascii="Times New Roman" w:hAnsi="Times New Roman" w:cs="Times New Roman"/>
                <w:color w:val="auto"/>
                <w:sz w:val="24"/>
              </w:rPr>
              <w:t>为了使上述噪声对环境造成的影响降低至最低，环评提出如下措施：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①在加油站合适的地方立标识牌，提示机动车进出加油站减速慢行，禁止鸣喇叭；②发电机、加油机等可能产生噪声的机械设备尽量选用低噪声设备；③发电机应加减振垫和隔声罩。</w:t>
            </w:r>
            <w:r>
              <w:rPr>
                <w:rFonts w:hint="default" w:ascii="Times New Roman" w:hAnsi="Times New Roman" w:cs="Times New Roman"/>
                <w:color w:val="auto"/>
                <w:sz w:val="24"/>
                <w:lang w:eastAsia="zh-CN"/>
              </w:rPr>
              <w:t>采取以上措施，交通噪声对周边的环境影响不大。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社会噪声：加油站工作人员和外来人员产生的噪声，声压级约在50～70dB（A）之间，其噪声通过几何发散衰减和空气吸收衰减后，对周边环境产生的影响不大。</w:t>
            </w:r>
          </w:p>
          <w:p>
            <w:pPr>
              <w:spacing w:line="360" w:lineRule="auto"/>
              <w:rPr>
                <w:rFonts w:hint="default" w:ascii="Times New Roman" w:hAnsi="Times New Roman" w:cs="Times New Roman"/>
                <w:color w:val="auto"/>
                <w:sz w:val="24"/>
              </w:rPr>
            </w:pPr>
            <w:r>
              <w:rPr>
                <w:rFonts w:hint="default" w:ascii="Times New Roman" w:hAnsi="Times New Roman" w:cs="Times New Roman"/>
                <w:b/>
                <w:color w:val="auto"/>
                <w:sz w:val="24"/>
              </w:rPr>
              <w:t>4、运营期固体废物环境影响分析以及环保措施</w:t>
            </w:r>
          </w:p>
          <w:p>
            <w:pPr>
              <w:spacing w:line="360" w:lineRule="auto"/>
              <w:ind w:firstLine="600" w:firstLineChars="249"/>
              <w:rPr>
                <w:rFonts w:hint="default" w:ascii="Times New Roman" w:hAnsi="Times New Roman" w:cs="Times New Roman"/>
                <w:b/>
                <w:color w:val="auto"/>
                <w:sz w:val="24"/>
              </w:rPr>
            </w:pPr>
            <w:r>
              <w:rPr>
                <w:rFonts w:hint="default" w:ascii="Times New Roman" w:hAnsi="Times New Roman" w:cs="Times New Roman"/>
                <w:b/>
                <w:color w:val="auto"/>
                <w:sz w:val="24"/>
              </w:rPr>
              <w:t>一般固废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（1）生活垃圾</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根据工程分析知，项目投入运营后，每年产生的生活垃圾量为</w:t>
            </w:r>
            <w:r>
              <w:rPr>
                <w:rFonts w:hint="eastAsia" w:ascii="Times New Roman" w:hAnsi="Times New Roman" w:cs="Times New Roman"/>
                <w:color w:val="auto"/>
                <w:sz w:val="24"/>
                <w:lang w:val="en-US" w:eastAsia="zh-CN"/>
              </w:rPr>
              <w:t>1.66</w:t>
            </w:r>
            <w:r>
              <w:rPr>
                <w:rFonts w:hint="default" w:ascii="Times New Roman" w:hAnsi="Times New Roman" w:cs="Times New Roman"/>
                <w:color w:val="auto"/>
                <w:sz w:val="24"/>
              </w:rPr>
              <w:t>/a，包括工作人员产生的生活垃圾和顾客产生的饮料瓶、塑料袋等类的固体废物。项目方在站房及加油站出入口都设置了垃圾收集桶，集中收集后，</w:t>
            </w:r>
            <w:r>
              <w:rPr>
                <w:rFonts w:hint="default" w:ascii="Times New Roman" w:hAnsi="Times New Roman" w:cs="Times New Roman"/>
                <w:color w:val="auto"/>
                <w:sz w:val="24"/>
                <w:lang w:eastAsia="zh-CN"/>
              </w:rPr>
              <w:t>运至</w:t>
            </w:r>
            <w:r>
              <w:rPr>
                <w:rFonts w:hint="eastAsia" w:ascii="Times New Roman" w:hAnsi="Times New Roman" w:cs="Times New Roman"/>
                <w:color w:val="auto"/>
                <w:sz w:val="24"/>
                <w:lang w:eastAsia="zh-CN"/>
              </w:rPr>
              <w:t>蚌峨垃圾处置点</w:t>
            </w:r>
            <w:r>
              <w:rPr>
                <w:rFonts w:hint="default" w:ascii="Times New Roman" w:hAnsi="Times New Roman" w:cs="Times New Roman"/>
                <w:color w:val="auto"/>
                <w:sz w:val="24"/>
              </w:rPr>
              <w:t>，对环境造成的影响不大。</w:t>
            </w:r>
          </w:p>
          <w:p>
            <w:pPr>
              <w:spacing w:line="360" w:lineRule="auto"/>
              <w:ind w:firstLine="561"/>
              <w:rPr>
                <w:rFonts w:hint="default" w:ascii="Times New Roman" w:hAnsi="Times New Roman" w:cs="Times New Roman"/>
                <w:color w:val="auto"/>
                <w:sz w:val="24"/>
              </w:rPr>
            </w:pPr>
            <w:r>
              <w:rPr>
                <w:rFonts w:hint="default" w:ascii="Times New Roman" w:hAnsi="Times New Roman" w:cs="Times New Roman"/>
                <w:color w:val="auto"/>
                <w:sz w:val="24"/>
              </w:rPr>
              <w:t>（2）化粪池污泥</w:t>
            </w:r>
          </w:p>
          <w:p>
            <w:pPr>
              <w:spacing w:line="360" w:lineRule="auto"/>
              <w:ind w:firstLine="561"/>
              <w:rPr>
                <w:rFonts w:hint="default" w:ascii="Times New Roman" w:hAnsi="Times New Roman" w:cs="Times New Roman"/>
                <w:color w:val="auto"/>
                <w:sz w:val="24"/>
              </w:rPr>
            </w:pPr>
            <w:r>
              <w:rPr>
                <w:rFonts w:hint="default" w:ascii="Times New Roman" w:hAnsi="Times New Roman" w:cs="Times New Roman"/>
                <w:color w:val="auto"/>
                <w:sz w:val="24"/>
              </w:rPr>
              <w:t>项目设置有化粪池处理生活污水和站房清洗废水，使用过程会产生一定量的污泥，污泥产生量约为0.0</w:t>
            </w:r>
            <w:r>
              <w:rPr>
                <w:rFonts w:hint="eastAsia" w:ascii="Times New Roman" w:hAnsi="Times New Roman" w:cs="Times New Roman"/>
                <w:color w:val="auto"/>
                <w:sz w:val="24"/>
                <w:lang w:val="en-US" w:eastAsia="zh-CN"/>
              </w:rPr>
              <w:t>33</w:t>
            </w:r>
            <w:r>
              <w:rPr>
                <w:rFonts w:hint="default" w:ascii="Times New Roman" w:hAnsi="Times New Roman" w:cs="Times New Roman"/>
                <w:color w:val="auto"/>
                <w:sz w:val="24"/>
              </w:rPr>
              <w:t>t/a。环评建议项目方委托周边农户进行污泥清掏，清掏出来的污泥用作农肥，化粪池污泥对环境影响不大。</w:t>
            </w:r>
          </w:p>
          <w:p>
            <w:pPr>
              <w:spacing w:line="360" w:lineRule="auto"/>
              <w:ind w:firstLine="679" w:firstLineChars="282"/>
              <w:rPr>
                <w:rFonts w:hint="default" w:ascii="Times New Roman" w:hAnsi="Times New Roman" w:cs="Times New Roman"/>
                <w:b/>
                <w:color w:val="auto"/>
                <w:sz w:val="24"/>
              </w:rPr>
            </w:pPr>
            <w:r>
              <w:rPr>
                <w:rFonts w:hint="default" w:ascii="Times New Roman" w:hAnsi="Times New Roman" w:cs="Times New Roman"/>
                <w:b/>
                <w:color w:val="auto"/>
                <w:sz w:val="24"/>
              </w:rPr>
              <w:t>危险废物</w:t>
            </w:r>
          </w:p>
          <w:p>
            <w:pPr>
              <w:numPr>
                <w:ilvl w:val="0"/>
                <w:numId w:val="11"/>
              </w:numPr>
              <w:spacing w:line="360" w:lineRule="auto"/>
              <w:ind w:firstLine="561"/>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储罐油渣</w:t>
            </w:r>
          </w:p>
          <w:p>
            <w:pPr>
              <w:spacing w:line="360" w:lineRule="auto"/>
              <w:ind w:firstLine="561"/>
              <w:rPr>
                <w:rFonts w:hint="default" w:ascii="Times New Roman" w:hAnsi="Times New Roman" w:cs="Times New Roman"/>
                <w:color w:val="auto"/>
                <w:sz w:val="24"/>
                <w:lang w:eastAsia="zh-CN"/>
              </w:rPr>
            </w:pPr>
            <w:r>
              <w:rPr>
                <w:rFonts w:hint="default" w:ascii="Times New Roman" w:hAnsi="Times New Roman" w:cs="Times New Roman"/>
                <w:color w:val="auto"/>
                <w:sz w:val="24"/>
              </w:rPr>
              <w:t>业主拟每3年对油罐进行清理一次，清理过程产生的油泥量约为</w:t>
            </w:r>
            <w:r>
              <w:rPr>
                <w:rFonts w:hint="default" w:ascii="Times New Roman" w:hAnsi="Times New Roman" w:cs="Times New Roman"/>
                <w:color w:val="auto"/>
                <w:sz w:val="24"/>
                <w:lang w:val="en-US" w:eastAsia="zh-CN"/>
              </w:rPr>
              <w:t>5kg</w:t>
            </w:r>
            <w:r>
              <w:rPr>
                <w:rFonts w:hint="default" w:ascii="Times New Roman" w:hAnsi="Times New Roman" w:cs="Times New Roman"/>
                <w:color w:val="auto"/>
                <w:sz w:val="24"/>
              </w:rPr>
              <w:t>/次，由于油罐清掏是一项危险作业，环评要求项目方委托有资质的环保单位进行清掏，清掏出来的污泥属于危险废物，必须委托有资质的单位处理，对环境影响不大。</w:t>
            </w:r>
          </w:p>
          <w:p>
            <w:pPr>
              <w:numPr>
                <w:ilvl w:val="0"/>
                <w:numId w:val="11"/>
              </w:numPr>
              <w:spacing w:line="360" w:lineRule="auto"/>
              <w:ind w:firstLine="561"/>
              <w:rPr>
                <w:rFonts w:hint="default" w:ascii="Times New Roman" w:hAnsi="Times New Roman" w:cs="Times New Roman"/>
                <w:color w:val="auto"/>
                <w:sz w:val="24"/>
              </w:rPr>
            </w:pPr>
            <w:r>
              <w:rPr>
                <w:rFonts w:hint="default" w:ascii="Times New Roman" w:hAnsi="Times New Roman" w:cs="Times New Roman"/>
                <w:color w:val="auto"/>
                <w:sz w:val="24"/>
              </w:rPr>
              <w:t>水封井油污</w:t>
            </w:r>
          </w:p>
          <w:p>
            <w:pPr>
              <w:spacing w:line="360" w:lineRule="auto"/>
              <w:ind w:firstLine="561"/>
              <w:rPr>
                <w:rFonts w:hint="default" w:ascii="Times New Roman" w:hAnsi="Times New Roman" w:cs="Times New Roman"/>
                <w:color w:val="auto"/>
                <w:sz w:val="24"/>
                <w:lang w:eastAsia="zh-CN"/>
              </w:rPr>
            </w:pPr>
            <w:r>
              <w:rPr>
                <w:rFonts w:hint="default" w:ascii="Times New Roman" w:hAnsi="Times New Roman" w:cs="Times New Roman"/>
                <w:color w:val="auto"/>
                <w:sz w:val="24"/>
              </w:rPr>
              <w:t>项目浮油量约为0.02m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污泥产生量约为</w:t>
            </w:r>
            <w:r>
              <w:rPr>
                <w:rFonts w:hint="default" w:ascii="Times New Roman" w:hAnsi="Times New Roman" w:cs="Times New Roman"/>
                <w:color w:val="auto"/>
                <w:sz w:val="24"/>
                <w:lang w:val="en-US" w:eastAsia="zh-CN"/>
              </w:rPr>
              <w:t>0.5t/a</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项目方自主用吸油毡吸附浮油存储在危废暂存间，</w:t>
            </w:r>
            <w:r>
              <w:rPr>
                <w:rFonts w:hint="default" w:ascii="Times New Roman" w:hAnsi="Times New Roman" w:cs="Times New Roman"/>
                <w:color w:val="auto"/>
                <w:sz w:val="24"/>
              </w:rPr>
              <w:t>委托有资质的环保单位进行</w:t>
            </w:r>
            <w:r>
              <w:rPr>
                <w:rFonts w:hint="eastAsia" w:ascii="Times New Roman" w:hAnsi="Times New Roman" w:cs="Times New Roman"/>
                <w:color w:val="auto"/>
                <w:sz w:val="24"/>
                <w:lang w:eastAsia="zh-CN"/>
              </w:rPr>
              <w:t>处置</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对环境影响不大。</w:t>
            </w:r>
          </w:p>
          <w:p>
            <w:pPr>
              <w:spacing w:line="360" w:lineRule="auto"/>
              <w:ind w:firstLine="561"/>
              <w:rPr>
                <w:rFonts w:hint="default" w:ascii="Times New Roman" w:hAnsi="Times New Roman" w:cs="Times New Roman"/>
                <w:color w:val="auto"/>
                <w:sz w:val="24"/>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含油消防沙及吸油毡</w:t>
            </w:r>
          </w:p>
          <w:p>
            <w:pPr>
              <w:spacing w:line="440" w:lineRule="exact"/>
              <w:ind w:firstLine="561"/>
              <w:rPr>
                <w:rFonts w:hint="default" w:ascii="Times New Roman" w:hAnsi="Times New Roman" w:cs="Times New Roman"/>
                <w:color w:val="auto"/>
                <w:sz w:val="24"/>
              </w:rPr>
            </w:pPr>
            <w:r>
              <w:rPr>
                <w:rFonts w:hint="default" w:ascii="Times New Roman" w:hAnsi="Times New Roman" w:cs="Times New Roman"/>
                <w:color w:val="auto"/>
                <w:sz w:val="24"/>
              </w:rPr>
              <w:t>根据工程分析，项目含油消防沙年产生量约0.2t，吸油毡年产生量约</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张，业主拟</w:t>
            </w:r>
            <w:r>
              <w:rPr>
                <w:rFonts w:hint="eastAsia" w:ascii="Times New Roman" w:hAnsi="Times New Roman" w:cs="Times New Roman"/>
                <w:color w:val="auto"/>
                <w:sz w:val="24"/>
                <w:lang w:eastAsia="zh-CN"/>
              </w:rPr>
              <w:t>将原有仓库隔离出来改建为</w:t>
            </w:r>
            <w:r>
              <w:rPr>
                <w:rFonts w:hint="default" w:ascii="Times New Roman" w:hAnsi="Times New Roman" w:cs="Times New Roman"/>
                <w:color w:val="auto"/>
                <w:sz w:val="24"/>
              </w:rPr>
              <w:t>一间危废暂存间，建筑面积面积约20m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，里面设置危废收集桶，用来存储含油消防沙及吸油毡，定期交由资质单位集中处理。</w:t>
            </w:r>
          </w:p>
          <w:p>
            <w:pPr>
              <w:spacing w:line="440" w:lineRule="exact"/>
              <w:ind w:firstLine="561"/>
              <w:rPr>
                <w:rFonts w:hint="default" w:ascii="Times New Roman" w:hAnsi="Times New Roman" w:cs="Times New Roman"/>
                <w:color w:val="auto"/>
                <w:sz w:val="24"/>
              </w:rPr>
            </w:pPr>
            <w:r>
              <w:rPr>
                <w:rFonts w:hint="default" w:ascii="Times New Roman" w:hAnsi="Times New Roman" w:cs="Times New Roman"/>
                <w:color w:val="auto"/>
                <w:sz w:val="24"/>
              </w:rPr>
              <w:t>危险废物须严格执行危险废物转运联单制度，即危险废物在送往有资质的危险废物处理单位进行无害化处理前，应按《危险废物转移联单管理办法》相关要求，填写危险废物转移联单并经环保主管部门审批后方可运出厂区，执行危险废物运输必须采用专用车辆，执行危险废物运输任务的驾驶员必须具有危险物品的运输资质。</w:t>
            </w:r>
          </w:p>
          <w:p>
            <w:pPr>
              <w:spacing w:line="440" w:lineRule="exact"/>
              <w:ind w:firstLine="561"/>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项目危废包括储罐油渣、水封井油泥及含油消防沙，其中储罐油渣及水封井油泥委托有资质的单位清掏处理，清掏后及时运走，不在场区存储。含油消防沙属于项目业主在日常及突发情况下处理油污置换下来的，存储的危废暂存间。项目运营期间应对项目危废严格管理，危废暂存间进行防雨、防渗、防流失处理，房间设置明显标识。</w:t>
            </w:r>
          </w:p>
          <w:p>
            <w:pPr>
              <w:spacing w:line="440" w:lineRule="exact"/>
              <w:ind w:firstLine="561"/>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危险废物的临时暂存间必须满足如下要求：</w:t>
            </w:r>
          </w:p>
          <w:p>
            <w:pPr>
              <w:spacing w:line="440" w:lineRule="exact"/>
              <w:ind w:firstLine="561"/>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A.堆放危险废物的高度应根据地面承载能力确定。</w:t>
            </w:r>
          </w:p>
          <w:p>
            <w:pPr>
              <w:spacing w:line="440" w:lineRule="exact"/>
              <w:ind w:firstLine="561"/>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B.保证能防止25年一遇的暴雨不会流到危险废物堆里。</w:t>
            </w:r>
          </w:p>
          <w:p>
            <w:pPr>
              <w:spacing w:line="440" w:lineRule="exact"/>
              <w:ind w:firstLine="561"/>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C.不相容的危险废物不能堆放在一起。</w:t>
            </w:r>
          </w:p>
          <w:p>
            <w:pPr>
              <w:spacing w:line="440" w:lineRule="exact"/>
              <w:ind w:firstLine="561"/>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D.危险废物堆要防风、防雨、防晒。</w:t>
            </w:r>
          </w:p>
          <w:p>
            <w:pPr>
              <w:spacing w:line="440" w:lineRule="exact"/>
              <w:ind w:firstLine="561"/>
              <w:rPr>
                <w:rFonts w:hint="default" w:ascii="Times New Roman" w:hAnsi="Times New Roman" w:cs="Times New Roman"/>
                <w:color w:val="auto"/>
                <w:sz w:val="24"/>
              </w:rPr>
            </w:pPr>
            <w:r>
              <w:rPr>
                <w:rFonts w:hint="default" w:ascii="Times New Roman" w:hAnsi="Times New Roman" w:cs="Times New Roman"/>
                <w:color w:val="auto"/>
                <w:sz w:val="24"/>
              </w:rPr>
              <w:t>综上所述，项目固体废弃物均得到妥善处置，不会对周边环境产生影响。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196"/>
              <w:jc w:val="both"/>
              <w:textAlignment w:val="auto"/>
              <w:outlineLvl w:val="9"/>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eastAsia="zh-CN"/>
              </w:rPr>
              <w:t>三、</w:t>
            </w:r>
            <w:r>
              <w:rPr>
                <w:rFonts w:hint="default" w:ascii="Times New Roman" w:hAnsi="Times New Roman" w:cs="Times New Roman"/>
                <w:b/>
                <w:color w:val="auto"/>
                <w:kern w:val="0"/>
                <w:sz w:val="24"/>
              </w:rPr>
              <w:t>“三本账”核算</w:t>
            </w:r>
          </w:p>
          <w:p>
            <w:pPr>
              <w:pStyle w:val="12"/>
              <w:snapToGrid w:val="0"/>
              <w:spacing w:after="0" w:line="360" w:lineRule="auto"/>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1、项目改扩建三本帐一览表。</w:t>
            </w:r>
          </w:p>
          <w:p>
            <w:pPr>
              <w:keepNext w:val="0"/>
              <w:keepLines w:val="0"/>
              <w:pageBreakBefore w:val="0"/>
              <w:widowControl w:val="0"/>
              <w:kinsoku/>
              <w:wordWrap/>
              <w:overflowPunct/>
              <w:topLinePunct w:val="0"/>
              <w:autoSpaceDE/>
              <w:autoSpaceDN/>
              <w:bidi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项目改造前后主要污染物三本帐情况见表</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p>
          <w:p>
            <w:pPr>
              <w:adjustRightInd w:val="0"/>
              <w:snapToGrid w:val="0"/>
              <w:spacing w:line="276"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7</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1</w:t>
            </w:r>
            <w:r>
              <w:rPr>
                <w:rFonts w:hint="eastAsia"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“三本账”一览表</w:t>
            </w:r>
          </w:p>
          <w:tbl>
            <w:tblPr>
              <w:tblStyle w:val="23"/>
              <w:tblW w:w="9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91"/>
              <w:gridCol w:w="30"/>
              <w:gridCol w:w="738"/>
              <w:gridCol w:w="1529"/>
              <w:gridCol w:w="1434"/>
              <w:gridCol w:w="1086"/>
              <w:gridCol w:w="1483"/>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排放源</w:t>
                  </w:r>
                </w:p>
              </w:tc>
              <w:tc>
                <w:tcPr>
                  <w:tcW w:w="155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污染物名称</w:t>
                  </w:r>
                </w:p>
              </w:tc>
              <w:tc>
                <w:tcPr>
                  <w:tcW w:w="1529"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原有排放量</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项目改造后</w:t>
                  </w:r>
                </w:p>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新增排放量</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以新代老</w:t>
                  </w:r>
                </w:p>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削减量</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改造后</w:t>
                  </w:r>
                </w:p>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全</w:t>
                  </w:r>
                  <w:r>
                    <w:rPr>
                      <w:rFonts w:hint="default" w:ascii="Times New Roman" w:hAnsi="Times New Roman" w:eastAsia="宋体" w:cs="Times New Roman"/>
                      <w:color w:val="auto"/>
                      <w:kern w:val="2"/>
                      <w:sz w:val="21"/>
                      <w:szCs w:val="21"/>
                      <w:lang w:eastAsia="zh-CN"/>
                    </w:rPr>
                    <w:t>站</w:t>
                  </w:r>
                  <w:r>
                    <w:rPr>
                      <w:rFonts w:hint="default" w:ascii="Times New Roman" w:hAnsi="Times New Roman" w:eastAsia="宋体" w:cs="Times New Roman"/>
                      <w:color w:val="auto"/>
                      <w:kern w:val="2"/>
                      <w:sz w:val="21"/>
                      <w:szCs w:val="21"/>
                    </w:rPr>
                    <w:t>排放</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25" w:type="dxa"/>
                  <w:vMerge w:val="restart"/>
                  <w:tcBorders>
                    <w:top w:val="single" w:color="auto" w:sz="4" w:space="0"/>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废气</w:t>
                  </w:r>
                </w:p>
              </w:tc>
              <w:tc>
                <w:tcPr>
                  <w:tcW w:w="155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非甲烷总烃</w:t>
                  </w:r>
                </w:p>
              </w:tc>
              <w:tc>
                <w:tcPr>
                  <w:tcW w:w="1529"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val="en-US" w:eastAsia="zh-CN"/>
                    </w:rPr>
                    <w:t>1509</w:t>
                  </w:r>
                  <w:r>
                    <w:rPr>
                      <w:rFonts w:hint="default" w:ascii="Times New Roman" w:hAnsi="Times New Roman" w:eastAsia="宋体" w:cs="Times New Roman"/>
                      <w:color w:val="auto"/>
                      <w:sz w:val="21"/>
                      <w:szCs w:val="21"/>
                    </w:rPr>
                    <w:t>kg/a</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val="en-US" w:eastAsia="zh-CN"/>
                    </w:rPr>
                    <w:t>978</w:t>
                  </w:r>
                  <w:r>
                    <w:rPr>
                      <w:rFonts w:hint="default" w:ascii="Times New Roman" w:hAnsi="Times New Roman" w:eastAsia="宋体" w:cs="Times New Roman"/>
                      <w:color w:val="auto"/>
                      <w:sz w:val="21"/>
                      <w:szCs w:val="21"/>
                    </w:rPr>
                    <w:t>kg/a</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sz w:val="21"/>
                      <w:szCs w:val="21"/>
                      <w:lang w:val="en-US" w:eastAsia="zh-CN"/>
                    </w:rPr>
                    <w:t>531</w:t>
                  </w:r>
                  <w:r>
                    <w:rPr>
                      <w:rFonts w:hint="default" w:ascii="Times New Roman" w:hAnsi="Times New Roman" w:eastAsia="宋体" w:cs="Times New Roman"/>
                      <w:color w:val="auto"/>
                      <w:sz w:val="21"/>
                      <w:szCs w:val="21"/>
                    </w:rPr>
                    <w:t>kg/a</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lang w:val="en-US" w:eastAsia="zh-CN"/>
                    </w:rPr>
                    <w:t>978</w:t>
                  </w:r>
                  <w:r>
                    <w:rPr>
                      <w:rFonts w:hint="default" w:ascii="Times New Roman" w:hAnsi="Times New Roman" w:eastAsia="宋体" w:cs="Times New Roman"/>
                      <w:color w:val="auto"/>
                      <w:sz w:val="21"/>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25" w:type="dxa"/>
                  <w:vMerge w:val="continue"/>
                  <w:tcBorders>
                    <w:top w:val="single" w:color="auto" w:sz="4" w:space="0"/>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p>
              </w:tc>
              <w:tc>
                <w:tcPr>
                  <w:tcW w:w="79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汽车尾气</w:t>
                  </w:r>
                </w:p>
              </w:tc>
              <w:tc>
                <w:tcPr>
                  <w:tcW w:w="768"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Cs w:val="21"/>
                    </w:rPr>
                  </w:pPr>
                  <w:r>
                    <w:rPr>
                      <w:rFonts w:hint="default" w:ascii="Times New Roman" w:hAnsi="Times New Roman" w:eastAsia="宋体" w:cs="Times New Roman"/>
                      <w:color w:val="auto"/>
                      <w:kern w:val="2"/>
                      <w:sz w:val="21"/>
                      <w:szCs w:val="21"/>
                      <w:lang w:eastAsia="zh-CN"/>
                    </w:rPr>
                    <w:t>THC</w:t>
                  </w:r>
                </w:p>
              </w:tc>
              <w:tc>
                <w:tcPr>
                  <w:tcW w:w="1529"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jc w:val="center"/>
                    <w:outlineLvl w:val="9"/>
                    <w:rPr>
                      <w:rFonts w:hint="default"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val="en-US" w:eastAsia="zh-CN"/>
                    </w:rPr>
                    <w:t>0.45</w:t>
                  </w:r>
                  <w:r>
                    <w:rPr>
                      <w:rFonts w:hint="default" w:ascii="Times New Roman" w:hAnsi="Times New Roman" w:eastAsia="宋体" w:cs="Times New Roman"/>
                      <w:color w:val="auto"/>
                      <w:kern w:val="2"/>
                      <w:sz w:val="21"/>
                      <w:szCs w:val="21"/>
                      <w:lang w:eastAsia="zh-CN"/>
                    </w:rPr>
                    <w:t>kg/a</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0</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jc w:val="center"/>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0.45</w:t>
                  </w:r>
                  <w:r>
                    <w:rPr>
                      <w:rFonts w:hint="default" w:ascii="Times New Roman" w:hAnsi="Times New Roman" w:eastAsia="宋体" w:cs="Times New Roman"/>
                      <w:color w:val="auto"/>
                      <w:kern w:val="2"/>
                      <w:sz w:val="21"/>
                      <w:szCs w:val="21"/>
                      <w:lang w:eastAsia="zh-CN"/>
                    </w:rPr>
                    <w:t>kg/a</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jc w:val="center"/>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5" w:type="dxa"/>
                  <w:vMerge w:val="continue"/>
                  <w:tcBorders>
                    <w:top w:val="single" w:color="auto" w:sz="4" w:space="0"/>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p>
              </w:tc>
              <w:tc>
                <w:tcPr>
                  <w:tcW w:w="79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Cs w:val="21"/>
                    </w:rPr>
                  </w:pPr>
                </w:p>
              </w:tc>
              <w:tc>
                <w:tcPr>
                  <w:tcW w:w="768" w:type="dxa"/>
                  <w:gridSpan w:val="2"/>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Cs w:val="21"/>
                    </w:rPr>
                  </w:pPr>
                  <w:r>
                    <w:rPr>
                      <w:rFonts w:hint="default" w:ascii="Times New Roman" w:hAnsi="Times New Roman" w:eastAsia="宋体" w:cs="Times New Roman"/>
                      <w:color w:val="auto"/>
                      <w:kern w:val="2"/>
                      <w:sz w:val="21"/>
                      <w:szCs w:val="21"/>
                      <w:lang w:eastAsia="zh-CN"/>
                    </w:rPr>
                    <w:t>CO</w:t>
                  </w:r>
                </w:p>
              </w:tc>
              <w:tc>
                <w:tcPr>
                  <w:tcW w:w="1529"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420" w:firstLineChars="200"/>
                    <w:jc w:val="both"/>
                    <w:outlineLvl w:val="9"/>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2.22</w:t>
                  </w:r>
                  <w:r>
                    <w:rPr>
                      <w:rFonts w:hint="default" w:ascii="Times New Roman" w:hAnsi="Times New Roman" w:eastAsia="宋体" w:cs="Times New Roman"/>
                      <w:color w:val="auto"/>
                      <w:kern w:val="2"/>
                      <w:sz w:val="21"/>
                      <w:szCs w:val="21"/>
                      <w:lang w:eastAsia="zh-CN"/>
                    </w:rPr>
                    <w:t>kg/a</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420" w:firstLineChars="200"/>
                    <w:jc w:val="both"/>
                    <w:outlineLvl w:val="9"/>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2.22</w:t>
                  </w:r>
                  <w:r>
                    <w:rPr>
                      <w:rFonts w:hint="default" w:ascii="Times New Roman" w:hAnsi="Times New Roman" w:eastAsia="宋体" w:cs="Times New Roman"/>
                      <w:color w:val="auto"/>
                      <w:kern w:val="2"/>
                      <w:sz w:val="21"/>
                      <w:szCs w:val="21"/>
                      <w:lang w:eastAsia="zh-CN"/>
                    </w:rPr>
                    <w:t>kg/a</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5" w:type="dxa"/>
                  <w:vMerge w:val="continue"/>
                  <w:tcBorders>
                    <w:top w:val="single" w:color="auto" w:sz="4" w:space="0"/>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p>
              </w:tc>
              <w:tc>
                <w:tcPr>
                  <w:tcW w:w="79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Cs w:val="21"/>
                    </w:rPr>
                  </w:pPr>
                </w:p>
              </w:tc>
              <w:tc>
                <w:tcPr>
                  <w:tcW w:w="768" w:type="dxa"/>
                  <w:gridSpan w:val="2"/>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Cs w:val="21"/>
                    </w:rPr>
                  </w:pPr>
                  <w:r>
                    <w:rPr>
                      <w:rFonts w:hint="default" w:ascii="Times New Roman" w:hAnsi="Times New Roman" w:eastAsia="宋体" w:cs="Times New Roman"/>
                      <w:color w:val="auto"/>
                      <w:kern w:val="2"/>
                      <w:sz w:val="21"/>
                      <w:szCs w:val="21"/>
                      <w:lang w:eastAsia="zh-CN"/>
                    </w:rPr>
                    <w:t>NO</w:t>
                  </w:r>
                  <w:r>
                    <w:rPr>
                      <w:rFonts w:hint="default" w:ascii="Times New Roman" w:hAnsi="Times New Roman" w:eastAsia="宋体" w:cs="Times New Roman"/>
                      <w:color w:val="auto"/>
                      <w:kern w:val="2"/>
                      <w:sz w:val="21"/>
                      <w:szCs w:val="21"/>
                      <w:vertAlign w:val="subscript"/>
                      <w:lang w:eastAsia="zh-CN"/>
                    </w:rPr>
                    <w:t xml:space="preserve">x </w:t>
                  </w:r>
                </w:p>
              </w:tc>
              <w:tc>
                <w:tcPr>
                  <w:tcW w:w="1529"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r>
                    <w:rPr>
                      <w:rFonts w:hint="eastAsia" w:ascii="Times New Roman" w:hAnsi="Times New Roman" w:eastAsia="宋体" w:cs="Times New Roman"/>
                      <w:color w:val="auto"/>
                      <w:kern w:val="2"/>
                      <w:sz w:val="21"/>
                      <w:szCs w:val="21"/>
                      <w:lang w:val="en-US" w:eastAsia="zh-CN"/>
                    </w:rPr>
                    <w:t>22</w:t>
                  </w:r>
                  <w:r>
                    <w:rPr>
                      <w:rFonts w:hint="default" w:ascii="Times New Roman" w:hAnsi="Times New Roman" w:eastAsia="宋体" w:cs="Times New Roman"/>
                      <w:color w:val="auto"/>
                      <w:kern w:val="2"/>
                      <w:sz w:val="21"/>
                      <w:szCs w:val="21"/>
                      <w:lang w:eastAsia="zh-CN"/>
                    </w:rPr>
                    <w:t>kg/a</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r>
                    <w:rPr>
                      <w:rFonts w:hint="eastAsia" w:ascii="Times New Roman" w:hAnsi="Times New Roman" w:eastAsia="宋体" w:cs="Times New Roman"/>
                      <w:color w:val="auto"/>
                      <w:kern w:val="2"/>
                      <w:sz w:val="21"/>
                      <w:szCs w:val="21"/>
                      <w:lang w:val="en-US" w:eastAsia="zh-CN"/>
                    </w:rPr>
                    <w:t>22</w:t>
                  </w:r>
                  <w:r>
                    <w:rPr>
                      <w:rFonts w:hint="default" w:ascii="Times New Roman" w:hAnsi="Times New Roman" w:eastAsia="宋体" w:cs="Times New Roman"/>
                      <w:color w:val="auto"/>
                      <w:kern w:val="2"/>
                      <w:sz w:val="21"/>
                      <w:szCs w:val="21"/>
                      <w:lang w:eastAsia="zh-CN"/>
                    </w:rPr>
                    <w:t>kg/a</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5" w:type="dxa"/>
                  <w:vMerge w:val="restart"/>
                  <w:tcBorders>
                    <w:top w:val="single" w:color="auto" w:sz="4" w:space="0"/>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固体</w:t>
                  </w:r>
                </w:p>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废弃物</w:t>
                  </w:r>
                </w:p>
              </w:tc>
              <w:tc>
                <w:tcPr>
                  <w:tcW w:w="1559" w:type="dxa"/>
                  <w:gridSpan w:val="3"/>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生活垃圾</w:t>
                  </w:r>
                </w:p>
              </w:tc>
              <w:tc>
                <w:tcPr>
                  <w:tcW w:w="15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11" w:leftChars="-53" w:right="-86" w:rightChars="-41" w:firstLine="0" w:firstLineChars="0"/>
                    <w:jc w:val="center"/>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1.66</w:t>
                  </w:r>
                  <w:r>
                    <w:rPr>
                      <w:rFonts w:hint="default" w:ascii="Times New Roman" w:hAnsi="Times New Roman" w:cs="Times New Roman"/>
                      <w:color w:val="auto"/>
                      <w:sz w:val="21"/>
                      <w:szCs w:val="21"/>
                    </w:rPr>
                    <w:t>t/a</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0</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eastAsia" w:ascii="Times New Roman" w:hAnsi="Times New Roman" w:cs="Times New Roman"/>
                      <w:color w:val="auto"/>
                      <w:sz w:val="21"/>
                      <w:szCs w:val="21"/>
                      <w:lang w:val="en-US" w:eastAsia="zh-CN"/>
                    </w:rPr>
                    <w:t>1.66</w:t>
                  </w:r>
                  <w:r>
                    <w:rPr>
                      <w:rFonts w:hint="default" w:ascii="Times New Roman" w:hAnsi="Times New Roman" w:cs="Times New Roman"/>
                      <w:color w:val="auto"/>
                      <w:sz w:val="21"/>
                      <w:szCs w:val="21"/>
                    </w:rPr>
                    <w:t>t/a</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25" w:type="dxa"/>
                  <w:vMerge w:val="continue"/>
                  <w:tcBorders>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p>
              </w:tc>
              <w:tc>
                <w:tcPr>
                  <w:tcW w:w="1559" w:type="dxa"/>
                  <w:gridSpan w:val="3"/>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化粪池污泥</w:t>
                  </w:r>
                </w:p>
              </w:tc>
              <w:tc>
                <w:tcPr>
                  <w:tcW w:w="15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11" w:leftChars="-53" w:right="-86" w:rightChars="-41" w:firstLine="0" w:firstLineChars="0"/>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33</w:t>
                  </w:r>
                  <w:r>
                    <w:rPr>
                      <w:rFonts w:hint="default" w:ascii="Times New Roman" w:hAnsi="Times New Roman" w:cs="Times New Roman"/>
                      <w:color w:val="auto"/>
                      <w:sz w:val="21"/>
                      <w:szCs w:val="21"/>
                    </w:rPr>
                    <w:t>t/a</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cs="Times New Roman"/>
                      <w:color w:val="auto"/>
                      <w:sz w:val="21"/>
                      <w:szCs w:val="21"/>
                    </w:rPr>
                    <w:t>0.0</w:t>
                  </w:r>
                  <w:r>
                    <w:rPr>
                      <w:rFonts w:hint="eastAsia" w:ascii="Times New Roman" w:hAnsi="Times New Roman" w:cs="Times New Roman"/>
                      <w:color w:val="auto"/>
                      <w:sz w:val="21"/>
                      <w:szCs w:val="21"/>
                      <w:lang w:val="en-US" w:eastAsia="zh-CN"/>
                    </w:rPr>
                    <w:t>33</w:t>
                  </w:r>
                  <w:r>
                    <w:rPr>
                      <w:rFonts w:hint="default" w:ascii="Times New Roman" w:hAnsi="Times New Roman" w:cs="Times New Roman"/>
                      <w:color w:val="auto"/>
                      <w:sz w:val="21"/>
                      <w:szCs w:val="21"/>
                    </w:rPr>
                    <w:t>t/a</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5" w:type="dxa"/>
                  <w:vMerge w:val="continue"/>
                  <w:tcBorders>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p>
              </w:tc>
              <w:tc>
                <w:tcPr>
                  <w:tcW w:w="1559" w:type="dxa"/>
                  <w:gridSpan w:val="3"/>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储罐油渣</w:t>
                  </w:r>
                </w:p>
              </w:tc>
              <w:tc>
                <w:tcPr>
                  <w:tcW w:w="15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11" w:leftChars="-53" w:right="-86" w:rightChars="-41"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4kg/次</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1kg/次</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sz w:val="21"/>
                      <w:szCs w:val="21"/>
                      <w:lang w:val="en-US" w:eastAsia="zh-CN"/>
                    </w:rPr>
                    <w:t>0</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sz w:val="21"/>
                      <w:szCs w:val="21"/>
                      <w:lang w:val="en-US" w:eastAsia="zh-CN"/>
                    </w:rPr>
                    <w:t>5kg/</w:t>
                  </w:r>
                  <w:r>
                    <w:rPr>
                      <w:rFonts w:hint="default" w:ascii="Times New Roman" w:hAnsi="Times New Roman" w:eastAsia="宋体" w:cs="Times New Roman"/>
                      <w:color w:val="auto"/>
                      <w:kern w:val="2"/>
                      <w:sz w:val="21"/>
                      <w:szCs w:val="21"/>
                      <w:lang w:val="en-US" w:eastAsia="zh-CN"/>
                    </w:rPr>
                    <w:t>次</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1kg/次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5" w:type="dxa"/>
                  <w:vMerge w:val="continue"/>
                  <w:tcBorders>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p>
              </w:tc>
              <w:tc>
                <w:tcPr>
                  <w:tcW w:w="821" w:type="dxa"/>
                  <w:gridSpan w:val="2"/>
                  <w:vMerge w:val="restart"/>
                  <w:tcBorders>
                    <w:top w:val="single" w:color="auto" w:sz="4" w:space="0"/>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水封井油污</w:t>
                  </w:r>
                </w:p>
              </w:tc>
              <w:tc>
                <w:tcPr>
                  <w:tcW w:w="738"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right="-107" w:rightChars="-51" w:firstLine="0" w:firstLineChars="0"/>
                    <w:jc w:val="both"/>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val="en-US" w:eastAsia="zh-CN"/>
                    </w:rPr>
                    <w:t>污泥</w:t>
                  </w:r>
                </w:p>
              </w:tc>
              <w:tc>
                <w:tcPr>
                  <w:tcW w:w="15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11" w:leftChars="-53" w:right="-86" w:rightChars="-41"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0.5t/a</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0</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cs="Times New Roman"/>
                      <w:color w:val="auto"/>
                      <w:sz w:val="21"/>
                      <w:szCs w:val="21"/>
                    </w:rPr>
                  </w:pPr>
                  <w:r>
                    <w:rPr>
                      <w:rFonts w:hint="default" w:ascii="Times New Roman" w:hAnsi="Times New Roman" w:eastAsia="宋体" w:cs="Times New Roman"/>
                      <w:color w:val="auto"/>
                      <w:kern w:val="2"/>
                      <w:sz w:val="21"/>
                      <w:szCs w:val="21"/>
                      <w:lang w:eastAsia="zh-CN"/>
                    </w:rPr>
                    <w:t>0.5t/a</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5" w:type="dxa"/>
                  <w:vMerge w:val="continue"/>
                  <w:tcBorders>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p>
              </w:tc>
              <w:tc>
                <w:tcPr>
                  <w:tcW w:w="821" w:type="dxa"/>
                  <w:gridSpan w:val="2"/>
                  <w:vMerge w:val="continue"/>
                  <w:tcBorders>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p>
              </w:tc>
              <w:tc>
                <w:tcPr>
                  <w:tcW w:w="738"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浮油</w:t>
                  </w:r>
                </w:p>
              </w:tc>
              <w:tc>
                <w:tcPr>
                  <w:tcW w:w="15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11" w:leftChars="-53" w:right="-86" w:rightChars="-41" w:firstLine="0" w:firstLineChars="0"/>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rPr>
                    <w:t>0.02m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2"/>
                      <w:sz w:val="21"/>
                      <w:szCs w:val="21"/>
                      <w:lang w:eastAsia="zh-CN"/>
                    </w:rPr>
                    <w:t>a</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eastAsia="zh-CN"/>
                    </w:rPr>
                    <w:t>0</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0.02m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2"/>
                      <w:sz w:val="21"/>
                      <w:szCs w:val="21"/>
                      <w:lang w:eastAsia="zh-CN"/>
                    </w:rPr>
                    <w:t>a</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0.02m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2"/>
                      <w:sz w:val="21"/>
                      <w:szCs w:val="21"/>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25" w:type="dxa"/>
                  <w:vMerge w:val="continue"/>
                  <w:tcBorders>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p>
              </w:tc>
              <w:tc>
                <w:tcPr>
                  <w:tcW w:w="1559" w:type="dxa"/>
                  <w:gridSpan w:val="3"/>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含油消防沙</w:t>
                  </w:r>
                </w:p>
              </w:tc>
              <w:tc>
                <w:tcPr>
                  <w:tcW w:w="152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11" w:leftChars="-53" w:right="-86" w:rightChars="-41" w:firstLine="0" w:firstLineChars="0"/>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0.20t/a</w:t>
                  </w:r>
                </w:p>
              </w:tc>
              <w:tc>
                <w:tcPr>
                  <w:tcW w:w="1434"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w:t>
                  </w:r>
                </w:p>
              </w:tc>
              <w:tc>
                <w:tcPr>
                  <w:tcW w:w="1086"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w:t>
                  </w:r>
                </w:p>
              </w:tc>
              <w:tc>
                <w:tcPr>
                  <w:tcW w:w="148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eastAsia="zh-CN"/>
                    </w:rPr>
                    <w:t>20</w:t>
                  </w:r>
                  <w:r>
                    <w:rPr>
                      <w:rFonts w:hint="default" w:ascii="Times New Roman" w:hAnsi="Times New Roman" w:cs="Times New Roman"/>
                      <w:color w:val="auto"/>
                      <w:sz w:val="21"/>
                      <w:szCs w:val="21"/>
                    </w:rPr>
                    <w:t>t/a</w:t>
                  </w:r>
                </w:p>
              </w:tc>
              <w:tc>
                <w:tcPr>
                  <w:tcW w:w="1375"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91" w:type="dxa"/>
                  <w:gridSpan w:val="9"/>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firstLine="0" w:firstLineChars="0"/>
                    <w:jc w:val="left"/>
                    <w:outlineLvl w:val="9"/>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 w:val="21"/>
                      <w:szCs w:val="21"/>
                    </w:rPr>
                    <w:t>注：排放增减量中“-”表示减少，“+”表示增加。</w:t>
                  </w:r>
                </w:p>
              </w:tc>
            </w:tr>
          </w:tbl>
          <w:p>
            <w:pPr>
              <w:adjustRightInd w:val="0"/>
              <w:snapToGrid w:val="0"/>
              <w:spacing w:line="276" w:lineRule="auto"/>
              <w:jc w:val="center"/>
              <w:rPr>
                <w:rFonts w:hint="default" w:ascii="Times New Roman" w:hAnsi="Times New Roman" w:cs="Times New Roman"/>
                <w:b/>
                <w:color w:val="auto"/>
                <w:sz w:val="21"/>
                <w:szCs w:val="21"/>
              </w:rPr>
            </w:pPr>
          </w:p>
          <w:p>
            <w:pPr>
              <w:numPr>
                <w:ilvl w:val="0"/>
                <w:numId w:val="12"/>
              </w:numPr>
              <w:autoSpaceDE w:val="0"/>
              <w:autoSpaceDN w:val="0"/>
              <w:adjustRightInd w:val="0"/>
              <w:spacing w:line="360" w:lineRule="auto"/>
              <w:ind w:firstLine="420" w:firstLineChars="200"/>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原项目存在的环境问题以及评价提出的“以新带老”措施</w:t>
            </w:r>
          </w:p>
          <w:p>
            <w:pPr>
              <w:numPr>
                <w:ilvl w:val="0"/>
                <w:numId w:val="0"/>
              </w:numPr>
              <w:autoSpaceDE w:val="0"/>
              <w:autoSpaceDN w:val="0"/>
              <w:adjustRightInd w:val="0"/>
              <w:spacing w:line="36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表7-1</w:t>
            </w:r>
            <w:r>
              <w:rPr>
                <w:rFonts w:hint="eastAsia" w:ascii="Times New Roman" w:hAnsi="Times New Roman" w:cs="Times New Roman"/>
                <w:b w:val="0"/>
                <w:bCs/>
                <w:color w:val="auto"/>
                <w:sz w:val="21"/>
                <w:szCs w:val="21"/>
                <w:lang w:val="en-US" w:eastAsia="zh-CN"/>
              </w:rPr>
              <w:t>6</w:t>
            </w:r>
            <w:r>
              <w:rPr>
                <w:rFonts w:hint="default" w:ascii="Times New Roman" w:hAnsi="Times New Roman" w:cs="Times New Roman"/>
                <w:b w:val="0"/>
                <w:bCs/>
                <w:color w:val="auto"/>
                <w:sz w:val="21"/>
                <w:szCs w:val="21"/>
                <w:lang w:val="en-US" w:eastAsia="zh-CN"/>
              </w:rPr>
              <w:t xml:space="preserve"> 项目“以新带老”措施</w:t>
            </w:r>
          </w:p>
          <w:tbl>
            <w:tblPr>
              <w:tblStyle w:val="23"/>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573"/>
              <w:gridCol w:w="2768"/>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排放源</w:t>
                  </w:r>
                </w:p>
              </w:tc>
              <w:tc>
                <w:tcPr>
                  <w:tcW w:w="15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污染物名称</w:t>
                  </w:r>
                </w:p>
              </w:tc>
              <w:tc>
                <w:tcPr>
                  <w:tcW w:w="2768"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遗留问题</w:t>
                  </w:r>
                </w:p>
              </w:tc>
              <w:tc>
                <w:tcPr>
                  <w:tcW w:w="3787"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“以新代老”措施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92" w:type="dxa"/>
                  <w:tcBorders>
                    <w:top w:val="single" w:color="auto" w:sz="4" w:space="0"/>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废气</w:t>
                  </w:r>
                </w:p>
              </w:tc>
              <w:tc>
                <w:tcPr>
                  <w:tcW w:w="15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非甲烷总烃</w:t>
                  </w:r>
                </w:p>
              </w:tc>
              <w:tc>
                <w:tcPr>
                  <w:tcW w:w="2768"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未设置油气回收系统</w:t>
                  </w:r>
                </w:p>
              </w:tc>
              <w:tc>
                <w:tcPr>
                  <w:tcW w:w="3787"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加油机、储油罐设置了油气回收系统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92" w:type="dxa"/>
                  <w:vMerge w:val="restart"/>
                  <w:tcBorders>
                    <w:top w:val="single" w:color="auto" w:sz="4" w:space="0"/>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w:t>
                  </w:r>
                  <w:r>
                    <w:rPr>
                      <w:rFonts w:hint="default" w:ascii="Times New Roman" w:hAnsi="Times New Roman" w:eastAsia="宋体" w:cs="Times New Roman"/>
                      <w:color w:val="auto"/>
                      <w:kern w:val="2"/>
                      <w:sz w:val="21"/>
                      <w:szCs w:val="21"/>
                      <w:lang w:eastAsia="zh-CN"/>
                    </w:rPr>
                    <w:t>水</w:t>
                  </w:r>
                </w:p>
              </w:tc>
              <w:tc>
                <w:tcPr>
                  <w:tcW w:w="15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地下水污染</w:t>
                  </w:r>
                </w:p>
              </w:tc>
              <w:tc>
                <w:tcPr>
                  <w:tcW w:w="2768"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单层罐防渗能力不足</w:t>
                  </w:r>
                </w:p>
              </w:tc>
              <w:tc>
                <w:tcPr>
                  <w:tcW w:w="3787"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双层罐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92" w:type="dxa"/>
                  <w:vMerge w:val="continue"/>
                  <w:tcBorders>
                    <w:left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p>
              </w:tc>
              <w:tc>
                <w:tcPr>
                  <w:tcW w:w="15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ind w:left="-132" w:leftChars="-63" w:right="-107" w:rightChars="-51" w:firstLine="0" w:firstLineChars="0"/>
                    <w:jc w:val="center"/>
                    <w:outlineLvl w:val="9"/>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初期雨水</w:t>
                  </w:r>
                </w:p>
              </w:tc>
              <w:tc>
                <w:tcPr>
                  <w:tcW w:w="2768"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不规范排放</w:t>
                  </w:r>
                </w:p>
              </w:tc>
              <w:tc>
                <w:tcPr>
                  <w:tcW w:w="3787"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通过水封井外排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固体</w:t>
                  </w:r>
                </w:p>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废弃物</w:t>
                  </w:r>
                </w:p>
              </w:tc>
              <w:tc>
                <w:tcPr>
                  <w:tcW w:w="1573"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before="0" w:beforeLines="0" w:after="0" w:afterLines="0"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废机油</w:t>
                  </w:r>
                </w:p>
              </w:tc>
              <w:tc>
                <w:tcPr>
                  <w:tcW w:w="2768"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lang w:eastAsia="zh-CN"/>
                    </w:rPr>
                    <w:t>危废管理</w:t>
                  </w:r>
                  <w:r>
                    <w:rPr>
                      <w:rFonts w:hint="default" w:ascii="Times New Roman" w:hAnsi="Times New Roman" w:eastAsia="宋体" w:cs="Times New Roman"/>
                      <w:color w:val="auto"/>
                      <w:kern w:val="2"/>
                      <w:sz w:val="21"/>
                      <w:szCs w:val="21"/>
                      <w:lang w:eastAsia="zh-CN"/>
                    </w:rPr>
                    <w:t>不规范</w:t>
                  </w:r>
                  <w:r>
                    <w:rPr>
                      <w:rFonts w:hint="eastAsia" w:ascii="Times New Roman" w:hAnsi="Times New Roman" w:eastAsia="宋体" w:cs="Times New Roman"/>
                      <w:color w:val="auto"/>
                      <w:kern w:val="2"/>
                      <w:sz w:val="21"/>
                      <w:szCs w:val="21"/>
                      <w:lang w:eastAsia="zh-CN"/>
                    </w:rPr>
                    <w:t>，无固定场所和专门收集装置。</w:t>
                  </w:r>
                </w:p>
              </w:tc>
              <w:tc>
                <w:tcPr>
                  <w:tcW w:w="3787" w:type="dxa"/>
                  <w:tcBorders>
                    <w:top w:val="single" w:color="auto" w:sz="4" w:space="0"/>
                    <w:left w:val="single" w:color="auto" w:sz="4" w:space="0"/>
                    <w:bottom w:val="single" w:color="auto" w:sz="4" w:space="0"/>
                    <w:right w:val="single" w:color="auto" w:sz="4" w:space="0"/>
                  </w:tcBorders>
                  <w:vAlign w:val="center"/>
                </w:tcPr>
                <w:p>
                  <w:pPr>
                    <w:pStyle w:val="52"/>
                    <w:keepNext w:val="0"/>
                    <w:keepLines w:val="0"/>
                    <w:pageBreakBefore w:val="0"/>
                    <w:widowControl w:val="0"/>
                    <w:kinsoku/>
                    <w:wordWrap/>
                    <w:overflowPunct/>
                    <w:topLinePunct w:val="0"/>
                    <w:bidi w:val="0"/>
                    <w:snapToGrid/>
                    <w:spacing w:line="240" w:lineRule="auto"/>
                    <w:ind w:left="-132" w:leftChars="-63" w:right="-107" w:rightChars="-51" w:firstLine="0" w:firstLineChars="0"/>
                    <w:outlineLvl w:val="9"/>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设置危废暂存间和危废收集桶</w:t>
                  </w:r>
                </w:p>
              </w:tc>
            </w:tr>
          </w:tbl>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加油站</w:t>
            </w:r>
            <w:r>
              <w:rPr>
                <w:rFonts w:hint="default" w:ascii="Times New Roman" w:hAnsi="Times New Roman" w:cs="Times New Roman"/>
                <w:color w:val="auto"/>
                <w:sz w:val="24"/>
                <w:szCs w:val="24"/>
              </w:rPr>
              <w:t>储油罐为单层罐且已建防渗罐池，但防渗罐池建设时间较长，防渗能力已不符合</w:t>
            </w:r>
            <w:r>
              <w:rPr>
                <w:rFonts w:hint="default" w:ascii="Times New Roman" w:hAnsi="Times New Roman" w:cs="Times New Roman"/>
                <w:color w:val="auto"/>
                <w:sz w:val="24"/>
              </w:rPr>
              <w:t>《汽车加油加气站设计与施工规范（2014年版）》（GB50156-2012）及《加油站地下水污染防治技术指南（试行）》中的“防渗要求”，</w:t>
            </w:r>
            <w:r>
              <w:rPr>
                <w:rFonts w:hint="default" w:ascii="Times New Roman" w:hAnsi="Times New Roman" w:cs="Times New Roman"/>
                <w:color w:val="auto"/>
                <w:sz w:val="24"/>
                <w:szCs w:val="24"/>
              </w:rPr>
              <w:t>存在一定的</w:t>
            </w:r>
            <w:r>
              <w:rPr>
                <w:rFonts w:hint="default" w:ascii="Times New Roman" w:hAnsi="Times New Roman" w:cs="Times New Roman"/>
                <w:color w:val="auto"/>
                <w:sz w:val="24"/>
              </w:rPr>
              <w:t>安全隐患及环境风险。</w:t>
            </w:r>
          </w:p>
          <w:p>
            <w:pPr>
              <w:adjustRightInd w:val="0"/>
              <w:snapToGrid w:val="0"/>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“以新带老”措施：</w:t>
            </w:r>
            <w:r>
              <w:rPr>
                <w:rFonts w:hint="default" w:ascii="Times New Roman" w:hAnsi="Times New Roman" w:cs="Times New Roman"/>
                <w:color w:val="auto"/>
                <w:kern w:val="0"/>
                <w:sz w:val="24"/>
                <w:szCs w:val="24"/>
              </w:rPr>
              <w:t>将加油站厂址内现有地埋式单层储油罐区拆除</w:t>
            </w:r>
            <w:r>
              <w:rPr>
                <w:rFonts w:hint="default" w:ascii="Times New Roman" w:hAnsi="Times New Roman" w:cs="Times New Roman"/>
                <w:color w:val="auto"/>
                <w:kern w:val="0"/>
                <w:sz w:val="24"/>
                <w:szCs w:val="24"/>
                <w:lang w:eastAsia="zh-CN"/>
              </w:rPr>
              <w:t>，在原址</w:t>
            </w:r>
            <w:r>
              <w:rPr>
                <w:rFonts w:hint="default" w:ascii="Times New Roman" w:hAnsi="Times New Roman" w:cs="Times New Roman"/>
                <w:color w:val="auto"/>
                <w:kern w:val="0"/>
                <w:sz w:val="24"/>
                <w:szCs w:val="24"/>
              </w:rPr>
              <w:t>新建地埋式双层储油罐区；共设置</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rPr>
              <w:t>座双层储油罐，其中：</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座容积为</w:t>
            </w:r>
            <w:r>
              <w:rPr>
                <w:rFonts w:hint="eastAsia" w:ascii="Times New Roman" w:hAnsi="Times New Roman" w:cs="Times New Roman"/>
                <w:color w:val="auto"/>
                <w:sz w:val="24"/>
                <w:lang w:val="en-US" w:eastAsia="zh-CN"/>
              </w:rPr>
              <w:t>50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的0#柴油储罐，</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座容积为</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的92#汽油储罐。</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加油站</w:t>
            </w:r>
            <w:r>
              <w:rPr>
                <w:rFonts w:hint="default" w:ascii="Times New Roman" w:hAnsi="Times New Roman" w:cs="Times New Roman"/>
                <w:color w:val="auto"/>
                <w:sz w:val="24"/>
                <w:szCs w:val="24"/>
              </w:rPr>
              <w:t>储油罐未安装液位仪，不符合</w:t>
            </w:r>
            <w:r>
              <w:rPr>
                <w:rFonts w:hint="default" w:ascii="Times New Roman" w:hAnsi="Times New Roman" w:cs="Times New Roman"/>
                <w:color w:val="auto"/>
                <w:sz w:val="24"/>
              </w:rPr>
              <w:t>《汽车加油加气站设计与施工规范（2014年版）》（GB50156-2012）中的“油罐应采取卸油时的防满溢措施”要求，</w:t>
            </w:r>
            <w:r>
              <w:rPr>
                <w:rFonts w:hint="default" w:ascii="Times New Roman" w:hAnsi="Times New Roman" w:cs="Times New Roman"/>
                <w:color w:val="auto"/>
                <w:sz w:val="24"/>
                <w:szCs w:val="24"/>
              </w:rPr>
              <w:t>存在一定的</w:t>
            </w:r>
            <w:r>
              <w:rPr>
                <w:rFonts w:hint="default" w:ascii="Times New Roman" w:hAnsi="Times New Roman" w:cs="Times New Roman"/>
                <w:color w:val="auto"/>
                <w:sz w:val="24"/>
              </w:rPr>
              <w:t>安全隐患及环境风险。</w:t>
            </w:r>
          </w:p>
          <w:p>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szCs w:val="24"/>
              </w:rPr>
              <w:t>“以新带老”措施：</w:t>
            </w:r>
            <w:r>
              <w:rPr>
                <w:rFonts w:hint="default" w:ascii="Times New Roman" w:hAnsi="Times New Roman" w:cs="Times New Roman"/>
                <w:color w:val="auto"/>
                <w:kern w:val="0"/>
                <w:sz w:val="24"/>
                <w:szCs w:val="24"/>
              </w:rPr>
              <w:t>加油站</w:t>
            </w:r>
            <w:r>
              <w:rPr>
                <w:rFonts w:hint="default" w:ascii="Times New Roman" w:hAnsi="Times New Roman" w:cs="Times New Roman"/>
                <w:color w:val="auto"/>
                <w:sz w:val="24"/>
                <w:szCs w:val="24"/>
              </w:rPr>
              <w:t>储油罐安装液位仪，共</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套，</w:t>
            </w:r>
            <w:r>
              <w:rPr>
                <w:rFonts w:hint="default" w:ascii="Times New Roman" w:hAnsi="Times New Roman" w:cs="Times New Roman"/>
                <w:color w:val="auto"/>
                <w:sz w:val="24"/>
                <w:szCs w:val="24"/>
                <w:lang w:bidi="ar"/>
              </w:rPr>
              <w:t>用于预防溢油事故，有效保障加油站安全。</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加油站</w:t>
            </w:r>
            <w:r>
              <w:rPr>
                <w:rFonts w:hint="default" w:ascii="Times New Roman" w:hAnsi="Times New Roman" w:cs="Times New Roman"/>
                <w:color w:val="auto"/>
                <w:sz w:val="24"/>
                <w:szCs w:val="24"/>
              </w:rPr>
              <w:t>储油罐为单层罐且已建防渗罐池，未配套安装渗漏在线检测系统，不符合</w:t>
            </w:r>
            <w:r>
              <w:rPr>
                <w:rFonts w:hint="default" w:ascii="Times New Roman" w:hAnsi="Times New Roman" w:cs="Times New Roman"/>
                <w:color w:val="auto"/>
                <w:sz w:val="24"/>
              </w:rPr>
              <w:t>《汽车加油加气站设计与施工规范（2014年版）》（GB50156-2012）及《加油站地下水污染防治技术指南（试行）》中的“双层油罐、防渗池的渗漏检测宜采用在线监测系统的要求”，</w:t>
            </w:r>
            <w:r>
              <w:rPr>
                <w:rFonts w:hint="default" w:ascii="Times New Roman" w:hAnsi="Times New Roman" w:cs="Times New Roman"/>
                <w:color w:val="auto"/>
                <w:sz w:val="24"/>
                <w:szCs w:val="24"/>
              </w:rPr>
              <w:t>存在一定的</w:t>
            </w:r>
            <w:r>
              <w:rPr>
                <w:rFonts w:hint="default" w:ascii="Times New Roman" w:hAnsi="Times New Roman" w:cs="Times New Roman"/>
                <w:color w:val="auto"/>
                <w:sz w:val="24"/>
              </w:rPr>
              <w:t>安全隐患及环境风险。</w:t>
            </w:r>
          </w:p>
          <w:p>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szCs w:val="24"/>
              </w:rPr>
              <w:t>“以新带老”措施：</w:t>
            </w:r>
            <w:r>
              <w:rPr>
                <w:rFonts w:hint="default" w:ascii="Times New Roman" w:hAnsi="Times New Roman" w:cs="Times New Roman"/>
                <w:color w:val="auto"/>
                <w:kern w:val="0"/>
                <w:sz w:val="24"/>
                <w:szCs w:val="24"/>
              </w:rPr>
              <w:t>加油站储油罐采用地埋式双层储油罐，各储油罐均配套建有</w:t>
            </w:r>
            <w:r>
              <w:rPr>
                <w:rFonts w:hint="default" w:ascii="Times New Roman" w:hAnsi="Times New Roman" w:cs="Times New Roman"/>
                <w:color w:val="auto"/>
                <w:sz w:val="24"/>
              </w:rPr>
              <w:t>渗漏在线监测系统，可确保对储油罐的渗漏情况进行实时监控，做到及时发现问题并进行维修</w:t>
            </w:r>
            <w:r>
              <w:rPr>
                <w:rFonts w:hint="default" w:ascii="Times New Roman" w:hAnsi="Times New Roman" w:cs="Times New Roman"/>
                <w:color w:val="auto"/>
                <w:sz w:val="24"/>
                <w:szCs w:val="24"/>
                <w:lang w:bidi="ar"/>
              </w:rPr>
              <w:t>。</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汽油油罐和汽油加油机未设置油气回收装置进行油气回收，直接排到大气环境中。</w:t>
            </w:r>
          </w:p>
          <w:p>
            <w:pPr>
              <w:adjustRightInd w:val="0"/>
              <w:snapToGrid w:val="0"/>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“以新带老”措施：</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台92#/双枪税控加油机及1个容积为</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的92#汽油储罐设置</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套加油储油混合油气回收装置。92#汽油卸油区设置卸油油气回收装置</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套。</w:t>
            </w:r>
            <w:r>
              <w:rPr>
                <w:rFonts w:hint="default" w:ascii="Times New Roman" w:hAnsi="Times New Roman" w:cs="Times New Roman"/>
                <w:color w:val="auto"/>
                <w:kern w:val="0"/>
                <w:sz w:val="24"/>
                <w:szCs w:val="24"/>
              </w:rPr>
              <w:t>共</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rPr>
              <w:t>套。</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汽油储罐未设置检查井，</w:t>
            </w:r>
            <w:r>
              <w:rPr>
                <w:rFonts w:hint="eastAsia" w:ascii="Times New Roman" w:hAnsi="Times New Roman" w:cs="Times New Roman"/>
                <w:color w:val="auto"/>
                <w:sz w:val="24"/>
                <w:lang w:eastAsia="zh-CN"/>
              </w:rPr>
              <w:t>不能及时监控储罐大面积泄漏。</w:t>
            </w:r>
          </w:p>
          <w:p>
            <w:pPr>
              <w:spacing w:line="360" w:lineRule="auto"/>
              <w:ind w:firstLine="482" w:firstLineChars="200"/>
              <w:rPr>
                <w:rFonts w:hint="default" w:ascii="Times New Roman" w:hAnsi="Times New Roman" w:cs="Times New Roman"/>
                <w:color w:val="auto"/>
                <w:sz w:val="24"/>
                <w:szCs w:val="24"/>
                <w:lang w:eastAsia="zh-CN"/>
              </w:rPr>
            </w:pPr>
            <w:r>
              <w:rPr>
                <w:rFonts w:hint="default" w:ascii="Times New Roman" w:hAnsi="Times New Roman" w:cs="Times New Roman"/>
                <w:b/>
                <w:color w:val="auto"/>
                <w:sz w:val="24"/>
                <w:szCs w:val="24"/>
              </w:rPr>
              <w:t>“以新带老”措施：</w:t>
            </w:r>
            <w:r>
              <w:rPr>
                <w:rFonts w:hint="default" w:ascii="Times New Roman" w:hAnsi="Times New Roman" w:cs="Times New Roman"/>
                <w:color w:val="auto"/>
                <w:sz w:val="24"/>
              </w:rPr>
              <w:t>地下储油罐体周围设计防渗漏检查孔，可及时发现地下储油罐体渗漏，防止成品油泄漏造成大面积的地下水污染。</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站内雨水收集引流沟设计不规范，导流效果较差，可能存在站内含油雨水外流情况。</w:t>
            </w:r>
          </w:p>
          <w:p>
            <w:pPr>
              <w:adjustRightInd w:val="0"/>
              <w:snapToGrid w:val="0"/>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“以新带老”措施：</w:t>
            </w:r>
            <w:r>
              <w:rPr>
                <w:rFonts w:hint="default" w:ascii="Times New Roman" w:hAnsi="Times New Roman" w:cs="Times New Roman"/>
                <w:color w:val="auto"/>
                <w:sz w:val="24"/>
                <w:szCs w:val="24"/>
              </w:rPr>
              <w:t>新建加油罩棚内环保沟（含油雨水引流沟）1条，约</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0m长，</w:t>
            </w:r>
            <w:r>
              <w:rPr>
                <w:rFonts w:hint="default" w:ascii="Times New Roman" w:hAnsi="Times New Roman" w:cs="Times New Roman"/>
                <w:color w:val="auto"/>
                <w:sz w:val="24"/>
                <w:szCs w:val="24"/>
                <w:lang w:eastAsia="zh-CN"/>
              </w:rPr>
              <w:t>在厂区</w:t>
            </w:r>
            <w:r>
              <w:rPr>
                <w:rFonts w:hint="eastAsia" w:ascii="Times New Roman" w:hAnsi="Times New Roman" w:cs="Times New Roman"/>
                <w:color w:val="auto"/>
                <w:sz w:val="24"/>
                <w:szCs w:val="24"/>
                <w:lang w:eastAsia="zh-CN"/>
              </w:rPr>
              <w:t>东南</w:t>
            </w:r>
            <w:r>
              <w:rPr>
                <w:rFonts w:hint="default" w:ascii="Times New Roman" w:hAnsi="Times New Roman" w:cs="Times New Roman"/>
                <w:color w:val="auto"/>
                <w:sz w:val="24"/>
                <w:szCs w:val="24"/>
                <w:lang w:eastAsia="zh-CN"/>
              </w:rPr>
              <w:t>侧新建一个水封井，</w:t>
            </w:r>
            <w:r>
              <w:rPr>
                <w:rFonts w:hint="default" w:ascii="Times New Roman" w:hAnsi="Times New Roman" w:cs="Times New Roman"/>
                <w:color w:val="auto"/>
                <w:sz w:val="24"/>
                <w:szCs w:val="24"/>
              </w:rPr>
              <w:t>含油雨水接入水封井，确保站内雨水均可进入水封井中隔油处理后再外排。</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站内</w:t>
            </w:r>
            <w:r>
              <w:rPr>
                <w:rFonts w:hint="default" w:ascii="Times New Roman" w:hAnsi="Times New Roman" w:cs="Times New Roman"/>
                <w:color w:val="auto"/>
                <w:sz w:val="24"/>
              </w:rPr>
              <w:t>未设置危废收集桶及危废暂存间暂存危险废物，目前，站内废弃的含油消防沙等含油危险废物混入生活垃圾一并处置，未按相关规范进行处置。</w:t>
            </w:r>
          </w:p>
          <w:p>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szCs w:val="24"/>
              </w:rPr>
              <w:t>“以新带老”措施：</w:t>
            </w:r>
            <w:r>
              <w:rPr>
                <w:rFonts w:hint="default" w:ascii="Times New Roman" w:hAnsi="Times New Roman" w:cs="Times New Roman"/>
                <w:color w:val="auto"/>
                <w:sz w:val="24"/>
                <w:szCs w:val="24"/>
                <w:lang w:eastAsia="zh-CN"/>
              </w:rPr>
              <w:t>改建</w:t>
            </w:r>
            <w:r>
              <w:rPr>
                <w:rFonts w:hint="default" w:ascii="Times New Roman" w:hAnsi="Times New Roman" w:cs="Times New Roman"/>
                <w:color w:val="auto"/>
                <w:sz w:val="24"/>
                <w:szCs w:val="24"/>
                <w:lang w:val="en-US" w:eastAsia="zh-CN"/>
              </w:rPr>
              <w:t>1间</w:t>
            </w:r>
            <w:r>
              <w:rPr>
                <w:rFonts w:hint="default" w:ascii="Times New Roman" w:hAnsi="Times New Roman" w:cs="Times New Roman"/>
                <w:color w:val="auto"/>
                <w:sz w:val="24"/>
                <w:szCs w:val="24"/>
              </w:rPr>
              <w:t>的危废暂存间</w:t>
            </w:r>
            <w:r>
              <w:rPr>
                <w:rFonts w:hint="default" w:ascii="Times New Roman" w:hAnsi="Times New Roman" w:cs="Times New Roman"/>
                <w:color w:val="auto"/>
                <w:sz w:val="24"/>
                <w:szCs w:val="24"/>
                <w:lang w:eastAsia="zh-CN"/>
              </w:rPr>
              <w:t>，增设</w:t>
            </w:r>
            <w:r>
              <w:rPr>
                <w:rFonts w:hint="default" w:ascii="Times New Roman" w:hAnsi="Times New Roman" w:cs="Times New Roman"/>
                <w:color w:val="auto"/>
                <w:sz w:val="24"/>
                <w:szCs w:val="24"/>
              </w:rPr>
              <w:t>2个专用危废收集桶，对含油消防沙集中收集后暂存于危废暂存间内，最终交由资质单位集中处理。运营期间应对项目危废严格管理，危废暂存间进行防雨、防渗、防流失处理，房间设置明显标识。</w:t>
            </w:r>
            <w:r>
              <w:rPr>
                <w:rFonts w:hint="default" w:ascii="Times New Roman" w:hAnsi="Times New Roman" w:cs="Times New Roman"/>
                <w:color w:val="auto"/>
                <w:sz w:val="24"/>
                <w:szCs w:val="24"/>
                <w:lang w:val="en-US" w:eastAsia="zh-CN"/>
              </w:rPr>
              <w:t xml:space="preserve"> </w:t>
            </w:r>
          </w:p>
          <w:p>
            <w:pPr>
              <w:adjustRightInd w:val="0"/>
              <w:snapToGrid w:val="0"/>
              <w:spacing w:before="156"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由表</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15</w:t>
            </w:r>
            <w:r>
              <w:rPr>
                <w:rFonts w:hint="default" w:ascii="Times New Roman" w:hAnsi="Times New Roman" w:cs="Times New Roman"/>
                <w:color w:val="auto"/>
                <w:sz w:val="24"/>
              </w:rPr>
              <w:t>知，项目改造后，在卸油、加油、储油过程中安装了油气回收装置（共</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套），非甲烷总烃排放量为</w:t>
            </w:r>
            <w:r>
              <w:rPr>
                <w:rFonts w:hint="eastAsia" w:ascii="Times New Roman" w:hAnsi="Times New Roman" w:cs="Times New Roman"/>
                <w:color w:val="auto"/>
                <w:sz w:val="24"/>
                <w:lang w:val="en-US" w:eastAsia="zh-CN"/>
              </w:rPr>
              <w:t>531kg</w:t>
            </w:r>
            <w:r>
              <w:rPr>
                <w:rFonts w:hint="default" w:ascii="Times New Roman" w:hAnsi="Times New Roman" w:cs="Times New Roman"/>
                <w:color w:val="auto"/>
                <w:sz w:val="24"/>
              </w:rPr>
              <w:t>/a，较原项目减少了</w:t>
            </w:r>
            <w:r>
              <w:rPr>
                <w:rFonts w:hint="eastAsia" w:ascii="Times New Roman" w:hAnsi="Times New Roman" w:cs="Times New Roman"/>
                <w:color w:val="auto"/>
                <w:sz w:val="24"/>
                <w:lang w:val="en-US" w:eastAsia="zh-CN"/>
              </w:rPr>
              <w:t>978</w:t>
            </w:r>
            <w:r>
              <w:rPr>
                <w:rFonts w:hint="default" w:ascii="Times New Roman" w:hAnsi="Times New Roman" w:cs="Times New Roman"/>
                <w:color w:val="auto"/>
                <w:sz w:val="24"/>
              </w:rPr>
              <w:t>kg/a，可做到达标排放。项目改造后，站内雨水由雨水沟渠收集后汇入</w:t>
            </w:r>
            <w:r>
              <w:rPr>
                <w:rFonts w:hint="default" w:ascii="Times New Roman" w:hAnsi="Times New Roman" w:cs="Times New Roman"/>
                <w:color w:val="auto"/>
                <w:sz w:val="24"/>
                <w:lang w:eastAsia="zh-CN"/>
              </w:rPr>
              <w:t>水封井</w:t>
            </w:r>
            <w:r>
              <w:rPr>
                <w:rFonts w:hint="default" w:ascii="Times New Roman" w:hAnsi="Times New Roman" w:cs="Times New Roman"/>
                <w:color w:val="auto"/>
                <w:sz w:val="24"/>
              </w:rPr>
              <w:t>内处理后排入附近地表沟渠</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生活污水经化粪池熟化处理后与化粪池污泥一同提供给周边的农户用作农肥，不外排。项目改造后，新增水封井油污固废</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但均可做到100%合理处置。</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总的来说，项目改造工程实施后，项目运营对环境的影响有所减小。</w:t>
            </w:r>
          </w:p>
          <w:p>
            <w:pPr>
              <w:spacing w:line="360" w:lineRule="auto"/>
              <w:ind w:firstLine="482" w:firstLineChars="200"/>
              <w:rPr>
                <w:rFonts w:hint="default" w:ascii="Times New Roman" w:hAnsi="Times New Roman" w:cs="Times New Roman"/>
                <w:b/>
                <w:snapToGrid w:val="0"/>
                <w:color w:val="auto"/>
                <w:kern w:val="0"/>
                <w:sz w:val="24"/>
              </w:rPr>
            </w:pPr>
            <w:r>
              <w:rPr>
                <w:rFonts w:hint="default" w:ascii="Times New Roman" w:hAnsi="Times New Roman" w:cs="Times New Roman"/>
                <w:b/>
                <w:color w:val="auto"/>
                <w:sz w:val="24"/>
                <w:lang w:eastAsia="zh-CN"/>
              </w:rPr>
              <w:t>四</w:t>
            </w:r>
            <w:r>
              <w:rPr>
                <w:rFonts w:hint="default" w:ascii="Times New Roman" w:hAnsi="Times New Roman" w:cs="Times New Roman"/>
                <w:b/>
                <w:color w:val="auto"/>
                <w:sz w:val="24"/>
              </w:rPr>
              <w:t>、</w:t>
            </w:r>
            <w:r>
              <w:rPr>
                <w:rFonts w:hint="default" w:ascii="Times New Roman" w:hAnsi="Times New Roman" w:cs="Times New Roman"/>
                <w:b/>
                <w:snapToGrid w:val="0"/>
                <w:color w:val="auto"/>
                <w:kern w:val="0"/>
                <w:sz w:val="24"/>
              </w:rPr>
              <w:t>项目选址合理性分析</w:t>
            </w:r>
          </w:p>
          <w:p>
            <w:pPr>
              <w:spacing w:line="360" w:lineRule="auto"/>
              <w:ind w:firstLine="480" w:firstLineChars="200"/>
              <w:rPr>
                <w:rFonts w:hint="default" w:ascii="Times New Roman" w:hAnsi="Times New Roman" w:cs="Times New Roman"/>
                <w:snapToGrid w:val="0"/>
                <w:color w:val="auto"/>
                <w:kern w:val="0"/>
                <w:sz w:val="24"/>
              </w:rPr>
            </w:pPr>
            <w:bookmarkStart w:id="20" w:name="OLE_LINK34"/>
            <w:bookmarkStart w:id="21" w:name="OLE_LINK33"/>
            <w:r>
              <w:rPr>
                <w:rFonts w:hint="eastAsia" w:ascii="宋体" w:hAnsi="宋体"/>
                <w:color w:val="auto"/>
                <w:sz w:val="24"/>
                <w:lang w:eastAsia="zh-CN"/>
              </w:rPr>
              <w:t>项目位于砚山县蚌峨乡蚌峨新寨，项目东侧靠近乡道者蚌段，北侧</w:t>
            </w:r>
            <w:r>
              <w:rPr>
                <w:rFonts w:hint="eastAsia" w:ascii="宋体" w:hAnsi="宋体"/>
                <w:color w:val="auto"/>
                <w:sz w:val="24"/>
                <w:lang w:val="en-US" w:eastAsia="zh-CN"/>
              </w:rPr>
              <w:t>20m处为私人住户，南侧15m处为私人住户，西南侧25m处为私人住户，西侧15m处为私人住户，东北、东南20m处为私人住户，东侧15m、东北60m处为旱地，主要种植包谷等作物，项目西北侧45m、西南侧50m坡地生长着地方性灌木，植被覆盖率一般，项目东南侧303m处为旱地，主要种植包谷等</w:t>
            </w:r>
            <w:r>
              <w:rPr>
                <w:rFonts w:hint="eastAsia" w:ascii="Times New Roman" w:hAnsi="Times New Roman" w:eastAsia="宋体"/>
                <w:color w:val="auto"/>
                <w:sz w:val="24"/>
                <w:lang w:val="en-US" w:eastAsia="zh-CN"/>
              </w:rPr>
              <w:t>。</w:t>
            </w:r>
            <w:r>
              <w:rPr>
                <w:rFonts w:hint="default" w:ascii="Times New Roman" w:hAnsi="Times New Roman" w:cs="Times New Roman"/>
                <w:color w:val="auto"/>
                <w:sz w:val="24"/>
              </w:rPr>
              <w:t>外环境较为简单，无明显制约因素，项目选择在该地没有改变区域的产业、环境功能，外环境对项目影响较小从环境影响角度分析，项目选址是合理的</w:t>
            </w:r>
            <w:r>
              <w:rPr>
                <w:rFonts w:hint="default" w:ascii="Times New Roman" w:hAnsi="Times New Roman" w:cs="Times New Roman"/>
                <w:snapToGrid w:val="0"/>
                <w:color w:val="auto"/>
                <w:kern w:val="0"/>
                <w:sz w:val="24"/>
              </w:rPr>
              <w:t>。</w:t>
            </w:r>
            <w:bookmarkEnd w:id="20"/>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Times New Roman" w:hAnsi="Times New Roman" w:cs="Times New Roman"/>
                <w:b/>
                <w:snapToGrid w:val="0"/>
                <w:color w:val="auto"/>
                <w:kern w:val="0"/>
                <w:sz w:val="24"/>
                <w:lang w:eastAsia="zh-CN"/>
              </w:rPr>
            </w:pPr>
            <w:r>
              <w:rPr>
                <w:rFonts w:hint="eastAsia" w:ascii="Times New Roman" w:hAnsi="Times New Roman" w:cs="Times New Roman"/>
                <w:b/>
                <w:snapToGrid w:val="0"/>
                <w:color w:val="auto"/>
                <w:kern w:val="0"/>
                <w:sz w:val="24"/>
                <w:lang w:eastAsia="zh-CN"/>
              </w:rPr>
              <w:t>五、平面布置与设计规范的符合性分析</w:t>
            </w:r>
          </w:p>
          <w:p>
            <w:pPr>
              <w:adjustRightInd w:val="0"/>
              <w:snapToGri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color w:val="auto"/>
                <w:sz w:val="24"/>
              </w:rPr>
              <w:t>项目站内共有</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个单元，分别为加油区、储油罐区、</w:t>
            </w:r>
            <w:r>
              <w:rPr>
                <w:rFonts w:hint="default" w:ascii="Times New Roman" w:hAnsi="Times New Roman" w:cs="Times New Roman"/>
                <w:color w:val="auto"/>
                <w:sz w:val="24"/>
                <w:lang w:eastAsia="zh-CN"/>
              </w:rPr>
              <w:t>办公生活区</w:t>
            </w:r>
            <w:r>
              <w:rPr>
                <w:rFonts w:hint="default" w:ascii="Times New Roman" w:hAnsi="Times New Roman" w:cs="Times New Roman"/>
                <w:color w:val="auto"/>
                <w:sz w:val="24"/>
              </w:rPr>
              <w:t>，，其中加油区位于项目场区中间位置，地埋油罐位于项目场区</w:t>
            </w:r>
            <w:r>
              <w:rPr>
                <w:rFonts w:hint="eastAsia" w:ascii="Times New Roman" w:hAnsi="Times New Roman" w:cs="Times New Roman"/>
                <w:color w:val="auto"/>
                <w:sz w:val="24"/>
                <w:lang w:eastAsia="zh-CN"/>
              </w:rPr>
              <w:t>东</w:t>
            </w:r>
            <w:r>
              <w:rPr>
                <w:rFonts w:hint="default" w:ascii="Times New Roman" w:hAnsi="Times New Roman" w:cs="Times New Roman"/>
                <w:color w:val="auto"/>
                <w:sz w:val="24"/>
                <w:lang w:eastAsia="zh-CN"/>
              </w:rPr>
              <w:t>侧</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站房位于</w:t>
            </w:r>
            <w:r>
              <w:rPr>
                <w:rFonts w:hint="eastAsia" w:ascii="Times New Roman" w:hAnsi="Times New Roman" w:cs="Times New Roman"/>
                <w:color w:val="auto"/>
                <w:sz w:val="24"/>
                <w:lang w:eastAsia="zh-CN"/>
              </w:rPr>
              <w:t>场区罩棚东</w:t>
            </w:r>
            <w:r>
              <w:rPr>
                <w:rFonts w:hint="default" w:ascii="Times New Roman" w:hAnsi="Times New Roman" w:cs="Times New Roman"/>
                <w:color w:val="auto"/>
                <w:sz w:val="24"/>
                <w:lang w:eastAsia="zh-CN"/>
              </w:rPr>
              <w:t>侧，</w:t>
            </w:r>
            <w:r>
              <w:rPr>
                <w:rFonts w:hint="eastAsia" w:ascii="Times New Roman" w:hAnsi="Times New Roman" w:cs="Times New Roman"/>
                <w:color w:val="auto"/>
                <w:sz w:val="24"/>
                <w:lang w:eastAsia="zh-CN"/>
              </w:rPr>
              <w:t>项目各功能单元平面设置一方面方便车辆进出，便于罐车卸油和车辆加油，另一方面各功能单元（油罐、通气口、加油机）</w:t>
            </w:r>
            <w:r>
              <w:rPr>
                <w:rFonts w:hint="default" w:ascii="Times New Roman" w:hAnsi="Times New Roman" w:cs="Times New Roman"/>
                <w:color w:val="auto"/>
                <w:sz w:val="24"/>
                <w:lang w:eastAsia="zh-CN"/>
              </w:rPr>
              <w:t>与站外建、构筑物的距离</w:t>
            </w:r>
            <w:r>
              <w:rPr>
                <w:rFonts w:hint="eastAsia" w:ascii="Times New Roman" w:hAnsi="Times New Roman" w:cs="Times New Roman"/>
                <w:color w:val="auto"/>
                <w:sz w:val="24"/>
                <w:lang w:eastAsia="zh-CN"/>
              </w:rPr>
              <w:t>符合</w:t>
            </w:r>
            <w:r>
              <w:rPr>
                <w:rFonts w:hint="default" w:ascii="Times New Roman" w:hAnsi="Times New Roman" w:cs="Times New Roman"/>
                <w:color w:val="auto"/>
                <w:sz w:val="24"/>
                <w:lang w:eastAsia="zh-CN"/>
              </w:rPr>
              <w:t>《汽车加油加气站设计与施工规范》（GB50156－20</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lang w:eastAsia="zh-CN"/>
              </w:rPr>
              <w:t>）（20</w:t>
            </w:r>
            <w:r>
              <w:rPr>
                <w:rFonts w:hint="default" w:ascii="Times New Roman" w:hAnsi="Times New Roman" w:cs="Times New Roman"/>
                <w:color w:val="auto"/>
                <w:sz w:val="24"/>
                <w:lang w:val="en-US" w:eastAsia="zh-CN"/>
              </w:rPr>
              <w:t>14</w:t>
            </w:r>
            <w:r>
              <w:rPr>
                <w:rFonts w:hint="default" w:ascii="Times New Roman" w:hAnsi="Times New Roman" w:cs="Times New Roman"/>
                <w:color w:val="auto"/>
                <w:sz w:val="24"/>
                <w:lang w:eastAsia="zh-CN"/>
              </w:rPr>
              <w:t>年版）要求</w:t>
            </w:r>
            <w:r>
              <w:rPr>
                <w:rFonts w:hint="eastAsia"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本加油站为</w:t>
            </w:r>
            <w:r>
              <w:rPr>
                <w:rFonts w:hint="default" w:ascii="Times New Roman" w:hAnsi="Times New Roman" w:cs="Times New Roman"/>
                <w:color w:val="auto"/>
                <w:sz w:val="24"/>
                <w:lang w:eastAsia="zh-CN"/>
              </w:rPr>
              <w:t>三</w:t>
            </w:r>
            <w:r>
              <w:rPr>
                <w:rFonts w:hint="default" w:ascii="Times New Roman" w:hAnsi="Times New Roman" w:cs="Times New Roman"/>
                <w:color w:val="auto"/>
                <w:sz w:val="24"/>
              </w:rPr>
              <w:t>级加油站，根据《汽车加油加气站设计与施工规范》（</w:t>
            </w:r>
            <w:r>
              <w:rPr>
                <w:rFonts w:hint="default" w:ascii="Times New Roman" w:hAnsi="Times New Roman" w:cs="Times New Roman"/>
                <w:color w:val="auto"/>
                <w:sz w:val="24"/>
                <w:lang w:eastAsia="zh-CN"/>
              </w:rPr>
              <w:t>GB50156－20</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（20</w:t>
            </w:r>
            <w:r>
              <w:rPr>
                <w:rFonts w:hint="default" w:ascii="Times New Roman" w:hAnsi="Times New Roman" w:cs="Times New Roman"/>
                <w:color w:val="auto"/>
                <w:sz w:val="24"/>
                <w:lang w:val="en-US" w:eastAsia="zh-CN"/>
              </w:rPr>
              <w:t>14</w:t>
            </w:r>
            <w:r>
              <w:rPr>
                <w:rFonts w:hint="default" w:ascii="Times New Roman" w:hAnsi="Times New Roman" w:cs="Times New Roman"/>
                <w:color w:val="auto"/>
                <w:sz w:val="24"/>
                <w:lang w:eastAsia="zh-CN"/>
              </w:rPr>
              <w:t>年版）</w:t>
            </w:r>
            <w:r>
              <w:rPr>
                <w:rFonts w:hint="default" w:ascii="Times New Roman" w:hAnsi="Times New Roman" w:cs="Times New Roman"/>
                <w:color w:val="auto"/>
                <w:sz w:val="24"/>
              </w:rPr>
              <w:t>要求，本加油站内油罐、加油机和通气管管口与站外建、构筑物的距离如表7-</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所示。</w:t>
            </w:r>
          </w:p>
          <w:p>
            <w:pPr>
              <w:ind w:firstLine="1265" w:firstLineChars="600"/>
              <w:rPr>
                <w:rFonts w:hint="default" w:ascii="Times New Roman" w:hAnsi="Times New Roman" w:cs="Times New Roman"/>
                <w:color w:val="auto"/>
              </w:rPr>
            </w:pPr>
            <w:r>
              <w:rPr>
                <w:rFonts w:hint="default" w:ascii="Times New Roman" w:hAnsi="Times New Roman" w:cs="Times New Roman"/>
                <w:b/>
                <w:color w:val="auto"/>
              </w:rPr>
              <w:t>表7-</w:t>
            </w:r>
            <w:r>
              <w:rPr>
                <w:rFonts w:hint="default" w:ascii="Times New Roman" w:hAnsi="Times New Roman" w:cs="Times New Roman"/>
                <w:b/>
                <w:color w:val="auto"/>
                <w:lang w:val="en-US" w:eastAsia="zh-CN"/>
              </w:rPr>
              <w:t>1</w:t>
            </w:r>
            <w:r>
              <w:rPr>
                <w:rFonts w:hint="eastAsia" w:ascii="Times New Roman" w:hAnsi="Times New Roman" w:cs="Times New Roman"/>
                <w:b/>
                <w:color w:val="auto"/>
                <w:lang w:val="en-US" w:eastAsia="zh-CN"/>
              </w:rPr>
              <w:t>7</w:t>
            </w:r>
            <w:r>
              <w:rPr>
                <w:rFonts w:hint="default" w:ascii="Times New Roman" w:hAnsi="Times New Roman" w:cs="Times New Roman"/>
                <w:b/>
                <w:color w:val="auto"/>
              </w:rPr>
              <w:t xml:space="preserve"> 油罐、加油机、通气管管口与站外建、构筑物的防火距离</w:t>
            </w:r>
            <w:r>
              <w:rPr>
                <w:rFonts w:hint="default" w:ascii="Times New Roman" w:hAnsi="Times New Roman" w:cs="Times New Roman"/>
                <w:color w:val="auto"/>
              </w:rPr>
              <w:t>（单:m）</w:t>
            </w:r>
          </w:p>
          <w:tbl>
            <w:tblPr>
              <w:tblStyle w:val="23"/>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48"/>
              <w:gridCol w:w="262"/>
              <w:gridCol w:w="1550"/>
              <w:gridCol w:w="1160"/>
              <w:gridCol w:w="790"/>
              <w:gridCol w:w="656"/>
              <w:gridCol w:w="762"/>
              <w:gridCol w:w="714"/>
              <w:gridCol w:w="643"/>
              <w:gridCol w:w="507"/>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81" w:type="dxa"/>
                  <w:gridSpan w:val="4"/>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ind w:left="1197" w:leftChars="570" w:firstLine="420" w:firstLineChars="200"/>
                    <w:rPr>
                      <w:rFonts w:hint="default" w:ascii="Times New Roman" w:hAnsi="Times New Roman" w:cs="Times New Roman"/>
                      <w:color w:val="auto"/>
                    </w:rPr>
                  </w:pPr>
                  <w:r>
                    <w:rPr>
                      <w:rFonts w:hint="default" w:ascii="Times New Roman" w:hAnsi="Times New Roman" w:cs="Times New Roman"/>
                      <w:color w:val="auto"/>
                    </w:rPr>
                    <w:t>级别</w:t>
                  </w:r>
                </w:p>
                <w:p>
                  <w:pPr>
                    <w:ind w:firstLine="525" w:firstLineChars="250"/>
                    <w:rPr>
                      <w:rFonts w:hint="default" w:ascii="Times New Roman" w:hAnsi="Times New Roman" w:cs="Times New Roman"/>
                      <w:color w:val="auto"/>
                    </w:rPr>
                  </w:pPr>
                  <w:r>
                    <w:rPr>
                      <w:rFonts w:hint="default" w:ascii="Times New Roman" w:hAnsi="Times New Roman" w:cs="Times New Roman"/>
                      <w:color w:val="auto"/>
                    </w:rPr>
                    <w:t>项目</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油  罐</w:t>
                  </w:r>
                </w:p>
              </w:tc>
              <w:tc>
                <w:tcPr>
                  <w:tcW w:w="79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通气</w:t>
                  </w:r>
                </w:p>
                <w:p>
                  <w:pPr>
                    <w:jc w:val="center"/>
                    <w:rPr>
                      <w:rFonts w:hint="default" w:ascii="Times New Roman" w:hAnsi="Times New Roman" w:cs="Times New Roman"/>
                      <w:color w:val="auto"/>
                    </w:rPr>
                  </w:pPr>
                  <w:r>
                    <w:rPr>
                      <w:rFonts w:hint="default" w:ascii="Times New Roman" w:hAnsi="Times New Roman" w:cs="Times New Roman"/>
                      <w:color w:val="auto"/>
                    </w:rPr>
                    <w:t>管口</w:t>
                  </w:r>
                </w:p>
              </w:tc>
              <w:tc>
                <w:tcPr>
                  <w:tcW w:w="65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加</w:t>
                  </w:r>
                </w:p>
                <w:p>
                  <w:pPr>
                    <w:jc w:val="center"/>
                    <w:rPr>
                      <w:rFonts w:hint="default" w:ascii="Times New Roman" w:hAnsi="Times New Roman" w:cs="Times New Roman"/>
                      <w:color w:val="auto"/>
                    </w:rPr>
                  </w:pPr>
                  <w:r>
                    <w:rPr>
                      <w:rFonts w:hint="default" w:ascii="Times New Roman" w:hAnsi="Times New Roman" w:cs="Times New Roman"/>
                      <w:color w:val="auto"/>
                    </w:rPr>
                    <w:t xml:space="preserve">油    </w:t>
                  </w:r>
                </w:p>
                <w:p>
                  <w:pPr>
                    <w:jc w:val="center"/>
                    <w:rPr>
                      <w:rFonts w:hint="default" w:ascii="Times New Roman" w:hAnsi="Times New Roman" w:cs="Times New Roman"/>
                      <w:color w:val="auto"/>
                    </w:rPr>
                  </w:pPr>
                  <w:r>
                    <w:rPr>
                      <w:rFonts w:hint="default" w:ascii="Times New Roman" w:hAnsi="Times New Roman" w:cs="Times New Roman"/>
                      <w:color w:val="auto"/>
                    </w:rPr>
                    <w:t>机</w:t>
                  </w: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埋  地  罐</w:t>
                  </w:r>
                </w:p>
              </w:tc>
              <w:tc>
                <w:tcPr>
                  <w:tcW w:w="64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通气</w:t>
                  </w:r>
                </w:p>
                <w:p>
                  <w:pPr>
                    <w:jc w:val="center"/>
                    <w:rPr>
                      <w:rFonts w:hint="default" w:ascii="Times New Roman" w:hAnsi="Times New Roman" w:cs="Times New Roman"/>
                      <w:color w:val="auto"/>
                    </w:rPr>
                  </w:pPr>
                  <w:r>
                    <w:rPr>
                      <w:rFonts w:hint="default" w:ascii="Times New Roman" w:hAnsi="Times New Roman" w:cs="Times New Roman"/>
                      <w:color w:val="auto"/>
                    </w:rPr>
                    <w:t>管口</w:t>
                  </w:r>
                </w:p>
              </w:tc>
              <w:tc>
                <w:tcPr>
                  <w:tcW w:w="50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加</w:t>
                  </w:r>
                </w:p>
                <w:p>
                  <w:pPr>
                    <w:jc w:val="center"/>
                    <w:rPr>
                      <w:rFonts w:hint="default" w:ascii="Times New Roman" w:hAnsi="Times New Roman" w:cs="Times New Roman"/>
                      <w:color w:val="auto"/>
                    </w:rPr>
                  </w:pPr>
                  <w:r>
                    <w:rPr>
                      <w:rFonts w:hint="default" w:ascii="Times New Roman" w:hAnsi="Times New Roman" w:cs="Times New Roman"/>
                      <w:color w:val="auto"/>
                    </w:rPr>
                    <w:t>油</w:t>
                  </w:r>
                </w:p>
                <w:p>
                  <w:pPr>
                    <w:jc w:val="center"/>
                    <w:rPr>
                      <w:rFonts w:hint="default" w:ascii="Times New Roman" w:hAnsi="Times New Roman" w:cs="Times New Roman"/>
                      <w:color w:val="auto"/>
                    </w:rPr>
                  </w:pPr>
                  <w:r>
                    <w:rPr>
                      <w:rFonts w:hint="default" w:ascii="Times New Roman" w:hAnsi="Times New Roman" w:cs="Times New Roman"/>
                      <w:color w:val="auto"/>
                    </w:rPr>
                    <w:t>机</w:t>
                  </w:r>
                </w:p>
              </w:tc>
              <w:tc>
                <w:tcPr>
                  <w:tcW w:w="788" w:type="dxa"/>
                  <w:vMerge w:val="restart"/>
                  <w:tcBorders>
                    <w:top w:val="single" w:color="auto" w:sz="4" w:space="0"/>
                    <w:left w:val="single" w:color="auto" w:sz="4" w:space="0"/>
                    <w:bottom w:val="single" w:color="auto" w:sz="4" w:space="0"/>
                    <w:right w:val="single" w:color="auto" w:sz="4" w:space="0"/>
                  </w:tcBorders>
                  <w:vAlign w:val="top"/>
                </w:tcPr>
                <w:p>
                  <w:pPr>
                    <w:jc w:val="center"/>
                    <w:rPr>
                      <w:rFonts w:hint="default" w:ascii="Times New Roman" w:hAnsi="Times New Roman" w:cs="Times New Roman"/>
                      <w:color w:val="auto"/>
                    </w:rPr>
                  </w:pPr>
                  <w:r>
                    <w:rPr>
                      <w:rFonts w:hint="default" w:ascii="Times New Roman" w:hAnsi="Times New Roman" w:cs="Times New Roman"/>
                      <w:color w:val="auto"/>
                    </w:rPr>
                    <w:t>备</w:t>
                  </w:r>
                </w:p>
                <w:p>
                  <w:pPr>
                    <w:jc w:val="center"/>
                    <w:rPr>
                      <w:rFonts w:hint="default" w:ascii="Times New Roman" w:hAnsi="Times New Roman" w:cs="Times New Roman"/>
                      <w:color w:val="auto"/>
                    </w:rPr>
                  </w:pPr>
                  <w:r>
                    <w:rPr>
                      <w:rFonts w:hint="default" w:ascii="Times New Roman" w:hAnsi="Times New Roman" w:cs="Times New Roman"/>
                      <w:color w:val="auto"/>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881"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1160"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lang w:eastAsia="zh-CN"/>
                    </w:rPr>
                    <w:t>三</w:t>
                  </w:r>
                  <w:r>
                    <w:rPr>
                      <w:rFonts w:hint="default" w:ascii="Times New Roman" w:hAnsi="Times New Roman" w:cs="Times New Roman"/>
                      <w:color w:val="auto"/>
                    </w:rPr>
                    <w:t>级</w:t>
                  </w:r>
                </w:p>
              </w:tc>
              <w:tc>
                <w:tcPr>
                  <w:tcW w:w="7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7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储量</w:t>
                  </w:r>
                </w:p>
              </w:tc>
              <w:tc>
                <w:tcPr>
                  <w:tcW w:w="7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eastAsia" w:ascii="Times New Roman" w:hAnsi="Times New Roman" w:cs="Times New Roman"/>
                      <w:color w:val="auto"/>
                      <w:lang w:val="en-US" w:eastAsia="zh-CN"/>
                    </w:rPr>
                    <w:t>63.4</w:t>
                  </w:r>
                </w:p>
              </w:tc>
              <w:tc>
                <w:tcPr>
                  <w:tcW w:w="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5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7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881"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7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7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级别</w:t>
                  </w:r>
                </w:p>
              </w:tc>
              <w:tc>
                <w:tcPr>
                  <w:tcW w:w="71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lang w:eastAsia="zh-CN"/>
                    </w:rPr>
                    <w:t>三</w:t>
                  </w:r>
                  <w:r>
                    <w:rPr>
                      <w:rFonts w:hint="default" w:ascii="Times New Roman" w:hAnsi="Times New Roman" w:cs="Times New Roman"/>
                      <w:color w:val="auto"/>
                    </w:rPr>
                    <w:t>级</w:t>
                  </w:r>
                </w:p>
              </w:tc>
              <w:tc>
                <w:tcPr>
                  <w:tcW w:w="6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5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7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881"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2606"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color w:val="auto"/>
                    </w:rPr>
                  </w:pPr>
                  <w:r>
                    <w:rPr>
                      <w:rFonts w:hint="default" w:ascii="Times New Roman" w:hAnsi="Times New Roman" w:cs="Times New Roman"/>
                      <w:b/>
                      <w:color w:val="auto"/>
                    </w:rPr>
                    <w:t>标准值</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color w:val="auto"/>
                    </w:rPr>
                  </w:pPr>
                  <w:r>
                    <w:rPr>
                      <w:rFonts w:hint="default" w:ascii="Times New Roman" w:hAnsi="Times New Roman" w:cs="Times New Roman"/>
                      <w:b/>
                      <w:color w:val="auto"/>
                    </w:rPr>
                    <w:t>设计值</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881"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重要公共建筑物</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35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2881"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明火或散发火花地点</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12.5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12.5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12.5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12.5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31"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民用建筑物保护类别</w:t>
                  </w:r>
                </w:p>
              </w:tc>
              <w:tc>
                <w:tcPr>
                  <w:tcW w:w="15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一类保护物</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11</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11</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11</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ind w:firstLine="210" w:firstLineChars="100"/>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11</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3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15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二类保护物</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8.5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8.5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8.5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8.5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3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15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三类保护物</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7</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7</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ind w:firstLine="210" w:firstLineChars="100"/>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7</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881"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甲、乙类物品生产厂房、库房和甲、乙类液体储罐</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12.5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12.5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12.5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12.5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881"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其它类生产厂房、库房和丙类液体储罐及容积不大于50m</w:t>
                  </w:r>
                  <w:r>
                    <w:rPr>
                      <w:rFonts w:hint="default" w:ascii="Times New Roman" w:hAnsi="Times New Roman" w:cs="Times New Roman"/>
                      <w:color w:val="auto"/>
                      <w:vertAlign w:val="superscript"/>
                    </w:rPr>
                    <w:t>３</w:t>
                  </w:r>
                  <w:r>
                    <w:rPr>
                      <w:rFonts w:hint="default" w:ascii="Times New Roman" w:hAnsi="Times New Roman" w:cs="Times New Roman"/>
                      <w:color w:val="auto"/>
                    </w:rPr>
                    <w:t>的埋地甲、乙类液体储罐</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10.5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10.5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10.5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881"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室外变配电站</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12.5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12.5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12.5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12.5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881"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铁      路</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15.5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15.5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15.5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15.5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城市道路</w:t>
                  </w:r>
                </w:p>
              </w:tc>
              <w:tc>
                <w:tcPr>
                  <w:tcW w:w="1860"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快速路、主干道</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5.5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0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rPr>
                  </w:pPr>
                </w:p>
              </w:tc>
              <w:tc>
                <w:tcPr>
                  <w:tcW w:w="1860"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次干道、支路</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881" w:type="dxa"/>
                  <w:gridSpan w:val="4"/>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架空通</w:t>
                  </w:r>
                  <w:r>
                    <w:rPr>
                      <w:rFonts w:hint="default" w:ascii="Times New Roman" w:hAnsi="Times New Roman" w:cs="Times New Roman"/>
                      <w:color w:val="auto"/>
                      <w:lang w:eastAsia="zh-CN"/>
                    </w:rPr>
                    <w:t>信</w:t>
                  </w:r>
                  <w:r>
                    <w:rPr>
                      <w:rFonts w:hint="default" w:ascii="Times New Roman" w:hAnsi="Times New Roman" w:cs="Times New Roman"/>
                      <w:color w:val="auto"/>
                    </w:rPr>
                    <w:t>线</w:t>
                  </w:r>
                  <w:r>
                    <w:rPr>
                      <w:rFonts w:hint="default" w:ascii="Times New Roman" w:hAnsi="Times New Roman" w:cs="Times New Roman"/>
                      <w:color w:val="auto"/>
                      <w:lang w:eastAsia="zh-CN"/>
                    </w:rPr>
                    <w:t>和通信发射塔</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eastAsia="zh-CN"/>
                    </w:rPr>
                  </w:pPr>
                  <w:r>
                    <w:rPr>
                      <w:rFonts w:hint="default" w:ascii="Times New Roman" w:hAnsi="Times New Roman" w:cs="Times New Roman"/>
                      <w:color w:val="auto"/>
                      <w:sz w:val="18"/>
                      <w:szCs w:val="18"/>
                      <w:lang w:val="en-US" w:eastAsia="zh-CN"/>
                    </w:rPr>
                    <w:t>5</w:t>
                  </w:r>
                </w:p>
              </w:tc>
              <w:tc>
                <w:tcPr>
                  <w:tcW w:w="7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w:t>
                  </w:r>
                </w:p>
              </w:tc>
              <w:tc>
                <w:tcPr>
                  <w:tcW w:w="6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p>
              </w:tc>
              <w:tc>
                <w:tcPr>
                  <w:tcW w:w="2626" w:type="dxa"/>
                  <w:gridSpan w:val="4"/>
                  <w:tcBorders>
                    <w:top w:val="single" w:color="auto" w:sz="4" w:space="0"/>
                    <w:left w:val="single" w:color="auto" w:sz="4" w:space="0"/>
                    <w:bottom w:val="single" w:color="auto" w:sz="4" w:space="0"/>
                    <w:right w:val="single" w:color="auto" w:sz="4" w:space="0"/>
                  </w:tcBorders>
                  <w:vAlign w:val="top"/>
                </w:tcPr>
                <w:p>
                  <w:pPr>
                    <w:jc w:val="cente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5</w:t>
                  </w:r>
                  <w:r>
                    <w:rPr>
                      <w:rFonts w:hint="default" w:ascii="Times New Roman" w:hAnsi="Times New Roman" w:cs="Times New Roman"/>
                      <w:color w:val="auto"/>
                    </w:rPr>
                    <w:t>m范围内无</w:t>
                  </w:r>
                </w:p>
              </w:tc>
              <w:tc>
                <w:tcPr>
                  <w:tcW w:w="788"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69" w:type="dxa"/>
                  <w:gridSpan w:val="2"/>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架空电力线路</w:t>
                  </w:r>
                </w:p>
              </w:tc>
              <w:tc>
                <w:tcPr>
                  <w:tcW w:w="1812" w:type="dxa"/>
                  <w:gridSpan w:val="2"/>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无绝缘层</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6.5</w:t>
                  </w:r>
                </w:p>
              </w:tc>
              <w:tc>
                <w:tcPr>
                  <w:tcW w:w="790"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6.5</w:t>
                  </w:r>
                </w:p>
              </w:tc>
              <w:tc>
                <w:tcPr>
                  <w:tcW w:w="65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6.5</w:t>
                  </w:r>
                  <w:r>
                    <w:rPr>
                      <w:rFonts w:hint="default" w:ascii="Times New Roman" w:hAnsi="Times New Roman" w:cs="Times New Roman"/>
                      <w:color w:val="auto"/>
                    </w:rPr>
                    <w:t>m范围内无</w:t>
                  </w:r>
                </w:p>
              </w:tc>
              <w:tc>
                <w:tcPr>
                  <w:tcW w:w="788"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069" w:type="dxa"/>
                  <w:gridSpan w:val="2"/>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p>
              </w:tc>
              <w:tc>
                <w:tcPr>
                  <w:tcW w:w="1812" w:type="dxa"/>
                  <w:gridSpan w:val="2"/>
                  <w:tcBorders>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有绝缘层</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p>
              </w:tc>
              <w:tc>
                <w:tcPr>
                  <w:tcW w:w="790"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p>
              </w:tc>
              <w:tc>
                <w:tcPr>
                  <w:tcW w:w="656"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p>
              </w:tc>
              <w:tc>
                <w:tcPr>
                  <w:tcW w:w="2626" w:type="dxa"/>
                  <w:gridSpan w:val="4"/>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rPr>
                  </w:pPr>
                  <w:r>
                    <w:rPr>
                      <w:rFonts w:hint="default" w:ascii="Times New Roman" w:hAnsi="Times New Roman" w:cs="Times New Roman"/>
                      <w:color w:val="auto"/>
                    </w:rPr>
                    <w:t>场地周边</w:t>
                  </w:r>
                  <w:r>
                    <w:rPr>
                      <w:rFonts w:hint="default" w:ascii="Times New Roman" w:hAnsi="Times New Roman" w:cs="Times New Roman"/>
                      <w:color w:val="auto"/>
                      <w:lang w:val="en-US" w:eastAsia="zh-CN"/>
                    </w:rPr>
                    <w:t>5</w:t>
                  </w:r>
                  <w:r>
                    <w:rPr>
                      <w:rFonts w:hint="default" w:ascii="Times New Roman" w:hAnsi="Times New Roman" w:cs="Times New Roman"/>
                      <w:color w:val="auto"/>
                    </w:rPr>
                    <w:t>m范围内无</w:t>
                  </w:r>
                </w:p>
              </w:tc>
              <w:tc>
                <w:tcPr>
                  <w:tcW w:w="788" w:type="dxa"/>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rPr>
                  </w:pPr>
                </w:p>
              </w:tc>
            </w:tr>
          </w:tbl>
          <w:p>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从表7-</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 xml:space="preserve">可以看出，本项目周边各敏感点与油罐、加油机、通气管管口与站外建构筑物的放火距离可满足相关规范要求。结合本报告表“环境风险评价”和安全预评价相关内容及项目经济效益与社会需求后，该加油站在落实本项目安全评价提出的各项措施的基础上，站址选择可行。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241" w:firstLineChars="100"/>
              <w:jc w:val="both"/>
              <w:textAlignment w:val="auto"/>
              <w:outlineLvl w:val="9"/>
              <w:rPr>
                <w:rFonts w:hint="default" w:ascii="Times New Roman" w:hAnsi="Times New Roman" w:cs="Times New Roman"/>
                <w:b/>
                <w:bCs/>
                <w:color w:val="auto"/>
                <w:sz w:val="24"/>
                <w:szCs w:val="24"/>
                <w:lang w:eastAsia="zh-CN"/>
              </w:rPr>
            </w:pPr>
            <w:r>
              <w:rPr>
                <w:rFonts w:hint="eastAsia" w:ascii="Times New Roman" w:hAnsi="Times New Roman" w:cs="Times New Roman"/>
                <w:b/>
                <w:snapToGrid w:val="0"/>
                <w:color w:val="auto"/>
                <w:kern w:val="0"/>
                <w:sz w:val="24"/>
                <w:lang w:eastAsia="zh-CN"/>
              </w:rPr>
              <w:t>六</w:t>
            </w:r>
            <w:r>
              <w:rPr>
                <w:rFonts w:hint="default" w:ascii="Times New Roman" w:hAnsi="Times New Roman" w:cs="Times New Roman"/>
                <w:b/>
                <w:snapToGrid w:val="0"/>
                <w:color w:val="auto"/>
                <w:kern w:val="0"/>
                <w:sz w:val="24"/>
              </w:rPr>
              <w:t>、</w:t>
            </w:r>
            <w:r>
              <w:rPr>
                <w:rFonts w:hint="default" w:ascii="Times New Roman" w:hAnsi="Times New Roman" w:cs="Times New Roman"/>
                <w:b/>
                <w:bCs/>
                <w:color w:val="auto"/>
                <w:sz w:val="24"/>
                <w:szCs w:val="24"/>
                <w:lang w:eastAsia="zh-CN"/>
              </w:rPr>
              <w:t>项目与“水十条”相符性分析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jc w:val="both"/>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本项目与《水污染防止行动计划》（2015）符合性分析内容见表7-1</w:t>
            </w:r>
            <w:r>
              <w:rPr>
                <w:rFonts w:hint="eastAsia" w:ascii="Times New Roman" w:hAnsi="Times New Roman" w:cs="Times New Roman"/>
                <w:b w:val="0"/>
                <w:bCs w:val="0"/>
                <w:color w:val="auto"/>
                <w:sz w:val="24"/>
                <w:szCs w:val="24"/>
                <w:lang w:val="en-US" w:eastAsia="zh-CN"/>
              </w:rPr>
              <w:t>8</w:t>
            </w:r>
            <w:r>
              <w:rPr>
                <w:rFonts w:hint="default" w:ascii="Times New Roman" w:hAnsi="Times New Roman" w:cs="Times New Roman"/>
                <w:b w:val="0"/>
                <w:bCs w:val="0"/>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1476" w:firstLineChars="700"/>
              <w:jc w:val="both"/>
              <w:textAlignment w:val="auto"/>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表7-1</w:t>
            </w: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lang w:val="en-US" w:eastAsia="zh-CN"/>
              </w:rPr>
              <w:t xml:space="preserve"> 项目与《水污染防止行动计划》（2015）符合性分析一览表</w:t>
            </w:r>
          </w:p>
          <w:tbl>
            <w:tblPr>
              <w:tblStyle w:val="24"/>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3956"/>
              <w:gridCol w:w="2479"/>
              <w:gridCol w:w="1187"/>
            </w:tblGrid>
            <w:tr>
              <w:tblPrEx>
                <w:tblCellMar>
                  <w:top w:w="0" w:type="dxa"/>
                  <w:left w:w="108" w:type="dxa"/>
                  <w:bottom w:w="0" w:type="dxa"/>
                  <w:right w:w="108" w:type="dxa"/>
                </w:tblCellMar>
              </w:tblPrEx>
              <w:trPr>
                <w:trHeight w:val="567" w:hRule="exact"/>
                <w:jc w:val="center"/>
              </w:trPr>
              <w:tc>
                <w:tcPr>
                  <w:tcW w:w="7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lang w:val="en-US" w:eastAsia="zh-CN"/>
                    </w:rPr>
                    <w:t>编号</w:t>
                  </w:r>
                </w:p>
              </w:tc>
              <w:tc>
                <w:tcPr>
                  <w:tcW w:w="39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分析内容</w:t>
                  </w:r>
                </w:p>
              </w:tc>
              <w:tc>
                <w:tcPr>
                  <w:tcW w:w="24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项目情况</w:t>
                  </w:r>
                </w:p>
              </w:tc>
              <w:tc>
                <w:tcPr>
                  <w:tcW w:w="11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条</w:t>
                  </w: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一、全面控制污染物排放</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1、狠抓工业污染防治，取缔“十小”企业。</w:t>
                  </w:r>
                </w:p>
              </w:tc>
              <w:tc>
                <w:tcPr>
                  <w:tcW w:w="24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本项目不属于“十小”企业</w:t>
                  </w:r>
                </w:p>
              </w:tc>
              <w:tc>
                <w:tcPr>
                  <w:tcW w:w="11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2、强化城镇生活污水治理，加快城镇污水处理设施建设与改造</w:t>
                  </w:r>
                </w:p>
              </w:tc>
              <w:tc>
                <w:tcPr>
                  <w:tcW w:w="247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本项目不涉及</w:t>
                  </w:r>
                </w:p>
              </w:tc>
              <w:tc>
                <w:tcPr>
                  <w:tcW w:w="118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3、推进农业农村污染防治，防治畜禽养殖污染</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4、加强船舶港口污染控制，积极治理船舶污染</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条</w:t>
                  </w:r>
                </w:p>
              </w:tc>
              <w:tc>
                <w:tcPr>
                  <w:tcW w:w="39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二、推动经济结构转型升级</w:t>
                  </w:r>
                </w:p>
              </w:tc>
              <w:tc>
                <w:tcPr>
                  <w:tcW w:w="24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1、调整产业结构，依法淘汰落后产能</w:t>
                  </w:r>
                </w:p>
              </w:tc>
              <w:tc>
                <w:tcPr>
                  <w:tcW w:w="24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本项目建设不属于国家发展改革委员《产业结构调整指导目录（2011年本）》和《云南省工业产业结构调整指导目录（2006年本）》中限制和淘汰类规定的范围，项目符合国家当前的产业政策。</w:t>
                  </w:r>
                </w:p>
              </w:tc>
              <w:tc>
                <w:tcPr>
                  <w:tcW w:w="11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2、优化空间布局，合理确定发展布局、结构、规模</w:t>
                  </w:r>
                </w:p>
              </w:tc>
              <w:tc>
                <w:tcPr>
                  <w:tcW w:w="247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3、推进循环发展，加强工业水循环利用</w:t>
                  </w:r>
                </w:p>
              </w:tc>
              <w:tc>
                <w:tcPr>
                  <w:tcW w:w="247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条</w:t>
                  </w: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三、着力节约保护水资源</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1、控制用水总量，实施最严格水资源管理</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2、提高用水效率，抓好工业节水，加强城镇节水，发展农业节水</w:t>
                  </w:r>
                </w:p>
              </w:tc>
              <w:tc>
                <w:tcPr>
                  <w:tcW w:w="24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3、科学保护水资源，完善水资源保护考核评价体系</w:t>
                  </w:r>
                </w:p>
              </w:tc>
              <w:tc>
                <w:tcPr>
                  <w:tcW w:w="247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项目废水不外排</w:t>
                  </w:r>
                </w:p>
              </w:tc>
              <w:tc>
                <w:tcPr>
                  <w:tcW w:w="11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条</w:t>
                  </w: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四、强化科技支撑</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1、推广示范适用技术</w:t>
                  </w:r>
                </w:p>
              </w:tc>
              <w:tc>
                <w:tcPr>
                  <w:tcW w:w="247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2、攻关研发前瞻技术</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3、大力发展环保产业</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条</w:t>
                  </w: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五、充分发挥市场机制作用</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1、理顺价格税费，加快水价改革</w:t>
                  </w:r>
                </w:p>
              </w:tc>
              <w:tc>
                <w:tcPr>
                  <w:tcW w:w="247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2、促进多元融资，引导社会资本投入</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3、建立激励机制，健全节水环保“领跑者”制度</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条</w:t>
                  </w: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六、严格环境执法监管</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1、完善法规标准，健全法律制度</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2、加大执法力度，所有排污单位必须依法实现全面达标排放</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本项目废水不外排。</w:t>
                  </w: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3、提升监管水平，完善流域协作机制</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第七条</w:t>
                  </w: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七、切实加强水环境管理</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1、强化环境质量目标管理，明确各类水体水质保护目标。</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条</w:t>
                  </w: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八、全力保障水生态环境安全</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1、保障饮用水水源安全，从水源到水龙头全过程监管饮用水安全</w:t>
                  </w:r>
                </w:p>
              </w:tc>
              <w:tc>
                <w:tcPr>
                  <w:tcW w:w="247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2、深化重点流域污染防治，编制实施七大重点流域水污染防治方案</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3、加强近岸海域环境保护，实施近岸海域污染防治方案</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4、整治城市黑臭水体</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5、保护水和湿地生态系统，加强河湖水生态保护</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条</w:t>
                  </w: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九、明确和落实各方责任</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1、强化地方政府水环境保护责任</w:t>
                  </w:r>
                </w:p>
              </w:tc>
              <w:tc>
                <w:tcPr>
                  <w:tcW w:w="2479" w:type="dxa"/>
                  <w:vMerge w:val="restart"/>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2、加强部门协调联动，建立全国水污染防止工作协作机制，定期研究解决重大问题。</w:t>
                  </w:r>
                </w:p>
              </w:tc>
              <w:tc>
                <w:tcPr>
                  <w:tcW w:w="2479"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3、落实排污单位主体责任，各类排污单位要严格执行环保法律法规和制度，加强污染治理设施建设和运行管理，开展自行监测，落实防污减排、环境风险防范等责任</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制定运营期监测计划，要求制定突发环境事件预案。</w:t>
                  </w:r>
                </w:p>
              </w:tc>
              <w:tc>
                <w:tcPr>
                  <w:tcW w:w="11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4、严格目标任务考核</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条</w:t>
                  </w: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十、强化公众参与和社会监督</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1、依法公开环境信息</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项目报批时将全文网络公示</w:t>
                  </w: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2、加强社会监督</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接受社会监督</w:t>
                  </w: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p>
              </w:tc>
              <w:tc>
                <w:tcPr>
                  <w:tcW w:w="39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3、构建全民行动格局</w:t>
                  </w:r>
                </w:p>
              </w:tc>
              <w:tc>
                <w:tcPr>
                  <w:tcW w:w="247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不涉及</w:t>
                  </w:r>
                </w:p>
              </w:tc>
              <w:tc>
                <w:tcPr>
                  <w:tcW w:w="118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241" w:firstLineChars="100"/>
              <w:jc w:val="both"/>
              <w:textAlignment w:val="auto"/>
              <w:outlineLvl w:val="9"/>
              <w:rPr>
                <w:rFonts w:hint="default" w:ascii="Times New Roman" w:hAnsi="Times New Roman" w:cs="Times New Roman"/>
                <w:b/>
                <w:bCs/>
                <w:color w:val="auto"/>
                <w:sz w:val="24"/>
                <w:szCs w:val="24"/>
                <w:lang w:eastAsia="zh-CN"/>
              </w:rPr>
            </w:pPr>
            <w:r>
              <w:rPr>
                <w:rFonts w:hint="eastAsia" w:ascii="Times New Roman" w:hAnsi="Times New Roman" w:cs="Times New Roman"/>
                <w:b/>
                <w:snapToGrid w:val="0"/>
                <w:color w:val="auto"/>
                <w:kern w:val="0"/>
                <w:sz w:val="24"/>
                <w:lang w:eastAsia="zh-CN"/>
              </w:rPr>
              <w:t>七</w:t>
            </w:r>
            <w:r>
              <w:rPr>
                <w:rFonts w:hint="default" w:ascii="Times New Roman" w:hAnsi="Times New Roman" w:cs="Times New Roman"/>
                <w:b/>
                <w:snapToGrid w:val="0"/>
                <w:color w:val="auto"/>
                <w:kern w:val="0"/>
                <w:sz w:val="24"/>
              </w:rPr>
              <w:t>、</w:t>
            </w:r>
            <w:r>
              <w:rPr>
                <w:rFonts w:hint="default" w:ascii="Times New Roman" w:hAnsi="Times New Roman" w:cs="Times New Roman"/>
                <w:b/>
                <w:bCs/>
                <w:color w:val="auto"/>
                <w:sz w:val="24"/>
                <w:szCs w:val="24"/>
                <w:lang w:eastAsia="zh-CN"/>
              </w:rPr>
              <w:t>项目与“气十条”相符性分析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firstLine="480"/>
              <w:jc w:val="both"/>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本项目与《大气污染防止行动计划》（2013）符合性分析内容见表7-1</w:t>
            </w:r>
            <w:r>
              <w:rPr>
                <w:rFonts w:hint="eastAsia" w:ascii="Times New Roman" w:hAnsi="Times New Roman" w:cs="Times New Roman"/>
                <w:b w:val="0"/>
                <w:bCs w:val="0"/>
                <w:color w:val="auto"/>
                <w:sz w:val="24"/>
                <w:szCs w:val="24"/>
                <w:lang w:val="en-US" w:eastAsia="zh-CN"/>
              </w:rPr>
              <w:t>9</w:t>
            </w:r>
            <w:r>
              <w:rPr>
                <w:rFonts w:hint="default" w:ascii="Times New Roman" w:hAnsi="Times New Roman" w:cs="Times New Roman"/>
                <w:b w:val="0"/>
                <w:bCs w:val="0"/>
                <w:color w:val="auto"/>
                <w:sz w:val="24"/>
                <w:szCs w:val="24"/>
                <w:lang w:val="en-US" w:eastAsia="zh-CN"/>
              </w:rPr>
              <w:t>。</w:t>
            </w:r>
          </w:p>
          <w:p>
            <w:pPr>
              <w:spacing w:line="360" w:lineRule="auto"/>
              <w:ind w:left="-3" w:firstLine="424" w:firstLineChars="201"/>
              <w:jc w:val="center"/>
              <w:rPr>
                <w:rFonts w:hint="default" w:ascii="Times New Roman" w:hAnsi="Times New Roman" w:cs="Times New Roman"/>
                <w:b/>
                <w:snapToGrid w:val="0"/>
                <w:color w:val="auto"/>
                <w:kern w:val="0"/>
                <w:sz w:val="21"/>
                <w:szCs w:val="21"/>
                <w:lang w:val="en-US" w:eastAsia="zh-CN"/>
              </w:rPr>
            </w:pPr>
            <w:r>
              <w:rPr>
                <w:rFonts w:hint="default" w:ascii="Times New Roman" w:hAnsi="Times New Roman" w:cs="Times New Roman"/>
                <w:b/>
                <w:snapToGrid w:val="0"/>
                <w:color w:val="auto"/>
                <w:kern w:val="0"/>
                <w:sz w:val="21"/>
                <w:szCs w:val="21"/>
                <w:lang w:eastAsia="zh-CN"/>
              </w:rPr>
              <w:t>表</w:t>
            </w:r>
            <w:r>
              <w:rPr>
                <w:rFonts w:hint="default" w:ascii="Times New Roman" w:hAnsi="Times New Roman" w:cs="Times New Roman"/>
                <w:b/>
                <w:snapToGrid w:val="0"/>
                <w:color w:val="auto"/>
                <w:kern w:val="0"/>
                <w:sz w:val="21"/>
                <w:szCs w:val="21"/>
                <w:lang w:val="en-US" w:eastAsia="zh-CN"/>
              </w:rPr>
              <w:t>7-1</w:t>
            </w:r>
            <w:r>
              <w:rPr>
                <w:rFonts w:hint="eastAsia" w:ascii="Times New Roman" w:hAnsi="Times New Roman" w:cs="Times New Roman"/>
                <w:b/>
                <w:snapToGrid w:val="0"/>
                <w:color w:val="auto"/>
                <w:kern w:val="0"/>
                <w:sz w:val="21"/>
                <w:szCs w:val="21"/>
                <w:lang w:val="en-US" w:eastAsia="zh-CN"/>
              </w:rPr>
              <w:t>9</w:t>
            </w:r>
            <w:r>
              <w:rPr>
                <w:rFonts w:hint="default" w:ascii="Times New Roman" w:hAnsi="Times New Roman" w:cs="Times New Roman"/>
                <w:b/>
                <w:snapToGrid w:val="0"/>
                <w:color w:val="auto"/>
                <w:kern w:val="0"/>
                <w:sz w:val="21"/>
                <w:szCs w:val="21"/>
                <w:lang w:val="en-US" w:eastAsia="zh-CN"/>
              </w:rPr>
              <w:t>项目与“气十条”符合性分析</w:t>
            </w:r>
          </w:p>
          <w:tbl>
            <w:tblPr>
              <w:tblStyle w:val="24"/>
              <w:tblW w:w="8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3403"/>
              <w:gridCol w:w="2106"/>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val="0"/>
                      <w:snapToGrid w:val="0"/>
                      <w:color w:val="auto"/>
                      <w:kern w:val="0"/>
                      <w:sz w:val="21"/>
                      <w:szCs w:val="21"/>
                      <w:vertAlign w:val="baseline"/>
                      <w:lang w:val="en-US" w:eastAsia="zh-CN"/>
                    </w:rPr>
                  </w:pPr>
                  <w:r>
                    <w:rPr>
                      <w:rFonts w:hint="default" w:ascii="Times New Roman" w:hAnsi="Times New Roman" w:cs="Times New Roman"/>
                      <w:b/>
                      <w:bCs w:val="0"/>
                      <w:snapToGrid w:val="0"/>
                      <w:color w:val="auto"/>
                      <w:kern w:val="0"/>
                      <w:sz w:val="21"/>
                      <w:szCs w:val="21"/>
                      <w:vertAlign w:val="baseline"/>
                      <w:lang w:val="en-US" w:eastAsia="zh-CN"/>
                    </w:rPr>
                    <w:t>序号</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val="0"/>
                      <w:snapToGrid w:val="0"/>
                      <w:color w:val="auto"/>
                      <w:kern w:val="0"/>
                      <w:sz w:val="21"/>
                      <w:szCs w:val="21"/>
                      <w:vertAlign w:val="baseline"/>
                      <w:lang w:val="en-US" w:eastAsia="zh-CN"/>
                    </w:rPr>
                  </w:pPr>
                  <w:r>
                    <w:rPr>
                      <w:rFonts w:hint="default" w:ascii="Times New Roman" w:hAnsi="Times New Roman" w:cs="Times New Roman"/>
                      <w:b/>
                      <w:bCs w:val="0"/>
                      <w:snapToGrid w:val="0"/>
                      <w:color w:val="auto"/>
                      <w:kern w:val="0"/>
                      <w:sz w:val="21"/>
                      <w:szCs w:val="21"/>
                      <w:vertAlign w:val="baseline"/>
                      <w:lang w:val="en-US" w:eastAsia="zh-CN"/>
                    </w:rPr>
                    <w:t>分析内容</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val="0"/>
                      <w:snapToGrid w:val="0"/>
                      <w:color w:val="auto"/>
                      <w:kern w:val="0"/>
                      <w:sz w:val="21"/>
                      <w:szCs w:val="21"/>
                      <w:vertAlign w:val="baseline"/>
                      <w:lang w:val="en-US" w:eastAsia="zh-CN"/>
                    </w:rPr>
                  </w:pPr>
                  <w:r>
                    <w:rPr>
                      <w:rFonts w:hint="default" w:ascii="Times New Roman" w:hAnsi="Times New Roman" w:cs="Times New Roman"/>
                      <w:b/>
                      <w:bCs w:val="0"/>
                      <w:snapToGrid w:val="0"/>
                      <w:color w:val="auto"/>
                      <w:kern w:val="0"/>
                      <w:sz w:val="21"/>
                      <w:szCs w:val="21"/>
                      <w:vertAlign w:val="baseline"/>
                      <w:lang w:val="en-US" w:eastAsia="zh-CN"/>
                    </w:rPr>
                    <w:t>本项目情况</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val="0"/>
                      <w:snapToGrid w:val="0"/>
                      <w:color w:val="auto"/>
                      <w:kern w:val="0"/>
                      <w:sz w:val="21"/>
                      <w:szCs w:val="21"/>
                      <w:vertAlign w:val="baseline"/>
                      <w:lang w:val="en-US" w:eastAsia="zh-CN"/>
                    </w:rPr>
                  </w:pPr>
                  <w:r>
                    <w:rPr>
                      <w:rFonts w:hint="default" w:ascii="Times New Roman" w:hAnsi="Times New Roman" w:cs="Times New Roman"/>
                      <w:b/>
                      <w:bCs w:val="0"/>
                      <w:snapToGrid w:val="0"/>
                      <w:color w:val="auto"/>
                      <w:kern w:val="0"/>
                      <w:sz w:val="21"/>
                      <w:szCs w:val="21"/>
                      <w:vertAlign w:val="baseline"/>
                      <w:lang w:val="en-US" w:eastAsia="zh-CN"/>
                    </w:rPr>
                    <w:t>分析结果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减少污染物排放。全面整治燃煤小锅炉，加快重点行业脱硫脱硝除尘改造。整治城市扬尘。提升燃油品质，限期淘汰黄标车。</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项目加油区、卸油区设置油气回收系统</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严控高耗能、高污染行业新增产能，提前一年完成钢铁、水泥、电解铝、平板玻璃等重点行业“十二五”落后产能淘汰任务。</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本项目不属于“两高”项目，也不属于限制类和淘汰类项目。</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大力推行清洁生产，重点行业主要大气污染物排放强度到2017年底下降30%以上。大力发展公共交通。</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项目厨房使用清洁能源电。</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四条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加快调整能源结构，加大天然气、煤制甲烷等清洁能源供应。</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项目厨房使用清洁能源电。</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五条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强化节能环保指标约束，对未通过能评、环评的项目，不得批准开工建设，不得提供土地，不得提供贷款支持，不得供电供水。</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六条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推行激励与约束并举的节能减排新机制，加大排污费征收力度。加大对大气污染防治的信贷支持。加强国际合作，大力培育环保、新能源产业。</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七条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用法律、标准“倒逼”产业转型升级。制定、修订重点行业排放标准，建议修订大气污染防治法等法律。强制公开重污染行业企业环境信息。公布重点城市空气质量排名。加大违法行为处罚力度。</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八条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建立环渤海包括京津冀、长三角、珠三角等区域联防联控机制，加强人口密集地区和重点大城市PM2.5治理，构建对各省（区、市）的大气环境整治目标责任考核体系。</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不涉及</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九条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将重污染天气纳入地方政府突发事件，根据污染等级及时采取重污染企业限产限排、机动车限行等措施。应急管理。</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第</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条</w:t>
                  </w:r>
                </w:p>
              </w:tc>
              <w:tc>
                <w:tcPr>
                  <w:tcW w:w="340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树立全社会“同呼吸、共奋斗”的行为准则，地方政府对当地空气质量负总责，落实企业治污主体责任，国务院有关部门协调联动，倡导节约、绿色消费方式和生活习惯，动员全民参与环境保护和监督。</w:t>
                  </w:r>
                </w:p>
              </w:tc>
              <w:tc>
                <w:tcPr>
                  <w:tcW w:w="2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c>
                <w:tcPr>
                  <w:tcW w:w="21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b w:val="0"/>
                      <w:bCs/>
                      <w:snapToGrid w:val="0"/>
                      <w:color w:val="auto"/>
                      <w:kern w:val="0"/>
                      <w:sz w:val="21"/>
                      <w:szCs w:val="21"/>
                      <w:vertAlign w:val="baseline"/>
                      <w:lang w:val="en-US" w:eastAsia="zh-CN"/>
                    </w:rPr>
                  </w:pPr>
                  <w:r>
                    <w:rPr>
                      <w:rFonts w:hint="default" w:ascii="Times New Roman" w:hAnsi="Times New Roman" w:cs="Times New Roman"/>
                      <w:b w:val="0"/>
                      <w:bCs/>
                      <w:snapToGrid w:val="0"/>
                      <w:color w:val="auto"/>
                      <w:kern w:val="0"/>
                      <w:sz w:val="21"/>
                      <w:szCs w:val="21"/>
                      <w:vertAlign w:val="baseline"/>
                      <w:lang w:val="en-US" w:eastAsia="zh-CN"/>
                    </w:rPr>
                    <w:t>符合</w:t>
                  </w:r>
                </w:p>
              </w:tc>
            </w:tr>
          </w:tbl>
          <w:p>
            <w:pPr>
              <w:numPr>
                <w:ilvl w:val="0"/>
                <w:numId w:val="0"/>
              </w:numPr>
              <w:adjustRightInd w:val="0"/>
              <w:spacing w:line="360" w:lineRule="auto"/>
              <w:ind w:firstLine="482" w:firstLineChars="200"/>
              <w:rPr>
                <w:rFonts w:hint="eastAsia" w:ascii="Times New Roman" w:hAnsi="Times New Roman" w:cs="Times New Roman"/>
                <w:b/>
                <w:snapToGrid w:val="0"/>
                <w:color w:val="auto"/>
                <w:kern w:val="0"/>
                <w:sz w:val="24"/>
              </w:rPr>
            </w:pPr>
            <w:r>
              <w:rPr>
                <w:rFonts w:hint="eastAsia" w:ascii="Times New Roman" w:hAnsi="Times New Roman" w:cs="Times New Roman"/>
                <w:b/>
                <w:snapToGrid w:val="0"/>
                <w:color w:val="auto"/>
                <w:kern w:val="0"/>
                <w:sz w:val="24"/>
                <w:lang w:eastAsia="zh-CN"/>
              </w:rPr>
              <w:t>八</w:t>
            </w:r>
            <w:r>
              <w:rPr>
                <w:rFonts w:hint="default" w:ascii="Times New Roman" w:hAnsi="Times New Roman" w:cs="Times New Roman"/>
                <w:b/>
                <w:snapToGrid w:val="0"/>
                <w:color w:val="auto"/>
                <w:kern w:val="0"/>
                <w:sz w:val="24"/>
              </w:rPr>
              <w:t>、</w:t>
            </w:r>
            <w:r>
              <w:rPr>
                <w:rFonts w:hint="eastAsia" w:ascii="Times New Roman" w:hAnsi="Times New Roman" w:cs="Times New Roman"/>
                <w:b/>
                <w:snapToGrid w:val="0"/>
                <w:color w:val="auto"/>
                <w:kern w:val="0"/>
                <w:sz w:val="24"/>
              </w:rPr>
              <w:t>项目与生态红线的符合性分析</w:t>
            </w:r>
          </w:p>
          <w:p>
            <w:pPr>
              <w:adjustRightInd w:val="0"/>
              <w:snapToGri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对照《云南省人民政府关于发布云南省生态保护红线的通知》（云政发〔2018〕32号），项目不属于“重要水源涵养、生物多样性维护、水土保持、防风固沙、海岸生态稳定等功能的生态功能重要区域，以及水土流失、土地沙化、石漠化、盐渍化等生态环境敏感脆弱区域。</w:t>
            </w:r>
          </w:p>
          <w:p>
            <w:pPr>
              <w:adjustRightInd w:val="0"/>
              <w:snapToGrid w:val="0"/>
              <w:spacing w:line="360" w:lineRule="auto"/>
              <w:ind w:firstLine="480" w:firstLineChars="200"/>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经建设单位核查本项目不在</w:t>
            </w:r>
            <w:r>
              <w:rPr>
                <w:rFonts w:hint="eastAsia" w:ascii="Times New Roman" w:hAnsi="Times New Roman" w:cs="Times New Roman"/>
                <w:color w:val="auto"/>
                <w:sz w:val="24"/>
              </w:rPr>
              <w:t>云南省生态保护红线</w:t>
            </w:r>
            <w:r>
              <w:rPr>
                <w:rFonts w:hint="eastAsia" w:ascii="Times New Roman" w:hAnsi="Times New Roman" w:cs="Times New Roman"/>
                <w:color w:val="auto"/>
                <w:sz w:val="24"/>
                <w:lang w:eastAsia="zh-CN"/>
              </w:rPr>
              <w:t>范围内。</w:t>
            </w:r>
          </w:p>
          <w:p>
            <w:pPr>
              <w:spacing w:line="360" w:lineRule="auto"/>
              <w:ind w:left="-3" w:firstLine="484" w:firstLineChars="201"/>
              <w:rPr>
                <w:rFonts w:hint="default" w:ascii="Times New Roman" w:hAnsi="Times New Roman" w:cs="Times New Roman"/>
                <w:b/>
                <w:snapToGrid w:val="0"/>
                <w:color w:val="auto"/>
                <w:kern w:val="0"/>
                <w:sz w:val="24"/>
              </w:rPr>
            </w:pPr>
            <w:r>
              <w:rPr>
                <w:rFonts w:hint="eastAsia" w:ascii="Times New Roman" w:hAnsi="Times New Roman" w:cs="Times New Roman"/>
                <w:b/>
                <w:snapToGrid w:val="0"/>
                <w:color w:val="auto"/>
                <w:kern w:val="0"/>
                <w:sz w:val="24"/>
                <w:lang w:eastAsia="zh-CN"/>
              </w:rPr>
              <w:t>九</w:t>
            </w:r>
            <w:r>
              <w:rPr>
                <w:rFonts w:hint="default" w:ascii="Times New Roman" w:hAnsi="Times New Roman" w:cs="Times New Roman"/>
                <w:b/>
                <w:snapToGrid w:val="0"/>
                <w:color w:val="auto"/>
                <w:kern w:val="0"/>
                <w:sz w:val="24"/>
              </w:rPr>
              <w:t>、环境风险评价</w:t>
            </w:r>
          </w:p>
          <w:p>
            <w:pPr>
              <w:spacing w:line="360" w:lineRule="auto"/>
              <w:ind w:firstLine="482" w:firstLineChars="200"/>
              <w:jc w:val="left"/>
              <w:rPr>
                <w:rFonts w:hint="eastAsia"/>
                <w:b/>
                <w:color w:val="auto"/>
                <w:sz w:val="24"/>
              </w:rPr>
            </w:pPr>
            <w:r>
              <w:rPr>
                <w:rFonts w:hint="eastAsia"/>
                <w:b/>
                <w:color w:val="auto"/>
                <w:sz w:val="24"/>
              </w:rPr>
              <w:t>1、评价原则</w:t>
            </w:r>
          </w:p>
          <w:p>
            <w:pPr>
              <w:spacing w:line="360" w:lineRule="auto"/>
              <w:ind w:firstLine="480" w:firstLineChars="200"/>
              <w:jc w:val="left"/>
              <w:rPr>
                <w:rFonts w:hint="eastAsia"/>
                <w:color w:val="auto"/>
                <w:sz w:val="24"/>
              </w:rPr>
            </w:pPr>
            <w:r>
              <w:rPr>
                <w:rFonts w:hint="eastAsia"/>
                <w:color w:val="auto"/>
                <w:sz w:val="24"/>
              </w:rPr>
              <w:t>按照《建设项目环境风险评价技术导则》（HJ/T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spacing w:line="360" w:lineRule="auto"/>
              <w:ind w:firstLine="482" w:firstLineChars="200"/>
              <w:jc w:val="left"/>
              <w:rPr>
                <w:rFonts w:hint="eastAsia"/>
                <w:b/>
                <w:color w:val="auto"/>
                <w:sz w:val="24"/>
              </w:rPr>
            </w:pPr>
            <w:r>
              <w:rPr>
                <w:rFonts w:hint="eastAsia"/>
                <w:b/>
                <w:color w:val="auto"/>
                <w:sz w:val="24"/>
              </w:rPr>
              <w:t>2、评价工作程序</w:t>
            </w:r>
          </w:p>
          <w:p>
            <w:pPr>
              <w:spacing w:line="360" w:lineRule="auto"/>
              <w:ind w:firstLine="482" w:firstLineChars="200"/>
              <w:jc w:val="left"/>
              <w:rPr>
                <w:rFonts w:hint="eastAsia"/>
                <w:b/>
                <w:color w:val="auto"/>
                <w:sz w:val="24"/>
              </w:rPr>
            </w:pPr>
            <w:r>
              <w:rPr>
                <w:rFonts w:hint="eastAsia"/>
                <w:b/>
                <w:color w:val="auto"/>
                <w:sz w:val="24"/>
              </w:rPr>
              <w:drawing>
                <wp:inline distT="0" distB="0" distL="114300" distR="114300">
                  <wp:extent cx="5269230" cy="5391150"/>
                  <wp:effectExtent l="0" t="0" r="7620" b="0"/>
                  <wp:docPr id="20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5"/>
                          <pic:cNvPicPr>
                            <a:picLocks noChangeAspect="1"/>
                          </pic:cNvPicPr>
                        </pic:nvPicPr>
                        <pic:blipFill>
                          <a:blip r:embed="rId36"/>
                          <a:stretch>
                            <a:fillRect/>
                          </a:stretch>
                        </pic:blipFill>
                        <pic:spPr>
                          <a:xfrm>
                            <a:off x="0" y="0"/>
                            <a:ext cx="5269230" cy="5391150"/>
                          </a:xfrm>
                          <a:prstGeom prst="rect">
                            <a:avLst/>
                          </a:prstGeom>
                          <a:noFill/>
                          <a:ln w="9525">
                            <a:noFill/>
                          </a:ln>
                        </pic:spPr>
                      </pic:pic>
                    </a:graphicData>
                  </a:graphic>
                </wp:inline>
              </w:drawing>
            </w:r>
          </w:p>
          <w:p>
            <w:pPr>
              <w:spacing w:line="360" w:lineRule="auto"/>
              <w:ind w:firstLine="480" w:firstLineChars="200"/>
              <w:jc w:val="center"/>
              <w:rPr>
                <w:rFonts w:hint="eastAsia"/>
                <w:color w:val="auto"/>
                <w:sz w:val="24"/>
              </w:rPr>
            </w:pPr>
            <w:r>
              <w:rPr>
                <w:rFonts w:hint="eastAsia"/>
                <w:color w:val="auto"/>
                <w:sz w:val="24"/>
              </w:rPr>
              <w:t>图7-1 评价工作程序图</w:t>
            </w:r>
          </w:p>
          <w:p>
            <w:pPr>
              <w:spacing w:line="360" w:lineRule="auto"/>
              <w:ind w:firstLine="482" w:firstLineChars="200"/>
              <w:jc w:val="left"/>
              <w:rPr>
                <w:rFonts w:hint="eastAsia"/>
                <w:b/>
                <w:color w:val="auto"/>
                <w:sz w:val="24"/>
              </w:rPr>
            </w:pPr>
            <w:r>
              <w:rPr>
                <w:rFonts w:hint="eastAsia"/>
                <w:b/>
                <w:color w:val="auto"/>
                <w:sz w:val="24"/>
              </w:rPr>
              <w:t>3、风险潜势初判</w:t>
            </w:r>
          </w:p>
          <w:p>
            <w:pPr>
              <w:spacing w:line="360" w:lineRule="auto"/>
              <w:ind w:firstLine="482" w:firstLineChars="200"/>
              <w:jc w:val="left"/>
              <w:rPr>
                <w:rFonts w:hint="eastAsia"/>
                <w:b/>
                <w:color w:val="auto"/>
                <w:sz w:val="24"/>
              </w:rPr>
            </w:pPr>
            <w:r>
              <w:rPr>
                <w:rFonts w:hint="eastAsia"/>
                <w:b/>
                <w:color w:val="auto"/>
                <w:sz w:val="24"/>
              </w:rPr>
              <w:t>（1）环境敏感程度（E）的确定</w:t>
            </w:r>
          </w:p>
          <w:p>
            <w:pPr>
              <w:spacing w:line="360" w:lineRule="auto"/>
              <w:ind w:firstLine="482" w:firstLineChars="200"/>
              <w:jc w:val="left"/>
              <w:rPr>
                <w:rFonts w:hint="eastAsia"/>
                <w:b/>
                <w:color w:val="auto"/>
                <w:sz w:val="24"/>
              </w:rPr>
            </w:pPr>
            <w:r>
              <w:rPr>
                <w:rFonts w:hint="eastAsia"/>
                <w:b/>
                <w:color w:val="auto"/>
                <w:sz w:val="24"/>
              </w:rPr>
              <w:t>1）大气环境</w:t>
            </w:r>
          </w:p>
          <w:p>
            <w:pPr>
              <w:spacing w:line="360" w:lineRule="auto"/>
              <w:ind w:firstLine="480" w:firstLineChars="200"/>
              <w:jc w:val="left"/>
              <w:rPr>
                <w:rFonts w:hint="eastAsia"/>
                <w:color w:val="auto"/>
                <w:sz w:val="24"/>
              </w:rPr>
            </w:pPr>
            <w:r>
              <w:rPr>
                <w:rFonts w:hint="eastAsia"/>
                <w:color w:val="auto"/>
                <w:sz w:val="24"/>
              </w:rPr>
              <w:t>本项目周边 5km 范围内居民区、医疗卫生、文化教育、科研等机构，行政办公机构总人数</w:t>
            </w:r>
            <w:r>
              <w:rPr>
                <w:rFonts w:hint="eastAsia"/>
                <w:color w:val="auto"/>
                <w:sz w:val="24"/>
                <w:lang w:eastAsia="zh-CN"/>
              </w:rPr>
              <w:t>大</w:t>
            </w:r>
            <w:r>
              <w:rPr>
                <w:rFonts w:hint="eastAsia"/>
                <w:color w:val="auto"/>
                <w:sz w:val="24"/>
              </w:rPr>
              <w:t>于1 万人</w:t>
            </w:r>
            <w:r>
              <w:rPr>
                <w:rFonts w:hint="eastAsia"/>
                <w:color w:val="auto"/>
                <w:sz w:val="24"/>
                <w:lang w:eastAsia="zh-CN"/>
              </w:rPr>
              <w:t>小于</w:t>
            </w:r>
            <w:r>
              <w:rPr>
                <w:rFonts w:hint="eastAsia"/>
                <w:color w:val="auto"/>
                <w:sz w:val="24"/>
                <w:lang w:val="en-US" w:eastAsia="zh-CN"/>
              </w:rPr>
              <w:t>5万人</w:t>
            </w:r>
            <w:r>
              <w:rPr>
                <w:rFonts w:hint="eastAsia"/>
                <w:color w:val="auto"/>
                <w:sz w:val="24"/>
              </w:rPr>
              <w:t>，根据《建设项目环境风险评价技术导则》（HJ/T169－2018）附录D，项目大气环境敏感程度为环境低度敏感区（E</w:t>
            </w:r>
            <w:r>
              <w:rPr>
                <w:rFonts w:hint="eastAsia"/>
                <w:color w:val="auto"/>
                <w:sz w:val="24"/>
                <w:lang w:val="en-US" w:eastAsia="zh-CN"/>
              </w:rPr>
              <w:t>2</w:t>
            </w:r>
            <w:r>
              <w:rPr>
                <w:rFonts w:hint="eastAsia"/>
                <w:color w:val="auto"/>
                <w:sz w:val="24"/>
              </w:rPr>
              <w:t>）。</w:t>
            </w:r>
          </w:p>
          <w:p>
            <w:pPr>
              <w:spacing w:line="360" w:lineRule="auto"/>
              <w:ind w:firstLine="482" w:firstLineChars="200"/>
              <w:jc w:val="left"/>
              <w:rPr>
                <w:rFonts w:hint="eastAsia"/>
                <w:b/>
                <w:color w:val="auto"/>
                <w:sz w:val="24"/>
              </w:rPr>
            </w:pPr>
            <w:r>
              <w:rPr>
                <w:rFonts w:hint="eastAsia"/>
                <w:b/>
                <w:color w:val="auto"/>
                <w:sz w:val="24"/>
              </w:rPr>
              <w:t>2）地表水环境</w:t>
            </w:r>
          </w:p>
          <w:p>
            <w:pPr>
              <w:spacing w:line="360" w:lineRule="auto"/>
              <w:ind w:firstLine="480" w:firstLineChars="200"/>
              <w:jc w:val="left"/>
              <w:rPr>
                <w:rFonts w:hint="eastAsia"/>
                <w:color w:val="auto"/>
                <w:sz w:val="24"/>
              </w:rPr>
            </w:pPr>
            <w:r>
              <w:rPr>
                <w:rFonts w:hint="eastAsia"/>
                <w:color w:val="auto"/>
                <w:sz w:val="24"/>
              </w:rPr>
              <w:t>依据事故情况下危险物质泄漏到水体的排放点受纳地表水体功能敏感性，与下游环境敏感目标情况，共分三种类型。本项目</w:t>
            </w:r>
            <w:r>
              <w:rPr>
                <w:rFonts w:hint="eastAsia"/>
                <w:color w:val="auto"/>
                <w:sz w:val="24"/>
                <w:lang w:eastAsia="zh-CN"/>
              </w:rPr>
              <w:t>周边无明显地表水体</w:t>
            </w:r>
            <w:r>
              <w:rPr>
                <w:rFonts w:hint="eastAsia"/>
                <w:color w:val="auto"/>
                <w:sz w:val="24"/>
              </w:rPr>
              <w:t>，地表水功能敏感性分区为F</w:t>
            </w:r>
            <w:r>
              <w:rPr>
                <w:rFonts w:hint="eastAsia"/>
                <w:color w:val="auto"/>
                <w:sz w:val="24"/>
                <w:lang w:val="en-US" w:eastAsia="zh-CN"/>
              </w:rPr>
              <w:t>3</w:t>
            </w:r>
            <w:r>
              <w:rPr>
                <w:rFonts w:hint="eastAsia"/>
                <w:color w:val="auto"/>
                <w:sz w:val="24"/>
              </w:rPr>
              <w:t>。</w:t>
            </w:r>
          </w:p>
          <w:p>
            <w:pPr>
              <w:spacing w:line="360" w:lineRule="auto"/>
              <w:ind w:firstLine="480" w:firstLineChars="200"/>
              <w:jc w:val="left"/>
              <w:rPr>
                <w:rFonts w:hint="eastAsia" w:eastAsia="宋体"/>
                <w:color w:val="auto"/>
                <w:sz w:val="24"/>
                <w:lang w:eastAsia="zh-CN"/>
              </w:rPr>
            </w:pPr>
            <w:r>
              <w:rPr>
                <w:rFonts w:hint="eastAsia"/>
                <w:color w:val="auto"/>
                <w:sz w:val="24"/>
                <w:lang w:eastAsia="zh-CN"/>
              </w:rPr>
              <w:t>项目周边远离环境敏感区，远离饮用水源保护区，环境目标为</w:t>
            </w:r>
            <w:r>
              <w:rPr>
                <w:rFonts w:hint="eastAsia"/>
                <w:color w:val="auto"/>
                <w:sz w:val="24"/>
                <w:lang w:val="en-US" w:eastAsia="zh-CN"/>
              </w:rPr>
              <w:t>S3。</w:t>
            </w:r>
          </w:p>
          <w:p>
            <w:pPr>
              <w:spacing w:line="360" w:lineRule="auto"/>
              <w:ind w:firstLine="480" w:firstLineChars="200"/>
              <w:jc w:val="left"/>
              <w:rPr>
                <w:rFonts w:hint="eastAsia"/>
                <w:color w:val="auto"/>
                <w:sz w:val="24"/>
              </w:rPr>
            </w:pPr>
            <w:r>
              <w:rPr>
                <w:rFonts w:hint="eastAsia"/>
                <w:color w:val="auto"/>
                <w:sz w:val="24"/>
              </w:rPr>
              <w:t>《建设项目环境风险评价技术导则》（HJ/T169-2018）附录D中地表水环境敏感程度分级，本项目地表水环境敏感程度为E2。</w:t>
            </w:r>
          </w:p>
          <w:p>
            <w:pPr>
              <w:spacing w:line="360" w:lineRule="auto"/>
              <w:ind w:firstLine="480" w:firstLineChars="200"/>
              <w:jc w:val="center"/>
              <w:rPr>
                <w:rFonts w:hint="eastAsia"/>
                <w:color w:val="auto"/>
                <w:sz w:val="24"/>
              </w:rPr>
            </w:pPr>
            <w:r>
              <w:rPr>
                <w:rFonts w:hint="eastAsia"/>
                <w:color w:val="auto"/>
                <w:sz w:val="24"/>
              </w:rPr>
              <w:t>表7-</w:t>
            </w:r>
            <w:r>
              <w:rPr>
                <w:rFonts w:hint="eastAsia"/>
                <w:color w:val="auto"/>
                <w:sz w:val="24"/>
                <w:lang w:val="en-US" w:eastAsia="zh-CN"/>
              </w:rPr>
              <w:t>20</w:t>
            </w:r>
            <w:r>
              <w:rPr>
                <w:rFonts w:hint="eastAsia"/>
                <w:color w:val="auto"/>
                <w:sz w:val="24"/>
              </w:rPr>
              <w:t xml:space="preserve"> 地表水环境敏感程度分级</w:t>
            </w:r>
          </w:p>
          <w:tbl>
            <w:tblPr>
              <w:tblStyle w:val="23"/>
              <w:tblW w:w="9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4"/>
              <w:gridCol w:w="2404"/>
              <w:gridCol w:w="2405"/>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4" w:type="dxa"/>
                  <w:vMerge w:val="restart"/>
                  <w:vAlign w:val="center"/>
                </w:tcPr>
                <w:p>
                  <w:pPr>
                    <w:adjustRightInd w:val="0"/>
                    <w:snapToGrid w:val="0"/>
                    <w:jc w:val="center"/>
                    <w:rPr>
                      <w:rFonts w:hint="eastAsia"/>
                      <w:color w:val="auto"/>
                    </w:rPr>
                  </w:pPr>
                  <w:r>
                    <w:rPr>
                      <w:rFonts w:hint="eastAsia"/>
                      <w:color w:val="auto"/>
                    </w:rPr>
                    <w:t>环境敏感目标</w:t>
                  </w:r>
                </w:p>
              </w:tc>
              <w:tc>
                <w:tcPr>
                  <w:tcW w:w="7214" w:type="dxa"/>
                  <w:gridSpan w:val="3"/>
                  <w:vAlign w:val="center"/>
                </w:tcPr>
                <w:p>
                  <w:pPr>
                    <w:adjustRightInd w:val="0"/>
                    <w:snapToGrid w:val="0"/>
                    <w:jc w:val="center"/>
                    <w:rPr>
                      <w:rFonts w:hint="eastAsia"/>
                      <w:color w:val="auto"/>
                    </w:rPr>
                  </w:pPr>
                  <w:r>
                    <w:rPr>
                      <w:rFonts w:hint="eastAsia"/>
                      <w:color w:val="auto"/>
                    </w:rPr>
                    <w:t>地表水功能敏感性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4" w:type="dxa"/>
                  <w:vMerge w:val="continue"/>
                  <w:vAlign w:val="center"/>
                </w:tcPr>
                <w:p>
                  <w:pPr>
                    <w:adjustRightInd w:val="0"/>
                    <w:snapToGrid w:val="0"/>
                    <w:jc w:val="center"/>
                    <w:rPr>
                      <w:rFonts w:hint="eastAsia"/>
                      <w:color w:val="auto"/>
                    </w:rPr>
                  </w:pPr>
                </w:p>
              </w:tc>
              <w:tc>
                <w:tcPr>
                  <w:tcW w:w="2404" w:type="dxa"/>
                  <w:vAlign w:val="center"/>
                </w:tcPr>
                <w:p>
                  <w:pPr>
                    <w:adjustRightInd w:val="0"/>
                    <w:snapToGrid w:val="0"/>
                    <w:jc w:val="center"/>
                    <w:rPr>
                      <w:rFonts w:hint="eastAsia"/>
                      <w:color w:val="auto"/>
                    </w:rPr>
                  </w:pPr>
                  <w:r>
                    <w:rPr>
                      <w:rFonts w:hint="eastAsia"/>
                      <w:color w:val="auto"/>
                    </w:rPr>
                    <w:t>F1</w:t>
                  </w:r>
                </w:p>
              </w:tc>
              <w:tc>
                <w:tcPr>
                  <w:tcW w:w="2405" w:type="dxa"/>
                  <w:vAlign w:val="center"/>
                </w:tcPr>
                <w:p>
                  <w:pPr>
                    <w:adjustRightInd w:val="0"/>
                    <w:snapToGrid w:val="0"/>
                    <w:jc w:val="center"/>
                    <w:rPr>
                      <w:rFonts w:hint="eastAsia"/>
                      <w:color w:val="auto"/>
                    </w:rPr>
                  </w:pPr>
                  <w:r>
                    <w:rPr>
                      <w:rFonts w:hint="eastAsia"/>
                      <w:color w:val="auto"/>
                    </w:rPr>
                    <w:t>F2</w:t>
                  </w:r>
                </w:p>
              </w:tc>
              <w:tc>
                <w:tcPr>
                  <w:tcW w:w="2405" w:type="dxa"/>
                  <w:vAlign w:val="center"/>
                </w:tcPr>
                <w:p>
                  <w:pPr>
                    <w:adjustRightInd w:val="0"/>
                    <w:snapToGrid w:val="0"/>
                    <w:jc w:val="center"/>
                    <w:rPr>
                      <w:rFonts w:hint="eastAsia"/>
                      <w:color w:val="auto"/>
                    </w:rPr>
                  </w:pPr>
                  <w:r>
                    <w:rPr>
                      <w:rFonts w:hint="eastAsia"/>
                      <w:color w:val="auto"/>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4" w:type="dxa"/>
                  <w:vAlign w:val="center"/>
                </w:tcPr>
                <w:p>
                  <w:pPr>
                    <w:adjustRightInd w:val="0"/>
                    <w:snapToGrid w:val="0"/>
                    <w:jc w:val="center"/>
                    <w:rPr>
                      <w:rFonts w:hint="eastAsia"/>
                      <w:color w:val="auto"/>
                    </w:rPr>
                  </w:pPr>
                  <w:r>
                    <w:rPr>
                      <w:rFonts w:hint="eastAsia"/>
                      <w:color w:val="auto"/>
                    </w:rPr>
                    <w:t>S1</w:t>
                  </w:r>
                </w:p>
              </w:tc>
              <w:tc>
                <w:tcPr>
                  <w:tcW w:w="2404" w:type="dxa"/>
                  <w:vAlign w:val="center"/>
                </w:tcPr>
                <w:p>
                  <w:pPr>
                    <w:adjustRightInd w:val="0"/>
                    <w:snapToGrid w:val="0"/>
                    <w:jc w:val="center"/>
                    <w:rPr>
                      <w:rFonts w:hint="eastAsia"/>
                      <w:color w:val="auto"/>
                    </w:rPr>
                  </w:pPr>
                  <w:r>
                    <w:rPr>
                      <w:rFonts w:hint="eastAsia"/>
                      <w:color w:val="auto"/>
                    </w:rPr>
                    <w:t>E1</w:t>
                  </w:r>
                </w:p>
              </w:tc>
              <w:tc>
                <w:tcPr>
                  <w:tcW w:w="2405" w:type="dxa"/>
                  <w:vAlign w:val="center"/>
                </w:tcPr>
                <w:p>
                  <w:pPr>
                    <w:adjustRightInd w:val="0"/>
                    <w:snapToGrid w:val="0"/>
                    <w:jc w:val="center"/>
                    <w:rPr>
                      <w:rFonts w:hint="eastAsia"/>
                      <w:color w:val="auto"/>
                    </w:rPr>
                  </w:pPr>
                  <w:r>
                    <w:rPr>
                      <w:rFonts w:hint="eastAsia"/>
                      <w:color w:val="auto"/>
                    </w:rPr>
                    <w:t>E2</w:t>
                  </w:r>
                </w:p>
              </w:tc>
              <w:tc>
                <w:tcPr>
                  <w:tcW w:w="2405" w:type="dxa"/>
                  <w:vAlign w:val="center"/>
                </w:tcPr>
                <w:p>
                  <w:pPr>
                    <w:adjustRightInd w:val="0"/>
                    <w:snapToGrid w:val="0"/>
                    <w:jc w:val="center"/>
                    <w:rPr>
                      <w:rFonts w:hint="eastAsia"/>
                      <w:color w:val="auto"/>
                    </w:rPr>
                  </w:pPr>
                  <w:r>
                    <w:rPr>
                      <w:rFonts w:hint="eastAsia"/>
                      <w:color w:val="auto"/>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4" w:type="dxa"/>
                  <w:vAlign w:val="center"/>
                </w:tcPr>
                <w:p>
                  <w:pPr>
                    <w:adjustRightInd w:val="0"/>
                    <w:snapToGrid w:val="0"/>
                    <w:jc w:val="center"/>
                    <w:rPr>
                      <w:rFonts w:hint="eastAsia"/>
                      <w:color w:val="auto"/>
                    </w:rPr>
                  </w:pPr>
                  <w:r>
                    <w:rPr>
                      <w:rFonts w:hint="eastAsia"/>
                      <w:color w:val="auto"/>
                    </w:rPr>
                    <w:t>S2</w:t>
                  </w:r>
                </w:p>
              </w:tc>
              <w:tc>
                <w:tcPr>
                  <w:tcW w:w="2404" w:type="dxa"/>
                  <w:vAlign w:val="center"/>
                </w:tcPr>
                <w:p>
                  <w:pPr>
                    <w:adjustRightInd w:val="0"/>
                    <w:snapToGrid w:val="0"/>
                    <w:jc w:val="center"/>
                    <w:rPr>
                      <w:rFonts w:hint="eastAsia"/>
                      <w:color w:val="auto"/>
                    </w:rPr>
                  </w:pPr>
                  <w:r>
                    <w:rPr>
                      <w:rFonts w:hint="eastAsia"/>
                      <w:color w:val="auto"/>
                    </w:rPr>
                    <w:t>E1</w:t>
                  </w:r>
                </w:p>
              </w:tc>
              <w:tc>
                <w:tcPr>
                  <w:tcW w:w="2405" w:type="dxa"/>
                  <w:tcBorders>
                    <w:bottom w:val="single" w:color="auto" w:sz="4" w:space="0"/>
                  </w:tcBorders>
                  <w:vAlign w:val="center"/>
                </w:tcPr>
                <w:p>
                  <w:pPr>
                    <w:adjustRightInd w:val="0"/>
                    <w:snapToGrid w:val="0"/>
                    <w:jc w:val="center"/>
                    <w:rPr>
                      <w:rFonts w:hint="eastAsia"/>
                      <w:color w:val="auto"/>
                    </w:rPr>
                  </w:pPr>
                  <w:r>
                    <w:rPr>
                      <w:rFonts w:hint="eastAsia"/>
                      <w:color w:val="auto"/>
                    </w:rPr>
                    <w:t>E2</w:t>
                  </w:r>
                </w:p>
              </w:tc>
              <w:tc>
                <w:tcPr>
                  <w:tcW w:w="2405" w:type="dxa"/>
                  <w:vAlign w:val="center"/>
                </w:tcPr>
                <w:p>
                  <w:pPr>
                    <w:adjustRightInd w:val="0"/>
                    <w:snapToGrid w:val="0"/>
                    <w:jc w:val="center"/>
                    <w:rPr>
                      <w:rFonts w:hint="eastAsia"/>
                      <w:color w:val="auto"/>
                    </w:rPr>
                  </w:pPr>
                  <w:r>
                    <w:rPr>
                      <w:rFonts w:hint="eastAsia"/>
                      <w:color w:val="auto"/>
                    </w:rPr>
                    <w: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04" w:type="dxa"/>
                  <w:shd w:val="clear" w:color="auto" w:fill="auto"/>
                  <w:vAlign w:val="center"/>
                </w:tcPr>
                <w:p>
                  <w:pPr>
                    <w:adjustRightInd w:val="0"/>
                    <w:snapToGrid w:val="0"/>
                    <w:jc w:val="center"/>
                    <w:rPr>
                      <w:rFonts w:hint="eastAsia"/>
                      <w:color w:val="auto"/>
                    </w:rPr>
                  </w:pPr>
                  <w:r>
                    <w:rPr>
                      <w:rFonts w:hint="eastAsia"/>
                      <w:color w:val="auto"/>
                    </w:rPr>
                    <w:t>S3</w:t>
                  </w:r>
                </w:p>
              </w:tc>
              <w:tc>
                <w:tcPr>
                  <w:tcW w:w="2404" w:type="dxa"/>
                  <w:shd w:val="clear" w:color="auto" w:fill="auto"/>
                  <w:vAlign w:val="center"/>
                </w:tcPr>
                <w:p>
                  <w:pPr>
                    <w:adjustRightInd w:val="0"/>
                    <w:snapToGrid w:val="0"/>
                    <w:jc w:val="center"/>
                    <w:rPr>
                      <w:rFonts w:hint="eastAsia"/>
                      <w:color w:val="auto"/>
                    </w:rPr>
                  </w:pPr>
                  <w:r>
                    <w:rPr>
                      <w:rFonts w:hint="eastAsia"/>
                      <w:color w:val="auto"/>
                    </w:rPr>
                    <w:t>E1</w:t>
                  </w:r>
                </w:p>
              </w:tc>
              <w:tc>
                <w:tcPr>
                  <w:tcW w:w="2405" w:type="dxa"/>
                  <w:shd w:val="clear" w:color="auto" w:fill="auto"/>
                  <w:vAlign w:val="center"/>
                </w:tcPr>
                <w:p>
                  <w:pPr>
                    <w:adjustRightInd w:val="0"/>
                    <w:snapToGrid w:val="0"/>
                    <w:jc w:val="center"/>
                    <w:rPr>
                      <w:rFonts w:hint="eastAsia"/>
                      <w:color w:val="auto"/>
                    </w:rPr>
                  </w:pPr>
                  <w:r>
                    <w:rPr>
                      <w:rFonts w:hint="eastAsia"/>
                      <w:color w:val="auto"/>
                    </w:rPr>
                    <w:t>E2</w:t>
                  </w:r>
                </w:p>
              </w:tc>
              <w:tc>
                <w:tcPr>
                  <w:tcW w:w="2405" w:type="dxa"/>
                  <w:shd w:val="clear" w:color="auto" w:fill="00B0F0"/>
                  <w:vAlign w:val="center"/>
                </w:tcPr>
                <w:p>
                  <w:pPr>
                    <w:adjustRightInd w:val="0"/>
                    <w:snapToGrid w:val="0"/>
                    <w:jc w:val="center"/>
                    <w:rPr>
                      <w:rFonts w:hint="eastAsia"/>
                      <w:color w:val="auto"/>
                    </w:rPr>
                  </w:pPr>
                  <w:r>
                    <w:rPr>
                      <w:rFonts w:hint="eastAsia"/>
                      <w:color w:val="auto"/>
                    </w:rPr>
                    <w:t>E3</w:t>
                  </w:r>
                </w:p>
              </w:tc>
            </w:tr>
          </w:tbl>
          <w:p>
            <w:pPr>
              <w:spacing w:line="360" w:lineRule="auto"/>
              <w:ind w:firstLine="482" w:firstLineChars="200"/>
              <w:rPr>
                <w:rFonts w:hint="eastAsia"/>
                <w:b/>
                <w:color w:val="auto"/>
                <w:sz w:val="24"/>
              </w:rPr>
            </w:pPr>
            <w:r>
              <w:rPr>
                <w:rFonts w:hint="eastAsia"/>
                <w:b/>
                <w:color w:val="auto"/>
                <w:sz w:val="24"/>
              </w:rPr>
              <w:t>（2）危险物质及工艺系统危害性（P）的确定</w:t>
            </w:r>
          </w:p>
          <w:p>
            <w:pPr>
              <w:spacing w:line="360" w:lineRule="auto"/>
              <w:ind w:firstLine="480" w:firstLineChars="200"/>
              <w:jc w:val="left"/>
              <w:rPr>
                <w:rFonts w:hint="eastAsia"/>
                <w:color w:val="auto"/>
                <w:sz w:val="24"/>
              </w:rPr>
            </w:pPr>
            <w:r>
              <w:rPr>
                <w:rFonts w:hint="eastAsia"/>
                <w:color w:val="auto"/>
                <w:sz w:val="24"/>
              </w:rPr>
              <w:t>根据《建设项目环境风险评价技术导则》（HJ/T169－2018），危险物质及工艺系统危害性（P）应根据危险物质数量与临界量的比值（Q）和行业及生产工艺（M）确定。</w:t>
            </w:r>
          </w:p>
          <w:p>
            <w:pPr>
              <w:spacing w:line="360" w:lineRule="auto"/>
              <w:ind w:firstLine="482" w:firstLineChars="200"/>
              <w:jc w:val="left"/>
              <w:rPr>
                <w:rFonts w:hint="eastAsia"/>
                <w:b/>
                <w:color w:val="auto"/>
                <w:sz w:val="24"/>
              </w:rPr>
            </w:pPr>
            <w:r>
              <w:rPr>
                <w:rFonts w:hint="eastAsia"/>
                <w:b/>
                <w:color w:val="auto"/>
                <w:sz w:val="24"/>
              </w:rPr>
              <w:t>1）Q值的确定</w:t>
            </w:r>
          </w:p>
          <w:p>
            <w:pPr>
              <w:spacing w:line="360" w:lineRule="auto"/>
              <w:ind w:firstLine="480" w:firstLineChars="200"/>
              <w:jc w:val="left"/>
              <w:rPr>
                <w:rFonts w:hint="eastAsia"/>
                <w:color w:val="auto"/>
                <w:sz w:val="24"/>
              </w:rPr>
            </w:pPr>
            <w:r>
              <w:rPr>
                <w:rFonts w:hint="eastAsia"/>
                <w:color w:val="auto"/>
                <w:sz w:val="24"/>
              </w:rPr>
              <w:t>根据《建设项目环境风险评价技术导则》（HJ/T169－2018）附录C，Q 按下式进行计算：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int="eastAsia" w:ascii="Times New Roman" w:hAnsi="Times New Roman" w:cs="Times New Roman"/>
                <w:color w:val="auto"/>
                <w:sz w:val="24"/>
                <w:szCs w:val="24"/>
                <w:lang w:val="en-US" w:eastAsia="zh-CN"/>
              </w:rPr>
              <w:t>Q</w:t>
            </w:r>
            <w:r>
              <w:rPr>
                <w:rFonts w:hint="eastAsia" w:ascii="Times New Roman" w:hAnsi="Times New Roman" w:cs="Times New Roman"/>
                <w:color w:val="auto"/>
                <w:sz w:val="24"/>
                <w:szCs w:val="24"/>
              </w:rPr>
              <w:t>=q1/Q1+q2/Q2</w:t>
            </w:r>
            <w:r>
              <w:rPr>
                <w:rFonts w:hint="eastAsia" w:ascii="Times New Roman" w:hAnsi="Times New Roman" w:cs="Times New Roman"/>
                <w:color w:val="auto"/>
                <w:sz w:val="24"/>
                <w:szCs w:val="24"/>
              </w:rPr>
              <w:tab/>
            </w:r>
            <w:r>
              <w:rPr>
                <w:rFonts w:hint="eastAsia" w:ascii="Times New Roman" w:hAnsi="Times New Roman" w:cs="Times New Roman"/>
                <w:color w:val="auto"/>
                <w:sz w:val="24"/>
                <w:szCs w:val="24"/>
              </w:rPr>
              <w:t>+ qn/Qn≥1</w:t>
            </w:r>
          </w:p>
          <w:p>
            <w:pPr>
              <w:spacing w:line="360" w:lineRule="auto"/>
              <w:ind w:firstLine="480" w:firstLineChars="200"/>
              <w:jc w:val="left"/>
              <w:rPr>
                <w:rFonts w:hint="eastAsia"/>
                <w:color w:val="auto"/>
                <w:sz w:val="24"/>
              </w:rPr>
            </w:pPr>
            <w:r>
              <w:rPr>
                <w:rFonts w:hint="eastAsia"/>
                <w:color w:val="auto"/>
                <w:sz w:val="24"/>
              </w:rPr>
              <w:t>式中：q1，q2……qn—每种危险物质的最大存在量，t；</w:t>
            </w:r>
          </w:p>
          <w:p>
            <w:pPr>
              <w:spacing w:line="360" w:lineRule="auto"/>
              <w:ind w:firstLine="480" w:firstLineChars="200"/>
              <w:jc w:val="left"/>
              <w:rPr>
                <w:rFonts w:hint="eastAsia"/>
                <w:color w:val="auto"/>
                <w:sz w:val="24"/>
              </w:rPr>
            </w:pPr>
            <w:r>
              <w:rPr>
                <w:rFonts w:hint="eastAsia"/>
                <w:color w:val="auto"/>
                <w:sz w:val="24"/>
              </w:rPr>
              <w:t>Q1，Q2…Qn—每种危险物质的临界量，t。</w:t>
            </w:r>
          </w:p>
          <w:p>
            <w:pPr>
              <w:spacing w:line="360" w:lineRule="auto"/>
              <w:ind w:firstLine="480" w:firstLineChars="200"/>
              <w:jc w:val="left"/>
              <w:rPr>
                <w:rFonts w:hint="eastAsia"/>
                <w:color w:val="auto"/>
                <w:sz w:val="24"/>
              </w:rPr>
            </w:pPr>
            <w:r>
              <w:rPr>
                <w:rFonts w:hint="eastAsia"/>
                <w:color w:val="auto"/>
                <w:sz w:val="24"/>
              </w:rPr>
              <w:t>当 Q＜1 时，该项目环境风险潜势为I。</w:t>
            </w:r>
          </w:p>
          <w:p>
            <w:pPr>
              <w:spacing w:line="360" w:lineRule="auto"/>
              <w:ind w:firstLine="480" w:firstLineChars="200"/>
              <w:jc w:val="left"/>
              <w:rPr>
                <w:rFonts w:hint="eastAsia"/>
                <w:color w:val="auto"/>
                <w:sz w:val="24"/>
              </w:rPr>
            </w:pPr>
            <w:r>
              <w:rPr>
                <w:rFonts w:hint="eastAsia"/>
                <w:color w:val="auto"/>
                <w:sz w:val="24"/>
              </w:rPr>
              <w:t>当 Q≥1 时，将Q 值划分为：（1）1≤Q＜10；（2）10≤Q＜100；（3）Q≥100。</w:t>
            </w:r>
          </w:p>
          <w:p>
            <w:pPr>
              <w:spacing w:line="360" w:lineRule="auto"/>
              <w:ind w:firstLine="2640" w:firstLineChars="1100"/>
              <w:jc w:val="left"/>
              <w:rPr>
                <w:rFonts w:hint="eastAsia"/>
                <w:color w:val="auto"/>
                <w:sz w:val="24"/>
              </w:rPr>
            </w:pPr>
            <w:r>
              <w:rPr>
                <w:rFonts w:hint="eastAsia"/>
                <w:color w:val="auto"/>
                <w:sz w:val="24"/>
                <w:lang w:val="en-US" w:eastAsia="zh-CN"/>
              </w:rPr>
              <w:t xml:space="preserve">7-21 </w:t>
            </w:r>
            <w:r>
              <w:rPr>
                <w:rFonts w:hint="eastAsia"/>
                <w:color w:val="auto"/>
                <w:sz w:val="24"/>
              </w:rPr>
              <w:t>建设项目Q值确定表</w:t>
            </w:r>
          </w:p>
          <w:tbl>
            <w:tblPr>
              <w:tblStyle w:val="23"/>
              <w:tblW w:w="8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925"/>
              <w:gridCol w:w="1857"/>
              <w:gridCol w:w="1203"/>
              <w:gridCol w:w="138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91"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序号</w:t>
                  </w:r>
                </w:p>
              </w:tc>
              <w:tc>
                <w:tcPr>
                  <w:tcW w:w="1925"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化学品名称及含量</w:t>
                  </w:r>
                </w:p>
              </w:tc>
              <w:tc>
                <w:tcPr>
                  <w:tcW w:w="1857"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最大存储量（t）</w:t>
                  </w:r>
                </w:p>
              </w:tc>
              <w:tc>
                <w:tcPr>
                  <w:tcW w:w="1203"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临界量（t）</w:t>
                  </w:r>
                </w:p>
              </w:tc>
              <w:tc>
                <w:tcPr>
                  <w:tcW w:w="1389"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存储方式</w:t>
                  </w:r>
                </w:p>
              </w:tc>
              <w:tc>
                <w:tcPr>
                  <w:tcW w:w="1170"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qn/Qn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91"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1</w:t>
                  </w:r>
                </w:p>
              </w:tc>
              <w:tc>
                <w:tcPr>
                  <w:tcW w:w="1925"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柴油</w:t>
                  </w:r>
                </w:p>
              </w:tc>
              <w:tc>
                <w:tcPr>
                  <w:tcW w:w="1857" w:type="dxa"/>
                  <w:vAlign w:val="center"/>
                </w:tcPr>
                <w:p>
                  <w:pPr>
                    <w:spacing w:line="240" w:lineRule="auto"/>
                    <w:ind w:firstLine="0" w:firstLineChars="0"/>
                    <w:jc w:val="center"/>
                    <w:rPr>
                      <w:rFonts w:hint="eastAsia" w:ascii="Times New Roman" w:hAnsi="Times New Roman" w:eastAsia="仿宋_GB2312" w:cs="Times New Roman"/>
                      <w:color w:val="auto"/>
                      <w:sz w:val="21"/>
                      <w:lang w:eastAsia="zh-CN"/>
                    </w:rPr>
                  </w:pPr>
                  <w:r>
                    <w:rPr>
                      <w:rFonts w:hint="eastAsia" w:ascii="Times New Roman" w:hAnsi="Times New Roman" w:cs="Times New Roman"/>
                      <w:color w:val="auto"/>
                      <w:sz w:val="21"/>
                      <w:lang w:val="en-US" w:eastAsia="zh-CN"/>
                    </w:rPr>
                    <w:t>41.5</w:t>
                  </w:r>
                </w:p>
              </w:tc>
              <w:tc>
                <w:tcPr>
                  <w:tcW w:w="1203" w:type="dxa"/>
                  <w:vAlign w:val="center"/>
                </w:tcPr>
                <w:p>
                  <w:pPr>
                    <w:spacing w:line="240" w:lineRule="auto"/>
                    <w:ind w:firstLine="0" w:firstLineChars="0"/>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val="en-US" w:eastAsia="zh-CN"/>
                    </w:rPr>
                    <w:t>2500</w:t>
                  </w:r>
                </w:p>
              </w:tc>
              <w:tc>
                <w:tcPr>
                  <w:tcW w:w="1389" w:type="dxa"/>
                  <w:vAlign w:val="top"/>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储罐</w:t>
                  </w:r>
                </w:p>
              </w:tc>
              <w:tc>
                <w:tcPr>
                  <w:tcW w:w="1170" w:type="dxa"/>
                  <w:vAlign w:val="center"/>
                </w:tcPr>
                <w:p>
                  <w:pPr>
                    <w:spacing w:line="240" w:lineRule="auto"/>
                    <w:ind w:firstLine="0" w:firstLineChars="0"/>
                    <w:jc w:val="center"/>
                    <w:rPr>
                      <w:rFonts w:hint="eastAsia" w:ascii="Times New Roman" w:hAnsi="Times New Roman" w:cs="Times New Roman"/>
                      <w:color w:val="auto"/>
                      <w:sz w:val="21"/>
                    </w:rPr>
                  </w:pPr>
                  <w:r>
                    <w:rPr>
                      <w:rFonts w:ascii="Times New Roman" w:hAnsi="Times New Roman" w:cs="Times New Roman"/>
                      <w:color w:val="auto"/>
                      <w:sz w:val="21"/>
                    </w:rPr>
                    <w:t>0.0</w:t>
                  </w:r>
                  <w:r>
                    <w:rPr>
                      <w:rFonts w:hint="eastAsia" w:ascii="Times New Roman" w:hAnsi="Times New Roman" w:cs="Times New Roman"/>
                      <w:color w:val="auto"/>
                      <w:sz w:val="21"/>
                      <w:lang w:val="en-US"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91"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2</w:t>
                  </w:r>
                </w:p>
              </w:tc>
              <w:tc>
                <w:tcPr>
                  <w:tcW w:w="1925"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汽油</w:t>
                  </w:r>
                </w:p>
              </w:tc>
              <w:tc>
                <w:tcPr>
                  <w:tcW w:w="1857" w:type="dxa"/>
                  <w:vAlign w:val="center"/>
                </w:tcPr>
                <w:p>
                  <w:pPr>
                    <w:spacing w:line="240" w:lineRule="auto"/>
                    <w:ind w:firstLine="0" w:firstLineChars="0"/>
                    <w:jc w:val="center"/>
                    <w:rPr>
                      <w:rFonts w:hint="eastAsia" w:ascii="Times New Roman" w:hAnsi="Times New Roman" w:eastAsia="仿宋_GB2312" w:cs="Times New Roman"/>
                      <w:color w:val="auto"/>
                      <w:sz w:val="21"/>
                      <w:lang w:eastAsia="zh-CN"/>
                    </w:rPr>
                  </w:pPr>
                  <w:r>
                    <w:rPr>
                      <w:rFonts w:hint="eastAsia" w:ascii="Times New Roman" w:hAnsi="Times New Roman" w:cs="Times New Roman"/>
                      <w:color w:val="auto"/>
                      <w:sz w:val="21"/>
                      <w:lang w:val="en-US" w:eastAsia="zh-CN"/>
                    </w:rPr>
                    <w:t>21.9</w:t>
                  </w:r>
                </w:p>
              </w:tc>
              <w:tc>
                <w:tcPr>
                  <w:tcW w:w="1203" w:type="dxa"/>
                  <w:vAlign w:val="center"/>
                </w:tcPr>
                <w:p>
                  <w:pPr>
                    <w:spacing w:line="240" w:lineRule="auto"/>
                    <w:ind w:firstLine="0" w:firstLineChars="0"/>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val="en-US" w:eastAsia="zh-CN"/>
                    </w:rPr>
                    <w:t>2500</w:t>
                  </w:r>
                </w:p>
              </w:tc>
              <w:tc>
                <w:tcPr>
                  <w:tcW w:w="1389" w:type="dxa"/>
                  <w:vAlign w:val="top"/>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储罐</w:t>
                  </w:r>
                </w:p>
              </w:tc>
              <w:tc>
                <w:tcPr>
                  <w:tcW w:w="1170" w:type="dxa"/>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0.</w:t>
                  </w:r>
                  <w:r>
                    <w:rPr>
                      <w:rFonts w:hint="eastAsia" w:ascii="Times New Roman" w:hAnsi="Times New Roman" w:cs="Times New Roman"/>
                      <w:color w:val="auto"/>
                      <w:sz w:val="21"/>
                      <w:lang w:val="en-US" w:eastAsia="zh-CN"/>
                    </w:rPr>
                    <w:t>00876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465" w:type="dxa"/>
                  <w:gridSpan w:val="5"/>
                  <w:vAlign w:val="center"/>
                </w:tcPr>
                <w:p>
                  <w:pPr>
                    <w:spacing w:line="240" w:lineRule="auto"/>
                    <w:ind w:firstLine="0" w:firstLineChars="0"/>
                    <w:jc w:val="center"/>
                    <w:rPr>
                      <w:rFonts w:ascii="Times New Roman" w:hAnsi="Times New Roman" w:cs="Times New Roman"/>
                      <w:color w:val="auto"/>
                      <w:sz w:val="21"/>
                    </w:rPr>
                  </w:pPr>
                  <w:r>
                    <w:rPr>
                      <w:rFonts w:ascii="Times New Roman" w:hAnsi="Times New Roman" w:cs="Times New Roman"/>
                      <w:color w:val="auto"/>
                      <w:sz w:val="21"/>
                    </w:rPr>
                    <w:t>总计</w:t>
                  </w:r>
                </w:p>
              </w:tc>
              <w:tc>
                <w:tcPr>
                  <w:tcW w:w="1170" w:type="dxa"/>
                  <w:vAlign w:val="center"/>
                </w:tcPr>
                <w:p>
                  <w:pPr>
                    <w:spacing w:line="240" w:lineRule="auto"/>
                    <w:ind w:firstLine="0" w:firstLineChars="0"/>
                    <w:jc w:val="center"/>
                    <w:rPr>
                      <w:rFonts w:hint="eastAsia" w:ascii="Times New Roman" w:hAnsi="Times New Roman" w:cs="Times New Roman"/>
                      <w:color w:val="auto"/>
                      <w:sz w:val="21"/>
                    </w:rPr>
                  </w:pPr>
                  <w:r>
                    <w:rPr>
                      <w:rFonts w:ascii="Times New Roman" w:hAnsi="Times New Roman" w:cs="Times New Roman"/>
                      <w:color w:val="auto"/>
                      <w:sz w:val="21"/>
                    </w:rPr>
                    <w:t>0.</w:t>
                  </w:r>
                  <w:r>
                    <w:rPr>
                      <w:rFonts w:hint="eastAsia" w:ascii="Times New Roman" w:hAnsi="Times New Roman" w:cs="Times New Roman"/>
                      <w:color w:val="auto"/>
                      <w:sz w:val="21"/>
                      <w:lang w:val="en-US" w:eastAsia="zh-CN"/>
                    </w:rPr>
                    <w:t>02536</w:t>
                  </w:r>
                </w:p>
              </w:tc>
            </w:tr>
          </w:tbl>
          <w:p>
            <w:pPr>
              <w:spacing w:line="360" w:lineRule="auto"/>
              <w:ind w:firstLine="480" w:firstLineChars="200"/>
              <w:jc w:val="left"/>
              <w:rPr>
                <w:rFonts w:hint="eastAsia"/>
                <w:color w:val="auto"/>
                <w:sz w:val="24"/>
              </w:rPr>
            </w:pPr>
            <w:r>
              <w:rPr>
                <w:rFonts w:hint="eastAsia"/>
                <w:color w:val="auto"/>
                <w:sz w:val="24"/>
              </w:rPr>
              <w:t>通过计算：Q=0.0</w:t>
            </w:r>
            <w:r>
              <w:rPr>
                <w:rFonts w:hint="eastAsia"/>
                <w:color w:val="auto"/>
                <w:sz w:val="24"/>
                <w:lang w:val="en-US" w:eastAsia="zh-CN"/>
              </w:rPr>
              <w:t>2536</w:t>
            </w:r>
            <w:r>
              <w:rPr>
                <w:rFonts w:hint="eastAsia"/>
                <w:color w:val="auto"/>
                <w:sz w:val="24"/>
              </w:rPr>
              <w:t>&lt;1</w:t>
            </w:r>
          </w:p>
          <w:p>
            <w:pPr>
              <w:spacing w:line="360" w:lineRule="auto"/>
              <w:ind w:firstLine="480" w:firstLineChars="200"/>
              <w:jc w:val="left"/>
              <w:rPr>
                <w:rFonts w:hint="eastAsia"/>
                <w:color w:val="auto"/>
                <w:sz w:val="24"/>
              </w:rPr>
            </w:pPr>
            <w:r>
              <w:rPr>
                <w:rFonts w:hint="eastAsia"/>
                <w:color w:val="auto"/>
                <w:sz w:val="24"/>
              </w:rPr>
              <w:t>由上表可知：本项目Q=0.0</w:t>
            </w:r>
            <w:r>
              <w:rPr>
                <w:rFonts w:hint="eastAsia"/>
                <w:color w:val="auto"/>
                <w:sz w:val="24"/>
                <w:lang w:val="en-US" w:eastAsia="zh-CN"/>
              </w:rPr>
              <w:t>2536</w:t>
            </w:r>
            <w:r>
              <w:rPr>
                <w:rFonts w:hint="eastAsia"/>
                <w:color w:val="auto"/>
                <w:sz w:val="24"/>
              </w:rPr>
              <w:t>，属于Q＜1，该项目环境风险潜势为I。</w:t>
            </w:r>
          </w:p>
          <w:p>
            <w:pPr>
              <w:spacing w:line="360" w:lineRule="auto"/>
              <w:ind w:firstLine="480" w:firstLineChars="200"/>
              <w:jc w:val="left"/>
              <w:rPr>
                <w:rFonts w:hint="eastAsia"/>
                <w:color w:val="auto"/>
                <w:sz w:val="24"/>
              </w:rPr>
            </w:pPr>
            <w:r>
              <w:rPr>
                <w:rFonts w:hint="eastAsia"/>
                <w:color w:val="auto"/>
                <w:sz w:val="24"/>
              </w:rPr>
              <w:t>根据HJ169-2018《建设项目环境风险评价技术导则》给出的评价工作等级确定原则见表7-</w:t>
            </w:r>
            <w:r>
              <w:rPr>
                <w:rFonts w:hint="eastAsia"/>
                <w:color w:val="auto"/>
                <w:sz w:val="24"/>
                <w:lang w:val="en-US" w:eastAsia="zh-CN"/>
              </w:rPr>
              <w:t>22</w:t>
            </w:r>
            <w:r>
              <w:rPr>
                <w:rFonts w:hint="eastAsia"/>
                <w:color w:val="auto"/>
                <w:sz w:val="24"/>
              </w:rPr>
              <w:t>。</w:t>
            </w:r>
          </w:p>
          <w:p>
            <w:pPr>
              <w:adjustRightInd w:val="0"/>
              <w:snapToGrid w:val="0"/>
              <w:spacing w:line="360" w:lineRule="auto"/>
              <w:jc w:val="center"/>
              <w:rPr>
                <w:rFonts w:hint="eastAsia" w:ascii="Times New Roman" w:hAnsi="Times New Roman" w:cs="Times New Roman"/>
                <w:color w:val="auto"/>
              </w:rPr>
            </w:pPr>
            <w:r>
              <w:rPr>
                <w:rFonts w:hint="eastAsia" w:ascii="Times New Roman" w:hAnsi="Times New Roman" w:cs="Times New Roman"/>
                <w:color w:val="auto"/>
              </w:rPr>
              <w:t>表7-</w:t>
            </w:r>
            <w:r>
              <w:rPr>
                <w:rFonts w:hint="eastAsia" w:ascii="Times New Roman" w:hAnsi="Times New Roman" w:cs="Times New Roman"/>
                <w:color w:val="auto"/>
                <w:lang w:val="en-US" w:eastAsia="zh-CN"/>
              </w:rPr>
              <w:t>23</w:t>
            </w:r>
            <w:r>
              <w:rPr>
                <w:rFonts w:hint="eastAsia" w:ascii="Times New Roman" w:hAnsi="Times New Roman" w:cs="Times New Roman"/>
                <w:color w:val="auto"/>
              </w:rPr>
              <w:t xml:space="preserve">  评价工作等级划分</w:t>
            </w:r>
          </w:p>
          <w:tbl>
            <w:tblPr>
              <w:tblStyle w:val="23"/>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1776"/>
              <w:gridCol w:w="1776"/>
              <w:gridCol w:w="1776"/>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tcBorders>
                    <w:tl2br w:val="nil"/>
                    <w:tr2bl w:val="nil"/>
                  </w:tcBorders>
                  <w:shd w:val="clear" w:color="auto" w:fill="auto"/>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环境风险潜势</w:t>
                  </w:r>
                </w:p>
              </w:tc>
              <w:tc>
                <w:tcPr>
                  <w:tcW w:w="1776" w:type="dxa"/>
                  <w:tcBorders>
                    <w:tl2br w:val="nil"/>
                    <w:tr2bl w:val="nil"/>
                  </w:tcBorders>
                  <w:shd w:val="clear" w:color="auto" w:fill="auto"/>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IV、IV+</w:t>
                  </w:r>
                </w:p>
              </w:tc>
              <w:tc>
                <w:tcPr>
                  <w:tcW w:w="1776" w:type="dxa"/>
                  <w:tcBorders>
                    <w:tl2br w:val="nil"/>
                    <w:tr2bl w:val="nil"/>
                  </w:tcBorders>
                  <w:shd w:val="clear" w:color="auto" w:fill="auto"/>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III</w:t>
                  </w:r>
                </w:p>
              </w:tc>
              <w:tc>
                <w:tcPr>
                  <w:tcW w:w="1776" w:type="dxa"/>
                  <w:tcBorders>
                    <w:tl2br w:val="nil"/>
                    <w:tr2bl w:val="nil"/>
                  </w:tcBorders>
                  <w:shd w:val="clear" w:color="auto" w:fill="auto"/>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II</w:t>
                  </w:r>
                </w:p>
              </w:tc>
              <w:tc>
                <w:tcPr>
                  <w:tcW w:w="1776" w:type="dxa"/>
                  <w:tcBorders>
                    <w:tl2br w:val="nil"/>
                    <w:tr2bl w:val="nil"/>
                  </w:tcBorders>
                  <w:shd w:val="clear" w:color="auto" w:fill="00B0F0"/>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tcBorders>
                    <w:tl2br w:val="nil"/>
                    <w:tr2bl w:val="nil"/>
                  </w:tcBorders>
                  <w:shd w:val="clear" w:color="auto" w:fill="auto"/>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评价工作等级</w:t>
                  </w:r>
                </w:p>
              </w:tc>
              <w:tc>
                <w:tcPr>
                  <w:tcW w:w="1776" w:type="dxa"/>
                  <w:tcBorders>
                    <w:tl2br w:val="nil"/>
                    <w:tr2bl w:val="nil"/>
                  </w:tcBorders>
                  <w:shd w:val="clear" w:color="auto" w:fill="auto"/>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一</w:t>
                  </w:r>
                </w:p>
              </w:tc>
              <w:tc>
                <w:tcPr>
                  <w:tcW w:w="1776" w:type="dxa"/>
                  <w:tcBorders>
                    <w:tl2br w:val="nil"/>
                    <w:tr2bl w:val="nil"/>
                  </w:tcBorders>
                  <w:shd w:val="clear" w:color="auto" w:fill="auto"/>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二</w:t>
                  </w:r>
                </w:p>
              </w:tc>
              <w:tc>
                <w:tcPr>
                  <w:tcW w:w="1776" w:type="dxa"/>
                  <w:tcBorders>
                    <w:tl2br w:val="nil"/>
                    <w:tr2bl w:val="nil"/>
                  </w:tcBorders>
                  <w:shd w:val="clear" w:color="auto" w:fill="auto"/>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三</w:t>
                  </w:r>
                </w:p>
              </w:tc>
              <w:tc>
                <w:tcPr>
                  <w:tcW w:w="1776" w:type="dxa"/>
                  <w:tcBorders>
                    <w:tl2br w:val="nil"/>
                    <w:tr2bl w:val="nil"/>
                  </w:tcBorders>
                  <w:shd w:val="clear" w:color="auto" w:fill="00B0F0"/>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简单分析</w:t>
                  </w:r>
                  <w:r>
                    <w:rPr>
                      <w:rFonts w:hint="eastAsia" w:ascii="Times New Roman" w:hAnsi="Times New Roman" w:eastAsia="宋体" w:cs="Times New Roman"/>
                      <w:bCs w:val="0"/>
                      <w:color w:val="auto"/>
                      <w:kern w:val="2"/>
                      <w:sz w:val="21"/>
                      <w:szCs w:val="21"/>
                      <w:vertAlign w:val="superscript"/>
                      <w:lang w:val="en-US" w:eastAsia="zh-CN" w:bidi="ar-S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9" w:type="dxa"/>
                  <w:gridSpan w:val="5"/>
                  <w:tcBorders>
                    <w:tl2br w:val="nil"/>
                    <w:tr2bl w:val="nil"/>
                  </w:tcBorders>
                  <w:vAlign w:val="center"/>
                </w:tcPr>
                <w:p>
                  <w:pPr>
                    <w:pStyle w:val="32"/>
                    <w:adjustRightInd w:val="0"/>
                    <w:snapToGrid w:val="0"/>
                    <w:spacing w:line="240" w:lineRule="auto"/>
                    <w:ind w:firstLine="0" w:firstLineChars="0"/>
                    <w:jc w:val="center"/>
                    <w:rPr>
                      <w:rFonts w:hint="eastAsia" w:ascii="Times New Roman" w:hAnsi="Times New Roman" w:eastAsia="宋体" w:cs="Times New Roman"/>
                      <w:bCs w:val="0"/>
                      <w:color w:val="auto"/>
                      <w:kern w:val="2"/>
                      <w:sz w:val="21"/>
                      <w:szCs w:val="21"/>
                      <w:lang w:val="en-US" w:eastAsia="zh-CN" w:bidi="ar-SA"/>
                    </w:rPr>
                  </w:pPr>
                  <w:r>
                    <w:rPr>
                      <w:rFonts w:hint="eastAsia" w:ascii="Times New Roman" w:hAnsi="Times New Roman" w:eastAsia="宋体" w:cs="Times New Roman"/>
                      <w:bCs w:val="0"/>
                      <w:color w:val="auto"/>
                      <w:kern w:val="2"/>
                      <w:sz w:val="21"/>
                      <w:szCs w:val="21"/>
                      <w:lang w:val="en-US" w:eastAsia="zh-CN" w:bidi="ar-SA"/>
                    </w:rPr>
                    <w:t>a是相对于详细评价工作内容而言，在描述危险物质、环境影响途径、环境危害后果、风险防范措施等方面给出定性的说明。见附录A</w:t>
                  </w:r>
                </w:p>
              </w:tc>
            </w:tr>
          </w:tbl>
          <w:p>
            <w:pPr>
              <w:spacing w:line="360" w:lineRule="auto"/>
              <w:ind w:firstLine="480" w:firstLineChars="200"/>
              <w:jc w:val="left"/>
              <w:rPr>
                <w:rFonts w:hint="eastAsia"/>
                <w:color w:val="auto"/>
                <w:kern w:val="0"/>
                <w:sz w:val="24"/>
              </w:rPr>
            </w:pPr>
            <w:r>
              <w:rPr>
                <w:rFonts w:hint="eastAsia"/>
                <w:color w:val="auto"/>
                <w:kern w:val="0"/>
                <w:sz w:val="24"/>
              </w:rPr>
              <w:t>由上表可知：本项目风险评价等级为简单分析。</w:t>
            </w:r>
          </w:p>
          <w:p>
            <w:pPr>
              <w:adjustRightInd w:val="0"/>
              <w:snapToGrid w:val="0"/>
              <w:spacing w:line="360" w:lineRule="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 xml:space="preserve">、风险识别 </w:t>
            </w:r>
          </w:p>
          <w:p>
            <w:pPr>
              <w:pStyle w:val="4"/>
              <w:spacing w:before="0" w:after="0" w:line="360" w:lineRule="auto"/>
              <w:rPr>
                <w:rFonts w:hint="default" w:ascii="Times New Roman" w:hAnsi="Times New Roman" w:cs="Times New Roman"/>
                <w:bCs w:val="0"/>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.1</w:t>
            </w:r>
            <w:r>
              <w:rPr>
                <w:rFonts w:hint="default" w:ascii="Times New Roman" w:hAnsi="Times New Roman" w:cs="Times New Roman"/>
                <w:bCs w:val="0"/>
                <w:color w:val="auto"/>
                <w:sz w:val="24"/>
                <w:szCs w:val="24"/>
              </w:rPr>
              <w:t>物质危险性识别</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本加油站贮存的油品汽油和柴油是本项目存在的具有</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潜在危险因素的原料，它们的理化性质见表7-</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w:t>
            </w:r>
          </w:p>
          <w:tbl>
            <w:tblPr>
              <w:tblStyle w:val="23"/>
              <w:tblW w:w="83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
            <w:tblGrid>
              <w:gridCol w:w="1604"/>
              <w:gridCol w:w="3803"/>
              <w:gridCol w:w="29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15" w:hRule="atLeast"/>
                <w:jc w:val="center"/>
              </w:trPr>
              <w:tc>
                <w:tcPr>
                  <w:tcW w:w="8314" w:type="dxa"/>
                  <w:gridSpan w:val="3"/>
                  <w:tcBorders>
                    <w:top w:val="nil"/>
                    <w:left w:val="nil"/>
                    <w:right w:val="nil"/>
                  </w:tcBorders>
                  <w:vAlign w:val="center"/>
                </w:tcPr>
                <w:p>
                  <w:pPr>
                    <w:adjustRightInd w:val="0"/>
                    <w:snapToGrid w:val="0"/>
                    <w:spacing w:line="320" w:lineRule="exact"/>
                    <w:ind w:firstLine="2783" w:firstLineChars="1320"/>
                    <w:rPr>
                      <w:rFonts w:hint="default" w:ascii="Times New Roman" w:hAnsi="Times New Roman" w:cs="Times New Roman"/>
                      <w:color w:val="auto"/>
                      <w:szCs w:val="21"/>
                    </w:rPr>
                  </w:pPr>
                  <w:r>
                    <w:rPr>
                      <w:rFonts w:hint="default" w:ascii="Times New Roman" w:hAnsi="Times New Roman" w:cs="Times New Roman"/>
                      <w:b/>
                      <w:bCs/>
                      <w:color w:val="auto"/>
                      <w:szCs w:val="21"/>
                    </w:rPr>
                    <w:t>表7-</w:t>
                  </w:r>
                  <w:r>
                    <w:rPr>
                      <w:rFonts w:hint="eastAsia" w:ascii="Times New Roman" w:hAnsi="Times New Roman" w:cs="Times New Roman"/>
                      <w:b/>
                      <w:bCs/>
                      <w:color w:val="auto"/>
                      <w:szCs w:val="21"/>
                      <w:lang w:val="en-US" w:eastAsia="zh-CN"/>
                    </w:rPr>
                    <w:t>2</w:t>
                  </w:r>
                  <w:r>
                    <w:rPr>
                      <w:rFonts w:hint="default" w:ascii="Times New Roman" w:hAnsi="Times New Roman" w:cs="Times New Roman"/>
                      <w:b/>
                      <w:bCs/>
                      <w:color w:val="auto"/>
                      <w:szCs w:val="21"/>
                      <w:lang w:val="en-US" w:eastAsia="zh-CN"/>
                    </w:rPr>
                    <w:t>0</w:t>
                  </w:r>
                  <w:r>
                    <w:rPr>
                      <w:rFonts w:hint="default" w:ascii="Times New Roman" w:hAnsi="Times New Roman" w:cs="Times New Roman"/>
                      <w:b/>
                      <w:bCs/>
                      <w:color w:val="auto"/>
                      <w:szCs w:val="21"/>
                    </w:rPr>
                    <w:t xml:space="preserve"> 物料的理化性质及危险、有害特性表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15" w:hRule="atLeast"/>
                <w:jc w:val="center"/>
              </w:trPr>
              <w:tc>
                <w:tcPr>
                  <w:tcW w:w="1604" w:type="dxa"/>
                  <w:vAlign w:val="center"/>
                </w:tcPr>
                <w:p>
                  <w:pPr>
                    <w:spacing w:line="320" w:lineRule="exact"/>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物料名称</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汽油</w:t>
                  </w:r>
                </w:p>
              </w:tc>
              <w:tc>
                <w:tcPr>
                  <w:tcW w:w="290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柴油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15"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产生来源</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原料</w:t>
                  </w:r>
                </w:p>
              </w:tc>
              <w:tc>
                <w:tcPr>
                  <w:tcW w:w="290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原料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43"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分子式</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kern w:val="0"/>
                      <w:sz w:val="18"/>
                      <w:szCs w:val="18"/>
                    </w:rPr>
                    <w:t>C</w:t>
                  </w:r>
                  <w:r>
                    <w:rPr>
                      <w:rFonts w:hint="default" w:ascii="Times New Roman" w:hAnsi="Times New Roman" w:cs="Times New Roman"/>
                      <w:color w:val="auto"/>
                      <w:kern w:val="0"/>
                      <w:sz w:val="18"/>
                      <w:szCs w:val="18"/>
                      <w:vertAlign w:val="subscript"/>
                    </w:rPr>
                    <w:t>5</w:t>
                  </w:r>
                  <w:r>
                    <w:rPr>
                      <w:rFonts w:hint="default" w:ascii="Times New Roman" w:hAnsi="Times New Roman" w:cs="Times New Roman"/>
                      <w:color w:val="auto"/>
                      <w:kern w:val="0"/>
                      <w:sz w:val="18"/>
                      <w:szCs w:val="18"/>
                    </w:rPr>
                    <w:t>H</w:t>
                  </w:r>
                  <w:r>
                    <w:rPr>
                      <w:rFonts w:hint="default" w:ascii="Times New Roman" w:hAnsi="Times New Roman" w:cs="Times New Roman"/>
                      <w:color w:val="auto"/>
                      <w:kern w:val="0"/>
                      <w:sz w:val="18"/>
                      <w:szCs w:val="18"/>
                      <w:vertAlign w:val="subscript"/>
                    </w:rPr>
                    <w:t>12</w:t>
                  </w:r>
                  <w:r>
                    <w:rPr>
                      <w:rFonts w:hint="default" w:ascii="Times New Roman" w:hAnsi="Times New Roman" w:cs="Times New Roman"/>
                      <w:color w:val="auto"/>
                      <w:kern w:val="0"/>
                      <w:sz w:val="18"/>
                      <w:szCs w:val="18"/>
                    </w:rPr>
                    <w:t>~C</w:t>
                  </w:r>
                  <w:r>
                    <w:rPr>
                      <w:rFonts w:hint="default" w:ascii="Times New Roman" w:hAnsi="Times New Roman" w:cs="Times New Roman"/>
                      <w:color w:val="auto"/>
                      <w:kern w:val="0"/>
                      <w:sz w:val="18"/>
                      <w:szCs w:val="18"/>
                      <w:vertAlign w:val="subscript"/>
                    </w:rPr>
                    <w:t>12</w:t>
                  </w:r>
                  <w:r>
                    <w:rPr>
                      <w:rFonts w:hint="default" w:ascii="Times New Roman" w:hAnsi="Times New Roman" w:cs="Times New Roman"/>
                      <w:color w:val="auto"/>
                      <w:kern w:val="0"/>
                      <w:sz w:val="18"/>
                      <w:szCs w:val="18"/>
                    </w:rPr>
                    <w:t>H</w:t>
                  </w:r>
                  <w:r>
                    <w:rPr>
                      <w:rFonts w:hint="default" w:ascii="Times New Roman" w:hAnsi="Times New Roman" w:cs="Times New Roman"/>
                      <w:color w:val="auto"/>
                      <w:kern w:val="0"/>
                      <w:sz w:val="18"/>
                      <w:szCs w:val="18"/>
                      <w:vertAlign w:val="subscript"/>
                    </w:rPr>
                    <w:t>26</w:t>
                  </w:r>
                </w:p>
              </w:tc>
              <w:tc>
                <w:tcPr>
                  <w:tcW w:w="290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15"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熔点</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﹤-60℃（纯） 沸点：40～200</w:t>
                  </w:r>
                </w:p>
              </w:tc>
              <w:tc>
                <w:tcPr>
                  <w:tcW w:w="2907" w:type="dxa"/>
                  <w:vAlign w:val="center"/>
                </w:tcPr>
                <w:p>
                  <w:pPr>
                    <w:spacing w:line="320" w:lineRule="exact"/>
                    <w:jc w:val="center"/>
                    <w:rPr>
                      <w:rFonts w:hint="default" w:ascii="Times New Roman" w:hAnsi="Times New Roman" w:eastAsia="Arial Unicode MS" w:cs="Times New Roman"/>
                      <w:color w:val="auto"/>
                      <w:szCs w:val="21"/>
                    </w:rPr>
                  </w:pPr>
                  <w:r>
                    <w:rPr>
                      <w:rFonts w:hint="default" w:ascii="Times New Roman" w:hAnsi="Times New Roman" w:cs="Times New Roman"/>
                      <w:color w:val="auto"/>
                      <w:szCs w:val="21"/>
                    </w:rPr>
                    <w:t>-29.56℃  沸点：200～350℃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15"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密度</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相对密度(水=1) 0.70～0.79；相对密度</w:t>
                  </w:r>
                </w:p>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(空气=1）3.5</w:t>
                  </w:r>
                </w:p>
              </w:tc>
              <w:tc>
                <w:tcPr>
                  <w:tcW w:w="290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相对密度(水=1) 0.87～0.9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36"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外观与性状</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无色或淡黄色易挥发液体，具有特殊臭味。</w:t>
                  </w:r>
                </w:p>
              </w:tc>
              <w:tc>
                <w:tcPr>
                  <w:tcW w:w="2907" w:type="dxa"/>
                  <w:vAlign w:val="center"/>
                </w:tcPr>
                <w:p>
                  <w:pPr>
                    <w:spacing w:line="320" w:lineRule="exact"/>
                    <w:jc w:val="center"/>
                    <w:rPr>
                      <w:rFonts w:hint="default" w:ascii="Times New Roman" w:hAnsi="Times New Roman" w:eastAsia="Arial Unicode MS" w:cs="Times New Roman"/>
                      <w:color w:val="auto"/>
                      <w:szCs w:val="21"/>
                    </w:rPr>
                  </w:pPr>
                  <w:r>
                    <w:rPr>
                      <w:rFonts w:hint="default" w:ascii="Times New Roman" w:hAnsi="Times New Roman" w:cs="Times New Roman"/>
                      <w:color w:val="auto"/>
                      <w:szCs w:val="21"/>
                    </w:rPr>
                    <w:t>稍有粘性的棕色液体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159"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溶解性</w:t>
                  </w:r>
                </w:p>
              </w:tc>
              <w:tc>
                <w:tcPr>
                  <w:tcW w:w="3803" w:type="dxa"/>
                  <w:vAlign w:val="center"/>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不溶于水、易溶于苯、二硫化碳、醇、易溶于脂肪。</w:t>
                  </w:r>
                </w:p>
              </w:tc>
              <w:tc>
                <w:tcPr>
                  <w:tcW w:w="2907" w:type="dxa"/>
                  <w:vAlign w:val="center"/>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不溶于水，易溶于苯、二硫化碳、醇，易溶于脂肪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52"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稳定性</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稳定</w:t>
                  </w:r>
                </w:p>
              </w:tc>
              <w:tc>
                <w:tcPr>
                  <w:tcW w:w="2907" w:type="dxa"/>
                  <w:vAlign w:val="center"/>
                </w:tcPr>
                <w:p>
                  <w:pPr>
                    <w:spacing w:line="320" w:lineRule="exact"/>
                    <w:jc w:val="center"/>
                    <w:rPr>
                      <w:rFonts w:hint="default" w:ascii="Times New Roman" w:hAnsi="Times New Roman" w:eastAsia="Arial Unicode MS" w:cs="Times New Roman"/>
                      <w:color w:val="auto"/>
                      <w:szCs w:val="21"/>
                    </w:rPr>
                  </w:pPr>
                  <w:r>
                    <w:rPr>
                      <w:rFonts w:hint="default" w:ascii="Times New Roman" w:hAnsi="Times New Roman" w:cs="Times New Roman"/>
                      <w:color w:val="auto"/>
                      <w:szCs w:val="21"/>
                    </w:rPr>
                    <w:t>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06"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毒理性</w:t>
                  </w:r>
                </w:p>
              </w:tc>
              <w:tc>
                <w:tcPr>
                  <w:tcW w:w="3803" w:type="dxa"/>
                  <w:vAlign w:val="center"/>
                </w:tcPr>
                <w:p>
                  <w:pPr>
                    <w:spacing w:line="320" w:lineRule="exact"/>
                    <w:ind w:right="132" w:rightChars="63"/>
                    <w:rPr>
                      <w:rFonts w:hint="default" w:ascii="Times New Roman" w:hAnsi="Times New Roman" w:cs="Times New Roman"/>
                      <w:color w:val="auto"/>
                      <w:szCs w:val="21"/>
                    </w:rPr>
                  </w:pPr>
                  <w:r>
                    <w:rPr>
                      <w:rFonts w:hint="default" w:ascii="Times New Roman" w:hAnsi="Times New Roman" w:cs="Times New Roman"/>
                      <w:color w:val="auto"/>
                      <w:szCs w:val="21"/>
                    </w:rPr>
                    <w:t>急性毒性：LD</w:t>
                  </w:r>
                  <w:r>
                    <w:rPr>
                      <w:rFonts w:hint="default" w:ascii="Times New Roman" w:hAnsi="Times New Roman" w:cs="Times New Roman"/>
                      <w:color w:val="auto"/>
                      <w:szCs w:val="21"/>
                      <w:vertAlign w:val="subscript"/>
                    </w:rPr>
                    <w:t>50</w:t>
                  </w:r>
                  <w:r>
                    <w:rPr>
                      <w:rFonts w:hint="default" w:ascii="Times New Roman" w:hAnsi="Times New Roman" w:cs="Times New Roman"/>
                      <w:color w:val="auto"/>
                      <w:szCs w:val="21"/>
                    </w:rPr>
                    <w:t xml:space="preserve"> 67000mg/kg（小鼠经口），（120号溶剂汽油）；LC</w:t>
                  </w:r>
                  <w:r>
                    <w:rPr>
                      <w:rFonts w:hint="default" w:ascii="Times New Roman" w:hAnsi="Times New Roman" w:cs="Times New Roman"/>
                      <w:color w:val="auto"/>
                      <w:szCs w:val="21"/>
                      <w:vertAlign w:val="subscript"/>
                    </w:rPr>
                    <w:t>50</w:t>
                  </w:r>
                  <w:r>
                    <w:rPr>
                      <w:rFonts w:hint="default" w:ascii="Times New Roman" w:hAnsi="Times New Roman" w:cs="Times New Roman"/>
                      <w:color w:val="auto"/>
                      <w:szCs w:val="21"/>
                    </w:rPr>
                    <w:t xml:space="preserve"> 103000mg/m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小鼠，2小时（120号溶剂汽油）</w:t>
                  </w:r>
                </w:p>
              </w:tc>
              <w:tc>
                <w:tcPr>
                  <w:tcW w:w="2907" w:type="dxa"/>
                  <w:vAlign w:val="center"/>
                </w:tcPr>
                <w:p>
                  <w:pPr>
                    <w:spacing w:line="320" w:lineRule="exact"/>
                    <w:ind w:firstLine="1260" w:firstLineChars="60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06"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危险特性</w:t>
                  </w:r>
                </w:p>
              </w:tc>
              <w:tc>
                <w:tcPr>
                  <w:tcW w:w="3803" w:type="dxa"/>
                  <w:vAlign w:val="center"/>
                </w:tcPr>
                <w:p>
                  <w:pPr>
                    <w:spacing w:line="320" w:lineRule="exact"/>
                    <w:ind w:right="36" w:rightChars="17"/>
                    <w:rPr>
                      <w:rFonts w:hint="default" w:ascii="Times New Roman" w:hAnsi="Times New Roman" w:cs="Times New Roman"/>
                      <w:color w:val="auto"/>
                      <w:szCs w:val="21"/>
                    </w:rPr>
                  </w:pPr>
                  <w:r>
                    <w:rPr>
                      <w:rFonts w:hint="default" w:ascii="Times New Roman" w:hAnsi="Times New Roman" w:cs="Times New Roman"/>
                      <w:color w:val="auto"/>
                      <w:szCs w:val="21"/>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c>
                <w:tcPr>
                  <w:tcW w:w="2907" w:type="dxa"/>
                  <w:vAlign w:val="center"/>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皮肤接触柴油可引起接触性皮炎、油性痤疮，吸入可引起吸入性肺炎，能经胎盘进入胎儿血中。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06"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有害燃烧产物</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一氧化碳、二氧化碳</w:t>
                  </w:r>
                </w:p>
              </w:tc>
              <w:tc>
                <w:tcPr>
                  <w:tcW w:w="290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一氧化碳、二氧化碳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06"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刺激性</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人经眼：140ppm（8小时），轻度刺激</w:t>
                  </w:r>
                </w:p>
              </w:tc>
              <w:tc>
                <w:tcPr>
                  <w:tcW w:w="290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具有刺激作用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06"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最高容许浓度</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300mg/m</w:t>
                  </w:r>
                  <w:r>
                    <w:rPr>
                      <w:rFonts w:hint="default" w:ascii="Times New Roman" w:hAnsi="Times New Roman" w:cs="Times New Roman"/>
                      <w:color w:val="auto"/>
                      <w:szCs w:val="21"/>
                      <w:vertAlign w:val="superscript"/>
                    </w:rPr>
                    <w:t>3</w:t>
                  </w:r>
                </w:p>
              </w:tc>
              <w:tc>
                <w:tcPr>
                  <w:tcW w:w="290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06"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环境危害</w:t>
                  </w:r>
                </w:p>
              </w:tc>
              <w:tc>
                <w:tcPr>
                  <w:tcW w:w="3803" w:type="dxa"/>
                  <w:vAlign w:val="center"/>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该物质对环境有危害，应特别注意对地表水、土壤、大气和饮用水的污染</w:t>
                  </w:r>
                </w:p>
              </w:tc>
              <w:tc>
                <w:tcPr>
                  <w:tcW w:w="2907" w:type="dxa"/>
                  <w:vAlign w:val="center"/>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该物质对环境有危害，应特别注意对地表水、土壤、大气和饮用水的污染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206" w:hRule="atLeast"/>
                <w:jc w:val="center"/>
              </w:trPr>
              <w:tc>
                <w:tcPr>
                  <w:tcW w:w="1604"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避免接触的条件</w:t>
                  </w:r>
                </w:p>
              </w:tc>
              <w:tc>
                <w:tcPr>
                  <w:tcW w:w="3803"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明火、高热</w:t>
                  </w:r>
                </w:p>
              </w:tc>
              <w:tc>
                <w:tcPr>
                  <w:tcW w:w="290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明火、高热</w:t>
                  </w:r>
                </w:p>
              </w:tc>
            </w:tr>
          </w:tbl>
          <w:p>
            <w:pPr>
              <w:pStyle w:val="4"/>
              <w:spacing w:before="0" w:after="0" w:line="360" w:lineRule="auto"/>
              <w:rPr>
                <w:rFonts w:hint="default" w:ascii="Times New Roman" w:hAnsi="Times New Roman" w:cs="Times New Roman"/>
                <w:bCs w:val="0"/>
                <w:color w:val="auto"/>
                <w:sz w:val="24"/>
                <w:szCs w:val="24"/>
              </w:rPr>
            </w:pPr>
            <w:r>
              <w:rPr>
                <w:rFonts w:hint="eastAsia" w:ascii="Times New Roman" w:hAnsi="Times New Roman" w:cs="Times New Roman"/>
                <w:bCs w:val="0"/>
                <w:color w:val="auto"/>
                <w:sz w:val="24"/>
                <w:szCs w:val="24"/>
                <w:lang w:val="en-US" w:eastAsia="zh-CN"/>
              </w:rPr>
              <w:t>2</w:t>
            </w:r>
            <w:r>
              <w:rPr>
                <w:rFonts w:hint="default" w:ascii="Times New Roman" w:hAnsi="Times New Roman" w:cs="Times New Roman"/>
                <w:bCs w:val="0"/>
                <w:color w:val="auto"/>
                <w:sz w:val="24"/>
                <w:szCs w:val="24"/>
              </w:rPr>
              <w:t>.2运营设施风险识别</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项目事故易发部位见表7-</w:t>
            </w:r>
            <w:r>
              <w:rPr>
                <w:rFonts w:hint="eastAsia" w:ascii="Times New Roman" w:hAnsi="Times New Roman" w:cs="Times New Roman"/>
                <w:color w:val="auto"/>
                <w:sz w:val="24"/>
                <w:lang w:val="en-US" w:eastAsia="zh-CN"/>
              </w:rPr>
              <w:t>21</w:t>
            </w:r>
            <w:r>
              <w:rPr>
                <w:rFonts w:hint="default" w:ascii="Times New Roman" w:hAnsi="Times New Roman" w:cs="Times New Roman"/>
                <w:color w:val="auto"/>
                <w:sz w:val="24"/>
              </w:rPr>
              <w:t>。</w:t>
            </w:r>
          </w:p>
          <w:tbl>
            <w:tblPr>
              <w:tblStyle w:val="23"/>
              <w:tblW w:w="9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06"/>
              <w:gridCol w:w="1198"/>
              <w:gridCol w:w="5436"/>
              <w:gridCol w:w="14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6" w:hRule="atLeast"/>
                <w:jc w:val="center"/>
              </w:trPr>
              <w:tc>
                <w:tcPr>
                  <w:tcW w:w="9024" w:type="dxa"/>
                  <w:gridSpan w:val="4"/>
                  <w:tcBorders>
                    <w:top w:val="nil"/>
                    <w:left w:val="nil"/>
                    <w:right w:val="nil"/>
                  </w:tcBorders>
                  <w:vAlign w:val="center"/>
                </w:tcPr>
                <w:p>
                  <w:pPr>
                    <w:adjustRightInd w:val="0"/>
                    <w:snapToGrid w:val="0"/>
                    <w:spacing w:line="360" w:lineRule="exact"/>
                    <w:ind w:firstLine="3295" w:firstLineChars="1563"/>
                    <w:rPr>
                      <w:rFonts w:hint="default" w:ascii="Times New Roman" w:hAnsi="Times New Roman" w:cs="Times New Roman"/>
                      <w:b/>
                      <w:bCs/>
                      <w:color w:val="auto"/>
                      <w:szCs w:val="21"/>
                    </w:rPr>
                  </w:pPr>
                  <w:r>
                    <w:rPr>
                      <w:rFonts w:hint="default" w:ascii="Times New Roman" w:hAnsi="Times New Roman" w:cs="Times New Roman"/>
                      <w:b/>
                      <w:color w:val="auto"/>
                    </w:rPr>
                    <w:t>表7-</w:t>
                  </w:r>
                  <w:r>
                    <w:rPr>
                      <w:rFonts w:hint="eastAsia" w:ascii="Times New Roman" w:hAnsi="Times New Roman" w:cs="Times New Roman"/>
                      <w:b/>
                      <w:color w:val="auto"/>
                      <w:lang w:val="en-US" w:eastAsia="zh-CN"/>
                    </w:rPr>
                    <w:t>21</w:t>
                  </w:r>
                  <w:r>
                    <w:rPr>
                      <w:rFonts w:hint="default" w:ascii="Times New Roman" w:hAnsi="Times New Roman" w:cs="Times New Roman"/>
                      <w:b/>
                      <w:color w:val="auto"/>
                    </w:rPr>
                    <w:t xml:space="preserve"> 运营设施风险识别表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6" w:hRule="atLeast"/>
                <w:jc w:val="center"/>
              </w:trPr>
              <w:tc>
                <w:tcPr>
                  <w:tcW w:w="2104" w:type="dxa"/>
                  <w:gridSpan w:val="2"/>
                  <w:vAlign w:val="center"/>
                </w:tcPr>
                <w:p>
                  <w:pPr>
                    <w:pStyle w:val="12"/>
                    <w:spacing w:before="0"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运营系统</w:t>
                  </w:r>
                </w:p>
              </w:tc>
              <w:tc>
                <w:tcPr>
                  <w:tcW w:w="5436" w:type="dxa"/>
                  <w:vAlign w:val="center"/>
                </w:tcPr>
                <w:p>
                  <w:pPr>
                    <w:pStyle w:val="12"/>
                    <w:spacing w:before="0"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危险因素</w:t>
                  </w:r>
                </w:p>
              </w:tc>
              <w:tc>
                <w:tcPr>
                  <w:tcW w:w="1484" w:type="dxa"/>
                  <w:vAlign w:val="center"/>
                </w:tcPr>
                <w:p>
                  <w:pPr>
                    <w:pStyle w:val="12"/>
                    <w:spacing w:before="0"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 险类 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63" w:hRule="atLeast"/>
                <w:jc w:val="center"/>
              </w:trPr>
              <w:tc>
                <w:tcPr>
                  <w:tcW w:w="906"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加油场地及加油机</w:t>
                  </w:r>
                </w:p>
              </w:tc>
              <w:tc>
                <w:tcPr>
                  <w:tcW w:w="1198"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加油岛</w:t>
                  </w:r>
                </w:p>
              </w:tc>
              <w:tc>
                <w:tcPr>
                  <w:tcW w:w="5436"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①加油岛为各种机动车辆加油的场所，由于汽车尾气带火星、加油过满溢出、加油机漏油、加油机防爆电气故障等原因，容易引发火灾爆炸事故。②违章用油枪往塑料桶(瓶)加油，汽油在塑料桶内流动摩擦产生静电聚集，当静电压和桶内的油蒸气达到一定值时就会引发爆炸。</w:t>
                  </w:r>
                </w:p>
              </w:tc>
              <w:tc>
                <w:tcPr>
                  <w:tcW w:w="1484" w:type="dxa"/>
                  <w:vAlign w:val="center"/>
                </w:tcPr>
                <w:p>
                  <w:pPr>
                    <w:pStyle w:val="12"/>
                    <w:spacing w:before="0"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火灾、爆炸、</w:t>
                  </w:r>
                </w:p>
                <w:p>
                  <w:pPr>
                    <w:pStyle w:val="12"/>
                    <w:spacing w:before="0"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250" w:hRule="atLeast"/>
                <w:jc w:val="center"/>
              </w:trPr>
              <w:tc>
                <w:tcPr>
                  <w:tcW w:w="906" w:type="dxa"/>
                  <w:vAlign w:val="center"/>
                </w:tcPr>
                <w:p>
                  <w:pPr>
                    <w:adjustRightInd w:val="0"/>
                    <w:snapToGrid w:val="0"/>
                    <w:spacing w:line="280" w:lineRule="atLeast"/>
                    <w:jc w:val="center"/>
                    <w:rPr>
                      <w:rFonts w:hint="default" w:ascii="Times New Roman" w:hAnsi="Times New Roman" w:cs="Times New Roman"/>
                      <w:color w:val="auto"/>
                      <w:szCs w:val="21"/>
                    </w:rPr>
                  </w:pPr>
                </w:p>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站房</w:t>
                  </w:r>
                </w:p>
              </w:tc>
              <w:tc>
                <w:tcPr>
                  <w:tcW w:w="1198" w:type="dxa"/>
                  <w:vAlign w:val="center"/>
                </w:tcPr>
                <w:p>
                  <w:pPr>
                    <w:adjustRightInd w:val="0"/>
                    <w:snapToGrid w:val="0"/>
                    <w:spacing w:line="24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办公区</w:t>
                  </w:r>
                  <w:r>
                    <w:rPr>
                      <w:rFonts w:hint="default" w:ascii="Times New Roman" w:hAnsi="Times New Roman" w:cs="Times New Roman"/>
                      <w:color w:val="auto"/>
                      <w:szCs w:val="21"/>
                    </w:rPr>
                    <w:t>、宿舍以及食堂等</w:t>
                  </w:r>
                </w:p>
              </w:tc>
              <w:tc>
                <w:tcPr>
                  <w:tcW w:w="5436"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①加油站在日常工作中，如果油气窜入站房，在没有敏感报警器的情况下，因值班人员的违章行动，如打火、开灯等容易引发火灾爆炸事故。②加油站在日常工作中，因工作人员及乘客们忽视加油站规章制度，随意吸烟、乱扔烟头等违规行为加油站引发火灾致使导致爆炸。</w:t>
                  </w:r>
                </w:p>
              </w:tc>
              <w:tc>
                <w:tcPr>
                  <w:tcW w:w="1484" w:type="dxa"/>
                  <w:vAlign w:val="center"/>
                </w:tcPr>
                <w:p>
                  <w:pPr>
                    <w:pStyle w:val="12"/>
                    <w:spacing w:before="0"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火灾、爆炸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 w:hRule="atLeast"/>
                <w:jc w:val="center"/>
              </w:trPr>
              <w:tc>
                <w:tcPr>
                  <w:tcW w:w="906"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油罐</w:t>
                  </w:r>
                </w:p>
              </w:tc>
              <w:tc>
                <w:tcPr>
                  <w:tcW w:w="1198" w:type="dxa"/>
                  <w:vAlign w:val="center"/>
                </w:tcPr>
                <w:p>
                  <w:pPr>
                    <w:adjustRightInd w:val="0"/>
                    <w:snapToGrid w:val="0"/>
                    <w:spacing w:line="280" w:lineRule="atLeast"/>
                    <w:jc w:val="center"/>
                    <w:rPr>
                      <w:rFonts w:hint="default" w:ascii="Times New Roman" w:hAnsi="Times New Roman" w:cs="Times New Roman"/>
                      <w:color w:val="auto"/>
                      <w:szCs w:val="21"/>
                    </w:rPr>
                  </w:pPr>
                </w:p>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储油罐</w:t>
                  </w:r>
                </w:p>
              </w:tc>
              <w:tc>
                <w:tcPr>
                  <w:tcW w:w="5436"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①安装在油罐上的计量仪表失灵，致使油罐加油过程中灌满溢出；②为储罐加油过程中，由于存在气障气阻，致使油类溢出；③在加油过程中，由于接口不同，衔接不严密，致使油类溢出；④因油罐材质不优，地埋式的油罐因腐蚀而造成泄漏。</w:t>
                  </w:r>
                </w:p>
              </w:tc>
              <w:tc>
                <w:tcPr>
                  <w:tcW w:w="1484" w:type="dxa"/>
                  <w:vAlign w:val="center"/>
                </w:tcPr>
                <w:p>
                  <w:pPr>
                    <w:pStyle w:val="12"/>
                    <w:spacing w:before="0"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 w:hRule="atLeast"/>
                <w:jc w:val="center"/>
              </w:trPr>
              <w:tc>
                <w:tcPr>
                  <w:tcW w:w="906"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管道</w:t>
                  </w:r>
                </w:p>
              </w:tc>
              <w:tc>
                <w:tcPr>
                  <w:tcW w:w="1198"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输油管</w:t>
                  </w:r>
                </w:p>
              </w:tc>
              <w:tc>
                <w:tcPr>
                  <w:tcW w:w="5436"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①输油管道因选材不优，致使腐蚀造成油类泄漏；②在收发油过程中，由于操作失误，致使油类泄漏；③各个管道接口不严，造成泄漏危害；④因施工人员马虎大意，地下管沟未填实，使油气窜入，遇明火爆炸。</w:t>
                  </w:r>
                </w:p>
              </w:tc>
              <w:tc>
                <w:tcPr>
                  <w:tcW w:w="1484" w:type="dxa"/>
                  <w:vAlign w:val="center"/>
                </w:tcPr>
                <w:p>
                  <w:pPr>
                    <w:pStyle w:val="12"/>
                    <w:spacing w:before="0"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泄漏、爆炸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7" w:hRule="atLeast"/>
                <w:jc w:val="center"/>
              </w:trPr>
              <w:tc>
                <w:tcPr>
                  <w:tcW w:w="906"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装卸油</w:t>
                  </w:r>
                </w:p>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作业</w:t>
                  </w:r>
                </w:p>
              </w:tc>
              <w:tc>
                <w:tcPr>
                  <w:tcW w:w="1198" w:type="dxa"/>
                  <w:vAlign w:val="center"/>
                </w:tcPr>
                <w:p>
                  <w:pPr>
                    <w:adjustRightInd w:val="0"/>
                    <w:snapToGrid w:val="0"/>
                    <w:spacing w:line="280" w:lineRule="atLeast"/>
                    <w:jc w:val="center"/>
                    <w:rPr>
                      <w:rFonts w:hint="default" w:ascii="Times New Roman" w:hAnsi="Times New Roman" w:cs="Times New Roman"/>
                      <w:color w:val="auto"/>
                      <w:szCs w:val="21"/>
                    </w:rPr>
                  </w:pPr>
                </w:p>
              </w:tc>
              <w:tc>
                <w:tcPr>
                  <w:tcW w:w="5436" w:type="dxa"/>
                  <w:vAlign w:val="center"/>
                </w:tcPr>
                <w:p>
                  <w:pPr>
                    <w:adjustRightInd w:val="0"/>
                    <w:snapToGrid w:val="0"/>
                    <w:spacing w:line="28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①送油车静电没有消散或卸油连通软管导静电性能差等造成油罐爆炸；②雷雨天往油罐卸油或往汽车车箱加油速度过快，加油操作失误，造成爆炸。</w:t>
                  </w:r>
                </w:p>
              </w:tc>
              <w:tc>
                <w:tcPr>
                  <w:tcW w:w="1484" w:type="dxa"/>
                  <w:vAlign w:val="center"/>
                </w:tcPr>
                <w:p>
                  <w:pPr>
                    <w:pStyle w:val="12"/>
                    <w:spacing w:before="0"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爆炸</w:t>
                  </w:r>
                </w:p>
              </w:tc>
            </w:tr>
          </w:tbl>
          <w:p>
            <w:pPr>
              <w:pStyle w:val="4"/>
              <w:spacing w:before="0" w:after="0" w:line="360" w:lineRule="auto"/>
              <w:rPr>
                <w:rFonts w:hint="default" w:ascii="Times New Roman" w:hAnsi="Times New Roman" w:cs="Times New Roman"/>
                <w:bCs w:val="0"/>
                <w:color w:val="auto"/>
                <w:sz w:val="24"/>
                <w:szCs w:val="24"/>
              </w:rPr>
            </w:pPr>
            <w:r>
              <w:rPr>
                <w:rFonts w:hint="eastAsia" w:ascii="Times New Roman" w:hAnsi="Times New Roman" w:cs="Times New Roman"/>
                <w:bCs w:val="0"/>
                <w:color w:val="auto"/>
                <w:sz w:val="24"/>
                <w:szCs w:val="24"/>
                <w:lang w:val="en-US" w:eastAsia="zh-CN"/>
              </w:rPr>
              <w:t>3</w:t>
            </w:r>
            <w:r>
              <w:rPr>
                <w:rFonts w:hint="default" w:ascii="Times New Roman" w:hAnsi="Times New Roman" w:cs="Times New Roman"/>
                <w:bCs w:val="0"/>
                <w:color w:val="auto"/>
                <w:sz w:val="24"/>
                <w:szCs w:val="24"/>
              </w:rPr>
              <w:t>、风险预测及采取措施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汽油或柴油发生火灾、爆炸事故引发的次生伴生影响主要体现在火灾或爆炸过程产生的燃烧产物和灭火过程产生的固废，燃烧产物为CO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、CO和H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O。</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（1）对地表水环境影响分析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a、泄漏影响分析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泄漏或渗漏的成品油一旦进入地表河流，将造成地表河流的污染，影响范围小到几公里大到几十公里。污染首先将造成地表河流的景观破坏，产生严重的刺鼻性气味；其次，由于有机烃类物质难溶于水，大部分上浮在水层表面，形成一层油膜使空气隔离，造成水中溶解氧浓度降低，逐渐形成死水，致使水中生物死亡；再次，成品油的主要成分是C4～C</w:t>
            </w:r>
            <w:r>
              <w:rPr>
                <w:rFonts w:hint="default" w:ascii="Times New Roman" w:hAnsi="Times New Roman" w:cs="Times New Roman"/>
                <w:color w:val="auto"/>
                <w:sz w:val="24"/>
                <w:szCs w:val="24"/>
                <w:vertAlign w:val="subscript"/>
              </w:rPr>
              <w:t>9</w:t>
            </w:r>
            <w:r>
              <w:rPr>
                <w:rFonts w:hint="default" w:ascii="Times New Roman" w:hAnsi="Times New Roman" w:cs="Times New Roman"/>
                <w:color w:val="auto"/>
                <w:sz w:val="24"/>
                <w:szCs w:val="24"/>
              </w:rPr>
              <w:t>的烃类、芳烃类、醇酮类以及卤代烃类有机物，一旦进入水体环境，由于可生化性较差，造成被污染水体长时间得不到净化，完全恢复则需十几年、甚至几十年的时间。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720" w:firstLineChars="3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加油站库容较小，并采用双层地埋式储罐，另外，项目严格按照《汽车加油加气站设计与施工规范（2014年版）》(GB50156-2012)设计，在储油区设有防渗漏池，储罐与钢管进行加强级防腐处理，油罐发生溢出和泄露时，油品会及时进入防渗漏池内，不会外溢至地表水中；项目地下输油管线采用双层管道，在油品泄露时可有效阻止油品渗入土壤或溢出地表形成径流。因此，项目油罐发生溢出、泄露的油品不会进入地表水，并对其造成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b、火灾、爆炸影响分析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汽油和柴油燃烧、爆炸产生污染物主要为CO和CO2，两种物质均不溶于水。项目站内布设灭火器为干粉灭火器、消防沙等，发生火灾及灭火过程中项目内不会产生废水。灭火后的地面清洗通过控制用水的方式来降低废水产生量，清洗废水经雨水管网收集后排入附近雨水沟渠内。因此项目发生火灾、爆炸事故后对周围水环境影响不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对地下水环境的影响分析量的燃料油，土壤层吸附的燃料油不仅会造成植物生物的死亡，而且土壤层吸附的燃料还会随着地表水的下渗对土壤层的冲刷补充到地下水，这样即便污染源得到及时控制，地下水要完全恢复也需几十年甚至上百年的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储油罐按照相关标准设计与建设，站内管道采用无缝钢管，所有工艺管线敷设采用直埋，管底部做沙垫层，厚度大于150mm。埋地敷设的油罐及油管道须做加强级防腐处理工艺，采用环氧煤沥青防腐工艺。油罐埋地敷设，采用防渗处理，油罐的周围回填干净的沙子或细土，厚度不小于0.3米。油管内外表面、油罐区地面、输油管线外表做防渗漏处理。地下储油罐周围设计防渗漏检查孔或检查通道，为及时发现地下油罐渗漏提供条件，防止成品油泄漏造成大面积的地下水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项目按照以上措施以后，加油站储油区一旦发生溢出与渗漏事故，油品将由于防渗池的保护作用，积聚在储油区；地下输油管线</w:t>
            </w:r>
            <w:bookmarkStart w:id="37" w:name="_GoBack"/>
            <w:bookmarkEnd w:id="37"/>
            <w:r>
              <w:rPr>
                <w:rFonts w:hint="default" w:ascii="Times New Roman" w:hAnsi="Times New Roman" w:cs="Times New Roman"/>
                <w:color w:val="auto"/>
                <w:sz w:val="24"/>
                <w:szCs w:val="24"/>
              </w:rPr>
              <w:t>采用双层管道，在油品泄露时可有效阻止油品渗入土壤或地下水。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（3）对大气环境影响分析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a、泄漏影响分析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根据国内外的研究，对于突发性的事故溢油，油品溢出后在地面呈不规则的面源分布，油品的挥发速度重要影响因素为油品蒸汽压、现场风速、油品溢出面积、油品蒸汽分子平均重度。</w:t>
            </w:r>
          </w:p>
          <w:p>
            <w:pPr>
              <w:autoSpaceDE w:val="0"/>
              <w:autoSpaceDN w:val="0"/>
              <w:adjustRightInd w:val="0"/>
              <w:spacing w:line="360" w:lineRule="auto"/>
              <w:ind w:firstLine="480" w:firstLineChars="200"/>
              <w:jc w:val="left"/>
              <w:rPr>
                <w:rFonts w:hint="default" w:ascii="Times New Roman" w:hAnsi="Times New Roman" w:cs="Times New Roman"/>
                <w:color w:val="auto"/>
                <w:spacing w:val="4"/>
                <w:kern w:val="0"/>
                <w:sz w:val="24"/>
              </w:rPr>
            </w:pPr>
            <w:r>
              <w:rPr>
                <w:rFonts w:hint="default" w:ascii="Times New Roman" w:hAnsi="Times New Roman" w:cs="Times New Roman"/>
                <w:color w:val="auto"/>
                <w:sz w:val="24"/>
                <w:szCs w:val="24"/>
              </w:rPr>
              <w:t>项目储油罐采用双层地埋式储油罐工艺，加油站一旦发生渗漏与溢出事故，由于项目采取了防渗漏观察井等</w:t>
            </w:r>
            <w:r>
              <w:rPr>
                <w:rFonts w:hint="default" w:ascii="Times New Roman" w:hAnsi="Times New Roman" w:cs="Times New Roman"/>
                <w:color w:val="auto"/>
                <w:spacing w:val="4"/>
                <w:kern w:val="0"/>
                <w:sz w:val="24"/>
              </w:rPr>
              <w:t>渗漏溢出检测设施，因此可及时发现储油罐渗漏，油品渗漏量较小，渗漏出的成品油将积聚在储油区。油品将主要通过储油区通气管及人孔井非密封处挥发，不会造成大面积的扩散，对大气环境影响较小。</w:t>
            </w:r>
          </w:p>
          <w:p>
            <w:pPr>
              <w:autoSpaceDE w:val="0"/>
              <w:autoSpaceDN w:val="0"/>
              <w:adjustRightInd w:val="0"/>
              <w:spacing w:line="360" w:lineRule="auto"/>
              <w:ind w:firstLine="496" w:firstLineChars="200"/>
              <w:jc w:val="left"/>
              <w:rPr>
                <w:rFonts w:hint="default" w:ascii="Times New Roman" w:hAnsi="Times New Roman" w:cs="Times New Roman"/>
                <w:color w:val="auto"/>
                <w:spacing w:val="4"/>
                <w:kern w:val="0"/>
                <w:sz w:val="24"/>
              </w:rPr>
            </w:pPr>
            <w:r>
              <w:rPr>
                <w:rFonts w:hint="default" w:ascii="Times New Roman" w:hAnsi="Times New Roman" w:cs="Times New Roman"/>
                <w:color w:val="auto"/>
                <w:spacing w:val="4"/>
                <w:kern w:val="0"/>
                <w:sz w:val="24"/>
              </w:rPr>
              <w:t>b、火灾、爆炸产生的污染物对人和环境的影响分析</w:t>
            </w:r>
          </w:p>
          <w:p>
            <w:pPr>
              <w:autoSpaceDE w:val="0"/>
              <w:autoSpaceDN w:val="0"/>
              <w:adjustRightInd w:val="0"/>
              <w:spacing w:line="360" w:lineRule="auto"/>
              <w:ind w:firstLine="496" w:firstLineChars="200"/>
              <w:jc w:val="left"/>
              <w:rPr>
                <w:rFonts w:hint="default" w:ascii="Times New Roman" w:hAnsi="Times New Roman" w:cs="Times New Roman"/>
                <w:color w:val="auto"/>
                <w:spacing w:val="4"/>
                <w:kern w:val="0"/>
                <w:sz w:val="24"/>
              </w:rPr>
            </w:pPr>
            <w:r>
              <w:rPr>
                <w:rFonts w:hint="default" w:ascii="Times New Roman" w:hAnsi="Times New Roman" w:cs="Times New Roman"/>
                <w:color w:val="auto"/>
                <w:spacing w:val="4"/>
                <w:kern w:val="0"/>
                <w:sz w:val="24"/>
              </w:rPr>
              <w:t>汽油、柴油为碳氢化合物，分解产物为一氧化碳、二氧化碳及水，其中完全燃烧时产生二氧化碳，不完全燃烧时产生CO。CO在大气中比较稳定，不易与其他物质产生化学反应，其在进入大气后，由于大气的扩散稀释</w:t>
            </w:r>
            <w:r>
              <w:rPr>
                <w:rFonts w:hint="default" w:ascii="Times New Roman" w:hAnsi="Times New Roman" w:cs="Times New Roman"/>
                <w:b w:val="0"/>
                <w:bCs/>
                <w:color w:val="auto"/>
                <w:sz w:val="24"/>
              </w:rPr>
              <w:t>作用和氧化作用，一般不会造成危害，所以吸入时不为人们所察觉，是室内外空气中常见的污染物。当其浓度过高时，人在这种环境下待的时间较长，就会</w:t>
            </w:r>
            <w:r>
              <w:rPr>
                <w:rFonts w:hint="default" w:ascii="Times New Roman" w:hAnsi="Times New Roman" w:cs="Times New Roman"/>
                <w:color w:val="auto"/>
                <w:spacing w:val="4"/>
                <w:kern w:val="0"/>
                <w:sz w:val="24"/>
              </w:rPr>
              <w:t>出现晕眩、头痛、怠倦的现象，CO对人的主要危害就是引起组织缺氧，导致急性或者慢性中毒甚至有死亡的威胁。此外，CO还可能造成听力与视力的损害，比如视野的减小或者听力的丧失。二氧化碳对环境影响主要为温室效应。根据上文分析，加油站出现火灾、爆炸事故概率较小，排放的一氧化碳、二氧化碳经大气稀释、扩散后对周边大气环境影响较小。</w:t>
            </w:r>
          </w:p>
          <w:p>
            <w:pPr>
              <w:autoSpaceDE w:val="0"/>
              <w:autoSpaceDN w:val="0"/>
              <w:adjustRightInd w:val="0"/>
              <w:spacing w:line="360" w:lineRule="auto"/>
              <w:ind w:firstLine="496" w:firstLineChars="200"/>
              <w:jc w:val="left"/>
              <w:rPr>
                <w:rFonts w:hint="default" w:ascii="Times New Roman" w:hAnsi="Times New Roman" w:cs="Times New Roman"/>
                <w:color w:val="auto"/>
                <w:spacing w:val="4"/>
                <w:kern w:val="0"/>
                <w:sz w:val="24"/>
              </w:rPr>
            </w:pPr>
            <w:r>
              <w:rPr>
                <w:rFonts w:hint="default" w:ascii="Times New Roman" w:hAnsi="Times New Roman" w:cs="Times New Roman"/>
                <w:color w:val="auto"/>
                <w:spacing w:val="4"/>
                <w:kern w:val="0"/>
                <w:sz w:val="24"/>
              </w:rPr>
              <w:t>（4）对人体健康的影响分析</w:t>
            </w:r>
          </w:p>
          <w:p>
            <w:pPr>
              <w:autoSpaceDE w:val="0"/>
              <w:autoSpaceDN w:val="0"/>
              <w:adjustRightInd w:val="0"/>
              <w:spacing w:line="360" w:lineRule="auto"/>
              <w:ind w:firstLine="496" w:firstLineChars="200"/>
              <w:jc w:val="left"/>
              <w:rPr>
                <w:rFonts w:hint="default" w:ascii="Times New Roman" w:hAnsi="Times New Roman" w:cs="Times New Roman"/>
                <w:b w:val="0"/>
                <w:bCs/>
                <w:color w:val="auto"/>
                <w:sz w:val="24"/>
              </w:rPr>
            </w:pPr>
            <w:r>
              <w:rPr>
                <w:rFonts w:hint="default" w:ascii="Times New Roman" w:hAnsi="Times New Roman" w:cs="Times New Roman"/>
                <w:color w:val="auto"/>
                <w:spacing w:val="4"/>
                <w:kern w:val="0"/>
                <w:sz w:val="24"/>
              </w:rPr>
              <w:t>项目风险保护评价范围为项目周边</w:t>
            </w:r>
            <w:r>
              <w:rPr>
                <w:rFonts w:hint="default" w:ascii="Times New Roman" w:hAnsi="Times New Roman" w:cs="Times New Roman"/>
                <w:color w:val="auto"/>
                <w:spacing w:val="4"/>
                <w:kern w:val="0"/>
                <w:sz w:val="24"/>
                <w:lang w:val="en-US" w:eastAsia="zh-CN"/>
              </w:rPr>
              <w:t>5</w:t>
            </w:r>
            <w:r>
              <w:rPr>
                <w:rFonts w:hint="default" w:ascii="Times New Roman" w:hAnsi="Times New Roman" w:cs="Times New Roman"/>
                <w:color w:val="auto"/>
                <w:spacing w:val="4"/>
                <w:kern w:val="0"/>
                <w:sz w:val="24"/>
              </w:rPr>
              <w:t>km，根据周边环境调查，项目风险保护范围内主要为人群聚集区。项目在油罐区设置防渗漏池，油品不会外溢至地表面，且项目储油区远离加油站工作人员和流动人员活动</w:t>
            </w:r>
            <w:r>
              <w:rPr>
                <w:rFonts w:hint="default" w:ascii="Times New Roman" w:hAnsi="Times New Roman" w:cs="Times New Roman"/>
                <w:b w:val="0"/>
                <w:bCs/>
                <w:color w:val="auto"/>
                <w:sz w:val="24"/>
              </w:rPr>
              <w:t>区，人与泄露油品接触的几率极低，因此，项目油品溢出或泄露对人身健康的影响是较小的。项目在处理溢出、泄露事故时，应按照相关执行标准，做好安全防护措施，避免直接接触油品对身体造成影响。</w:t>
            </w:r>
          </w:p>
          <w:p>
            <w:pPr>
              <w:adjustRightInd w:val="0"/>
              <w:snapToGrid w:val="0"/>
              <w:spacing w:before="156" w:beforeLines="50" w:line="360" w:lineRule="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4</w:t>
            </w:r>
            <w:r>
              <w:rPr>
                <w:rFonts w:hint="default" w:ascii="Times New Roman" w:hAnsi="Times New Roman" w:cs="Times New Roman"/>
                <w:b/>
                <w:color w:val="auto"/>
                <w:sz w:val="24"/>
              </w:rPr>
              <w:t>、环境风险度量</w:t>
            </w:r>
          </w:p>
          <w:p>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风险概率和风险性质的关系见表7-</w:t>
            </w:r>
            <w:r>
              <w:rPr>
                <w:rFonts w:hint="eastAsia" w:ascii="Times New Roman" w:hAnsi="Times New Roman" w:cs="Times New Roman"/>
                <w:color w:val="auto"/>
                <w:sz w:val="24"/>
                <w:lang w:val="en-US" w:eastAsia="zh-CN"/>
              </w:rPr>
              <w:t>23</w:t>
            </w:r>
            <w:r>
              <w:rPr>
                <w:rFonts w:hint="default" w:ascii="Times New Roman" w:hAnsi="Times New Roman" w:cs="Times New Roman"/>
                <w:color w:val="auto"/>
                <w:sz w:val="24"/>
              </w:rPr>
              <w:t>。</w:t>
            </w:r>
          </w:p>
          <w:tbl>
            <w:tblPr>
              <w:tblStyle w:val="23"/>
              <w:tblW w:w="87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3"/>
              <w:gridCol w:w="1245"/>
              <w:gridCol w:w="994"/>
              <w:gridCol w:w="1245"/>
              <w:gridCol w:w="1243"/>
              <w:gridCol w:w="1243"/>
              <w:gridCol w:w="14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8707" w:type="dxa"/>
                  <w:gridSpan w:val="7"/>
                  <w:tcBorders>
                    <w:top w:val="nil"/>
                    <w:left w:val="nil"/>
                    <w:right w:val="nil"/>
                  </w:tcBorders>
                  <w:vAlign w:val="center"/>
                </w:tcPr>
                <w:p>
                  <w:pPr>
                    <w:adjustRightInd w:val="0"/>
                    <w:snapToGrid w:val="0"/>
                    <w:ind w:firstLine="2774" w:firstLineChars="1316"/>
                    <w:rPr>
                      <w:rFonts w:hint="default" w:ascii="Times New Roman" w:hAnsi="Times New Roman" w:cs="Times New Roman"/>
                      <w:b/>
                      <w:bCs/>
                      <w:color w:val="auto"/>
                      <w:szCs w:val="21"/>
                    </w:rPr>
                  </w:pPr>
                  <w:r>
                    <w:rPr>
                      <w:rFonts w:hint="default" w:ascii="Times New Roman" w:hAnsi="Times New Roman" w:cs="Times New Roman"/>
                      <w:b/>
                      <w:bCs/>
                      <w:color w:val="auto"/>
                      <w:szCs w:val="21"/>
                    </w:rPr>
                    <w:t>表7-</w:t>
                  </w:r>
                  <w:r>
                    <w:rPr>
                      <w:rFonts w:hint="eastAsia" w:ascii="Times New Roman" w:hAnsi="Times New Roman" w:cs="Times New Roman"/>
                      <w:b/>
                      <w:bCs/>
                      <w:color w:val="auto"/>
                      <w:szCs w:val="21"/>
                      <w:lang w:val="en-US" w:eastAsia="zh-CN"/>
                    </w:rPr>
                    <w:t>23</w:t>
                  </w:r>
                  <w:r>
                    <w:rPr>
                      <w:rFonts w:hint="default" w:ascii="Times New Roman" w:hAnsi="Times New Roman" w:cs="Times New Roman"/>
                      <w:b/>
                      <w:bCs/>
                      <w:color w:val="auto"/>
                      <w:szCs w:val="21"/>
                    </w:rPr>
                    <w:t xml:space="preserve"> 风险概率与风险性质间关系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1243" w:type="dxa"/>
                  <w:vAlign w:val="center"/>
                </w:tcPr>
                <w:p>
                  <w:pPr>
                    <w:snapToGrid w:val="0"/>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风险性质</w:t>
                  </w:r>
                </w:p>
              </w:tc>
              <w:tc>
                <w:tcPr>
                  <w:tcW w:w="1245" w:type="dxa"/>
                  <w:vAlign w:val="center"/>
                </w:tcPr>
                <w:p>
                  <w:pPr>
                    <w:snapToGrid w:val="0"/>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很易发生</w:t>
                  </w:r>
                </w:p>
              </w:tc>
              <w:tc>
                <w:tcPr>
                  <w:tcW w:w="994" w:type="dxa"/>
                  <w:vAlign w:val="center"/>
                </w:tcPr>
                <w:p>
                  <w:pPr>
                    <w:snapToGrid w:val="0"/>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易发生</w:t>
                  </w:r>
                </w:p>
              </w:tc>
              <w:tc>
                <w:tcPr>
                  <w:tcW w:w="1245" w:type="dxa"/>
                  <w:vAlign w:val="center"/>
                </w:tcPr>
                <w:p>
                  <w:pPr>
                    <w:snapToGrid w:val="0"/>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适度发生</w:t>
                  </w:r>
                </w:p>
              </w:tc>
              <w:tc>
                <w:tcPr>
                  <w:tcW w:w="1243" w:type="dxa"/>
                  <w:vAlign w:val="center"/>
                </w:tcPr>
                <w:p>
                  <w:pPr>
                    <w:snapToGrid w:val="0"/>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不易发生</w:t>
                  </w:r>
                </w:p>
              </w:tc>
              <w:tc>
                <w:tcPr>
                  <w:tcW w:w="1243" w:type="dxa"/>
                  <w:vAlign w:val="center"/>
                </w:tcPr>
                <w:p>
                  <w:pPr>
                    <w:snapToGrid w:val="0"/>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很难发生</w:t>
                  </w:r>
                </w:p>
              </w:tc>
              <w:tc>
                <w:tcPr>
                  <w:tcW w:w="1494" w:type="dxa"/>
                  <w:vAlign w:val="center"/>
                </w:tcPr>
                <w:p>
                  <w:pPr>
                    <w:snapToGrid w:val="0"/>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几乎不发生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1243" w:type="dxa"/>
                  <w:vAlign w:val="center"/>
                </w:tcPr>
                <w:p>
                  <w:pPr>
                    <w:snapToGrid w:val="0"/>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风险概率</w:t>
                  </w:r>
                </w:p>
              </w:tc>
              <w:tc>
                <w:tcPr>
                  <w:tcW w:w="124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-1</w:t>
                  </w:r>
                </w:p>
              </w:tc>
              <w:tc>
                <w:tcPr>
                  <w:tcW w:w="9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-2</w:t>
                  </w:r>
                </w:p>
              </w:tc>
              <w:tc>
                <w:tcPr>
                  <w:tcW w:w="1245"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-3</w:t>
                  </w:r>
                </w:p>
              </w:tc>
              <w:tc>
                <w:tcPr>
                  <w:tcW w:w="1243"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-4</w:t>
                  </w:r>
                </w:p>
              </w:tc>
              <w:tc>
                <w:tcPr>
                  <w:tcW w:w="1243"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-5</w:t>
                  </w:r>
                </w:p>
              </w:tc>
              <w:tc>
                <w:tcPr>
                  <w:tcW w:w="1494" w:type="dxa"/>
                  <w:vAlign w:val="center"/>
                </w:tcPr>
                <w:p>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-6</w:t>
                  </w:r>
                </w:p>
              </w:tc>
            </w:tr>
          </w:tbl>
          <w:p>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石油化工储运项目存在较大潜在火灾爆炸事故风险，据“世界石油化工企业近30年的100起特大事故”统计分析，属于储罐区事故为16次，占16%。另外，据有关资料表明：最近十年内发生的各类污染事故中，以设备、管道泄漏为多，分别占事故总数的52%和21%，储存系统发生火灾爆炸等重大事故概率小于万分之一，几乎很难发生，项目发生事故的最大可疑之处就是设备容器、管道一般破裂泄漏的事故。</w:t>
            </w:r>
          </w:p>
          <w:p>
            <w:pPr>
              <w:pStyle w:val="4"/>
              <w:spacing w:before="0" w:after="0" w:line="360" w:lineRule="auto"/>
              <w:rPr>
                <w:rFonts w:hint="default" w:ascii="Times New Roman" w:hAnsi="Times New Roman" w:cs="Times New Roman"/>
                <w:bCs w:val="0"/>
                <w:color w:val="auto"/>
                <w:sz w:val="24"/>
                <w:szCs w:val="24"/>
              </w:rPr>
            </w:pP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bookmarkStart w:id="22" w:name="_Toc278183590"/>
            <w:bookmarkStart w:id="23" w:name="_Toc193685300"/>
            <w:bookmarkStart w:id="24" w:name="_Toc144699708"/>
            <w:bookmarkStart w:id="25" w:name="_Toc144700237"/>
            <w:bookmarkStart w:id="26" w:name="_Toc144699356"/>
            <w:r>
              <w:rPr>
                <w:rFonts w:hint="default" w:ascii="Times New Roman" w:hAnsi="Times New Roman" w:cs="Times New Roman"/>
                <w:bCs w:val="0"/>
                <w:color w:val="auto"/>
                <w:sz w:val="24"/>
                <w:szCs w:val="24"/>
              </w:rPr>
              <w:t>风险管理</w:t>
            </w:r>
            <w:bookmarkEnd w:id="22"/>
            <w:bookmarkEnd w:id="23"/>
            <w:bookmarkEnd w:id="24"/>
            <w:bookmarkEnd w:id="25"/>
            <w:bookmarkEnd w:id="26"/>
          </w:p>
          <w:p>
            <w:pPr>
              <w:pStyle w:val="4"/>
              <w:spacing w:before="0" w:after="0" w:line="360" w:lineRule="auto"/>
              <w:rPr>
                <w:rFonts w:hint="default" w:ascii="Times New Roman" w:hAnsi="Times New Roman" w:cs="Times New Roman"/>
                <w:color w:val="auto"/>
                <w:sz w:val="24"/>
                <w:szCs w:val="24"/>
              </w:rPr>
            </w:pPr>
            <w:bookmarkStart w:id="27" w:name="_Toc144699357"/>
            <w:bookmarkStart w:id="28" w:name="_Toc144699709"/>
            <w:bookmarkStart w:id="29" w:name="_Toc144700238"/>
            <w:bookmarkStart w:id="30" w:name="_Toc193685301"/>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.1防范措施</w:t>
            </w:r>
            <w:bookmarkEnd w:id="27"/>
            <w:bookmarkEnd w:id="28"/>
            <w:bookmarkEnd w:id="29"/>
            <w:bookmarkEnd w:id="30"/>
          </w:p>
          <w:p>
            <w:pPr>
              <w:pStyle w:val="4"/>
              <w:spacing w:before="0" w:after="0" w:line="360" w:lineRule="auto"/>
              <w:ind w:firstLine="470" w:firstLineChars="196"/>
              <w:rPr>
                <w:rFonts w:hint="default" w:ascii="Times New Roman" w:hAnsi="Times New Roman" w:cs="Times New Roman"/>
                <w:b w:val="0"/>
                <w:color w:val="auto"/>
                <w:sz w:val="24"/>
                <w:szCs w:val="24"/>
              </w:rPr>
            </w:pPr>
            <w:r>
              <w:rPr>
                <w:rFonts w:hint="eastAsia" w:ascii="Times New Roman" w:hAnsi="Times New Roman" w:cs="Times New Roman"/>
                <w:b w:val="0"/>
                <w:color w:val="auto"/>
                <w:sz w:val="24"/>
                <w:szCs w:val="24"/>
                <w:lang w:val="en-US" w:eastAsia="zh-CN"/>
              </w:rPr>
              <w:t>5</w:t>
            </w:r>
            <w:r>
              <w:rPr>
                <w:rFonts w:hint="default" w:ascii="Times New Roman" w:hAnsi="Times New Roman" w:cs="Times New Roman"/>
                <w:b w:val="0"/>
                <w:color w:val="auto"/>
                <w:sz w:val="24"/>
                <w:szCs w:val="24"/>
              </w:rPr>
              <w:t>.1.1总图布置和建筑事故防范措施</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sz w:val="24"/>
              </w:rPr>
              <w:t>① 周边设施及站内成品油储罐区之间的防火间距应符合相关标准的要求，站内</w:t>
            </w:r>
            <w:r>
              <w:rPr>
                <w:rFonts w:hint="default" w:ascii="Times New Roman" w:hAnsi="Times New Roman" w:cs="Times New Roman"/>
                <w:color w:val="auto"/>
                <w:kern w:val="0"/>
                <w:sz w:val="24"/>
              </w:rPr>
              <w:t>按规范规定的防火间距布置各类建筑设施</w:t>
            </w:r>
            <w:r>
              <w:rPr>
                <w:rFonts w:hint="default" w:ascii="Times New Roman" w:hAnsi="Times New Roman" w:cs="Times New Roman"/>
                <w:color w:val="auto"/>
                <w:sz w:val="24"/>
              </w:rPr>
              <w:t>；</w:t>
            </w:r>
            <w:r>
              <w:rPr>
                <w:rFonts w:hint="default" w:ascii="Times New Roman" w:hAnsi="Times New Roman" w:cs="Times New Roman"/>
                <w:color w:val="auto"/>
                <w:kern w:val="0"/>
                <w:sz w:val="24"/>
              </w:rPr>
              <w:t>②加油岛、储罐设备均采用防爆型；③</w:t>
            </w:r>
            <w:r>
              <w:rPr>
                <w:rFonts w:hint="default" w:ascii="Times New Roman" w:hAnsi="Times New Roman" w:cs="Times New Roman"/>
                <w:color w:val="auto"/>
                <w:sz w:val="24"/>
              </w:rPr>
              <w:t>电缆敷设采用电缆沟充砂方式敷设；④</w:t>
            </w:r>
            <w:r>
              <w:rPr>
                <w:rFonts w:hint="default" w:ascii="Times New Roman" w:hAnsi="Times New Roman" w:cs="Times New Roman"/>
                <w:color w:val="auto"/>
                <w:kern w:val="0"/>
                <w:sz w:val="24"/>
              </w:rPr>
              <w:t>严格把好工程设计、施工关。</w:t>
            </w:r>
            <w:r>
              <w:rPr>
                <w:rFonts w:hint="default" w:ascii="Times New Roman" w:hAnsi="Times New Roman" w:cs="Times New Roman"/>
                <w:color w:val="auto"/>
                <w:spacing w:val="2"/>
                <w:kern w:val="0"/>
                <w:sz w:val="24"/>
              </w:rPr>
              <w:t>只有工艺设计合理，才能从根本上</w:t>
            </w:r>
            <w:r>
              <w:rPr>
                <w:rFonts w:hint="default" w:ascii="Times New Roman" w:hAnsi="Times New Roman" w:cs="Times New Roman"/>
                <w:color w:val="auto"/>
                <w:spacing w:val="4"/>
                <w:kern w:val="0"/>
                <w:sz w:val="24"/>
              </w:rPr>
              <w:t>消除事故重大隐患。严格注意施工质量和设备安排，调试的质量，严</w:t>
            </w:r>
            <w:r>
              <w:rPr>
                <w:rFonts w:hint="default" w:ascii="Times New Roman" w:hAnsi="Times New Roman" w:cs="Times New Roman"/>
                <w:color w:val="auto"/>
                <w:spacing w:val="3"/>
                <w:kern w:val="0"/>
                <w:sz w:val="24"/>
              </w:rPr>
              <w:t>格竣</w:t>
            </w:r>
            <w:r>
              <w:rPr>
                <w:rFonts w:hint="default" w:ascii="Times New Roman" w:hAnsi="Times New Roman" w:cs="Times New Roman"/>
                <w:color w:val="auto"/>
                <w:kern w:val="0"/>
                <w:sz w:val="24"/>
              </w:rPr>
              <w:t>工验收审查，</w:t>
            </w:r>
            <w:r>
              <w:rPr>
                <w:rFonts w:hint="default" w:ascii="Times New Roman" w:hAnsi="Times New Roman" w:cs="Times New Roman"/>
                <w:color w:val="auto"/>
                <w:spacing w:val="4"/>
                <w:kern w:val="0"/>
                <w:sz w:val="24"/>
              </w:rPr>
              <w:t>对选用的设备应符合有关《生产设备安全卫生设</w:t>
            </w:r>
            <w:r>
              <w:rPr>
                <w:rFonts w:hint="default" w:ascii="Times New Roman" w:hAnsi="Times New Roman" w:cs="Times New Roman"/>
                <w:color w:val="auto"/>
                <w:spacing w:val="3"/>
                <w:kern w:val="0"/>
                <w:sz w:val="24"/>
              </w:rPr>
              <w:t>计总</w:t>
            </w:r>
            <w:r>
              <w:rPr>
                <w:rFonts w:hint="default" w:ascii="Times New Roman" w:hAnsi="Times New Roman" w:cs="Times New Roman"/>
                <w:color w:val="auto"/>
                <w:kern w:val="0"/>
                <w:sz w:val="24"/>
              </w:rPr>
              <w:t>则》（</w:t>
            </w:r>
            <w:r>
              <w:rPr>
                <w:rFonts w:hint="default" w:ascii="Times New Roman" w:hAnsi="Times New Roman" w:cs="Times New Roman"/>
                <w:color w:val="auto"/>
                <w:kern w:val="21"/>
                <w:sz w:val="24"/>
              </w:rPr>
              <w:t>GB5083-1999</w:t>
            </w:r>
            <w:r>
              <w:rPr>
                <w:rFonts w:hint="default" w:ascii="Times New Roman" w:hAnsi="Times New Roman" w:cs="Times New Roman"/>
                <w:color w:val="auto"/>
                <w:kern w:val="0"/>
                <w:sz w:val="24"/>
              </w:rPr>
              <w:t>）的要求，并注意考虑职业危害治理和配套安全设施；⑤</w:t>
            </w:r>
            <w:r>
              <w:rPr>
                <w:rFonts w:hint="default" w:ascii="Times New Roman" w:hAnsi="Times New Roman" w:cs="Times New Roman"/>
                <w:color w:val="auto"/>
                <w:spacing w:val="4"/>
                <w:kern w:val="0"/>
                <w:sz w:val="24"/>
              </w:rPr>
              <w:t>在总图设计中应注意合理进行功能分区，并有一定的</w:t>
            </w:r>
            <w:r>
              <w:rPr>
                <w:rFonts w:hint="default" w:ascii="Times New Roman" w:hAnsi="Times New Roman" w:cs="Times New Roman"/>
                <w:color w:val="auto"/>
                <w:spacing w:val="3"/>
                <w:kern w:val="0"/>
                <w:sz w:val="24"/>
              </w:rPr>
              <w:t>防护带和绿化带，严格</w:t>
            </w:r>
            <w:r>
              <w:rPr>
                <w:rFonts w:hint="default" w:ascii="Times New Roman" w:hAnsi="Times New Roman" w:cs="Times New Roman"/>
                <w:color w:val="auto"/>
                <w:kern w:val="0"/>
                <w:sz w:val="24"/>
              </w:rPr>
              <w:t>符合安全规范的要求。</w:t>
            </w:r>
          </w:p>
          <w:p>
            <w:pPr>
              <w:pStyle w:val="4"/>
              <w:spacing w:before="0" w:after="0" w:line="360" w:lineRule="auto"/>
              <w:ind w:firstLine="470" w:firstLineChars="196"/>
              <w:rPr>
                <w:rFonts w:hint="default" w:ascii="Times New Roman" w:hAnsi="Times New Roman" w:cs="Times New Roman"/>
                <w:b w:val="0"/>
                <w:color w:val="auto"/>
                <w:sz w:val="24"/>
                <w:szCs w:val="24"/>
              </w:rPr>
            </w:pPr>
            <w:r>
              <w:rPr>
                <w:rFonts w:hint="eastAsia" w:ascii="Times New Roman" w:hAnsi="Times New Roman" w:cs="Times New Roman"/>
                <w:b w:val="0"/>
                <w:color w:val="auto"/>
                <w:sz w:val="24"/>
                <w:szCs w:val="24"/>
                <w:lang w:val="en-US" w:eastAsia="zh-CN"/>
              </w:rPr>
              <w:t>5</w:t>
            </w:r>
            <w:r>
              <w:rPr>
                <w:rFonts w:hint="default" w:ascii="Times New Roman" w:hAnsi="Times New Roman" w:cs="Times New Roman"/>
                <w:b w:val="0"/>
                <w:color w:val="auto"/>
                <w:sz w:val="24"/>
                <w:szCs w:val="24"/>
              </w:rPr>
              <w:t>.1.2运输过程中的事故防范措施</w:t>
            </w:r>
          </w:p>
          <w:p>
            <w:pPr>
              <w:autoSpaceDE w:val="0"/>
              <w:autoSpaceDN w:val="0"/>
              <w:adjustRightIn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由于成品油的运输较其它货物的运输有更大的危险性，因此在运输过程中应小心谨慎，确保安全，为此注意以下几个问题：① 合理规划运输路线及运输时间；② 成品油的装运应做到定车、定人</w:t>
            </w:r>
            <w:r>
              <w:rPr>
                <w:rFonts w:hint="default" w:ascii="Times New Roman" w:hAnsi="Times New Roman" w:cs="Times New Roman"/>
                <w:color w:val="auto"/>
                <w:kern w:val="0"/>
                <w:sz w:val="24"/>
                <w:szCs w:val="25"/>
              </w:rPr>
              <w:t>；</w:t>
            </w:r>
            <w:r>
              <w:rPr>
                <w:rFonts w:hint="default" w:ascii="Times New Roman" w:hAnsi="Times New Roman" w:cs="Times New Roman"/>
                <w:color w:val="auto"/>
                <w:kern w:val="0"/>
                <w:sz w:val="24"/>
              </w:rPr>
              <w:t xml:space="preserve">③ </w:t>
            </w:r>
            <w:r>
              <w:rPr>
                <w:rFonts w:hint="default" w:ascii="Times New Roman" w:hAnsi="Times New Roman" w:cs="Times New Roman"/>
                <w:color w:val="auto"/>
                <w:kern w:val="0"/>
                <w:sz w:val="24"/>
                <w:szCs w:val="25"/>
              </w:rPr>
              <w:t>被装运的汽油和柴油必须在其外包装的明显部位</w:t>
            </w:r>
            <w:r>
              <w:rPr>
                <w:rFonts w:hint="default" w:ascii="Times New Roman" w:hAnsi="Times New Roman" w:cs="Times New Roman"/>
                <w:color w:val="auto"/>
                <w:spacing w:val="-16"/>
                <w:kern w:val="0"/>
                <w:sz w:val="24"/>
                <w:szCs w:val="25"/>
              </w:rPr>
              <w:t>按</w:t>
            </w:r>
            <w:r>
              <w:rPr>
                <w:rFonts w:hint="default" w:ascii="Times New Roman" w:hAnsi="Times New Roman" w:cs="Times New Roman"/>
                <w:color w:val="auto"/>
                <w:kern w:val="0"/>
                <w:sz w:val="24"/>
                <w:szCs w:val="25"/>
              </w:rPr>
              <w:t>《危险货物包装标志</w:t>
            </w:r>
            <w:r>
              <w:rPr>
                <w:rFonts w:hint="default" w:ascii="Times New Roman" w:hAnsi="Times New Roman" w:cs="Times New Roman"/>
                <w:color w:val="auto"/>
                <w:spacing w:val="-16"/>
                <w:kern w:val="0"/>
                <w:sz w:val="24"/>
                <w:szCs w:val="25"/>
              </w:rPr>
              <w:t>》</w:t>
            </w:r>
            <w:r>
              <w:rPr>
                <w:rFonts w:hint="default" w:ascii="Times New Roman" w:hAnsi="Times New Roman" w:cs="Times New Roman"/>
                <w:color w:val="auto"/>
                <w:spacing w:val="1"/>
                <w:kern w:val="0"/>
                <w:sz w:val="24"/>
              </w:rPr>
              <w:t>(</w:t>
            </w:r>
            <w:r>
              <w:rPr>
                <w:rFonts w:hint="default" w:ascii="Times New Roman" w:hAnsi="Times New Roman" w:cs="Times New Roman"/>
                <w:color w:val="auto"/>
                <w:kern w:val="0"/>
                <w:sz w:val="24"/>
              </w:rPr>
              <w:t>GBl90-90)</w:t>
            </w:r>
            <w:r>
              <w:rPr>
                <w:rFonts w:hint="default" w:ascii="Times New Roman" w:hAnsi="Times New Roman" w:cs="Times New Roman"/>
                <w:color w:val="auto"/>
                <w:kern w:val="0"/>
                <w:sz w:val="24"/>
                <w:szCs w:val="25"/>
              </w:rPr>
              <w:t>规定的危险物品标志</w:t>
            </w:r>
            <w:r>
              <w:rPr>
                <w:rFonts w:hint="default" w:ascii="Times New Roman" w:hAnsi="Times New Roman" w:cs="Times New Roman"/>
                <w:color w:val="auto"/>
                <w:spacing w:val="-8"/>
                <w:kern w:val="0"/>
                <w:sz w:val="24"/>
                <w:szCs w:val="25"/>
              </w:rPr>
              <w:t>，</w:t>
            </w:r>
            <w:r>
              <w:rPr>
                <w:rFonts w:hint="default" w:ascii="Times New Roman" w:hAnsi="Times New Roman" w:cs="Times New Roman"/>
                <w:color w:val="auto"/>
                <w:kern w:val="0"/>
                <w:sz w:val="24"/>
                <w:szCs w:val="25"/>
              </w:rPr>
              <w:t>包装标志要粘牢固</w:t>
            </w:r>
            <w:r>
              <w:rPr>
                <w:rFonts w:hint="default" w:ascii="Times New Roman" w:hAnsi="Times New Roman" w:cs="Times New Roman"/>
                <w:color w:val="auto"/>
                <w:spacing w:val="-8"/>
                <w:kern w:val="0"/>
                <w:sz w:val="24"/>
                <w:szCs w:val="25"/>
              </w:rPr>
              <w:t>、</w:t>
            </w:r>
            <w:r>
              <w:rPr>
                <w:rFonts w:hint="default" w:ascii="Times New Roman" w:hAnsi="Times New Roman" w:cs="Times New Roman"/>
                <w:color w:val="auto"/>
                <w:kern w:val="0"/>
                <w:sz w:val="24"/>
                <w:szCs w:val="25"/>
              </w:rPr>
              <w:t>正确</w:t>
            </w:r>
            <w:r>
              <w:rPr>
                <w:rFonts w:hint="default" w:ascii="Times New Roman" w:hAnsi="Times New Roman" w:cs="Times New Roman"/>
                <w:color w:val="auto"/>
                <w:spacing w:val="-8"/>
                <w:kern w:val="0"/>
                <w:sz w:val="24"/>
                <w:szCs w:val="25"/>
              </w:rPr>
              <w:t>；</w:t>
            </w:r>
            <w:r>
              <w:rPr>
                <w:rFonts w:hint="default" w:ascii="Times New Roman" w:hAnsi="Times New Roman" w:cs="Times New Roman"/>
                <w:color w:val="auto"/>
                <w:kern w:val="0"/>
                <w:sz w:val="24"/>
                <w:szCs w:val="25"/>
              </w:rPr>
              <w:t>④ 在汽油和柴油运输过程中，一日发生意外，在采取应急处理的同时，迅速报告环保、消防、公安、交通以及卫生等有关部门，并积极协助抢救伤者和物资，使损失降低到最小范围。</w:t>
            </w:r>
          </w:p>
          <w:p>
            <w:pPr>
              <w:pStyle w:val="4"/>
              <w:spacing w:before="0" w:after="0" w:line="360" w:lineRule="auto"/>
              <w:ind w:firstLine="470" w:firstLineChars="196"/>
              <w:rPr>
                <w:rFonts w:hint="default" w:ascii="Times New Roman" w:hAnsi="Times New Roman" w:cs="Times New Roman"/>
                <w:b w:val="0"/>
                <w:color w:val="auto"/>
                <w:sz w:val="24"/>
                <w:szCs w:val="24"/>
              </w:rPr>
            </w:pPr>
            <w:r>
              <w:rPr>
                <w:rFonts w:hint="eastAsia" w:ascii="Times New Roman" w:hAnsi="Times New Roman" w:cs="Times New Roman"/>
                <w:b w:val="0"/>
                <w:color w:val="auto"/>
                <w:sz w:val="24"/>
                <w:szCs w:val="24"/>
                <w:lang w:val="en-US" w:eastAsia="zh-CN"/>
              </w:rPr>
              <w:t>5</w:t>
            </w:r>
            <w:r>
              <w:rPr>
                <w:rFonts w:hint="default" w:ascii="Times New Roman" w:hAnsi="Times New Roman" w:cs="Times New Roman"/>
                <w:b w:val="0"/>
                <w:color w:val="auto"/>
                <w:sz w:val="24"/>
                <w:szCs w:val="24"/>
              </w:rPr>
              <w:t>.1.3工艺技术设计安全防范措施（管线）</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 加油站的油品管线采用无缝钢管，埋地管线的连接应采用电焊；② 加油站的油品管线应埋地敷设，当需要管沟敷设时，管沟应用砂子填实。管沟进入建筑物、构筑物或防火堤处，必须设置密封隔断墙。埋地管线的外表面，应设不低于加强级的防腐蚀保护层；③ 汽油加油枪的流量，不应大于60L/min，加油枪宜采用自封式加油枪。</w:t>
            </w:r>
          </w:p>
          <w:p>
            <w:pPr>
              <w:pStyle w:val="4"/>
              <w:spacing w:before="0" w:after="0" w:line="360" w:lineRule="auto"/>
              <w:ind w:firstLine="470" w:firstLineChars="196"/>
              <w:rPr>
                <w:rFonts w:hint="default" w:ascii="Times New Roman" w:hAnsi="Times New Roman" w:cs="Times New Roman"/>
                <w:b w:val="0"/>
                <w:color w:val="auto"/>
                <w:sz w:val="24"/>
                <w:szCs w:val="24"/>
              </w:rPr>
            </w:pPr>
            <w:r>
              <w:rPr>
                <w:rFonts w:hint="eastAsia" w:ascii="Times New Roman" w:hAnsi="Times New Roman" w:cs="Times New Roman"/>
                <w:b w:val="0"/>
                <w:color w:val="auto"/>
                <w:sz w:val="24"/>
                <w:szCs w:val="24"/>
                <w:lang w:val="en-US" w:eastAsia="zh-CN"/>
              </w:rPr>
              <w:t>5</w:t>
            </w:r>
            <w:r>
              <w:rPr>
                <w:rFonts w:hint="default" w:ascii="Times New Roman" w:hAnsi="Times New Roman" w:cs="Times New Roman"/>
                <w:b w:val="0"/>
                <w:color w:val="auto"/>
                <w:sz w:val="24"/>
                <w:szCs w:val="24"/>
              </w:rPr>
              <w:t>.1.4电气、电讯安全防范措施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 加油站供电负荷等级应为三级，低压配电盘可设在站房内，配电盘所在房间的门、窗与加油机、油罐通气管口、密闭卸油口等的距离，不应小于5m；② 加油站内的电力线路应采用电缆并直埋敷设，穿越行车道部分电缆应穿钢管保护，当电缆较多时可采用电缆沟敷设，但电缆不得与油品管线敷设在同一沟内，且电缆沟内必须充砂；③ 储油罐必须进行防雷接地，接地点不应少于两处，接地电阻不得大于10Ω，埋地油罐的罐体、量油孔、阻火器等金属附件，应进行电气连接并接地，接地电阻不宜大于10 Ω，当站房及罩棚需要防止直击雷时，应采用避雷带保护；④ 加油站的防静电接地设计，尚应符合现行国家标准《石油库设计规范》的有关规定。</w:t>
            </w:r>
          </w:p>
          <w:p>
            <w:pPr>
              <w:pStyle w:val="4"/>
              <w:spacing w:before="0" w:after="0" w:line="360" w:lineRule="auto"/>
              <w:ind w:firstLine="470" w:firstLineChars="196"/>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4.1.5存贮过程中的防范措施</w:t>
            </w:r>
          </w:p>
          <w:p>
            <w:pPr>
              <w:autoSpaceDE w:val="0"/>
              <w:autoSpaceDN w:val="0"/>
              <w:adjustRightInd w:val="0"/>
              <w:spacing w:line="360" w:lineRule="auto"/>
              <w:ind w:firstLine="482"/>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①成品油撒落在地面、车板上时，应及时清除；② 操作人员装卸成品油时应穿戴相应的防护用具；③在装卸成品油时，不得吸烟；④晚间作业应用防爆式或封闭式的安全照明，雨、雪、冰封时作业，应有防滑措施；⑤贮罐放空管路均装有阻火器；⑥为防止泄漏及燃烧，在储存区四周专设防渗排水沟。</w:t>
            </w:r>
          </w:p>
          <w:p>
            <w:pPr>
              <w:pStyle w:val="4"/>
              <w:spacing w:before="0" w:after="0" w:line="360" w:lineRule="auto"/>
              <w:ind w:firstLine="480" w:firstLineChars="200"/>
              <w:rPr>
                <w:rFonts w:hint="default" w:ascii="Times New Roman" w:hAnsi="Times New Roman" w:cs="Times New Roman"/>
                <w:b w:val="0"/>
                <w:color w:val="auto"/>
                <w:sz w:val="24"/>
                <w:szCs w:val="24"/>
              </w:rPr>
            </w:pPr>
            <w:bookmarkStart w:id="31" w:name="_Toc57571044"/>
            <w:bookmarkStart w:id="32" w:name="_Toc58505820"/>
            <w:bookmarkStart w:id="33" w:name="_Toc58140003"/>
            <w:r>
              <w:rPr>
                <w:rFonts w:hint="eastAsia" w:ascii="Times New Roman" w:hAnsi="Times New Roman" w:cs="Times New Roman"/>
                <w:b w:val="0"/>
                <w:color w:val="auto"/>
                <w:sz w:val="24"/>
                <w:szCs w:val="24"/>
                <w:lang w:val="en-US" w:eastAsia="zh-CN"/>
              </w:rPr>
              <w:t>5</w:t>
            </w:r>
            <w:r>
              <w:rPr>
                <w:rFonts w:hint="default" w:ascii="Times New Roman" w:hAnsi="Times New Roman" w:cs="Times New Roman"/>
                <w:b w:val="0"/>
                <w:color w:val="auto"/>
                <w:sz w:val="24"/>
                <w:szCs w:val="24"/>
              </w:rPr>
              <w:t>.1.6预防和减少危害的措施</w:t>
            </w:r>
            <w:bookmarkEnd w:id="31"/>
            <w:bookmarkEnd w:id="32"/>
            <w:bookmarkEnd w:id="33"/>
          </w:p>
          <w:p>
            <w:pPr>
              <w:autoSpaceDE w:val="0"/>
              <w:autoSpaceDN w:val="0"/>
              <w:adjustRightInd w:val="0"/>
              <w:spacing w:line="360" w:lineRule="auto"/>
              <w:ind w:firstLine="482"/>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使环境风险减少到最低限度，必须加强劳动、安全、卫生和环境的管理。可以从人、物、环境和管理四个方面寻找影响事故的原因，制定完备、有效的安全防范措施，尽可能降低本项目环境风险事故发生的概率，减少事故的损失和危害。防范对策和应急措施如下：</w:t>
            </w:r>
          </w:p>
          <w:p>
            <w:pPr>
              <w:autoSpaceDE w:val="0"/>
              <w:autoSpaceDN w:val="0"/>
              <w:adjustRightInd w:val="0"/>
              <w:spacing w:line="360" w:lineRule="auto"/>
              <w:ind w:firstLine="482"/>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 在储罐区周边安装监测报警装置，监测浓度在0～20ppm，当储罐周边非甲烷烃浓度较高时报警器发出报警声音，第一时间告知现场工作人员，以防止非甲烷烃事故排放的发生；② 工程应严格按照企业设计规范进行设计和施工，必须保障储存区的地面防渗、防腐以及埋入地下的管道的防渗、防腐能力，一旦出现地下水污染事故，必须组织维修，在彻底解决事故隐患之前，禁止运营；③加强设施的维护和管理，提高设备的完好率，关键设备要配备足够的配件；④加强对输送油管道设施的管理，并有专职人员进行维护、检修；⑤保证电源供电及时，避免因停电事故而使设施不能正常运行；⑥在项目区内醒目的地方设置警示牌；⑦要建立完善的档案管理制度，记录事故工况，以便总结经验，杜绝事故的再次发生。</w:t>
            </w:r>
          </w:p>
          <w:p>
            <w:pPr>
              <w:spacing w:line="360" w:lineRule="auto"/>
              <w:rPr>
                <w:rFonts w:hint="default" w:ascii="Times New Roman" w:hAnsi="Times New Roman" w:cs="Times New Roman"/>
                <w:b/>
                <w:color w:val="auto"/>
                <w:spacing w:val="6"/>
                <w:sz w:val="24"/>
              </w:rPr>
            </w:pPr>
            <w:r>
              <w:rPr>
                <w:rFonts w:hint="eastAsia" w:ascii="Times New Roman" w:hAnsi="Times New Roman" w:cs="Times New Roman"/>
                <w:b/>
                <w:color w:val="auto"/>
                <w:spacing w:val="6"/>
                <w:sz w:val="24"/>
                <w:lang w:val="en-US" w:eastAsia="zh-CN"/>
              </w:rPr>
              <w:t>5</w:t>
            </w:r>
            <w:r>
              <w:rPr>
                <w:rFonts w:hint="default" w:ascii="Times New Roman" w:hAnsi="Times New Roman" w:cs="Times New Roman"/>
                <w:b/>
                <w:color w:val="auto"/>
                <w:spacing w:val="6"/>
                <w:sz w:val="24"/>
              </w:rPr>
              <w:t>.2事故应急救援预案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存在潜在的火灾、爆炸和泄露环境风险危害，如果安全措施水平高，则事故的概率必然会降低，但不会为零，一旦发生事故，需要采取应急措施，控制和减少事故危害。并需要实施社会救援，因此制定应急预案如下。</w:t>
            </w:r>
          </w:p>
          <w:tbl>
            <w:tblPr>
              <w:tblStyle w:val="23"/>
              <w:tblW w:w="87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7"/>
              <w:gridCol w:w="2160"/>
              <w:gridCol w:w="5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8718" w:type="dxa"/>
                  <w:gridSpan w:val="3"/>
                  <w:tcBorders>
                    <w:top w:val="nil"/>
                    <w:left w:val="nil"/>
                    <w:right w:val="nil"/>
                  </w:tcBorders>
                  <w:vAlign w:val="center"/>
                </w:tcPr>
                <w:p>
                  <w:pPr>
                    <w:spacing w:line="32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表7-</w:t>
                  </w:r>
                  <w:r>
                    <w:rPr>
                      <w:rFonts w:hint="eastAsia" w:ascii="Times New Roman" w:hAnsi="Times New Roman" w:cs="Times New Roman"/>
                      <w:b/>
                      <w:color w:val="auto"/>
                      <w:szCs w:val="21"/>
                      <w:lang w:val="en-US" w:eastAsia="zh-CN"/>
                    </w:rPr>
                    <w:t>24</w:t>
                  </w:r>
                  <w:r>
                    <w:rPr>
                      <w:rFonts w:hint="default" w:ascii="Times New Roman" w:hAnsi="Times New Roman" w:cs="Times New Roman"/>
                      <w:b/>
                      <w:color w:val="auto"/>
                      <w:szCs w:val="21"/>
                    </w:rPr>
                    <w:t>事故应急预案主要内容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序号</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项目</w:t>
                  </w:r>
                </w:p>
              </w:tc>
              <w:tc>
                <w:tcPr>
                  <w:tcW w:w="5881"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1</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应急计划区</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加油岛、成品油储藏区、临近地区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2</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应急组织机构、人员</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企业必须建立风险应急管理小组，配套员工受伤救援队伍，同时建立向外救援机构紧急通报与联系制度。必须预先做好与当地公安、消防、环保、环境监测、医院、卫生防疫等部门的联系方案。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3</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预案分级响应条件</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当成品油输送管道发生泄漏和火灾爆炸事故时启动一级预案，污染物事故排放时启动二级应急预案。一级预案需要由企业风险管理小组全员参与并按规定通知公安、消防、环保、卫生等环境风险应急管理部门。二级预案主要由企业各部门、风险责任人负责协调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4</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应急救援保障</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事故发生时应及时采取防护措施如回收、清理现场、隔离等措施。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5</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报警、通讯联络方式</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因火灾、雷电等因素造成泄漏时，应立即拨打110、119以及12369。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6</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应急环境监测、抢险、救援及控制措施</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由企业风险应急管理小组负责委托当地环境监测专业机构对事故现场进行侦察监测，对事故性质、参数与后果进行评估。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7</w:t>
                  </w:r>
                </w:p>
              </w:tc>
              <w:tc>
                <w:tcPr>
                  <w:tcW w:w="2160" w:type="dxa"/>
                  <w:vAlign w:val="center"/>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应急检测、防护措施、清除泄漏措施和器材</w:t>
                  </w:r>
                </w:p>
              </w:tc>
              <w:tc>
                <w:tcPr>
                  <w:tcW w:w="5881" w:type="dxa"/>
                  <w:vAlign w:val="top"/>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事故现场：控制事故发展，防止扩大、蔓延；清除现场泄漏物，降低危害。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8</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人员紧急撤离、疏散、应急剂量控制撤离计划</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当发生严重事故时，必须及时疏散人群，组织人员抢救，尽量缩小事故影响范围，同时建议与有关医院建立救护热线联系机制。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9</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事故应急救援关闭程序与恢复措施</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按照应急措施方案妥善处理好事故现场，并在一段时间后，解除站内及敏感点的事故警戒，并对各受影响的场所进行善后。处理事故后，还应按环境管理的程序进行登记和存档。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10</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应急培训计划</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根据指定的应急预案，站内全体职工需定期进行应急演习。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11</w:t>
                  </w:r>
                </w:p>
              </w:tc>
              <w:tc>
                <w:tcPr>
                  <w:tcW w:w="2160" w:type="dxa"/>
                  <w:vAlign w:val="center"/>
                </w:tcPr>
                <w:p>
                  <w:pPr>
                    <w:snapToGrid w:val="0"/>
                    <w:spacing w:line="320" w:lineRule="exact"/>
                    <w:jc w:val="center"/>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公众教育和信息</w:t>
                  </w:r>
                </w:p>
              </w:tc>
              <w:tc>
                <w:tcPr>
                  <w:tcW w:w="5881" w:type="dxa"/>
                  <w:vAlign w:val="top"/>
                </w:tcPr>
                <w:p>
                  <w:pPr>
                    <w:snapToGrid w:val="0"/>
                    <w:spacing w:line="320" w:lineRule="exact"/>
                    <w:rPr>
                      <w:rFonts w:hint="default" w:ascii="Times New Roman" w:hAnsi="Times New Roman" w:cs="Times New Roman"/>
                      <w:color w:val="auto"/>
                      <w:kern w:val="0"/>
                      <w:szCs w:val="21"/>
                      <w:lang w:bidi="en-US"/>
                    </w:rPr>
                  </w:pPr>
                  <w:r>
                    <w:rPr>
                      <w:rFonts w:hint="default" w:ascii="Times New Roman" w:hAnsi="Times New Roman" w:cs="Times New Roman"/>
                      <w:color w:val="auto"/>
                      <w:kern w:val="0"/>
                      <w:szCs w:val="21"/>
                      <w:lang w:bidi="en-US"/>
                    </w:rPr>
                    <w:t>对企业全体职工及邻近地区开展公众教育、培训和发布有关信息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2160"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记录和报告</w:t>
                  </w:r>
                </w:p>
              </w:tc>
              <w:tc>
                <w:tcPr>
                  <w:tcW w:w="5881" w:type="dxa"/>
                  <w:vAlign w:val="center"/>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设应急事故专门记录，建立档案和报告制度，设专门部门负责管理。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 w:hRule="atLeast"/>
                <w:jc w:val="center"/>
              </w:trPr>
              <w:tc>
                <w:tcPr>
                  <w:tcW w:w="677" w:type="dxa"/>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2160" w:type="dxa"/>
                  <w:vAlign w:val="center"/>
                </w:tcPr>
                <w:p>
                  <w:pPr>
                    <w:spacing w:line="320" w:lineRule="exact"/>
                    <w:ind w:firstLine="630" w:firstLineChars="300"/>
                    <w:rPr>
                      <w:rFonts w:hint="default" w:ascii="Times New Roman" w:hAnsi="Times New Roman" w:cs="Times New Roman"/>
                      <w:color w:val="auto"/>
                      <w:szCs w:val="21"/>
                    </w:rPr>
                  </w:pPr>
                  <w:r>
                    <w:rPr>
                      <w:rFonts w:hint="default" w:ascii="Times New Roman" w:hAnsi="Times New Roman" w:cs="Times New Roman"/>
                      <w:color w:val="auto"/>
                      <w:szCs w:val="21"/>
                    </w:rPr>
                    <w:t>附件</w:t>
                  </w:r>
                </w:p>
              </w:tc>
              <w:tc>
                <w:tcPr>
                  <w:tcW w:w="5881" w:type="dxa"/>
                  <w:vAlign w:val="center"/>
                </w:tcPr>
                <w:p>
                  <w:pPr>
                    <w:spacing w:line="320" w:lineRule="exact"/>
                    <w:rPr>
                      <w:rFonts w:hint="default" w:ascii="Times New Roman" w:hAnsi="Times New Roman" w:cs="Times New Roman"/>
                      <w:color w:val="auto"/>
                      <w:szCs w:val="21"/>
                    </w:rPr>
                  </w:pPr>
                  <w:r>
                    <w:rPr>
                      <w:rFonts w:hint="default" w:ascii="Times New Roman" w:hAnsi="Times New Roman" w:cs="Times New Roman"/>
                      <w:color w:val="auto"/>
                      <w:szCs w:val="21"/>
                    </w:rPr>
                    <w:t>准备并形成环境风险事故应急处理有关的附件材料。</w:t>
                  </w:r>
                </w:p>
              </w:tc>
            </w:tr>
          </w:tbl>
          <w:p>
            <w:pPr>
              <w:pStyle w:val="3"/>
              <w:spacing w:before="0" w:after="0" w:line="360" w:lineRule="auto"/>
              <w:ind w:firstLine="588" w:firstLineChars="245"/>
              <w:rPr>
                <w:rFonts w:hint="default" w:ascii="Times New Roman" w:hAnsi="Times New Roman" w:eastAsia="宋体" w:cs="Times New Roman"/>
                <w:b w:val="0"/>
                <w:color w:val="auto"/>
                <w:sz w:val="24"/>
                <w:szCs w:val="24"/>
              </w:rPr>
            </w:pPr>
            <w:r>
              <w:rPr>
                <w:rFonts w:hint="eastAsia" w:ascii="Times New Roman" w:hAnsi="Times New Roman" w:eastAsia="宋体" w:cs="Times New Roman"/>
                <w:b w:val="0"/>
                <w:color w:val="auto"/>
                <w:sz w:val="24"/>
                <w:szCs w:val="24"/>
                <w:lang w:val="en-US" w:eastAsia="zh-CN"/>
              </w:rPr>
              <w:t>5</w:t>
            </w:r>
            <w:r>
              <w:rPr>
                <w:rFonts w:hint="default" w:ascii="Times New Roman" w:hAnsi="Times New Roman" w:eastAsia="宋体" w:cs="Times New Roman"/>
                <w:b w:val="0"/>
                <w:color w:val="auto"/>
                <w:sz w:val="24"/>
                <w:szCs w:val="24"/>
              </w:rPr>
              <w:t>.2.1加油过程出现泄漏时，首先保持冷静，判断险情，按照应急预案采取相应措施：</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①当向储油罐卸油时发生跑、冒、油事故时，加油站经理启动加油站卸油时跑冒油应急处置预案程序，值班经理应及时关闭油罐车卸油阀和停止加油作业，切断总电源，熄灭加油站内一切火源，停止营业，并向加油站经理（或值班经理）汇报；</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②必要时，报告公安、交通、消防等相关部门，请他们协助临时封堵附近的交通道路和维护现场秩序；</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 xml:space="preserve">③加油站经理或值班经理及时组织人员进行现场警戒，疏散人员和站内车辆，已熄火的车辆严禁重新启动，尽快推离现场；未熄火的车辆尽快驶离现场； </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④检查并消除附近的一切火源；在溢油处的上风向，布置消防器材；</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⑤跑冒油较少时，应用非化纤棉纱、毛巾或拖布等不产生静电的物品对现场的油品进行回收；跑冒油较多时，应用砂土等对跑冒油现场进行围挡，用加油站备用的专用回收工具进行必要的回收，禁止用铁制等易产生火花的器皿进行回收；回收的油品另行处理。回收后，要用沙土覆盖残留油面，待充分吸取残油后将沙土清除干净，必要时应将油浸地面砂土换掉，防止雨水冲刷污染周围环境或地下水源；</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⑥通知毗邻单位或居民，注意安全，防止造成（或扩大）危害；</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如果跑冒油数量较大，后勤保障人员应请当地的公安、消防等相关部门人员协助，立即封锁加油站现场，疏散站内及附近人员和车辆，维持秩序，加强现场警戒；</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⑦检查所有井及附近的坑、沟、渠内是否有残油，若有残油应及时清理干净，并检查其它可能产生危害的区域是否有隐患存在；</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⑧计量确定跑、冒油损失，填写好记录和台帐；</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⑨检查确认无其它危险隐患后继续营业；</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⑩吸附有油品的沙土应送到指定垃圾场进行填埋处理。</w:t>
            </w:r>
          </w:p>
          <w:p>
            <w:pPr>
              <w:pStyle w:val="3"/>
              <w:spacing w:before="0" w:after="0" w:line="360" w:lineRule="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、环境风险评价结论</w:t>
            </w:r>
          </w:p>
          <w:p>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项目为专用易燃易爆原料运营的项目，汽油属于《危险化学品名录》中的物质，项目运营过程中存在一定危险性，项目的最大可信事故为储罐、输油管道等破裂，但在实施有效的泄漏物料收集、回用后，排入环境的量较小，项目根据原料的性质采取“本质安全”的设计理念对输油管道和和贮存设施进行设计安装，在日常运营期加强设备检修、日常巡检等工作，并定期组织演练事故应急预案后，本项目的环境风险水平在可接受范围内。</w:t>
            </w:r>
          </w:p>
          <w:p>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在落实上述环境风险防范措施和应急预案的情况下，项目发生成品油泄露、火灾及爆炸的概率将大为降低，万一发生上述事故时及时采用相应的应急预案，可以把事故的危害程度降低到最低限度。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十</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环境管理和监测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40" w:firstLineChars="1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1、环境管理计划</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建设项目投产后，不可避免地对外环境造成一定的影响，加油站管理好坏，直接影响到加油站正常运行和环境设施的良好运转，所以必须对加油站加强管理，减少污染物向外环境排放。</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（1）环境管理机构</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项目应从人员配置上组建兼职环保机构，对本项目环境保护工作进行监督管理。</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（2）环保管理人员职责</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a、督促项目环保治理措施、管理措施的实施；</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b、监督检查站内各个环保设施的运行，并提出改善环境的建议和对策。</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c、负责本站职工的环保教育工作，以提高全站职工的环保意识。</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d、定期向当地环保部门汇报本项目的环保工作情况。</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（3）加油站环境管理目标</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投产后，大气污染物无组织排放监控点浓度符合《大气污染物综合排放标准》（GB14554-93）表2二级标准；项目废水经化粪池处理后提供给周边的农户用作农肥；厂界噪声达到《工业企业厂界环境噪声排放标准》（GB12348-2008）2类标准限值。</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（4）环境管理制度建议</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配合上级环保主管部门</w:t>
            </w:r>
            <w:r>
              <w:rPr>
                <w:rFonts w:hint="default" w:ascii="Times New Roman" w:hAnsi="Times New Roman" w:cs="Times New Roman"/>
                <w:color w:val="auto"/>
                <w:sz w:val="24"/>
                <w:lang w:eastAsia="zh-CN"/>
              </w:rPr>
              <w:t>日常检查，</w:t>
            </w:r>
            <w:r>
              <w:rPr>
                <w:rFonts w:hint="default" w:ascii="Times New Roman" w:hAnsi="Times New Roman" w:cs="Times New Roman"/>
                <w:color w:val="auto"/>
                <w:sz w:val="24"/>
              </w:rPr>
              <w:t>制定全厂环保工作计划，提出相适合的环境管理目标与生产目标进行综合平衡，并纳入全厂生产发展计划；全面实行档案管理，实施各项检查，抽查等管理制度。</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加强环保设施的管理，定期检查环保设施的运行情况，排除故障，保证环保设施正常运转。加强厂区的绿化管理，使厂区绿化面积达到设计提出的指标。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 环境监测计划</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eastAsia="zh-CN"/>
              </w:rPr>
              <w:t>运营</w:t>
            </w:r>
            <w:r>
              <w:rPr>
                <w:rFonts w:hint="default" w:ascii="Times New Roman" w:hAnsi="Times New Roman" w:cs="Times New Roman"/>
                <w:color w:val="auto"/>
                <w:sz w:val="24"/>
              </w:rPr>
              <w:t>期的环境监测</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加油站装置排放浓度、噪声等应按照GB20952-2007《加油站大气污染物排放标准》中规定的方法、点位和频次进行检测。</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项目运营期环境监测计划见表7-</w:t>
            </w:r>
            <w:r>
              <w:rPr>
                <w:rFonts w:hint="eastAsia" w:ascii="Times New Roman" w:hAnsi="Times New Roman" w:cs="Times New Roman"/>
                <w:color w:val="auto"/>
                <w:sz w:val="24"/>
                <w:lang w:val="en-US" w:eastAsia="zh-CN"/>
              </w:rPr>
              <w:t>25</w:t>
            </w:r>
            <w:r>
              <w:rPr>
                <w:rFonts w:hint="default" w:ascii="Times New Roman" w:hAnsi="Times New Roman" w:cs="Times New Roman"/>
                <w:color w:val="auto"/>
                <w:sz w:val="24"/>
              </w:rPr>
              <w:t>。</w:t>
            </w:r>
          </w:p>
          <w:p>
            <w:pPr>
              <w:adjustRightInd w:val="0"/>
              <w:snapToGrid w:val="0"/>
              <w:spacing w:line="276"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表7-</w:t>
            </w:r>
            <w:r>
              <w:rPr>
                <w:rFonts w:hint="eastAsia" w:ascii="Times New Roman" w:hAnsi="Times New Roman" w:cs="Times New Roman"/>
                <w:b/>
                <w:color w:val="auto"/>
                <w:sz w:val="21"/>
                <w:szCs w:val="21"/>
                <w:lang w:val="en-US" w:eastAsia="zh-CN"/>
              </w:rPr>
              <w:t>25</w:t>
            </w:r>
            <w:r>
              <w:rPr>
                <w:rFonts w:hint="default" w:ascii="Times New Roman" w:hAnsi="Times New Roman" w:cs="Times New Roman"/>
                <w:b/>
                <w:color w:val="auto"/>
                <w:sz w:val="21"/>
                <w:szCs w:val="21"/>
              </w:rPr>
              <w:t xml:space="preserve">  项目运营期环境监测计划表</w:t>
            </w:r>
          </w:p>
          <w:tbl>
            <w:tblPr>
              <w:tblStyle w:val="23"/>
              <w:tblW w:w="8669" w:type="dxa"/>
              <w:jc w:val="center"/>
              <w:tblBorders>
                <w:top w:val="single" w:color="auto" w:sz="6" w:space="0"/>
                <w:left w:val="single" w:color="auto" w:sz="6" w:space="0"/>
                <w:bottom w:val="single" w:color="auto" w:sz="6" w:space="0"/>
                <w:right w:val="single" w:color="auto" w:sz="6" w:space="0"/>
                <w:insideH w:val="none" w:color="auto" w:sz="0" w:space="0"/>
                <w:insideV w:val="single" w:color="auto" w:sz="6" w:space="0"/>
              </w:tblBorders>
              <w:tblLayout w:type="fixed"/>
              <w:tblCellMar>
                <w:top w:w="0" w:type="dxa"/>
                <w:left w:w="108" w:type="dxa"/>
                <w:bottom w:w="0" w:type="dxa"/>
                <w:right w:w="108" w:type="dxa"/>
              </w:tblCellMar>
            </w:tblPr>
            <w:tblGrid>
              <w:gridCol w:w="526"/>
              <w:gridCol w:w="794"/>
              <w:gridCol w:w="2364"/>
              <w:gridCol w:w="1316"/>
              <w:gridCol w:w="2624"/>
              <w:gridCol w:w="1045"/>
            </w:tblGrid>
            <w:tr>
              <w:tblPrEx>
                <w:tblBorders>
                  <w:top w:val="single" w:color="auto" w:sz="6" w:space="0"/>
                  <w:left w:val="single" w:color="auto" w:sz="6" w:space="0"/>
                  <w:bottom w:val="single" w:color="auto" w:sz="6" w:space="0"/>
                  <w:right w:val="single" w:color="auto" w:sz="6" w:space="0"/>
                  <w:insideH w:val="none" w:color="auto" w:sz="0" w:space="0"/>
                  <w:insideV w:val="single" w:color="auto" w:sz="6" w:space="0"/>
                </w:tblBorders>
                <w:tblCellMar>
                  <w:top w:w="0" w:type="dxa"/>
                  <w:left w:w="108" w:type="dxa"/>
                  <w:bottom w:w="0" w:type="dxa"/>
                  <w:right w:w="108" w:type="dxa"/>
                </w:tblCellMar>
              </w:tblPrEx>
              <w:trPr>
                <w:cantSplit/>
                <w:trHeight w:val="378" w:hRule="atLeast"/>
                <w:jc w:val="center"/>
              </w:trPr>
              <w:tc>
                <w:tcPr>
                  <w:tcW w:w="526"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时段</w:t>
                  </w:r>
                </w:p>
              </w:tc>
              <w:tc>
                <w:tcPr>
                  <w:tcW w:w="794"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监测要素</w:t>
                  </w:r>
                </w:p>
              </w:tc>
              <w:tc>
                <w:tcPr>
                  <w:tcW w:w="2364"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316"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监测内容</w:t>
                  </w:r>
                </w:p>
              </w:tc>
              <w:tc>
                <w:tcPr>
                  <w:tcW w:w="2624"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监测频率</w:t>
                  </w:r>
                </w:p>
              </w:tc>
              <w:tc>
                <w:tcPr>
                  <w:tcW w:w="1045"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监测单位</w:t>
                  </w:r>
                </w:p>
              </w:tc>
            </w:tr>
            <w:tr>
              <w:tblPrEx>
                <w:tblBorders>
                  <w:top w:val="single" w:color="auto" w:sz="6" w:space="0"/>
                  <w:left w:val="single" w:color="auto" w:sz="6" w:space="0"/>
                  <w:bottom w:val="single" w:color="auto" w:sz="6" w:space="0"/>
                  <w:right w:val="single" w:color="auto" w:sz="6" w:space="0"/>
                  <w:insideH w:val="none" w:color="auto" w:sz="0" w:space="0"/>
                  <w:insideV w:val="single" w:color="auto" w:sz="6" w:space="0"/>
                </w:tblBorders>
                <w:tblCellMar>
                  <w:top w:w="0" w:type="dxa"/>
                  <w:left w:w="108" w:type="dxa"/>
                  <w:bottom w:w="0" w:type="dxa"/>
                  <w:right w:w="108" w:type="dxa"/>
                </w:tblCellMar>
              </w:tblPrEx>
              <w:trPr>
                <w:cantSplit/>
                <w:trHeight w:val="78" w:hRule="atLeast"/>
                <w:jc w:val="center"/>
              </w:trPr>
              <w:tc>
                <w:tcPr>
                  <w:tcW w:w="526" w:type="dxa"/>
                  <w:vMerge w:val="restart"/>
                  <w:tcBorders>
                    <w:top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营</w:t>
                  </w:r>
                </w:p>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运</w:t>
                  </w:r>
                </w:p>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期</w:t>
                  </w:r>
                </w:p>
              </w:tc>
              <w:tc>
                <w:tcPr>
                  <w:tcW w:w="794" w:type="dxa"/>
                  <w:tcBorders>
                    <w:top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364" w:type="dxa"/>
                  <w:tcBorders>
                    <w:top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cs="Times New Roman"/>
                      <w:color w:val="auto"/>
                      <w:szCs w:val="21"/>
                    </w:rPr>
                  </w:pPr>
                  <w:r>
                    <w:rPr>
                      <w:rFonts w:hint="eastAsia"/>
                      <w:color w:val="auto"/>
                    </w:rPr>
                    <w:t>按国家规定和规范进行</w:t>
                  </w:r>
                  <w:r>
                    <w:rPr>
                      <w:rFonts w:hint="eastAsia"/>
                      <w:color w:val="auto"/>
                      <w:lang w:eastAsia="zh-CN"/>
                    </w:rPr>
                    <w:t>布点</w:t>
                  </w:r>
                </w:p>
              </w:tc>
              <w:tc>
                <w:tcPr>
                  <w:tcW w:w="1316" w:type="dxa"/>
                  <w:tcBorders>
                    <w:top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cs="Times New Roman"/>
                      <w:color w:val="auto"/>
                    </w:rPr>
                  </w:pPr>
                  <w:r>
                    <w:rPr>
                      <w:rFonts w:hint="default" w:ascii="Times New Roman" w:hAnsi="Times New Roman" w:cs="Times New Roman"/>
                      <w:color w:val="auto"/>
                    </w:rPr>
                    <w:t>等效A声级</w:t>
                  </w:r>
                </w:p>
              </w:tc>
              <w:tc>
                <w:tcPr>
                  <w:tcW w:w="2624" w:type="dxa"/>
                  <w:tcBorders>
                    <w:top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cs="Times New Roman"/>
                      <w:color w:val="auto"/>
                    </w:rPr>
                  </w:pPr>
                  <w:r>
                    <w:rPr>
                      <w:rFonts w:hint="eastAsia"/>
                      <w:color w:val="auto"/>
                    </w:rPr>
                    <w:t>按国家规定和规范进行监测</w:t>
                  </w:r>
                </w:p>
              </w:tc>
              <w:tc>
                <w:tcPr>
                  <w:tcW w:w="1045" w:type="dxa"/>
                  <w:vMerge w:val="restart"/>
                  <w:tcBorders>
                    <w:top w:val="single" w:color="auto" w:sz="4" w:space="0"/>
                  </w:tcBorders>
                  <w:vAlign w:val="center"/>
                </w:tcPr>
                <w:p>
                  <w:pPr>
                    <w:spacing w:line="276" w:lineRule="auto"/>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rPr>
                    <w:t>委托有</w:t>
                  </w:r>
                </w:p>
                <w:p>
                  <w:pPr>
                    <w:spacing w:line="276" w:lineRule="auto"/>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rPr>
                    <w:t>资质的</w:t>
                  </w:r>
                </w:p>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rPr>
                    <w:t>监测机构</w:t>
                  </w:r>
                </w:p>
              </w:tc>
            </w:tr>
            <w:tr>
              <w:tblPrEx>
                <w:tblBorders>
                  <w:top w:val="single" w:color="auto" w:sz="6" w:space="0"/>
                  <w:left w:val="single" w:color="auto" w:sz="6" w:space="0"/>
                  <w:bottom w:val="single" w:color="auto" w:sz="6" w:space="0"/>
                  <w:right w:val="single" w:color="auto" w:sz="6" w:space="0"/>
                  <w:insideH w:val="none" w:color="auto" w:sz="0" w:space="0"/>
                  <w:insideV w:val="single" w:color="auto" w:sz="6" w:space="0"/>
                </w:tblBorders>
                <w:tblCellMar>
                  <w:top w:w="0" w:type="dxa"/>
                  <w:left w:w="108" w:type="dxa"/>
                  <w:bottom w:w="0" w:type="dxa"/>
                  <w:right w:w="108" w:type="dxa"/>
                </w:tblCellMar>
              </w:tblPrEx>
              <w:trPr>
                <w:cantSplit/>
                <w:trHeight w:val="78" w:hRule="atLeast"/>
                <w:jc w:val="center"/>
              </w:trPr>
              <w:tc>
                <w:tcPr>
                  <w:tcW w:w="526" w:type="dxa"/>
                  <w:vMerge w:val="continue"/>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p>
              </w:tc>
              <w:tc>
                <w:tcPr>
                  <w:tcW w:w="794" w:type="dxa"/>
                  <w:tcBorders>
                    <w:top w:val="single" w:color="auto" w:sz="4" w:space="0"/>
                    <w:bottom w:val="single" w:color="auto" w:sz="4" w:space="0"/>
                    <w:right w:val="single" w:color="auto" w:sz="4" w:space="0"/>
                  </w:tcBorders>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2364" w:type="dxa"/>
                  <w:tcBorders>
                    <w:top w:val="single" w:color="auto" w:sz="4" w:space="0"/>
                    <w:left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eastAsia="宋体" w:cs="Times New Roman"/>
                      <w:color w:val="auto"/>
                      <w:szCs w:val="21"/>
                      <w:lang w:eastAsia="zh-CN"/>
                    </w:rPr>
                  </w:pPr>
                  <w:r>
                    <w:rPr>
                      <w:rFonts w:hint="eastAsia"/>
                      <w:color w:val="auto"/>
                    </w:rPr>
                    <w:t>按国家规定和规范进行</w:t>
                  </w:r>
                  <w:r>
                    <w:rPr>
                      <w:rFonts w:hint="eastAsia"/>
                      <w:color w:val="auto"/>
                      <w:lang w:eastAsia="zh-CN"/>
                    </w:rPr>
                    <w:t>布点</w:t>
                  </w:r>
                </w:p>
              </w:tc>
              <w:tc>
                <w:tcPr>
                  <w:tcW w:w="1316" w:type="dxa"/>
                  <w:tcBorders>
                    <w:top w:val="single" w:color="auto" w:sz="4" w:space="0"/>
                  </w:tcBorders>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2624" w:type="dxa"/>
                  <w:tcBorders>
                    <w:top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cs="Times New Roman"/>
                      <w:color w:val="auto"/>
                      <w:szCs w:val="21"/>
                    </w:rPr>
                  </w:pPr>
                  <w:r>
                    <w:rPr>
                      <w:rFonts w:hint="eastAsia"/>
                      <w:color w:val="auto"/>
                    </w:rPr>
                    <w:t>按国家规定和规范进行监测</w:t>
                  </w:r>
                </w:p>
              </w:tc>
              <w:tc>
                <w:tcPr>
                  <w:tcW w:w="1045" w:type="dxa"/>
                  <w:vMerge w:val="continue"/>
                  <w:vAlign w:val="top"/>
                </w:tcPr>
                <w:p>
                  <w:pPr>
                    <w:pStyle w:val="37"/>
                    <w:spacing w:line="276" w:lineRule="auto"/>
                    <w:ind w:left="0"/>
                    <w:jc w:val="center"/>
                    <w:rPr>
                      <w:rFonts w:hint="default" w:ascii="Times New Roman" w:hAnsi="Times New Roman" w:cs="Times New Roman"/>
                      <w:color w:val="auto"/>
                    </w:rPr>
                  </w:pPr>
                </w:p>
              </w:tc>
            </w:tr>
          </w:tbl>
          <w:p>
            <w:pPr>
              <w:spacing w:before="156" w:beforeLines="5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（2）竣工验收</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加油站装置排放浓度、噪声等应按照GB20952-2007《加油站大气污染物排放标准》中规定的方法、点位和频次进行检测</w:t>
            </w:r>
            <w:r>
              <w:rPr>
                <w:rFonts w:hint="default" w:ascii="Times New Roman" w:hAnsi="Times New Roman" w:cs="Times New Roman"/>
                <w:color w:val="auto"/>
                <w:sz w:val="24"/>
              </w:rPr>
              <w:t>，项目竣工时需要进行竣工验收监测，监测计划如下：</w:t>
            </w:r>
          </w:p>
          <w:p>
            <w:pPr>
              <w:adjustRightInd w:val="0"/>
              <w:snapToGrid w:val="0"/>
              <w:spacing w:line="276" w:lineRule="auto"/>
              <w:ind w:firstLine="2108" w:firstLineChars="1000"/>
              <w:jc w:val="both"/>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表7-</w:t>
            </w:r>
            <w:r>
              <w:rPr>
                <w:rFonts w:hint="eastAsia" w:ascii="Times New Roman" w:hAnsi="Times New Roman" w:cs="Times New Roman"/>
                <w:b/>
                <w:color w:val="auto"/>
                <w:sz w:val="21"/>
                <w:szCs w:val="21"/>
                <w:lang w:val="en-US" w:eastAsia="zh-CN"/>
              </w:rPr>
              <w:t>26</w:t>
            </w:r>
            <w:r>
              <w:rPr>
                <w:rFonts w:hint="default" w:ascii="Times New Roman" w:hAnsi="Times New Roman" w:cs="Times New Roman"/>
                <w:b/>
                <w:color w:val="auto"/>
                <w:sz w:val="21"/>
                <w:szCs w:val="21"/>
              </w:rPr>
              <w:t xml:space="preserve">  项目竣工验收环境监测计划表</w:t>
            </w:r>
          </w:p>
          <w:tbl>
            <w:tblPr>
              <w:tblStyle w:val="23"/>
              <w:tblW w:w="8669" w:type="dxa"/>
              <w:jc w:val="center"/>
              <w:tblBorders>
                <w:top w:val="single" w:color="auto" w:sz="6" w:space="0"/>
                <w:left w:val="single" w:color="auto" w:sz="6" w:space="0"/>
                <w:bottom w:val="single" w:color="auto" w:sz="6" w:space="0"/>
                <w:right w:val="single" w:color="auto" w:sz="6" w:space="0"/>
                <w:insideH w:val="none" w:color="auto" w:sz="0" w:space="0"/>
                <w:insideV w:val="single" w:color="auto" w:sz="6" w:space="0"/>
              </w:tblBorders>
              <w:tblLayout w:type="fixed"/>
              <w:tblCellMar>
                <w:top w:w="0" w:type="dxa"/>
                <w:left w:w="108" w:type="dxa"/>
                <w:bottom w:w="0" w:type="dxa"/>
                <w:right w:w="108" w:type="dxa"/>
              </w:tblCellMar>
            </w:tblPr>
            <w:tblGrid>
              <w:gridCol w:w="526"/>
              <w:gridCol w:w="794"/>
              <w:gridCol w:w="2364"/>
              <w:gridCol w:w="1316"/>
              <w:gridCol w:w="2624"/>
              <w:gridCol w:w="1045"/>
            </w:tblGrid>
            <w:tr>
              <w:tblPrEx>
                <w:tblBorders>
                  <w:top w:val="single" w:color="auto" w:sz="6" w:space="0"/>
                  <w:left w:val="single" w:color="auto" w:sz="6" w:space="0"/>
                  <w:bottom w:val="single" w:color="auto" w:sz="6" w:space="0"/>
                  <w:right w:val="single" w:color="auto" w:sz="6" w:space="0"/>
                  <w:insideH w:val="none" w:color="auto" w:sz="0" w:space="0"/>
                  <w:insideV w:val="single" w:color="auto" w:sz="6" w:space="0"/>
                </w:tblBorders>
                <w:tblCellMar>
                  <w:top w:w="0" w:type="dxa"/>
                  <w:left w:w="108" w:type="dxa"/>
                  <w:bottom w:w="0" w:type="dxa"/>
                  <w:right w:w="108" w:type="dxa"/>
                </w:tblCellMar>
              </w:tblPrEx>
              <w:trPr>
                <w:cantSplit/>
                <w:trHeight w:val="378" w:hRule="atLeast"/>
                <w:jc w:val="center"/>
              </w:trPr>
              <w:tc>
                <w:tcPr>
                  <w:tcW w:w="526"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时段</w:t>
                  </w:r>
                </w:p>
              </w:tc>
              <w:tc>
                <w:tcPr>
                  <w:tcW w:w="794"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监测要素</w:t>
                  </w:r>
                </w:p>
              </w:tc>
              <w:tc>
                <w:tcPr>
                  <w:tcW w:w="2364"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316"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监测内容</w:t>
                  </w:r>
                </w:p>
              </w:tc>
              <w:tc>
                <w:tcPr>
                  <w:tcW w:w="2624"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监测频率</w:t>
                  </w:r>
                </w:p>
              </w:tc>
              <w:tc>
                <w:tcPr>
                  <w:tcW w:w="1045" w:type="dxa"/>
                  <w:tcBorders>
                    <w:bottom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监测单位</w:t>
                  </w:r>
                </w:p>
              </w:tc>
            </w:tr>
            <w:tr>
              <w:tblPrEx>
                <w:tblBorders>
                  <w:top w:val="single" w:color="auto" w:sz="6" w:space="0"/>
                  <w:left w:val="single" w:color="auto" w:sz="6" w:space="0"/>
                  <w:bottom w:val="single" w:color="auto" w:sz="6" w:space="0"/>
                  <w:right w:val="single" w:color="auto" w:sz="6" w:space="0"/>
                  <w:insideH w:val="none" w:color="auto" w:sz="0" w:space="0"/>
                  <w:insideV w:val="single" w:color="auto" w:sz="6" w:space="0"/>
                </w:tblBorders>
                <w:tblCellMar>
                  <w:top w:w="0" w:type="dxa"/>
                  <w:left w:w="108" w:type="dxa"/>
                  <w:bottom w:w="0" w:type="dxa"/>
                  <w:right w:w="108" w:type="dxa"/>
                </w:tblCellMar>
              </w:tblPrEx>
              <w:trPr>
                <w:cantSplit/>
                <w:trHeight w:val="78" w:hRule="atLeast"/>
                <w:jc w:val="center"/>
              </w:trPr>
              <w:tc>
                <w:tcPr>
                  <w:tcW w:w="526" w:type="dxa"/>
                  <w:vMerge w:val="restart"/>
                  <w:tcBorders>
                    <w:top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营</w:t>
                  </w:r>
                </w:p>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运</w:t>
                  </w:r>
                </w:p>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期</w:t>
                  </w:r>
                </w:p>
              </w:tc>
              <w:tc>
                <w:tcPr>
                  <w:tcW w:w="794" w:type="dxa"/>
                  <w:tcBorders>
                    <w:top w:val="single" w:color="auto" w:sz="4" w:space="0"/>
                  </w:tcBorders>
                  <w:vAlign w:val="center"/>
                </w:tcPr>
                <w:p>
                  <w:pPr>
                    <w:snapToGrid w:val="0"/>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364" w:type="dxa"/>
                  <w:tcBorders>
                    <w:top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cs="Times New Roman"/>
                      <w:color w:val="auto"/>
                      <w:szCs w:val="21"/>
                    </w:rPr>
                  </w:pPr>
                  <w:r>
                    <w:rPr>
                      <w:rFonts w:hint="eastAsia"/>
                      <w:color w:val="auto"/>
                    </w:rPr>
                    <w:t>按国家规定和规范进行</w:t>
                  </w:r>
                  <w:r>
                    <w:rPr>
                      <w:rFonts w:hint="eastAsia"/>
                      <w:color w:val="auto"/>
                      <w:lang w:eastAsia="zh-CN"/>
                    </w:rPr>
                    <w:t>布点</w:t>
                  </w:r>
                </w:p>
              </w:tc>
              <w:tc>
                <w:tcPr>
                  <w:tcW w:w="1316" w:type="dxa"/>
                  <w:tcBorders>
                    <w:top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cs="Times New Roman"/>
                      <w:color w:val="auto"/>
                    </w:rPr>
                  </w:pPr>
                  <w:r>
                    <w:rPr>
                      <w:rFonts w:hint="default" w:ascii="Times New Roman" w:hAnsi="Times New Roman" w:cs="Times New Roman"/>
                      <w:color w:val="auto"/>
                    </w:rPr>
                    <w:t>等效A声级</w:t>
                  </w:r>
                </w:p>
              </w:tc>
              <w:tc>
                <w:tcPr>
                  <w:tcW w:w="2624" w:type="dxa"/>
                  <w:tcBorders>
                    <w:top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cs="Times New Roman"/>
                      <w:color w:val="auto"/>
                    </w:rPr>
                  </w:pPr>
                  <w:r>
                    <w:rPr>
                      <w:rFonts w:hint="eastAsia"/>
                      <w:color w:val="auto"/>
                    </w:rPr>
                    <w:t>按国家规定和规范进行监测</w:t>
                  </w:r>
                </w:p>
              </w:tc>
              <w:tc>
                <w:tcPr>
                  <w:tcW w:w="1045" w:type="dxa"/>
                  <w:vMerge w:val="restart"/>
                  <w:tcBorders>
                    <w:top w:val="single" w:color="auto" w:sz="4" w:space="0"/>
                  </w:tcBorders>
                  <w:vAlign w:val="center"/>
                </w:tcPr>
                <w:p>
                  <w:pPr>
                    <w:spacing w:line="276" w:lineRule="auto"/>
                    <w:ind w:left="-105" w:leftChars="-50" w:right="-105" w:rightChars="-50"/>
                    <w:jc w:val="left"/>
                    <w:rPr>
                      <w:rFonts w:hint="default" w:ascii="Times New Roman" w:hAnsi="Times New Roman" w:cs="Times New Roman"/>
                      <w:color w:val="auto"/>
                    </w:rPr>
                  </w:pPr>
                  <w:r>
                    <w:rPr>
                      <w:rFonts w:hint="default" w:ascii="Times New Roman" w:hAnsi="Times New Roman" w:cs="Times New Roman"/>
                      <w:color w:val="auto"/>
                    </w:rPr>
                    <w:t>委托有</w:t>
                  </w:r>
                </w:p>
                <w:p>
                  <w:pPr>
                    <w:spacing w:line="276" w:lineRule="auto"/>
                    <w:ind w:left="-105" w:leftChars="-50" w:right="-105" w:rightChars="-50"/>
                    <w:jc w:val="left"/>
                    <w:rPr>
                      <w:rFonts w:hint="default" w:ascii="Times New Roman" w:hAnsi="Times New Roman" w:cs="Times New Roman"/>
                      <w:color w:val="auto"/>
                    </w:rPr>
                  </w:pPr>
                  <w:r>
                    <w:rPr>
                      <w:rFonts w:hint="default" w:ascii="Times New Roman" w:hAnsi="Times New Roman" w:cs="Times New Roman"/>
                      <w:color w:val="auto"/>
                    </w:rPr>
                    <w:t>资质的</w:t>
                  </w:r>
                </w:p>
                <w:p>
                  <w:pPr>
                    <w:spacing w:line="276" w:lineRule="auto"/>
                    <w:ind w:left="-105" w:leftChars="-50" w:right="-105" w:rightChars="-50"/>
                    <w:jc w:val="left"/>
                    <w:rPr>
                      <w:rFonts w:hint="default" w:ascii="Times New Roman" w:hAnsi="Times New Roman" w:cs="Times New Roman"/>
                      <w:color w:val="auto"/>
                      <w:szCs w:val="21"/>
                    </w:rPr>
                  </w:pPr>
                  <w:r>
                    <w:rPr>
                      <w:rFonts w:hint="default" w:ascii="Times New Roman" w:hAnsi="Times New Roman" w:cs="Times New Roman"/>
                      <w:color w:val="auto"/>
                    </w:rPr>
                    <w:t>监测机构</w:t>
                  </w:r>
                </w:p>
              </w:tc>
            </w:tr>
            <w:tr>
              <w:tblPrEx>
                <w:tblBorders>
                  <w:top w:val="single" w:color="auto" w:sz="6" w:space="0"/>
                  <w:left w:val="single" w:color="auto" w:sz="6" w:space="0"/>
                  <w:bottom w:val="single" w:color="auto" w:sz="6" w:space="0"/>
                  <w:right w:val="single" w:color="auto" w:sz="6" w:space="0"/>
                  <w:insideH w:val="none" w:color="auto" w:sz="0" w:space="0"/>
                  <w:insideV w:val="single" w:color="auto" w:sz="6" w:space="0"/>
                </w:tblBorders>
                <w:tblCellMar>
                  <w:top w:w="0" w:type="dxa"/>
                  <w:left w:w="108" w:type="dxa"/>
                  <w:bottom w:w="0" w:type="dxa"/>
                  <w:right w:w="108" w:type="dxa"/>
                </w:tblCellMar>
              </w:tblPrEx>
              <w:trPr>
                <w:cantSplit/>
                <w:trHeight w:val="78" w:hRule="atLeast"/>
                <w:jc w:val="center"/>
              </w:trPr>
              <w:tc>
                <w:tcPr>
                  <w:tcW w:w="526" w:type="dxa"/>
                  <w:vMerge w:val="continue"/>
                  <w:vAlign w:val="center"/>
                </w:tcPr>
                <w:p>
                  <w:pPr>
                    <w:snapToGrid w:val="0"/>
                    <w:spacing w:line="276" w:lineRule="auto"/>
                    <w:ind w:left="-105" w:leftChars="-50" w:right="-105" w:rightChars="-50"/>
                    <w:jc w:val="center"/>
                    <w:rPr>
                      <w:rFonts w:hint="default" w:ascii="Times New Roman" w:hAnsi="Times New Roman" w:cs="Times New Roman"/>
                      <w:color w:val="auto"/>
                      <w:szCs w:val="21"/>
                    </w:rPr>
                  </w:pPr>
                </w:p>
              </w:tc>
              <w:tc>
                <w:tcPr>
                  <w:tcW w:w="794" w:type="dxa"/>
                  <w:tcBorders>
                    <w:top w:val="single" w:color="auto" w:sz="4" w:space="0"/>
                    <w:bottom w:val="single" w:color="auto" w:sz="4" w:space="0"/>
                    <w:right w:val="single" w:color="auto" w:sz="4" w:space="0"/>
                  </w:tcBorders>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2364" w:type="dxa"/>
                  <w:tcBorders>
                    <w:top w:val="single" w:color="auto" w:sz="4" w:space="0"/>
                    <w:left w:val="single" w:color="auto" w:sz="4" w:space="0"/>
                    <w:bottom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eastAsia="宋体" w:cs="Times New Roman"/>
                      <w:color w:val="auto"/>
                      <w:szCs w:val="21"/>
                      <w:lang w:eastAsia="zh-CN"/>
                    </w:rPr>
                  </w:pPr>
                  <w:r>
                    <w:rPr>
                      <w:rFonts w:hint="eastAsia"/>
                      <w:color w:val="auto"/>
                    </w:rPr>
                    <w:t>按国家规定和规范进行</w:t>
                  </w:r>
                  <w:r>
                    <w:rPr>
                      <w:rFonts w:hint="eastAsia"/>
                      <w:color w:val="auto"/>
                      <w:lang w:eastAsia="zh-CN"/>
                    </w:rPr>
                    <w:t>布点</w:t>
                  </w:r>
                </w:p>
              </w:tc>
              <w:tc>
                <w:tcPr>
                  <w:tcW w:w="1316" w:type="dxa"/>
                  <w:tcBorders>
                    <w:top w:val="single" w:color="auto" w:sz="4" w:space="0"/>
                    <w:bottom w:val="single" w:color="auto" w:sz="4" w:space="0"/>
                  </w:tcBorders>
                  <w:vAlign w:val="center"/>
                </w:tcPr>
                <w:p>
                  <w:pPr>
                    <w:spacing w:line="276" w:lineRule="auto"/>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2624" w:type="dxa"/>
                  <w:tcBorders>
                    <w:top w:val="single" w:color="auto" w:sz="4" w:space="0"/>
                    <w:bottom w:val="single" w:color="auto" w:sz="4" w:space="0"/>
                  </w:tcBorders>
                  <w:vAlign w:val="center"/>
                </w:tcPr>
                <w:p>
                  <w:pPr>
                    <w:pStyle w:val="37"/>
                    <w:spacing w:line="276" w:lineRule="auto"/>
                    <w:ind w:left="-105" w:leftChars="-50" w:right="-105" w:rightChars="-50" w:firstLine="0" w:firstLineChars="0"/>
                    <w:jc w:val="center"/>
                    <w:rPr>
                      <w:rFonts w:hint="default" w:ascii="Times New Roman" w:hAnsi="Times New Roman" w:cs="Times New Roman"/>
                      <w:color w:val="auto"/>
                      <w:szCs w:val="21"/>
                    </w:rPr>
                  </w:pPr>
                  <w:r>
                    <w:rPr>
                      <w:rFonts w:hint="eastAsia"/>
                      <w:color w:val="auto"/>
                    </w:rPr>
                    <w:t>按国家规定和规范进行监测</w:t>
                  </w:r>
                </w:p>
              </w:tc>
              <w:tc>
                <w:tcPr>
                  <w:tcW w:w="1045" w:type="dxa"/>
                  <w:vMerge w:val="continue"/>
                  <w:vAlign w:val="top"/>
                </w:tcPr>
                <w:p>
                  <w:pPr>
                    <w:pStyle w:val="37"/>
                    <w:spacing w:line="276" w:lineRule="auto"/>
                    <w:ind w:left="0"/>
                    <w:jc w:val="center"/>
                    <w:rPr>
                      <w:rFonts w:hint="default" w:ascii="Times New Roman" w:hAnsi="Times New Roman" w:cs="Times New Roman"/>
                      <w:color w:val="auto"/>
                    </w:rPr>
                  </w:pPr>
                </w:p>
              </w:tc>
            </w:tr>
          </w:tbl>
          <w:p>
            <w:pPr>
              <w:spacing w:line="360" w:lineRule="auto"/>
              <w:ind w:firstLine="512" w:firstLineChars="200"/>
              <w:jc w:val="left"/>
              <w:rPr>
                <w:rFonts w:hint="default" w:ascii="Times New Roman" w:hAnsi="Times New Roman" w:cs="Times New Roman"/>
                <w:color w:val="auto"/>
              </w:rPr>
            </w:pPr>
            <w:r>
              <w:rPr>
                <w:rFonts w:hint="default" w:ascii="Times New Roman" w:hAnsi="Times New Roman" w:cs="Times New Roman"/>
                <w:color w:val="auto"/>
                <w:spacing w:val="8"/>
                <w:sz w:val="24"/>
              </w:rPr>
              <w:t>项目在建设过程中必须按照“三同时”规定操作，项目营运过程中要防止环境污染。“三同时”竣工验收</w:t>
            </w:r>
            <w:r>
              <w:rPr>
                <w:rFonts w:hint="default" w:ascii="Times New Roman" w:hAnsi="Times New Roman" w:cs="Times New Roman"/>
                <w:color w:val="auto"/>
                <w:spacing w:val="8"/>
                <w:sz w:val="24"/>
                <w:lang w:eastAsia="zh-CN"/>
              </w:rPr>
              <w:t>内容</w:t>
            </w:r>
            <w:r>
              <w:rPr>
                <w:rFonts w:hint="default" w:ascii="Times New Roman" w:hAnsi="Times New Roman" w:cs="Times New Roman"/>
                <w:color w:val="auto"/>
                <w:spacing w:val="8"/>
                <w:sz w:val="24"/>
              </w:rPr>
              <w:t>见表7-</w:t>
            </w:r>
            <w:r>
              <w:rPr>
                <w:rFonts w:hint="eastAsia" w:ascii="Times New Roman" w:hAnsi="Times New Roman" w:cs="Times New Roman"/>
                <w:color w:val="auto"/>
                <w:spacing w:val="8"/>
                <w:sz w:val="24"/>
                <w:lang w:val="en-US" w:eastAsia="zh-CN"/>
              </w:rPr>
              <w:t>27</w:t>
            </w:r>
            <w:r>
              <w:rPr>
                <w:rFonts w:hint="default" w:ascii="Times New Roman" w:hAnsi="Times New Roman" w:cs="Times New Roman"/>
                <w:color w:val="auto"/>
                <w:spacing w:val="8"/>
                <w:sz w:val="24"/>
              </w:rPr>
              <w:t>。</w:t>
            </w:r>
          </w:p>
          <w:p>
            <w:pPr>
              <w:adjustRightInd w:val="0"/>
              <w:snapToGrid w:val="0"/>
              <w:spacing w:line="276" w:lineRule="auto"/>
              <w:jc w:val="center"/>
              <w:rPr>
                <w:rFonts w:hint="default"/>
                <w:color w:val="auto"/>
              </w:rPr>
            </w:pPr>
            <w:r>
              <w:rPr>
                <w:rFonts w:hint="default" w:ascii="Times New Roman" w:hAnsi="Times New Roman" w:cs="Times New Roman"/>
                <w:b/>
                <w:color w:val="auto"/>
                <w:sz w:val="21"/>
                <w:szCs w:val="21"/>
              </w:rPr>
              <w:t>表7-</w:t>
            </w:r>
            <w:r>
              <w:rPr>
                <w:rFonts w:hint="eastAsia" w:ascii="Times New Roman" w:hAnsi="Times New Roman" w:cs="Times New Roman"/>
                <w:b/>
                <w:color w:val="auto"/>
                <w:sz w:val="21"/>
                <w:szCs w:val="21"/>
                <w:lang w:val="en-US" w:eastAsia="zh-CN"/>
              </w:rPr>
              <w:t>27</w:t>
            </w:r>
            <w:r>
              <w:rPr>
                <w:rFonts w:hint="default" w:ascii="Times New Roman" w:hAnsi="Times New Roman" w:cs="Times New Roman"/>
                <w:b/>
                <w:color w:val="auto"/>
                <w:sz w:val="21"/>
                <w:szCs w:val="21"/>
              </w:rPr>
              <w:t>环保设施竣工验收内容一览表</w:t>
            </w:r>
          </w:p>
          <w:p>
            <w:pPr>
              <w:adjustRightInd w:val="0"/>
              <w:snapToGrid w:val="0"/>
              <w:spacing w:line="276" w:lineRule="auto"/>
              <w:jc w:val="both"/>
              <w:rPr>
                <w:rFonts w:hint="default"/>
                <w:color w:val="auto"/>
              </w:rPr>
            </w:pPr>
          </w:p>
          <w:tbl>
            <w:tblPr>
              <w:tblStyle w:val="23"/>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766"/>
              <w:gridCol w:w="963"/>
              <w:gridCol w:w="1845"/>
              <w:gridCol w:w="2660"/>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30"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w:t>
                  </w:r>
                </w:p>
              </w:tc>
              <w:tc>
                <w:tcPr>
                  <w:tcW w:w="1766"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处理对象</w:t>
                  </w:r>
                </w:p>
              </w:tc>
              <w:tc>
                <w:tcPr>
                  <w:tcW w:w="2808" w:type="dxa"/>
                  <w:gridSpan w:val="2"/>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验收要求</w:t>
                  </w:r>
                </w:p>
              </w:tc>
              <w:tc>
                <w:tcPr>
                  <w:tcW w:w="2660"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处理效果</w:t>
                  </w:r>
                </w:p>
              </w:tc>
              <w:tc>
                <w:tcPr>
                  <w:tcW w:w="654"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93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1766" w:type="dxa"/>
                  <w:vAlign w:val="center"/>
                </w:tcPr>
                <w:p>
                  <w:pPr>
                    <w:jc w:val="center"/>
                    <w:rPr>
                      <w:rFonts w:hint="default" w:ascii="Times New Roman" w:hAnsi="Times New Roman" w:cs="Times New Roman"/>
                      <w:color w:val="auto"/>
                      <w:szCs w:val="21"/>
                    </w:rPr>
                  </w:pPr>
                  <w:bookmarkStart w:id="34" w:name="OLE_LINK39"/>
                  <w:r>
                    <w:rPr>
                      <w:rFonts w:hint="default" w:ascii="Times New Roman" w:hAnsi="Times New Roman" w:cs="Times New Roman"/>
                      <w:color w:val="auto"/>
                      <w:szCs w:val="21"/>
                    </w:rPr>
                    <w:t>非甲烷总烃</w:t>
                  </w:r>
                  <w:bookmarkEnd w:id="34"/>
                </w:p>
              </w:tc>
              <w:tc>
                <w:tcPr>
                  <w:tcW w:w="2808" w:type="dxa"/>
                  <w:gridSpan w:val="2"/>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0#柴油</w:t>
                  </w:r>
                  <w:r>
                    <w:rPr>
                      <w:rFonts w:hint="eastAsia" w:ascii="Times New Roman" w:hAnsi="Times New Roman" w:cs="Times New Roman"/>
                      <w:color w:val="auto"/>
                      <w:sz w:val="21"/>
                      <w:szCs w:val="21"/>
                      <w:lang w:val="en-US" w:eastAsia="zh-CN"/>
                    </w:rPr>
                    <w:t>/92#汽油2</w:t>
                  </w:r>
                  <w:r>
                    <w:rPr>
                      <w:rFonts w:hint="default" w:ascii="Times New Roman" w:hAnsi="Times New Roman" w:cs="Times New Roman"/>
                      <w:color w:val="auto"/>
                      <w:sz w:val="21"/>
                      <w:szCs w:val="21"/>
                    </w:rPr>
                    <w:t>台（双枪，</w:t>
                  </w:r>
                  <w:r>
                    <w:rPr>
                      <w:rFonts w:hint="eastAsia" w:ascii="Times New Roman" w:hAnsi="Times New Roman" w:cs="Times New Roman"/>
                      <w:color w:val="auto"/>
                      <w:sz w:val="21"/>
                      <w:szCs w:val="21"/>
                      <w:lang w:eastAsia="zh-CN"/>
                    </w:rPr>
                    <w:t>汽油</w:t>
                  </w:r>
                  <w:r>
                    <w:rPr>
                      <w:rFonts w:hint="default" w:ascii="Times New Roman" w:hAnsi="Times New Roman" w:cs="Times New Roman"/>
                      <w:color w:val="auto"/>
                      <w:sz w:val="21"/>
                      <w:szCs w:val="21"/>
                    </w:rPr>
                    <w:t>带油气回收系统）</w:t>
                  </w:r>
                </w:p>
              </w:tc>
              <w:tc>
                <w:tcPr>
                  <w:tcW w:w="266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lang w:eastAsia="zh-CN"/>
                    </w:rPr>
                    <w:t>符合</w:t>
                  </w:r>
                  <w:r>
                    <w:rPr>
                      <w:rFonts w:hint="default" w:ascii="Times New Roman" w:hAnsi="Times New Roman" w:cs="Times New Roman"/>
                      <w:color w:val="auto"/>
                      <w:szCs w:val="21"/>
                    </w:rPr>
                    <w:t>《加油站大气污染物排放标准》（GB20952-2007）中处理装置的油气非甲烷总烃的浓度的标准值。</w:t>
                  </w:r>
                </w:p>
              </w:tc>
              <w:tc>
                <w:tcPr>
                  <w:tcW w:w="654"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3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r>
                    <w:rPr>
                      <w:rFonts w:hint="default" w:ascii="Times New Roman" w:hAnsi="Times New Roman" w:cs="Times New Roman"/>
                      <w:color w:val="auto"/>
                      <w:szCs w:val="21"/>
                      <w:lang w:eastAsia="zh-CN"/>
                    </w:rPr>
                    <w:t>（粪便污水</w:t>
                  </w:r>
                  <w:r>
                    <w:rPr>
                      <w:rFonts w:hint="default" w:ascii="Times New Roman" w:hAnsi="Times New Roman" w:cs="Times New Roman"/>
                      <w:color w:val="auto"/>
                      <w:szCs w:val="21"/>
                      <w:lang w:val="en-US" w:eastAsia="zh-CN"/>
                    </w:rPr>
                    <w:t>、洗漱废水、厨房废水</w:t>
                  </w:r>
                  <w:r>
                    <w:rPr>
                      <w:rFonts w:hint="default" w:ascii="Times New Roman" w:hAnsi="Times New Roman" w:cs="Times New Roman"/>
                      <w:color w:val="auto"/>
                      <w:szCs w:val="21"/>
                      <w:lang w:eastAsia="zh-CN"/>
                    </w:rPr>
                    <w:t>）</w:t>
                  </w:r>
                </w:p>
              </w:tc>
              <w:tc>
                <w:tcPr>
                  <w:tcW w:w="2808" w:type="dxa"/>
                  <w:gridSpan w:val="2"/>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建设一个容积约</w:t>
                  </w:r>
                  <w:r>
                    <w:rPr>
                      <w:rFonts w:hint="eastAsia" w:ascii="Times New Roman" w:hAnsi="Times New Roman" w:cs="Times New Roman"/>
                      <w:color w:val="auto"/>
                      <w:szCs w:val="21"/>
                      <w:lang w:val="en-US" w:eastAsia="zh-CN"/>
                    </w:rPr>
                    <w:t>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的化粪池。</w:t>
                  </w:r>
                </w:p>
              </w:tc>
              <w:tc>
                <w:tcPr>
                  <w:tcW w:w="266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废水不外排。</w:t>
                  </w:r>
                </w:p>
              </w:tc>
              <w:tc>
                <w:tcPr>
                  <w:tcW w:w="654" w:type="dxa"/>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930" w:type="dxa"/>
                  <w:vMerge w:val="continue"/>
                  <w:vAlign w:val="center"/>
                </w:tcPr>
                <w:p>
                  <w:pPr>
                    <w:jc w:val="center"/>
                    <w:rPr>
                      <w:rFonts w:hint="default" w:ascii="Times New Roman" w:hAnsi="Times New Roman" w:cs="Times New Roman"/>
                      <w:color w:val="auto"/>
                      <w:szCs w:val="21"/>
                    </w:rPr>
                  </w:pPr>
                </w:p>
              </w:tc>
              <w:tc>
                <w:tcPr>
                  <w:tcW w:w="1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场区雨水</w:t>
                  </w:r>
                </w:p>
              </w:tc>
              <w:tc>
                <w:tcPr>
                  <w:tcW w:w="2808" w:type="dxa"/>
                  <w:gridSpan w:val="2"/>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建设一</w:t>
                  </w:r>
                  <w:r>
                    <w:rPr>
                      <w:rFonts w:hint="default" w:ascii="Times New Roman" w:hAnsi="Times New Roman" w:cs="Times New Roman"/>
                      <w:color w:val="auto"/>
                      <w:szCs w:val="21"/>
                      <w:lang w:eastAsia="zh-CN"/>
                    </w:rPr>
                    <w:t>个</w:t>
                  </w:r>
                  <w:r>
                    <w:rPr>
                      <w:rFonts w:hint="default" w:ascii="Times New Roman" w:hAnsi="Times New Roman" w:cs="Times New Roman"/>
                      <w:color w:val="auto"/>
                      <w:szCs w:val="21"/>
                    </w:rPr>
                    <w:t>水封井</w:t>
                  </w:r>
                </w:p>
              </w:tc>
              <w:tc>
                <w:tcPr>
                  <w:tcW w:w="2660" w:type="dxa"/>
                  <w:vAlign w:val="center"/>
                </w:tcPr>
                <w:p>
                  <w:pP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浮油不外排</w:t>
                  </w:r>
                </w:p>
              </w:tc>
              <w:tc>
                <w:tcPr>
                  <w:tcW w:w="654"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3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1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渗漏</w:t>
                  </w:r>
                </w:p>
              </w:tc>
              <w:tc>
                <w:tcPr>
                  <w:tcW w:w="2808" w:type="dxa"/>
                  <w:gridSpan w:val="2"/>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0#柴油</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个双层罐（</w:t>
                  </w:r>
                  <w:r>
                    <w:rPr>
                      <w:rFonts w:hint="eastAsia" w:ascii="Times New Roman" w:hAnsi="Times New Roman" w:cs="Times New Roman"/>
                      <w:color w:val="auto"/>
                      <w:szCs w:val="21"/>
                      <w:lang w:val="en-US" w:eastAsia="zh-CN"/>
                    </w:rPr>
                    <w:t>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92#汽油</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个双层罐（</w:t>
                  </w:r>
                  <w:r>
                    <w:rPr>
                      <w:rFonts w:hint="eastAsia" w:ascii="Times New Roman" w:hAnsi="Times New Roman" w:cs="Times New Roman"/>
                      <w:color w:val="auto"/>
                      <w:szCs w:val="21"/>
                      <w:lang w:val="en-US" w:eastAsia="zh-CN"/>
                    </w:rPr>
                    <w:t>30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266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符合《汽车加油加气站设计与施工规范</w:t>
                  </w:r>
                  <w:r>
                    <w:rPr>
                      <w:rFonts w:hint="default" w:ascii="Times New Roman" w:hAnsi="Times New Roman" w:cs="Times New Roman"/>
                      <w:color w:val="auto"/>
                      <w:szCs w:val="21"/>
                      <w:lang w:eastAsia="zh-CN"/>
                    </w:rPr>
                    <w:t>（2006年版）</w:t>
                  </w:r>
                  <w:r>
                    <w:rPr>
                      <w:rFonts w:hint="default" w:ascii="Times New Roman" w:hAnsi="Times New Roman" w:cs="Times New Roman"/>
                      <w:color w:val="auto"/>
                      <w:szCs w:val="21"/>
                    </w:rPr>
                    <w:t>》（GB50156-2012）及《加油站地下水污染防治技术指南（试行）》中的“防渗要求”。</w:t>
                  </w:r>
                </w:p>
              </w:tc>
              <w:tc>
                <w:tcPr>
                  <w:tcW w:w="654"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30" w:type="dxa"/>
                  <w:vMerge w:val="continue"/>
                  <w:vAlign w:val="center"/>
                </w:tcPr>
                <w:p>
                  <w:pPr>
                    <w:jc w:val="center"/>
                    <w:rPr>
                      <w:rFonts w:hint="default" w:ascii="Times New Roman" w:hAnsi="Times New Roman" w:cs="Times New Roman"/>
                      <w:color w:val="auto"/>
                      <w:szCs w:val="21"/>
                    </w:rPr>
                  </w:pPr>
                </w:p>
              </w:tc>
              <w:tc>
                <w:tcPr>
                  <w:tcW w:w="1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2808" w:type="dxa"/>
                  <w:gridSpan w:val="2"/>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布置垃圾收集</w:t>
                  </w:r>
                  <w:r>
                    <w:rPr>
                      <w:rFonts w:hint="eastAsia"/>
                      <w:color w:val="auto"/>
                      <w:lang w:eastAsia="zh-CN"/>
                    </w:rPr>
                    <w:t>桶</w:t>
                  </w:r>
                  <w:r>
                    <w:rPr>
                      <w:rFonts w:hint="default" w:ascii="Times New Roman" w:hAnsi="Times New Roman" w:cs="Times New Roman"/>
                      <w:color w:val="auto"/>
                      <w:szCs w:val="21"/>
                    </w:rPr>
                    <w:t>（3个）</w:t>
                  </w:r>
                  <w:r>
                    <w:rPr>
                      <w:rFonts w:hint="default" w:ascii="Times New Roman" w:hAnsi="Times New Roman" w:cs="Times New Roman"/>
                      <w:color w:val="auto"/>
                      <w:szCs w:val="21"/>
                      <w:lang w:eastAsia="zh-CN"/>
                    </w:rPr>
                    <w:t>及时</w:t>
                  </w:r>
                  <w:r>
                    <w:rPr>
                      <w:rFonts w:hint="default" w:ascii="Times New Roman" w:hAnsi="Times New Roman" w:cs="Times New Roman"/>
                      <w:color w:val="auto"/>
                      <w:szCs w:val="21"/>
                    </w:rPr>
                    <w:t>清运处理。</w:t>
                  </w:r>
                </w:p>
              </w:tc>
              <w:tc>
                <w:tcPr>
                  <w:tcW w:w="266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固体废物有效收集处置，处置率100%。</w:t>
                  </w:r>
                </w:p>
              </w:tc>
              <w:tc>
                <w:tcPr>
                  <w:tcW w:w="654"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30" w:type="dxa"/>
                  <w:vMerge w:val="continue"/>
                  <w:vAlign w:val="center"/>
                </w:tcPr>
                <w:p>
                  <w:pPr>
                    <w:jc w:val="center"/>
                    <w:rPr>
                      <w:rFonts w:hint="default" w:ascii="Times New Roman" w:hAnsi="Times New Roman" w:cs="Times New Roman"/>
                      <w:color w:val="auto"/>
                      <w:szCs w:val="21"/>
                    </w:rPr>
                  </w:pPr>
                </w:p>
              </w:tc>
              <w:tc>
                <w:tcPr>
                  <w:tcW w:w="1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污泥</w:t>
                  </w:r>
                </w:p>
              </w:tc>
              <w:tc>
                <w:tcPr>
                  <w:tcW w:w="2808" w:type="dxa"/>
                  <w:gridSpan w:val="2"/>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化粪池污泥，委托周边农户定期清掏；</w:t>
                  </w:r>
                </w:p>
              </w:tc>
              <w:tc>
                <w:tcPr>
                  <w:tcW w:w="266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固体废物有效收集处置，处置率100%。</w:t>
                  </w:r>
                </w:p>
              </w:tc>
              <w:tc>
                <w:tcPr>
                  <w:tcW w:w="654"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30" w:type="dxa"/>
                  <w:vMerge w:val="continue"/>
                  <w:vAlign w:val="center"/>
                </w:tcPr>
                <w:p>
                  <w:pPr>
                    <w:jc w:val="center"/>
                    <w:rPr>
                      <w:rFonts w:hint="default" w:ascii="Times New Roman" w:hAnsi="Times New Roman" w:cs="Times New Roman"/>
                      <w:color w:val="auto"/>
                      <w:szCs w:val="21"/>
                    </w:rPr>
                  </w:pPr>
                </w:p>
              </w:tc>
              <w:tc>
                <w:tcPr>
                  <w:tcW w:w="1766" w:type="dxa"/>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油渣</w:t>
                  </w:r>
                </w:p>
              </w:tc>
              <w:tc>
                <w:tcPr>
                  <w:tcW w:w="963"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lang w:eastAsia="zh-CN"/>
                    </w:rPr>
                    <w:t>储罐油渣</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委托有资质的单位清掏处理。</w:t>
                  </w:r>
                </w:p>
              </w:tc>
              <w:tc>
                <w:tcPr>
                  <w:tcW w:w="1845" w:type="dxa"/>
                  <w:vMerge w:val="restart"/>
                  <w:vAlign w:val="center"/>
                </w:tcPr>
                <w:p>
                  <w:pP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将原有仓库隔离出来改建为一间危废暂存间，建筑面积面积约20m</w:t>
                  </w:r>
                  <w:r>
                    <w:rPr>
                      <w:rFonts w:hint="default" w:ascii="Times New Roman" w:hAnsi="Times New Roman" w:cs="Times New Roman"/>
                      <w:color w:val="auto"/>
                      <w:szCs w:val="21"/>
                      <w:vertAlign w:val="superscript"/>
                      <w:lang w:eastAsia="zh-CN"/>
                    </w:rPr>
                    <w:t>2</w:t>
                  </w:r>
                  <w:r>
                    <w:rPr>
                      <w:rFonts w:hint="default" w:ascii="Times New Roman" w:hAnsi="Times New Roman" w:cs="Times New Roman"/>
                      <w:color w:val="auto"/>
                      <w:szCs w:val="21"/>
                      <w:lang w:eastAsia="zh-CN"/>
                    </w:rPr>
                    <w:t>，里面设置危废收集桶</w:t>
                  </w:r>
                  <w:r>
                    <w:rPr>
                      <w:rFonts w:hint="eastAsia" w:ascii="Times New Roman" w:hAnsi="Times New Roman" w:cs="Times New Roman"/>
                      <w:color w:val="auto"/>
                      <w:szCs w:val="21"/>
                      <w:lang w:eastAsia="zh-CN"/>
                    </w:rPr>
                    <w:t>。危险废物须严格执行危险废物转运联单制度，即危险废物在送往有资质的危险废物处理单位进行无害化处理前，应按《危险废物转移联单管理办法》相关要求。</w:t>
                  </w:r>
                </w:p>
              </w:tc>
              <w:tc>
                <w:tcPr>
                  <w:tcW w:w="266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固体废物有效收集处置，</w:t>
                  </w:r>
                  <w:r>
                    <w:rPr>
                      <w:rFonts w:hint="eastAsia" w:ascii="Times New Roman" w:hAnsi="Times New Roman" w:cs="Times New Roman"/>
                      <w:color w:val="auto"/>
                      <w:szCs w:val="21"/>
                      <w:lang w:eastAsia="zh-CN"/>
                    </w:rPr>
                    <w:t>委托有资质单位处置，</w:t>
                  </w:r>
                  <w:r>
                    <w:rPr>
                      <w:rFonts w:hint="default" w:ascii="Times New Roman" w:hAnsi="Times New Roman" w:cs="Times New Roman"/>
                      <w:color w:val="auto"/>
                      <w:szCs w:val="21"/>
                    </w:rPr>
                    <w:t>处置率100%。</w:t>
                  </w:r>
                </w:p>
              </w:tc>
              <w:tc>
                <w:tcPr>
                  <w:tcW w:w="654"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30" w:type="dxa"/>
                  <w:vMerge w:val="continue"/>
                  <w:vAlign w:val="center"/>
                </w:tcPr>
                <w:p>
                  <w:pPr>
                    <w:jc w:val="center"/>
                    <w:rPr>
                      <w:rFonts w:hint="default" w:ascii="Times New Roman" w:hAnsi="Times New Roman" w:cs="Times New Roman"/>
                      <w:color w:val="auto"/>
                      <w:szCs w:val="21"/>
                    </w:rPr>
                  </w:pPr>
                </w:p>
              </w:tc>
              <w:tc>
                <w:tcPr>
                  <w:tcW w:w="1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水封井</w:t>
                  </w:r>
                  <w:r>
                    <w:rPr>
                      <w:rFonts w:hint="default" w:ascii="Times New Roman" w:hAnsi="Times New Roman" w:cs="Times New Roman"/>
                      <w:color w:val="auto"/>
                      <w:szCs w:val="21"/>
                      <w:lang w:eastAsia="zh-CN"/>
                    </w:rPr>
                    <w:t>油泥</w:t>
                  </w:r>
                </w:p>
              </w:tc>
              <w:tc>
                <w:tcPr>
                  <w:tcW w:w="963"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委托有资质的单位清掏处理。</w:t>
                  </w:r>
                </w:p>
              </w:tc>
              <w:tc>
                <w:tcPr>
                  <w:tcW w:w="1845" w:type="dxa"/>
                  <w:vMerge w:val="continue"/>
                  <w:vAlign w:val="center"/>
                </w:tcPr>
                <w:p>
                  <w:pPr>
                    <w:rPr>
                      <w:rFonts w:hint="default" w:ascii="Times New Roman" w:hAnsi="Times New Roman" w:cs="Times New Roman"/>
                      <w:color w:val="auto"/>
                      <w:szCs w:val="21"/>
                    </w:rPr>
                  </w:pPr>
                </w:p>
              </w:tc>
              <w:tc>
                <w:tcPr>
                  <w:tcW w:w="266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固体废物有效收集处置，</w:t>
                  </w:r>
                  <w:r>
                    <w:rPr>
                      <w:rFonts w:hint="eastAsia" w:ascii="Times New Roman" w:hAnsi="Times New Roman" w:cs="Times New Roman"/>
                      <w:color w:val="auto"/>
                      <w:szCs w:val="21"/>
                      <w:lang w:eastAsia="zh-CN"/>
                    </w:rPr>
                    <w:t>委托有资质单位处置，</w:t>
                  </w:r>
                  <w:r>
                    <w:rPr>
                      <w:rFonts w:hint="default" w:ascii="Times New Roman" w:hAnsi="Times New Roman" w:cs="Times New Roman"/>
                      <w:color w:val="auto"/>
                      <w:szCs w:val="21"/>
                    </w:rPr>
                    <w:t>处置率100%。</w:t>
                  </w:r>
                </w:p>
              </w:tc>
              <w:tc>
                <w:tcPr>
                  <w:tcW w:w="654"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30" w:type="dxa"/>
                  <w:vMerge w:val="continue"/>
                  <w:vAlign w:val="center"/>
                </w:tcPr>
                <w:p>
                  <w:pPr>
                    <w:jc w:val="center"/>
                    <w:rPr>
                      <w:rFonts w:hint="default" w:ascii="Times New Roman" w:hAnsi="Times New Roman" w:cs="Times New Roman"/>
                      <w:color w:val="auto"/>
                      <w:szCs w:val="21"/>
                    </w:rPr>
                  </w:pPr>
                </w:p>
              </w:tc>
              <w:tc>
                <w:tcPr>
                  <w:tcW w:w="1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含油消防沙</w:t>
                  </w:r>
                </w:p>
              </w:tc>
              <w:tc>
                <w:tcPr>
                  <w:tcW w:w="963"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lang w:eastAsia="zh-CN"/>
                    </w:rPr>
                    <w:t>改建</w:t>
                  </w:r>
                  <w:r>
                    <w:rPr>
                      <w:rFonts w:hint="default" w:ascii="Times New Roman" w:hAnsi="Times New Roman" w:cs="Times New Roman"/>
                      <w:color w:val="auto"/>
                      <w:szCs w:val="21"/>
                    </w:rPr>
                    <w:t>一间危废暂存间，用来存储含油消防沙。</w:t>
                  </w:r>
                </w:p>
              </w:tc>
              <w:tc>
                <w:tcPr>
                  <w:tcW w:w="1845" w:type="dxa"/>
                  <w:vMerge w:val="continue"/>
                  <w:vAlign w:val="center"/>
                </w:tcPr>
                <w:p>
                  <w:pPr>
                    <w:rPr>
                      <w:rFonts w:hint="default" w:ascii="Times New Roman" w:hAnsi="Times New Roman" w:cs="Times New Roman"/>
                      <w:color w:val="auto"/>
                      <w:szCs w:val="21"/>
                      <w:lang w:eastAsia="zh-CN"/>
                    </w:rPr>
                  </w:pPr>
                </w:p>
              </w:tc>
              <w:tc>
                <w:tcPr>
                  <w:tcW w:w="266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固体废物有效收集处置，</w:t>
                  </w:r>
                  <w:r>
                    <w:rPr>
                      <w:rFonts w:hint="eastAsia" w:ascii="Times New Roman" w:hAnsi="Times New Roman" w:cs="Times New Roman"/>
                      <w:color w:val="auto"/>
                      <w:szCs w:val="21"/>
                      <w:lang w:eastAsia="zh-CN"/>
                    </w:rPr>
                    <w:t>委托有资质单位处置，</w:t>
                  </w:r>
                  <w:r>
                    <w:rPr>
                      <w:rFonts w:hint="default" w:ascii="Times New Roman" w:hAnsi="Times New Roman" w:cs="Times New Roman"/>
                      <w:color w:val="auto"/>
                      <w:szCs w:val="21"/>
                    </w:rPr>
                    <w:t>处置率100%。</w:t>
                  </w:r>
                </w:p>
              </w:tc>
              <w:tc>
                <w:tcPr>
                  <w:tcW w:w="654"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93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7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808" w:type="dxa"/>
                  <w:gridSpan w:val="2"/>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加油机等机械设备采用减振垫减振</w:t>
                  </w:r>
                </w:p>
              </w:tc>
              <w:tc>
                <w:tcPr>
                  <w:tcW w:w="266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项目区达到</w:t>
                  </w:r>
                  <w:bookmarkStart w:id="35" w:name="OLE_LINK38"/>
                  <w:r>
                    <w:rPr>
                      <w:rFonts w:hint="default" w:ascii="Times New Roman" w:hAnsi="Times New Roman" w:cs="Times New Roman"/>
                      <w:color w:val="auto"/>
                      <w:szCs w:val="21"/>
                    </w:rPr>
                    <w:t>《工业企业厂界环境噪声排放标准</w:t>
                  </w:r>
                  <w:bookmarkEnd w:id="35"/>
                  <w:r>
                    <w:rPr>
                      <w:rFonts w:hint="default" w:ascii="Times New Roman" w:hAnsi="Times New Roman" w:cs="Times New Roman"/>
                      <w:color w:val="auto"/>
                      <w:szCs w:val="21"/>
                    </w:rPr>
                    <w:t>》（GB12348-2008）</w:t>
                  </w:r>
                  <w:r>
                    <w:rPr>
                      <w:rFonts w:hint="default" w:ascii="Times New Roman" w:hAnsi="Times New Roman" w:cs="Times New Roman"/>
                      <w:color w:val="auto"/>
                      <w:szCs w:val="21"/>
                      <w:lang w:val="en-US" w:eastAsia="zh-CN"/>
                    </w:rPr>
                    <w:t>2类和</w:t>
                  </w:r>
                  <w:r>
                    <w:rPr>
                      <w:rFonts w:hint="default" w:ascii="Times New Roman" w:hAnsi="Times New Roman" w:cs="Times New Roman"/>
                      <w:color w:val="auto"/>
                      <w:szCs w:val="21"/>
                    </w:rPr>
                    <w:t>4类标准。</w:t>
                  </w:r>
                </w:p>
              </w:tc>
              <w:tc>
                <w:tcPr>
                  <w:tcW w:w="654"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3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生态</w:t>
                  </w:r>
                </w:p>
              </w:tc>
              <w:tc>
                <w:tcPr>
                  <w:tcW w:w="1766"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项目区绿化</w:t>
                  </w:r>
                </w:p>
              </w:tc>
              <w:tc>
                <w:tcPr>
                  <w:tcW w:w="2808" w:type="dxa"/>
                  <w:gridSpan w:val="2"/>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绿化面积</w:t>
                  </w:r>
                  <w:r>
                    <w:rPr>
                      <w:rFonts w:hint="eastAsia" w:ascii="Times New Roman" w:hAnsi="Times New Roman" w:cs="Times New Roman"/>
                      <w:color w:val="auto"/>
                      <w:szCs w:val="21"/>
                      <w:lang w:val="en-US" w:eastAsia="zh-CN"/>
                    </w:rPr>
                    <w:t>20m</w:t>
                  </w:r>
                  <w:r>
                    <w:rPr>
                      <w:rFonts w:hint="eastAsia" w:ascii="Times New Roman" w:hAnsi="Times New Roman" w:cs="Times New Roman"/>
                      <w:color w:val="auto"/>
                      <w:szCs w:val="21"/>
                      <w:vertAlign w:val="superscript"/>
                      <w:lang w:val="en-US" w:eastAsia="zh-CN"/>
                    </w:rPr>
                    <w:t>2</w:t>
                  </w:r>
                </w:p>
              </w:tc>
              <w:tc>
                <w:tcPr>
                  <w:tcW w:w="266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净化空气，美化环境。</w:t>
                  </w:r>
                </w:p>
              </w:tc>
              <w:tc>
                <w:tcPr>
                  <w:tcW w:w="654" w:type="dxa"/>
                  <w:vAlign w:val="center"/>
                </w:tcPr>
                <w:p>
                  <w:pPr>
                    <w:jc w:val="center"/>
                    <w:rPr>
                      <w:rFonts w:hint="default" w:ascii="Times New Roman" w:hAnsi="Times New Roman" w:cs="Times New Roman"/>
                      <w:color w:val="auto"/>
                      <w:szCs w:val="21"/>
                    </w:rPr>
                  </w:pPr>
                </w:p>
              </w:tc>
            </w:tr>
          </w:tbl>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p>
            <w:pPr>
              <w:adjustRightInd w:val="0"/>
              <w:snapToGrid w:val="0"/>
              <w:spacing w:line="276" w:lineRule="auto"/>
              <w:jc w:val="both"/>
              <w:rPr>
                <w:rFonts w:hint="default"/>
                <w:color w:val="auto"/>
              </w:rPr>
            </w:pPr>
          </w:p>
        </w:tc>
      </w:tr>
    </w:tbl>
    <w:tbl>
      <w:tblPr>
        <w:tblStyle w:val="23"/>
        <w:tblpPr w:leftFromText="180" w:rightFromText="180" w:vertAnchor="text" w:horzAnchor="margin" w:tblpXSpec="center" w:tblpY="1"/>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684"/>
        <w:gridCol w:w="1099"/>
        <w:gridCol w:w="1208"/>
        <w:gridCol w:w="3995"/>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468" w:type="dxa"/>
            <w:gridSpan w:val="6"/>
            <w:tcBorders>
              <w:top w:val="nil"/>
              <w:left w:val="nil"/>
              <w:right w:val="nil"/>
            </w:tcBorders>
            <w:vAlign w:val="center"/>
          </w:tcPr>
          <w:p>
            <w:pPr>
              <w:spacing w:line="360" w:lineRule="auto"/>
              <w:rPr>
                <w:snapToGrid w:val="0"/>
                <w:color w:val="auto"/>
                <w:szCs w:val="21"/>
              </w:rPr>
            </w:pPr>
            <w:r>
              <w:rPr>
                <w:b/>
                <w:color w:val="auto"/>
                <w:sz w:val="32"/>
                <w:szCs w:val="32"/>
              </w:rPr>
              <w:t>表八</w:t>
            </w:r>
            <w:r>
              <w:rPr>
                <w:rFonts w:hint="eastAsia"/>
                <w:b/>
                <w:color w:val="auto"/>
                <w:sz w:val="32"/>
                <w:szCs w:val="32"/>
              </w:rPr>
              <w:t>、</w:t>
            </w:r>
            <w:r>
              <w:rPr>
                <w:b/>
                <w:color w:val="auto"/>
                <w:sz w:val="32"/>
                <w:szCs w:val="32"/>
              </w:rPr>
              <w:t>建设项目拟采取的防治措施及预期治理效果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83" w:type="dxa"/>
            <w:vAlign w:val="center"/>
          </w:tcPr>
          <w:p>
            <w:pPr>
              <w:spacing w:line="310" w:lineRule="exact"/>
              <w:jc w:val="center"/>
              <w:rPr>
                <w:snapToGrid w:val="0"/>
                <w:color w:val="auto"/>
                <w:szCs w:val="21"/>
              </w:rPr>
            </w:pPr>
            <w:r>
              <w:rPr>
                <w:color w:val="auto"/>
                <w:szCs w:val="21"/>
              </w:rPr>
              <mc:AlternateContent>
                <mc:Choice Requires="wps">
                  <w:drawing>
                    <wp:anchor distT="0" distB="0" distL="114300" distR="114300" simplePos="0" relativeHeight="251662336" behindDoc="0" locked="0" layoutInCell="1" allowOverlap="1">
                      <wp:simplePos x="0" y="0"/>
                      <wp:positionH relativeFrom="column">
                        <wp:posOffset>-33020</wp:posOffset>
                      </wp:positionH>
                      <wp:positionV relativeFrom="paragraph">
                        <wp:posOffset>38100</wp:posOffset>
                      </wp:positionV>
                      <wp:extent cx="443865" cy="323850"/>
                      <wp:effectExtent l="2540" t="3810" r="10795" b="15240"/>
                      <wp:wrapNone/>
                      <wp:docPr id="98" name="直线 281"/>
                      <wp:cNvGraphicFramePr/>
                      <a:graphic xmlns:a="http://schemas.openxmlformats.org/drawingml/2006/main">
                        <a:graphicData uri="http://schemas.microsoft.com/office/word/2010/wordprocessingShape">
                          <wps:wsp>
                            <wps:cNvCnPr/>
                            <wps:spPr>
                              <a:xfrm>
                                <a:off x="0" y="0"/>
                                <a:ext cx="443865" cy="3238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81" o:spid="_x0000_s1026" o:spt="20" style="position:absolute;left:0pt;margin-left:-2.6pt;margin-top:3pt;height:25.5pt;width:34.95pt;z-index:251662336;mso-width-relative:page;mso-height-relative:page;" filled="f" stroked="t" coordsize="21600,21600" o:gfxdata="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EcsydYAAAAGAQAADwAAAAAAAAABACAAAAAiAAAAZHJzL2Rvd25yZXYueG1sUEsBAhQAFAAAAAgA&#10;h07iQIcQouLuAQAA4gMAAA4AAAAAAAAAAQAgAAAAJQEAAGRycy9lMm9Eb2MueG1sUEsFBgAAAAAG&#10;AAYAWQEAAIUFAAAAAA==&#10;">
                      <v:fill on="f" focussize="0,0"/>
                      <v:stroke color="#000000" joinstyle="round"/>
                      <v:imagedata o:title=""/>
                      <o:lock v:ext="edit" aspectratio="f"/>
                    </v:line>
                  </w:pict>
                </mc:Fallback>
              </mc:AlternateContent>
            </w:r>
            <w:r>
              <w:rPr>
                <w:snapToGrid w:val="0"/>
                <w:color w:val="auto"/>
                <w:szCs w:val="21"/>
              </w:rPr>
              <w:t>内容类型</w:t>
            </w:r>
          </w:p>
        </w:tc>
        <w:tc>
          <w:tcPr>
            <w:tcW w:w="1783" w:type="dxa"/>
            <w:gridSpan w:val="2"/>
            <w:vAlign w:val="center"/>
          </w:tcPr>
          <w:p>
            <w:pPr>
              <w:spacing w:line="310" w:lineRule="exact"/>
              <w:jc w:val="center"/>
              <w:rPr>
                <w:color w:val="auto"/>
                <w:szCs w:val="21"/>
              </w:rPr>
            </w:pPr>
            <w:r>
              <w:rPr>
                <w:snapToGrid w:val="0"/>
                <w:color w:val="auto"/>
                <w:szCs w:val="21"/>
              </w:rPr>
              <w:t>排放源</w:t>
            </w:r>
          </w:p>
        </w:tc>
        <w:tc>
          <w:tcPr>
            <w:tcW w:w="1208" w:type="dxa"/>
            <w:vAlign w:val="center"/>
          </w:tcPr>
          <w:p>
            <w:pPr>
              <w:spacing w:line="310" w:lineRule="exact"/>
              <w:jc w:val="center"/>
              <w:rPr>
                <w:snapToGrid w:val="0"/>
                <w:color w:val="auto"/>
                <w:szCs w:val="21"/>
              </w:rPr>
            </w:pPr>
            <w:r>
              <w:rPr>
                <w:snapToGrid w:val="0"/>
                <w:color w:val="auto"/>
                <w:szCs w:val="21"/>
              </w:rPr>
              <w:t>污染物</w:t>
            </w:r>
          </w:p>
          <w:p>
            <w:pPr>
              <w:spacing w:line="310" w:lineRule="exact"/>
              <w:jc w:val="center"/>
              <w:rPr>
                <w:color w:val="auto"/>
                <w:szCs w:val="21"/>
              </w:rPr>
            </w:pPr>
            <w:r>
              <w:rPr>
                <w:snapToGrid w:val="0"/>
                <w:color w:val="auto"/>
                <w:szCs w:val="21"/>
              </w:rPr>
              <w:t>名称</w:t>
            </w:r>
          </w:p>
        </w:tc>
        <w:tc>
          <w:tcPr>
            <w:tcW w:w="3995" w:type="dxa"/>
            <w:vAlign w:val="center"/>
          </w:tcPr>
          <w:p>
            <w:pPr>
              <w:spacing w:line="310" w:lineRule="exact"/>
              <w:jc w:val="center"/>
              <w:rPr>
                <w:rFonts w:hint="eastAsia"/>
                <w:color w:val="auto"/>
                <w:szCs w:val="21"/>
              </w:rPr>
            </w:pPr>
            <w:r>
              <w:rPr>
                <w:rFonts w:hint="eastAsia"/>
                <w:snapToGrid w:val="0"/>
                <w:color w:val="auto"/>
                <w:szCs w:val="21"/>
              </w:rPr>
              <w:t>防治措施</w:t>
            </w:r>
          </w:p>
        </w:tc>
        <w:tc>
          <w:tcPr>
            <w:tcW w:w="1799" w:type="dxa"/>
            <w:vAlign w:val="center"/>
          </w:tcPr>
          <w:p>
            <w:pPr>
              <w:spacing w:line="310" w:lineRule="exact"/>
              <w:jc w:val="center"/>
              <w:rPr>
                <w:rFonts w:hint="eastAsia"/>
                <w:snapToGrid w:val="0"/>
                <w:color w:val="auto"/>
                <w:szCs w:val="21"/>
              </w:rPr>
            </w:pPr>
            <w:r>
              <w:rPr>
                <w:snapToGrid w:val="0"/>
                <w:color w:val="auto"/>
                <w:szCs w:val="21"/>
              </w:rPr>
              <w:t>预期治理</w:t>
            </w:r>
          </w:p>
          <w:p>
            <w:pPr>
              <w:spacing w:line="310" w:lineRule="exact"/>
              <w:jc w:val="center"/>
              <w:rPr>
                <w:color w:val="auto"/>
                <w:szCs w:val="21"/>
              </w:rPr>
            </w:pPr>
            <w:r>
              <w:rPr>
                <w:snapToGrid w:val="0"/>
                <w:color w:val="auto"/>
                <w:szCs w:val="21"/>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683" w:type="dxa"/>
            <w:vMerge w:val="restart"/>
            <w:vAlign w:val="center"/>
          </w:tcPr>
          <w:p>
            <w:pPr>
              <w:spacing w:line="310" w:lineRule="exact"/>
              <w:jc w:val="center"/>
              <w:rPr>
                <w:color w:val="auto"/>
                <w:szCs w:val="21"/>
              </w:rPr>
            </w:pPr>
            <w:r>
              <w:rPr>
                <w:color w:val="auto"/>
                <w:szCs w:val="21"/>
              </w:rPr>
              <w:t>水</w:t>
            </w:r>
          </w:p>
          <w:p>
            <w:pPr>
              <w:spacing w:line="310" w:lineRule="exact"/>
              <w:jc w:val="center"/>
              <w:rPr>
                <w:color w:val="auto"/>
                <w:szCs w:val="21"/>
              </w:rPr>
            </w:pPr>
            <w:r>
              <w:rPr>
                <w:color w:val="auto"/>
                <w:szCs w:val="21"/>
              </w:rPr>
              <w:t>污</w:t>
            </w:r>
          </w:p>
          <w:p>
            <w:pPr>
              <w:spacing w:line="310" w:lineRule="exact"/>
              <w:jc w:val="center"/>
              <w:rPr>
                <w:color w:val="auto"/>
                <w:szCs w:val="21"/>
              </w:rPr>
            </w:pPr>
            <w:r>
              <w:rPr>
                <w:color w:val="auto"/>
                <w:szCs w:val="21"/>
              </w:rPr>
              <w:t>染</w:t>
            </w:r>
          </w:p>
          <w:p>
            <w:pPr>
              <w:spacing w:line="310" w:lineRule="exact"/>
              <w:jc w:val="center"/>
              <w:rPr>
                <w:color w:val="auto"/>
                <w:szCs w:val="21"/>
              </w:rPr>
            </w:pPr>
            <w:r>
              <w:rPr>
                <w:color w:val="auto"/>
                <w:szCs w:val="21"/>
              </w:rPr>
              <w:t>物</w:t>
            </w:r>
          </w:p>
        </w:tc>
        <w:tc>
          <w:tcPr>
            <w:tcW w:w="684" w:type="dxa"/>
            <w:vMerge w:val="restart"/>
            <w:vAlign w:val="center"/>
          </w:tcPr>
          <w:p>
            <w:pPr>
              <w:spacing w:line="310" w:lineRule="exact"/>
              <w:jc w:val="center"/>
              <w:textAlignment w:val="baseline"/>
              <w:rPr>
                <w:snapToGrid w:val="0"/>
                <w:color w:val="auto"/>
                <w:szCs w:val="21"/>
              </w:rPr>
            </w:pPr>
            <w:r>
              <w:rPr>
                <w:snapToGrid w:val="0"/>
                <w:color w:val="auto"/>
                <w:szCs w:val="21"/>
              </w:rPr>
              <w:t>施</w:t>
            </w:r>
          </w:p>
          <w:p>
            <w:pPr>
              <w:spacing w:line="310" w:lineRule="exact"/>
              <w:jc w:val="center"/>
              <w:textAlignment w:val="baseline"/>
              <w:rPr>
                <w:snapToGrid w:val="0"/>
                <w:color w:val="auto"/>
                <w:szCs w:val="21"/>
              </w:rPr>
            </w:pPr>
            <w:r>
              <w:rPr>
                <w:snapToGrid w:val="0"/>
                <w:color w:val="auto"/>
                <w:szCs w:val="21"/>
              </w:rPr>
              <w:t>工</w:t>
            </w:r>
          </w:p>
          <w:p>
            <w:pPr>
              <w:spacing w:line="310" w:lineRule="exact"/>
              <w:jc w:val="center"/>
              <w:rPr>
                <w:color w:val="auto"/>
                <w:szCs w:val="21"/>
              </w:rPr>
            </w:pPr>
            <w:r>
              <w:rPr>
                <w:snapToGrid w:val="0"/>
                <w:color w:val="auto"/>
                <w:szCs w:val="21"/>
              </w:rPr>
              <w:t>期</w:t>
            </w:r>
          </w:p>
        </w:tc>
        <w:tc>
          <w:tcPr>
            <w:tcW w:w="1099" w:type="dxa"/>
            <w:vAlign w:val="center"/>
          </w:tcPr>
          <w:p>
            <w:pPr>
              <w:spacing w:line="310" w:lineRule="exact"/>
              <w:ind w:right="-130" w:rightChars="-62" w:firstLine="105" w:firstLineChars="50"/>
              <w:rPr>
                <w:rFonts w:hint="eastAsia"/>
                <w:color w:val="auto"/>
                <w:szCs w:val="21"/>
              </w:rPr>
            </w:pPr>
            <w:r>
              <w:rPr>
                <w:rFonts w:hint="eastAsia"/>
                <w:color w:val="auto"/>
                <w:szCs w:val="21"/>
              </w:rPr>
              <w:t>施工废水</w:t>
            </w:r>
          </w:p>
        </w:tc>
        <w:tc>
          <w:tcPr>
            <w:tcW w:w="1208" w:type="dxa"/>
            <w:vAlign w:val="center"/>
          </w:tcPr>
          <w:p>
            <w:pPr>
              <w:spacing w:line="310" w:lineRule="exact"/>
              <w:rPr>
                <w:snapToGrid w:val="0"/>
                <w:color w:val="auto"/>
                <w:kern w:val="0"/>
                <w:szCs w:val="21"/>
              </w:rPr>
            </w:pPr>
            <w:r>
              <w:rPr>
                <w:rFonts w:hint="eastAsia"/>
                <w:snapToGrid w:val="0"/>
                <w:color w:val="auto"/>
                <w:szCs w:val="21"/>
              </w:rPr>
              <w:t>SS、</w:t>
            </w:r>
            <w:r>
              <w:rPr>
                <w:snapToGrid w:val="0"/>
                <w:color w:val="auto"/>
                <w:szCs w:val="21"/>
              </w:rPr>
              <w:t>石油类</w:t>
            </w:r>
            <w:r>
              <w:rPr>
                <w:rFonts w:hint="eastAsia"/>
                <w:snapToGrid w:val="0"/>
                <w:color w:val="auto"/>
                <w:szCs w:val="21"/>
              </w:rPr>
              <w:t>及沙粒等</w:t>
            </w:r>
          </w:p>
        </w:tc>
        <w:tc>
          <w:tcPr>
            <w:tcW w:w="3995" w:type="dxa"/>
            <w:vAlign w:val="center"/>
          </w:tcPr>
          <w:p>
            <w:pPr>
              <w:spacing w:line="310" w:lineRule="exact"/>
              <w:rPr>
                <w:rFonts w:hint="eastAsia"/>
                <w:color w:val="auto"/>
                <w:szCs w:val="21"/>
              </w:rPr>
            </w:pPr>
            <w:r>
              <w:rPr>
                <w:rFonts w:hint="eastAsia"/>
                <w:color w:val="auto"/>
                <w:szCs w:val="21"/>
              </w:rPr>
              <w:t>环评要求：①水泥、砂石等原材料应适量堆放，尽量减少存放时间等；②在雨天，用塑料篷布覆盖混凝土搅拌区域；③在材料堆放场修建一个</w:t>
            </w:r>
            <w:r>
              <w:rPr>
                <w:rFonts w:hint="eastAsia"/>
                <w:color w:val="auto"/>
                <w:szCs w:val="21"/>
                <w:lang w:val="en-US" w:eastAsia="zh-CN"/>
              </w:rPr>
              <w:t>1</w:t>
            </w:r>
            <w:r>
              <w:rPr>
                <w:rFonts w:hint="eastAsia"/>
                <w:color w:val="auto"/>
                <w:szCs w:val="21"/>
              </w:rPr>
              <w:t>m</w:t>
            </w:r>
            <w:r>
              <w:rPr>
                <w:rFonts w:hint="eastAsia"/>
                <w:color w:val="auto"/>
                <w:szCs w:val="21"/>
                <w:vertAlign w:val="superscript"/>
              </w:rPr>
              <w:t>3</w:t>
            </w:r>
            <w:r>
              <w:rPr>
                <w:rFonts w:hint="eastAsia"/>
                <w:color w:val="auto"/>
                <w:szCs w:val="21"/>
              </w:rPr>
              <w:t>的临时沉淀池，收集施工废水回用。</w:t>
            </w:r>
          </w:p>
        </w:tc>
        <w:tc>
          <w:tcPr>
            <w:tcW w:w="1799" w:type="dxa"/>
            <w:vMerge w:val="restart"/>
            <w:vAlign w:val="center"/>
          </w:tcPr>
          <w:p>
            <w:pPr>
              <w:spacing w:line="310" w:lineRule="exact"/>
              <w:jc w:val="center"/>
              <w:rPr>
                <w:rFonts w:hint="eastAsia"/>
                <w:color w:val="auto"/>
                <w:szCs w:val="21"/>
              </w:rPr>
            </w:pPr>
            <w:r>
              <w:rPr>
                <w:rFonts w:hint="eastAsia"/>
                <w:color w:val="auto"/>
                <w:szCs w:val="21"/>
              </w:rPr>
              <w:t>对环境产生</w:t>
            </w:r>
          </w:p>
          <w:p>
            <w:pPr>
              <w:spacing w:line="310" w:lineRule="exact"/>
              <w:jc w:val="center"/>
              <w:rPr>
                <w:color w:val="auto"/>
                <w:szCs w:val="21"/>
              </w:rPr>
            </w:pPr>
            <w:r>
              <w:rPr>
                <w:rFonts w:hint="eastAsia"/>
                <w:color w:val="auto"/>
                <w:szCs w:val="21"/>
              </w:rPr>
              <w:t>的影响不大</w:t>
            </w:r>
          </w:p>
          <w:p>
            <w:pPr>
              <w:spacing w:line="310" w:lineRule="exact"/>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1099" w:type="dxa"/>
            <w:vAlign w:val="center"/>
          </w:tcPr>
          <w:p>
            <w:pPr>
              <w:spacing w:line="310" w:lineRule="exact"/>
              <w:jc w:val="center"/>
              <w:rPr>
                <w:snapToGrid w:val="0"/>
                <w:color w:val="auto"/>
                <w:szCs w:val="21"/>
              </w:rPr>
            </w:pPr>
            <w:r>
              <w:rPr>
                <w:snapToGrid w:val="0"/>
                <w:color w:val="auto"/>
                <w:szCs w:val="21"/>
              </w:rPr>
              <w:t>生活污水</w:t>
            </w:r>
          </w:p>
        </w:tc>
        <w:tc>
          <w:tcPr>
            <w:tcW w:w="1208" w:type="dxa"/>
            <w:vAlign w:val="center"/>
          </w:tcPr>
          <w:p>
            <w:pPr>
              <w:spacing w:line="310" w:lineRule="exact"/>
              <w:jc w:val="center"/>
              <w:rPr>
                <w:rFonts w:hint="eastAsia"/>
                <w:snapToGrid w:val="0"/>
                <w:color w:val="auto"/>
                <w:szCs w:val="21"/>
              </w:rPr>
            </w:pPr>
            <w:r>
              <w:rPr>
                <w:rFonts w:hint="eastAsia"/>
                <w:snapToGrid w:val="0"/>
                <w:color w:val="auto"/>
                <w:szCs w:val="21"/>
              </w:rPr>
              <w:t>SS、COD</w:t>
            </w:r>
          </w:p>
        </w:tc>
        <w:tc>
          <w:tcPr>
            <w:tcW w:w="3995" w:type="dxa"/>
            <w:vAlign w:val="center"/>
          </w:tcPr>
          <w:p>
            <w:pPr>
              <w:spacing w:line="310" w:lineRule="exact"/>
              <w:jc w:val="center"/>
              <w:rPr>
                <w:rFonts w:hint="eastAsia"/>
                <w:color w:val="auto"/>
                <w:szCs w:val="21"/>
              </w:rPr>
            </w:pPr>
            <w:r>
              <w:rPr>
                <w:rFonts w:hint="eastAsia"/>
                <w:color w:val="auto"/>
                <w:szCs w:val="21"/>
              </w:rPr>
              <w:t>洗漱水收集后洒水抑尘；粪便污水进入</w:t>
            </w:r>
            <w:r>
              <w:rPr>
                <w:rFonts w:hint="eastAsia"/>
                <w:color w:val="auto"/>
                <w:szCs w:val="21"/>
                <w:lang w:eastAsia="zh-CN"/>
              </w:rPr>
              <w:t>公厕</w:t>
            </w:r>
            <w:r>
              <w:rPr>
                <w:rFonts w:hint="eastAsia"/>
                <w:color w:val="auto"/>
                <w:szCs w:val="21"/>
              </w:rPr>
              <w:t>后提供给周边的农户用作农肥。</w:t>
            </w:r>
          </w:p>
        </w:tc>
        <w:tc>
          <w:tcPr>
            <w:tcW w:w="1799" w:type="dxa"/>
            <w:vMerge w:val="continue"/>
            <w:vAlign w:val="center"/>
          </w:tcPr>
          <w:p>
            <w:pPr>
              <w:spacing w:line="310" w:lineRule="exact"/>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683" w:type="dxa"/>
            <w:vMerge w:val="continue"/>
            <w:vAlign w:val="center"/>
          </w:tcPr>
          <w:p>
            <w:pPr>
              <w:spacing w:line="310" w:lineRule="exact"/>
              <w:jc w:val="center"/>
              <w:rPr>
                <w:color w:val="auto"/>
                <w:szCs w:val="21"/>
              </w:rPr>
            </w:pPr>
          </w:p>
        </w:tc>
        <w:tc>
          <w:tcPr>
            <w:tcW w:w="684" w:type="dxa"/>
            <w:vMerge w:val="restart"/>
            <w:vAlign w:val="center"/>
          </w:tcPr>
          <w:p>
            <w:pPr>
              <w:spacing w:line="310" w:lineRule="exact"/>
              <w:jc w:val="center"/>
              <w:rPr>
                <w:snapToGrid w:val="0"/>
                <w:color w:val="auto"/>
                <w:szCs w:val="21"/>
              </w:rPr>
            </w:pPr>
            <w:r>
              <w:rPr>
                <w:snapToGrid w:val="0"/>
                <w:color w:val="auto"/>
                <w:szCs w:val="21"/>
              </w:rPr>
              <w:t>运</w:t>
            </w:r>
          </w:p>
          <w:p>
            <w:pPr>
              <w:spacing w:line="310" w:lineRule="exact"/>
              <w:jc w:val="center"/>
              <w:rPr>
                <w:snapToGrid w:val="0"/>
                <w:color w:val="auto"/>
                <w:szCs w:val="21"/>
              </w:rPr>
            </w:pPr>
            <w:r>
              <w:rPr>
                <w:snapToGrid w:val="0"/>
                <w:color w:val="auto"/>
                <w:szCs w:val="21"/>
              </w:rPr>
              <w:t>营</w:t>
            </w:r>
          </w:p>
          <w:p>
            <w:pPr>
              <w:spacing w:line="310" w:lineRule="exact"/>
              <w:jc w:val="center"/>
              <w:rPr>
                <w:color w:val="auto"/>
                <w:szCs w:val="21"/>
              </w:rPr>
            </w:pPr>
            <w:r>
              <w:rPr>
                <w:snapToGrid w:val="0"/>
                <w:color w:val="auto"/>
                <w:szCs w:val="21"/>
              </w:rPr>
              <w:t>期</w:t>
            </w:r>
          </w:p>
        </w:tc>
        <w:tc>
          <w:tcPr>
            <w:tcW w:w="1099" w:type="dxa"/>
            <w:vAlign w:val="center"/>
          </w:tcPr>
          <w:p>
            <w:pPr>
              <w:spacing w:line="310" w:lineRule="exact"/>
              <w:rPr>
                <w:rFonts w:hint="eastAsia"/>
                <w:color w:val="auto"/>
                <w:szCs w:val="21"/>
              </w:rPr>
            </w:pPr>
            <w:r>
              <w:rPr>
                <w:rFonts w:hint="eastAsia"/>
                <w:color w:val="auto"/>
                <w:szCs w:val="21"/>
              </w:rPr>
              <w:t>工作人员、</w:t>
            </w:r>
            <w:r>
              <w:rPr>
                <w:color w:val="auto"/>
                <w:szCs w:val="21"/>
              </w:rPr>
              <w:t>和顾客</w:t>
            </w:r>
          </w:p>
        </w:tc>
        <w:tc>
          <w:tcPr>
            <w:tcW w:w="1208" w:type="dxa"/>
            <w:vAlign w:val="center"/>
          </w:tcPr>
          <w:p>
            <w:pPr>
              <w:spacing w:line="310" w:lineRule="exact"/>
              <w:jc w:val="center"/>
              <w:rPr>
                <w:rFonts w:hint="eastAsia"/>
                <w:color w:val="auto"/>
                <w:szCs w:val="21"/>
              </w:rPr>
            </w:pPr>
            <w:r>
              <w:rPr>
                <w:rFonts w:hint="eastAsia"/>
                <w:color w:val="auto"/>
                <w:szCs w:val="21"/>
              </w:rPr>
              <w:t>SS等</w:t>
            </w:r>
          </w:p>
        </w:tc>
        <w:tc>
          <w:tcPr>
            <w:tcW w:w="3995" w:type="dxa"/>
            <w:vMerge w:val="restart"/>
            <w:vAlign w:val="center"/>
          </w:tcPr>
          <w:p>
            <w:pPr>
              <w:spacing w:line="310" w:lineRule="exact"/>
              <w:rPr>
                <w:rFonts w:hint="eastAsia"/>
                <w:color w:val="auto"/>
                <w:szCs w:val="21"/>
              </w:rPr>
            </w:pPr>
            <w:r>
              <w:rPr>
                <w:rFonts w:hint="eastAsia"/>
                <w:color w:val="auto"/>
                <w:szCs w:val="21"/>
              </w:rPr>
              <w:t>生活污水和站房清洗废水集中收集后进入化粪池处理，处理后提供给周边的农户用作农肥。</w:t>
            </w:r>
          </w:p>
        </w:tc>
        <w:tc>
          <w:tcPr>
            <w:tcW w:w="1799" w:type="dxa"/>
            <w:vAlign w:val="center"/>
          </w:tcPr>
          <w:p>
            <w:pPr>
              <w:spacing w:line="310" w:lineRule="exact"/>
              <w:jc w:val="center"/>
              <w:rPr>
                <w:rFonts w:hint="eastAsia"/>
                <w:color w:val="auto"/>
                <w:szCs w:val="21"/>
              </w:rPr>
            </w:pPr>
            <w:r>
              <w:rPr>
                <w:rFonts w:hint="eastAsia"/>
                <w:color w:val="auto"/>
                <w:szCs w:val="21"/>
              </w:rPr>
              <w:t>对环境产生</w:t>
            </w:r>
          </w:p>
          <w:p>
            <w:pPr>
              <w:spacing w:line="310" w:lineRule="exact"/>
              <w:jc w:val="center"/>
              <w:rPr>
                <w:color w:val="auto"/>
                <w:szCs w:val="21"/>
              </w:rPr>
            </w:pPr>
            <w:r>
              <w:rPr>
                <w:rFonts w:hint="eastAsia"/>
                <w:color w:val="auto"/>
                <w:szCs w:val="21"/>
              </w:rPr>
              <w:t>的影响不大</w:t>
            </w:r>
          </w:p>
          <w:p>
            <w:pPr>
              <w:spacing w:line="310" w:lineRule="exact"/>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1099" w:type="dxa"/>
            <w:vAlign w:val="center"/>
          </w:tcPr>
          <w:p>
            <w:pPr>
              <w:spacing w:line="310" w:lineRule="exact"/>
              <w:jc w:val="center"/>
              <w:rPr>
                <w:rFonts w:hint="eastAsia"/>
                <w:color w:val="auto"/>
                <w:szCs w:val="21"/>
              </w:rPr>
            </w:pPr>
            <w:r>
              <w:rPr>
                <w:rFonts w:hint="eastAsia"/>
                <w:color w:val="auto"/>
                <w:szCs w:val="21"/>
                <w:lang w:eastAsia="zh-CN"/>
              </w:rPr>
              <w:t>办公生活区</w:t>
            </w:r>
            <w:r>
              <w:rPr>
                <w:rFonts w:hint="eastAsia"/>
                <w:color w:val="auto"/>
                <w:szCs w:val="21"/>
              </w:rPr>
              <w:t>清洗废水</w:t>
            </w:r>
          </w:p>
        </w:tc>
        <w:tc>
          <w:tcPr>
            <w:tcW w:w="1208" w:type="dxa"/>
            <w:vAlign w:val="center"/>
          </w:tcPr>
          <w:p>
            <w:pPr>
              <w:spacing w:line="310" w:lineRule="exact"/>
              <w:jc w:val="center"/>
              <w:rPr>
                <w:color w:val="auto"/>
                <w:szCs w:val="21"/>
              </w:rPr>
            </w:pPr>
            <w:r>
              <w:rPr>
                <w:color w:val="auto"/>
                <w:szCs w:val="21"/>
              </w:rPr>
              <w:t>石油类</w:t>
            </w:r>
            <w:r>
              <w:rPr>
                <w:rFonts w:hint="eastAsia"/>
                <w:color w:val="auto"/>
                <w:szCs w:val="21"/>
              </w:rPr>
              <w:t>、SS等</w:t>
            </w:r>
          </w:p>
        </w:tc>
        <w:tc>
          <w:tcPr>
            <w:tcW w:w="3995" w:type="dxa"/>
            <w:vMerge w:val="continue"/>
            <w:vAlign w:val="center"/>
          </w:tcPr>
          <w:p>
            <w:pPr>
              <w:spacing w:line="310" w:lineRule="exact"/>
              <w:rPr>
                <w:rFonts w:hint="eastAsia"/>
                <w:color w:val="auto"/>
                <w:szCs w:val="21"/>
              </w:rPr>
            </w:pPr>
          </w:p>
        </w:tc>
        <w:tc>
          <w:tcPr>
            <w:tcW w:w="1799" w:type="dxa"/>
            <w:vAlign w:val="center"/>
          </w:tcPr>
          <w:p>
            <w:pPr>
              <w:spacing w:line="310" w:lineRule="exact"/>
              <w:jc w:val="center"/>
              <w:rPr>
                <w:rFonts w:hint="eastAsia"/>
                <w:color w:val="auto"/>
                <w:szCs w:val="21"/>
              </w:rPr>
            </w:pPr>
            <w:r>
              <w:rPr>
                <w:rFonts w:hint="eastAsia"/>
                <w:color w:val="auto"/>
                <w:szCs w:val="21"/>
              </w:rPr>
              <w:t>对环境产生</w:t>
            </w:r>
          </w:p>
          <w:p>
            <w:pPr>
              <w:spacing w:line="310" w:lineRule="exact"/>
              <w:jc w:val="center"/>
              <w:rPr>
                <w:color w:val="auto"/>
                <w:szCs w:val="21"/>
              </w:rPr>
            </w:pPr>
            <w:r>
              <w:rPr>
                <w:rFonts w:hint="eastAsia"/>
                <w:color w:val="auto"/>
                <w:szCs w:val="21"/>
              </w:rPr>
              <w:t>的影响甚微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683" w:type="dxa"/>
            <w:vMerge w:val="restart"/>
            <w:vAlign w:val="center"/>
          </w:tcPr>
          <w:p>
            <w:pPr>
              <w:spacing w:line="310" w:lineRule="exact"/>
              <w:jc w:val="center"/>
              <w:rPr>
                <w:color w:val="auto"/>
                <w:szCs w:val="21"/>
              </w:rPr>
            </w:pPr>
            <w:r>
              <w:rPr>
                <w:color w:val="auto"/>
                <w:szCs w:val="21"/>
              </w:rPr>
              <w:t>大</w:t>
            </w:r>
          </w:p>
          <w:p>
            <w:pPr>
              <w:spacing w:line="310" w:lineRule="exact"/>
              <w:jc w:val="center"/>
              <w:rPr>
                <w:color w:val="auto"/>
                <w:szCs w:val="21"/>
              </w:rPr>
            </w:pPr>
            <w:r>
              <w:rPr>
                <w:color w:val="auto"/>
                <w:szCs w:val="21"/>
              </w:rPr>
              <w:t>气</w:t>
            </w:r>
          </w:p>
          <w:p>
            <w:pPr>
              <w:spacing w:line="310" w:lineRule="exact"/>
              <w:jc w:val="center"/>
              <w:rPr>
                <w:color w:val="auto"/>
                <w:szCs w:val="21"/>
              </w:rPr>
            </w:pPr>
            <w:r>
              <w:rPr>
                <w:color w:val="auto"/>
                <w:szCs w:val="21"/>
              </w:rPr>
              <w:t>污</w:t>
            </w:r>
          </w:p>
          <w:p>
            <w:pPr>
              <w:spacing w:line="310" w:lineRule="exact"/>
              <w:jc w:val="center"/>
              <w:rPr>
                <w:color w:val="auto"/>
                <w:szCs w:val="21"/>
              </w:rPr>
            </w:pPr>
            <w:r>
              <w:rPr>
                <w:color w:val="auto"/>
                <w:szCs w:val="21"/>
              </w:rPr>
              <w:t>染</w:t>
            </w:r>
          </w:p>
          <w:p>
            <w:pPr>
              <w:spacing w:line="310" w:lineRule="exact"/>
              <w:jc w:val="center"/>
              <w:rPr>
                <w:color w:val="auto"/>
                <w:szCs w:val="21"/>
              </w:rPr>
            </w:pPr>
            <w:r>
              <w:rPr>
                <w:color w:val="auto"/>
                <w:szCs w:val="21"/>
              </w:rPr>
              <w:t>物</w:t>
            </w:r>
          </w:p>
        </w:tc>
        <w:tc>
          <w:tcPr>
            <w:tcW w:w="684" w:type="dxa"/>
            <w:vMerge w:val="restart"/>
            <w:vAlign w:val="center"/>
          </w:tcPr>
          <w:p>
            <w:pPr>
              <w:spacing w:line="310" w:lineRule="exact"/>
              <w:jc w:val="center"/>
              <w:textAlignment w:val="baseline"/>
              <w:rPr>
                <w:snapToGrid w:val="0"/>
                <w:color w:val="auto"/>
                <w:szCs w:val="21"/>
              </w:rPr>
            </w:pPr>
            <w:r>
              <w:rPr>
                <w:snapToGrid w:val="0"/>
                <w:color w:val="auto"/>
                <w:szCs w:val="21"/>
              </w:rPr>
              <w:t>施</w:t>
            </w:r>
          </w:p>
          <w:p>
            <w:pPr>
              <w:spacing w:line="310" w:lineRule="exact"/>
              <w:jc w:val="center"/>
              <w:textAlignment w:val="baseline"/>
              <w:rPr>
                <w:snapToGrid w:val="0"/>
                <w:color w:val="auto"/>
                <w:szCs w:val="21"/>
              </w:rPr>
            </w:pPr>
            <w:r>
              <w:rPr>
                <w:snapToGrid w:val="0"/>
                <w:color w:val="auto"/>
                <w:szCs w:val="21"/>
              </w:rPr>
              <w:t>工</w:t>
            </w:r>
          </w:p>
          <w:p>
            <w:pPr>
              <w:spacing w:line="310" w:lineRule="exact"/>
              <w:jc w:val="center"/>
              <w:rPr>
                <w:color w:val="auto"/>
                <w:szCs w:val="21"/>
              </w:rPr>
            </w:pPr>
            <w:r>
              <w:rPr>
                <w:snapToGrid w:val="0"/>
                <w:color w:val="auto"/>
                <w:szCs w:val="21"/>
              </w:rPr>
              <w:t>期</w:t>
            </w:r>
          </w:p>
        </w:tc>
        <w:tc>
          <w:tcPr>
            <w:tcW w:w="1099" w:type="dxa"/>
            <w:vAlign w:val="center"/>
          </w:tcPr>
          <w:p>
            <w:pPr>
              <w:spacing w:line="310" w:lineRule="exact"/>
              <w:rPr>
                <w:rFonts w:hint="eastAsia"/>
                <w:color w:val="auto"/>
                <w:szCs w:val="21"/>
              </w:rPr>
            </w:pPr>
            <w:r>
              <w:rPr>
                <w:rFonts w:hint="eastAsia"/>
                <w:color w:val="auto"/>
                <w:szCs w:val="21"/>
              </w:rPr>
              <w:t>场区平整、</w:t>
            </w:r>
            <w:r>
              <w:rPr>
                <w:color w:val="auto"/>
                <w:szCs w:val="21"/>
              </w:rPr>
              <w:t>建筑材料散堆</w:t>
            </w:r>
            <w:r>
              <w:rPr>
                <w:rFonts w:hint="eastAsia"/>
                <w:color w:val="auto"/>
                <w:szCs w:val="21"/>
              </w:rPr>
              <w:t>及运输车辆等</w:t>
            </w:r>
          </w:p>
        </w:tc>
        <w:tc>
          <w:tcPr>
            <w:tcW w:w="1208" w:type="dxa"/>
            <w:vAlign w:val="center"/>
          </w:tcPr>
          <w:p>
            <w:pPr>
              <w:spacing w:line="310" w:lineRule="exact"/>
              <w:jc w:val="center"/>
              <w:rPr>
                <w:color w:val="auto"/>
                <w:szCs w:val="21"/>
              </w:rPr>
            </w:pPr>
            <w:r>
              <w:rPr>
                <w:rFonts w:hint="eastAsia"/>
                <w:snapToGrid w:val="0"/>
                <w:color w:val="auto"/>
                <w:szCs w:val="21"/>
              </w:rPr>
              <w:t>粉尘</w:t>
            </w:r>
          </w:p>
          <w:p>
            <w:pPr>
              <w:spacing w:line="310" w:lineRule="exact"/>
              <w:jc w:val="center"/>
              <w:rPr>
                <w:rFonts w:hint="eastAsia" w:ascii="宋体" w:hAnsi="宋体"/>
                <w:color w:val="auto"/>
                <w:szCs w:val="21"/>
              </w:rPr>
            </w:pPr>
            <w:r>
              <w:rPr>
                <w:rFonts w:hint="eastAsia"/>
                <w:snapToGrid w:val="0"/>
                <w:color w:val="auto"/>
                <w:szCs w:val="21"/>
              </w:rPr>
              <w:t>扬尘</w:t>
            </w:r>
          </w:p>
        </w:tc>
        <w:tc>
          <w:tcPr>
            <w:tcW w:w="3995" w:type="dxa"/>
            <w:vAlign w:val="center"/>
          </w:tcPr>
          <w:p>
            <w:pPr>
              <w:spacing w:line="310" w:lineRule="exact"/>
              <w:rPr>
                <w:rFonts w:hint="eastAsia" w:ascii="宋体" w:hAnsi="宋体"/>
                <w:snapToGrid w:val="0"/>
                <w:color w:val="auto"/>
                <w:szCs w:val="21"/>
              </w:rPr>
            </w:pPr>
            <w:r>
              <w:rPr>
                <w:rFonts w:hint="eastAsia" w:ascii="宋体" w:hAnsi="宋体"/>
                <w:snapToGrid w:val="0"/>
                <w:color w:val="auto"/>
                <w:szCs w:val="21"/>
              </w:rPr>
              <w:t>①在施工场地周围设围障，如挡墙、防护网等；②对料场采取帆布覆盖，使用时部分掀开，减少暴露面积，降低风动扬尘；③规范车辆装载方式，杜绝沿路洒漏现象，减少对外环境的影响；④ 运输车辆密闭运输，减少抛洒，车辆进出项目区时限速行驶；⑤ 及时清扫运输路面，保持路面清洁；⑥定时对运输路面进行洒水降尘，减小扬尘污染等。</w:t>
            </w:r>
          </w:p>
        </w:tc>
        <w:tc>
          <w:tcPr>
            <w:tcW w:w="1799" w:type="dxa"/>
            <w:vMerge w:val="restart"/>
            <w:vAlign w:val="center"/>
          </w:tcPr>
          <w:p>
            <w:pPr>
              <w:spacing w:line="310" w:lineRule="exact"/>
              <w:jc w:val="center"/>
              <w:rPr>
                <w:rFonts w:hint="eastAsia"/>
                <w:color w:val="auto"/>
                <w:szCs w:val="21"/>
              </w:rPr>
            </w:pPr>
            <w:r>
              <w:rPr>
                <w:rFonts w:hint="eastAsia"/>
                <w:color w:val="auto"/>
                <w:szCs w:val="21"/>
              </w:rPr>
              <w:t>对环境产生</w:t>
            </w:r>
          </w:p>
          <w:p>
            <w:pPr>
              <w:spacing w:line="310" w:lineRule="exact"/>
              <w:jc w:val="center"/>
              <w:rPr>
                <w:color w:val="auto"/>
                <w:szCs w:val="21"/>
              </w:rPr>
            </w:pPr>
            <w:r>
              <w:rPr>
                <w:rFonts w:hint="eastAsia"/>
                <w:color w:val="auto"/>
                <w:szCs w:val="21"/>
              </w:rPr>
              <w:t>的影响不大</w:t>
            </w:r>
          </w:p>
          <w:p>
            <w:pPr>
              <w:spacing w:line="310" w:lineRule="exact"/>
              <w:jc w:val="center"/>
              <w:rPr>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1099" w:type="dxa"/>
            <w:vAlign w:val="center"/>
          </w:tcPr>
          <w:p>
            <w:pPr>
              <w:spacing w:line="310" w:lineRule="exact"/>
              <w:jc w:val="center"/>
              <w:rPr>
                <w:color w:val="auto"/>
                <w:szCs w:val="21"/>
              </w:rPr>
            </w:pPr>
            <w:r>
              <w:rPr>
                <w:snapToGrid w:val="0"/>
                <w:color w:val="auto"/>
                <w:szCs w:val="21"/>
              </w:rPr>
              <w:t>施工</w:t>
            </w:r>
            <w:r>
              <w:rPr>
                <w:rFonts w:hint="eastAsia"/>
                <w:snapToGrid w:val="0"/>
                <w:color w:val="auto"/>
                <w:szCs w:val="21"/>
              </w:rPr>
              <w:t>机械和运输</w:t>
            </w:r>
            <w:r>
              <w:rPr>
                <w:snapToGrid w:val="0"/>
                <w:color w:val="auto"/>
                <w:szCs w:val="21"/>
              </w:rPr>
              <w:t>车辆</w:t>
            </w:r>
          </w:p>
        </w:tc>
        <w:tc>
          <w:tcPr>
            <w:tcW w:w="1208" w:type="dxa"/>
            <w:vAlign w:val="center"/>
          </w:tcPr>
          <w:p>
            <w:pPr>
              <w:spacing w:line="310" w:lineRule="exact"/>
              <w:jc w:val="center"/>
              <w:rPr>
                <w:color w:val="auto"/>
                <w:szCs w:val="21"/>
              </w:rPr>
            </w:pPr>
            <w:r>
              <w:rPr>
                <w:snapToGrid w:val="0"/>
                <w:color w:val="auto"/>
                <w:szCs w:val="21"/>
              </w:rPr>
              <w:t>尾气</w:t>
            </w:r>
          </w:p>
        </w:tc>
        <w:tc>
          <w:tcPr>
            <w:tcW w:w="3995" w:type="dxa"/>
            <w:vAlign w:val="center"/>
          </w:tcPr>
          <w:p>
            <w:pPr>
              <w:spacing w:line="310" w:lineRule="exact"/>
              <w:jc w:val="center"/>
              <w:rPr>
                <w:rFonts w:hint="eastAsia"/>
                <w:color w:val="auto"/>
                <w:szCs w:val="21"/>
              </w:rPr>
            </w:pPr>
            <w:r>
              <w:rPr>
                <w:rFonts w:hint="eastAsia"/>
                <w:color w:val="auto"/>
                <w:szCs w:val="21"/>
              </w:rPr>
              <w:t>在大气中扩散稀释</w:t>
            </w: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83" w:type="dxa"/>
            <w:vMerge w:val="continue"/>
            <w:vAlign w:val="center"/>
          </w:tcPr>
          <w:p>
            <w:pPr>
              <w:spacing w:line="310" w:lineRule="exact"/>
              <w:jc w:val="center"/>
              <w:rPr>
                <w:color w:val="auto"/>
                <w:szCs w:val="21"/>
              </w:rPr>
            </w:pPr>
          </w:p>
        </w:tc>
        <w:tc>
          <w:tcPr>
            <w:tcW w:w="684" w:type="dxa"/>
            <w:vMerge w:val="restart"/>
            <w:vAlign w:val="center"/>
          </w:tcPr>
          <w:p>
            <w:pPr>
              <w:spacing w:line="310" w:lineRule="exact"/>
              <w:jc w:val="center"/>
              <w:rPr>
                <w:snapToGrid w:val="0"/>
                <w:color w:val="auto"/>
                <w:szCs w:val="21"/>
              </w:rPr>
            </w:pPr>
            <w:r>
              <w:rPr>
                <w:snapToGrid w:val="0"/>
                <w:color w:val="auto"/>
                <w:szCs w:val="21"/>
              </w:rPr>
              <w:t>运</w:t>
            </w:r>
          </w:p>
          <w:p>
            <w:pPr>
              <w:spacing w:line="310" w:lineRule="exact"/>
              <w:jc w:val="center"/>
              <w:rPr>
                <w:snapToGrid w:val="0"/>
                <w:color w:val="auto"/>
                <w:szCs w:val="21"/>
              </w:rPr>
            </w:pPr>
            <w:r>
              <w:rPr>
                <w:snapToGrid w:val="0"/>
                <w:color w:val="auto"/>
                <w:szCs w:val="21"/>
              </w:rPr>
              <w:t>营</w:t>
            </w:r>
          </w:p>
          <w:p>
            <w:pPr>
              <w:spacing w:line="310" w:lineRule="exact"/>
              <w:jc w:val="center"/>
              <w:rPr>
                <w:color w:val="auto"/>
                <w:szCs w:val="21"/>
              </w:rPr>
            </w:pPr>
            <w:r>
              <w:rPr>
                <w:snapToGrid w:val="0"/>
                <w:color w:val="auto"/>
                <w:szCs w:val="21"/>
              </w:rPr>
              <w:t>期</w:t>
            </w:r>
          </w:p>
        </w:tc>
        <w:tc>
          <w:tcPr>
            <w:tcW w:w="1099" w:type="dxa"/>
            <w:vAlign w:val="center"/>
          </w:tcPr>
          <w:p>
            <w:pPr>
              <w:spacing w:line="310" w:lineRule="exact"/>
              <w:jc w:val="center"/>
              <w:rPr>
                <w:snapToGrid w:val="0"/>
                <w:color w:val="auto"/>
                <w:szCs w:val="21"/>
              </w:rPr>
            </w:pPr>
            <w:r>
              <w:rPr>
                <w:snapToGrid w:val="0"/>
                <w:color w:val="auto"/>
                <w:szCs w:val="21"/>
              </w:rPr>
              <w:t>储罐、加油机等</w:t>
            </w:r>
          </w:p>
        </w:tc>
        <w:tc>
          <w:tcPr>
            <w:tcW w:w="1208" w:type="dxa"/>
            <w:vAlign w:val="center"/>
          </w:tcPr>
          <w:p>
            <w:pPr>
              <w:spacing w:line="310" w:lineRule="exact"/>
              <w:jc w:val="center"/>
              <w:rPr>
                <w:rFonts w:hint="eastAsia"/>
                <w:color w:val="auto"/>
                <w:szCs w:val="21"/>
              </w:rPr>
            </w:pPr>
            <w:r>
              <w:rPr>
                <w:snapToGrid w:val="0"/>
                <w:color w:val="auto"/>
                <w:szCs w:val="21"/>
              </w:rPr>
              <w:t>非甲烷烃</w:t>
            </w:r>
            <w:r>
              <w:rPr>
                <w:rFonts w:hint="eastAsia"/>
                <w:snapToGrid w:val="0"/>
                <w:color w:val="auto"/>
                <w:szCs w:val="21"/>
              </w:rPr>
              <w:t>类</w:t>
            </w:r>
          </w:p>
        </w:tc>
        <w:tc>
          <w:tcPr>
            <w:tcW w:w="3995" w:type="dxa"/>
            <w:vAlign w:val="center"/>
          </w:tcPr>
          <w:p>
            <w:pPr>
              <w:spacing w:line="310" w:lineRule="exact"/>
              <w:rPr>
                <w:rFonts w:hint="eastAsia"/>
                <w:color w:val="auto"/>
                <w:szCs w:val="21"/>
              </w:rPr>
            </w:pPr>
            <w:r>
              <w:rPr>
                <w:rFonts w:hint="eastAsia"/>
                <w:color w:val="auto"/>
                <w:szCs w:val="21"/>
                <w:lang w:eastAsia="zh-CN"/>
              </w:rPr>
              <w:t>储罐和加油机</w:t>
            </w:r>
            <w:r>
              <w:rPr>
                <w:rFonts w:hint="eastAsia"/>
                <w:color w:val="auto"/>
                <w:szCs w:val="21"/>
              </w:rPr>
              <w:t>设置油气回收装置并保证其时刻处于正常运行状态。</w:t>
            </w:r>
          </w:p>
        </w:tc>
        <w:tc>
          <w:tcPr>
            <w:tcW w:w="1799" w:type="dxa"/>
            <w:vMerge w:val="restart"/>
            <w:vAlign w:val="center"/>
          </w:tcPr>
          <w:p>
            <w:pPr>
              <w:spacing w:line="310" w:lineRule="exact"/>
              <w:jc w:val="center"/>
              <w:rPr>
                <w:rFonts w:hint="eastAsia"/>
                <w:color w:val="auto"/>
                <w:szCs w:val="21"/>
              </w:rPr>
            </w:pPr>
            <w:r>
              <w:rPr>
                <w:rFonts w:hint="eastAsia"/>
                <w:color w:val="auto"/>
                <w:szCs w:val="21"/>
              </w:rPr>
              <w:t>对环境产生</w:t>
            </w:r>
          </w:p>
          <w:p>
            <w:pPr>
              <w:spacing w:line="310" w:lineRule="exact"/>
              <w:jc w:val="center"/>
              <w:rPr>
                <w:color w:val="auto"/>
                <w:szCs w:val="21"/>
              </w:rPr>
            </w:pPr>
            <w:r>
              <w:rPr>
                <w:rFonts w:hint="eastAsia"/>
                <w:color w:val="auto"/>
                <w:szCs w:val="21"/>
              </w:rPr>
              <w:t>的影响不大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1099" w:type="dxa"/>
            <w:vAlign w:val="center"/>
          </w:tcPr>
          <w:p>
            <w:pPr>
              <w:spacing w:line="310" w:lineRule="exact"/>
              <w:jc w:val="center"/>
              <w:rPr>
                <w:color w:val="auto"/>
                <w:szCs w:val="21"/>
              </w:rPr>
            </w:pPr>
            <w:r>
              <w:rPr>
                <w:snapToGrid w:val="0"/>
                <w:color w:val="auto"/>
                <w:szCs w:val="21"/>
              </w:rPr>
              <w:t>车辆尾气</w:t>
            </w:r>
          </w:p>
        </w:tc>
        <w:tc>
          <w:tcPr>
            <w:tcW w:w="1208" w:type="dxa"/>
            <w:vAlign w:val="center"/>
          </w:tcPr>
          <w:p>
            <w:pPr>
              <w:spacing w:line="310" w:lineRule="exact"/>
              <w:jc w:val="center"/>
              <w:rPr>
                <w:color w:val="auto"/>
                <w:szCs w:val="21"/>
              </w:rPr>
            </w:pPr>
            <w:r>
              <w:rPr>
                <w:snapToGrid w:val="0"/>
                <w:color w:val="auto"/>
                <w:szCs w:val="21"/>
              </w:rPr>
              <w:t>NO</w:t>
            </w:r>
            <w:r>
              <w:rPr>
                <w:snapToGrid w:val="0"/>
                <w:color w:val="auto"/>
                <w:szCs w:val="21"/>
                <w:vertAlign w:val="subscript"/>
              </w:rPr>
              <w:t>X</w:t>
            </w:r>
            <w:r>
              <w:rPr>
                <w:snapToGrid w:val="0"/>
                <w:color w:val="auto"/>
                <w:szCs w:val="21"/>
              </w:rPr>
              <w:t xml:space="preserve"> 、SO</w:t>
            </w:r>
            <w:r>
              <w:rPr>
                <w:snapToGrid w:val="0"/>
                <w:color w:val="auto"/>
                <w:szCs w:val="21"/>
                <w:vertAlign w:val="subscript"/>
              </w:rPr>
              <w:t>2、</w:t>
            </w:r>
            <w:r>
              <w:rPr>
                <w:snapToGrid w:val="0"/>
                <w:color w:val="auto"/>
                <w:szCs w:val="21"/>
              </w:rPr>
              <w:t>、CO</w:t>
            </w:r>
          </w:p>
        </w:tc>
        <w:tc>
          <w:tcPr>
            <w:tcW w:w="3995" w:type="dxa"/>
            <w:vAlign w:val="center"/>
          </w:tcPr>
          <w:p>
            <w:pPr>
              <w:spacing w:line="310" w:lineRule="exact"/>
              <w:rPr>
                <w:rFonts w:hint="eastAsia"/>
                <w:color w:val="auto"/>
                <w:sz w:val="24"/>
              </w:rPr>
            </w:pPr>
            <w:r>
              <w:rPr>
                <w:rFonts w:hint="eastAsia"/>
                <w:snapToGrid w:val="0"/>
                <w:color w:val="auto"/>
                <w:szCs w:val="21"/>
              </w:rPr>
              <w:t>工作人员认真坚守岗位，积极指挥进入车辆到相应的加油岛加油等。</w:t>
            </w: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1099" w:type="dxa"/>
            <w:vAlign w:val="center"/>
          </w:tcPr>
          <w:p>
            <w:pPr>
              <w:spacing w:line="310" w:lineRule="exact"/>
              <w:jc w:val="center"/>
              <w:rPr>
                <w:color w:val="auto"/>
                <w:szCs w:val="21"/>
              </w:rPr>
            </w:pPr>
            <w:r>
              <w:rPr>
                <w:snapToGrid w:val="0"/>
                <w:color w:val="auto"/>
                <w:szCs w:val="21"/>
              </w:rPr>
              <w:t>厨房</w:t>
            </w:r>
          </w:p>
        </w:tc>
        <w:tc>
          <w:tcPr>
            <w:tcW w:w="1208" w:type="dxa"/>
            <w:vAlign w:val="center"/>
          </w:tcPr>
          <w:p>
            <w:pPr>
              <w:spacing w:line="310" w:lineRule="exact"/>
              <w:jc w:val="center"/>
              <w:rPr>
                <w:color w:val="auto"/>
                <w:szCs w:val="21"/>
              </w:rPr>
            </w:pPr>
            <w:r>
              <w:rPr>
                <w:color w:val="auto"/>
                <w:szCs w:val="21"/>
              </w:rPr>
              <w:t>油烟</w:t>
            </w:r>
          </w:p>
        </w:tc>
        <w:tc>
          <w:tcPr>
            <w:tcW w:w="3995" w:type="dxa"/>
            <w:vAlign w:val="center"/>
          </w:tcPr>
          <w:p>
            <w:pPr>
              <w:spacing w:line="310" w:lineRule="exact"/>
              <w:jc w:val="center"/>
              <w:rPr>
                <w:color w:val="auto"/>
                <w:szCs w:val="21"/>
              </w:rPr>
            </w:pPr>
            <w:r>
              <w:rPr>
                <w:rFonts w:hint="eastAsia"/>
                <w:color w:val="auto"/>
                <w:szCs w:val="21"/>
              </w:rPr>
              <w:t>设置抽排装置，抽至屋顶排放。</w:t>
            </w:r>
          </w:p>
        </w:tc>
        <w:tc>
          <w:tcPr>
            <w:tcW w:w="1799" w:type="dxa"/>
            <w:vAlign w:val="center"/>
          </w:tcPr>
          <w:p>
            <w:pPr>
              <w:spacing w:line="310" w:lineRule="exact"/>
              <w:ind w:firstLine="315" w:firstLineChars="150"/>
              <w:rPr>
                <w:rFonts w:hint="eastAsia"/>
                <w:color w:val="auto"/>
                <w:szCs w:val="21"/>
              </w:rPr>
            </w:pPr>
            <w:r>
              <w:rPr>
                <w:rFonts w:hint="eastAsia"/>
                <w:color w:val="auto"/>
                <w:szCs w:val="21"/>
              </w:rPr>
              <w:t>对环境产生</w:t>
            </w:r>
          </w:p>
          <w:p>
            <w:pPr>
              <w:spacing w:line="310" w:lineRule="exact"/>
              <w:ind w:firstLine="315" w:firstLineChars="150"/>
              <w:rPr>
                <w:rFonts w:hint="eastAsia"/>
                <w:color w:val="auto"/>
                <w:szCs w:val="21"/>
              </w:rPr>
            </w:pPr>
            <w:r>
              <w:rPr>
                <w:rFonts w:hint="eastAsia"/>
                <w:color w:val="auto"/>
                <w:szCs w:val="21"/>
              </w:rPr>
              <w:t>的影响不大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1099" w:type="dxa"/>
            <w:vAlign w:val="center"/>
          </w:tcPr>
          <w:p>
            <w:pPr>
              <w:spacing w:line="310" w:lineRule="exact"/>
              <w:jc w:val="center"/>
              <w:rPr>
                <w:snapToGrid w:val="0"/>
                <w:color w:val="auto"/>
                <w:szCs w:val="21"/>
              </w:rPr>
            </w:pPr>
            <w:r>
              <w:rPr>
                <w:snapToGrid w:val="0"/>
                <w:color w:val="auto"/>
                <w:szCs w:val="21"/>
              </w:rPr>
              <w:t>化粪池等</w:t>
            </w:r>
          </w:p>
        </w:tc>
        <w:tc>
          <w:tcPr>
            <w:tcW w:w="1208" w:type="dxa"/>
            <w:vAlign w:val="center"/>
          </w:tcPr>
          <w:p>
            <w:pPr>
              <w:spacing w:line="310" w:lineRule="exact"/>
              <w:jc w:val="center"/>
              <w:rPr>
                <w:color w:val="auto"/>
                <w:szCs w:val="21"/>
              </w:rPr>
            </w:pPr>
            <w:r>
              <w:rPr>
                <w:color w:val="auto"/>
                <w:szCs w:val="21"/>
              </w:rPr>
              <w:t>恶臭</w:t>
            </w:r>
          </w:p>
        </w:tc>
        <w:tc>
          <w:tcPr>
            <w:tcW w:w="3995" w:type="dxa"/>
            <w:vAlign w:val="center"/>
          </w:tcPr>
          <w:p>
            <w:pPr>
              <w:spacing w:line="310" w:lineRule="exact"/>
              <w:jc w:val="center"/>
              <w:rPr>
                <w:rFonts w:hint="eastAsia"/>
                <w:color w:val="auto"/>
                <w:szCs w:val="21"/>
              </w:rPr>
            </w:pPr>
            <w:r>
              <w:rPr>
                <w:rFonts w:hint="eastAsia"/>
                <w:color w:val="auto"/>
                <w:szCs w:val="21"/>
              </w:rPr>
              <w:t>规范设置、专人维护、定时清掏，及时处理等措施。</w:t>
            </w:r>
          </w:p>
        </w:tc>
        <w:tc>
          <w:tcPr>
            <w:tcW w:w="1799" w:type="dxa"/>
            <w:vMerge w:val="restart"/>
            <w:vAlign w:val="top"/>
          </w:tcPr>
          <w:p>
            <w:pPr>
              <w:spacing w:line="310" w:lineRule="exact"/>
              <w:rPr>
                <w:color w:val="auto"/>
                <w:szCs w:val="21"/>
              </w:rPr>
            </w:pPr>
            <w:r>
              <w:rPr>
                <w:rFonts w:hint="eastAsia"/>
                <w:color w:val="auto"/>
                <w:szCs w:val="21"/>
              </w:rPr>
              <w:t>对环境产生</w:t>
            </w:r>
          </w:p>
          <w:p>
            <w:pPr>
              <w:rPr>
                <w:rFonts w:hint="eastAsia"/>
                <w:color w:val="auto"/>
                <w:szCs w:val="21"/>
              </w:rPr>
            </w:pPr>
            <w:r>
              <w:rPr>
                <w:rFonts w:hint="eastAsia"/>
                <w:color w:val="auto"/>
                <w:szCs w:val="21"/>
              </w:rPr>
              <w:t>的影响不大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1099" w:type="dxa"/>
            <w:vAlign w:val="center"/>
          </w:tcPr>
          <w:p>
            <w:pPr>
              <w:spacing w:line="310" w:lineRule="exact"/>
              <w:jc w:val="center"/>
              <w:rPr>
                <w:snapToGrid w:val="0"/>
                <w:color w:val="auto"/>
                <w:szCs w:val="21"/>
              </w:rPr>
            </w:pPr>
            <w:r>
              <w:rPr>
                <w:snapToGrid w:val="0"/>
                <w:color w:val="auto"/>
                <w:szCs w:val="21"/>
              </w:rPr>
              <w:t>发电机</w:t>
            </w:r>
          </w:p>
        </w:tc>
        <w:tc>
          <w:tcPr>
            <w:tcW w:w="1208" w:type="dxa"/>
            <w:vAlign w:val="center"/>
          </w:tcPr>
          <w:p>
            <w:pPr>
              <w:spacing w:line="310" w:lineRule="exact"/>
              <w:jc w:val="center"/>
              <w:rPr>
                <w:color w:val="auto"/>
                <w:szCs w:val="21"/>
              </w:rPr>
            </w:pPr>
            <w:r>
              <w:rPr>
                <w:color w:val="auto"/>
                <w:szCs w:val="21"/>
              </w:rPr>
              <w:t>燃油废气</w:t>
            </w:r>
          </w:p>
        </w:tc>
        <w:tc>
          <w:tcPr>
            <w:tcW w:w="3995" w:type="dxa"/>
            <w:vAlign w:val="center"/>
          </w:tcPr>
          <w:p>
            <w:pPr>
              <w:spacing w:line="310" w:lineRule="exact"/>
              <w:jc w:val="center"/>
              <w:rPr>
                <w:rFonts w:hint="eastAsia"/>
                <w:color w:val="auto"/>
                <w:szCs w:val="21"/>
              </w:rPr>
            </w:pPr>
            <w:r>
              <w:rPr>
                <w:rFonts w:hint="eastAsia"/>
                <w:color w:val="auto"/>
                <w:szCs w:val="21"/>
              </w:rPr>
              <w:t>使用合格产品</w:t>
            </w:r>
          </w:p>
        </w:tc>
        <w:tc>
          <w:tcPr>
            <w:tcW w:w="1799" w:type="dxa"/>
            <w:vMerge w:val="continue"/>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3" w:type="dxa"/>
            <w:vMerge w:val="restart"/>
            <w:vAlign w:val="center"/>
          </w:tcPr>
          <w:p>
            <w:pPr>
              <w:spacing w:line="310" w:lineRule="exact"/>
              <w:jc w:val="center"/>
              <w:rPr>
                <w:rFonts w:hint="eastAsia"/>
                <w:snapToGrid w:val="0"/>
                <w:color w:val="auto"/>
                <w:szCs w:val="21"/>
              </w:rPr>
            </w:pPr>
            <w:r>
              <w:rPr>
                <w:snapToGrid w:val="0"/>
                <w:color w:val="auto"/>
                <w:szCs w:val="21"/>
              </w:rPr>
              <w:t>噪</w:t>
            </w:r>
          </w:p>
          <w:p>
            <w:pPr>
              <w:spacing w:line="310" w:lineRule="exact"/>
              <w:jc w:val="center"/>
              <w:rPr>
                <w:color w:val="auto"/>
                <w:szCs w:val="21"/>
              </w:rPr>
            </w:pPr>
            <w:r>
              <w:rPr>
                <w:snapToGrid w:val="0"/>
                <w:color w:val="auto"/>
                <w:szCs w:val="21"/>
              </w:rPr>
              <w:t>声</w:t>
            </w:r>
          </w:p>
        </w:tc>
        <w:tc>
          <w:tcPr>
            <w:tcW w:w="684" w:type="dxa"/>
            <w:vMerge w:val="restart"/>
            <w:vAlign w:val="center"/>
          </w:tcPr>
          <w:p>
            <w:pPr>
              <w:spacing w:line="310" w:lineRule="exact"/>
              <w:jc w:val="center"/>
              <w:textAlignment w:val="baseline"/>
              <w:rPr>
                <w:snapToGrid w:val="0"/>
                <w:color w:val="auto"/>
                <w:szCs w:val="21"/>
              </w:rPr>
            </w:pPr>
            <w:r>
              <w:rPr>
                <w:snapToGrid w:val="0"/>
                <w:color w:val="auto"/>
                <w:szCs w:val="21"/>
              </w:rPr>
              <w:t>施</w:t>
            </w:r>
          </w:p>
          <w:p>
            <w:pPr>
              <w:spacing w:line="310" w:lineRule="exact"/>
              <w:jc w:val="center"/>
              <w:textAlignment w:val="baseline"/>
              <w:rPr>
                <w:snapToGrid w:val="0"/>
                <w:color w:val="auto"/>
                <w:szCs w:val="21"/>
              </w:rPr>
            </w:pPr>
            <w:r>
              <w:rPr>
                <w:snapToGrid w:val="0"/>
                <w:color w:val="auto"/>
                <w:szCs w:val="21"/>
              </w:rPr>
              <w:t>工</w:t>
            </w:r>
          </w:p>
          <w:p>
            <w:pPr>
              <w:spacing w:line="310" w:lineRule="exact"/>
              <w:jc w:val="center"/>
              <w:rPr>
                <w:color w:val="auto"/>
                <w:szCs w:val="21"/>
              </w:rPr>
            </w:pPr>
            <w:r>
              <w:rPr>
                <w:snapToGrid w:val="0"/>
                <w:color w:val="auto"/>
                <w:szCs w:val="21"/>
              </w:rPr>
              <w:t>期</w:t>
            </w:r>
          </w:p>
        </w:tc>
        <w:tc>
          <w:tcPr>
            <w:tcW w:w="2307" w:type="dxa"/>
            <w:gridSpan w:val="2"/>
            <w:vAlign w:val="center"/>
          </w:tcPr>
          <w:p>
            <w:pPr>
              <w:spacing w:line="310" w:lineRule="exact"/>
              <w:jc w:val="center"/>
              <w:rPr>
                <w:rFonts w:ascii="宋体" w:hAnsi="宋体"/>
                <w:color w:val="auto"/>
                <w:szCs w:val="21"/>
              </w:rPr>
            </w:pPr>
            <w:r>
              <w:rPr>
                <w:color w:val="auto"/>
                <w:szCs w:val="21"/>
              </w:rPr>
              <w:t>施工机械噪声</w:t>
            </w:r>
          </w:p>
        </w:tc>
        <w:tc>
          <w:tcPr>
            <w:tcW w:w="3995" w:type="dxa"/>
            <w:vMerge w:val="restart"/>
            <w:vAlign w:val="center"/>
          </w:tcPr>
          <w:p>
            <w:pPr>
              <w:spacing w:line="310" w:lineRule="exact"/>
              <w:rPr>
                <w:rFonts w:hint="eastAsia"/>
                <w:snapToGrid w:val="0"/>
                <w:color w:val="auto"/>
                <w:szCs w:val="21"/>
              </w:rPr>
            </w:pPr>
            <w:r>
              <w:rPr>
                <w:rFonts w:hint="eastAsia" w:ascii="宋体" w:hAnsi="宋体"/>
                <w:snapToGrid w:val="0"/>
                <w:color w:val="auto"/>
                <w:szCs w:val="21"/>
              </w:rPr>
              <w:t>①项目选用低噪声机械设备，合理安排运输时间，中午12:00--14:00，下午18:00--6:00禁止施工，加强进驻施工现场人员的环境保护教育，做到文明施工；②施工材料运输车辆禁止鸣汽喇叭，减少噪声施工作业、运输车辆和生活噪声对环境的污染固定的机械设备，安装减震垫；③合理安排施工工序，避免在同一时间集中使用噪声较大的机械设备；④加强施工设备的维护保养；⑤尽量将各类机械设备设置在项目东南侧，远离敏感点一侧；⑥进出车辆采取减速行驶。采取以上措施后，项目施工期的噪声对周边环境影响不大。</w:t>
            </w:r>
          </w:p>
        </w:tc>
        <w:tc>
          <w:tcPr>
            <w:tcW w:w="1799" w:type="dxa"/>
            <w:vMerge w:val="restart"/>
            <w:vAlign w:val="center"/>
          </w:tcPr>
          <w:p>
            <w:pPr>
              <w:spacing w:line="310" w:lineRule="exact"/>
              <w:jc w:val="center"/>
              <w:rPr>
                <w:rFonts w:hint="eastAsia"/>
                <w:color w:val="auto"/>
                <w:szCs w:val="21"/>
              </w:rPr>
            </w:pPr>
            <w:r>
              <w:rPr>
                <w:rFonts w:hint="eastAsia"/>
                <w:color w:val="auto"/>
                <w:szCs w:val="21"/>
              </w:rPr>
              <w:t>对环境产生</w:t>
            </w:r>
          </w:p>
          <w:p>
            <w:pPr>
              <w:spacing w:line="310" w:lineRule="exact"/>
              <w:jc w:val="center"/>
              <w:rPr>
                <w:color w:val="auto"/>
                <w:szCs w:val="21"/>
              </w:rPr>
            </w:pPr>
            <w:r>
              <w:rPr>
                <w:rFonts w:hint="eastAsia"/>
                <w:color w:val="auto"/>
                <w:szCs w:val="21"/>
              </w:rPr>
              <w:t>的影响不大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83" w:type="dxa"/>
            <w:vMerge w:val="continue"/>
            <w:vAlign w:val="center"/>
          </w:tcPr>
          <w:p>
            <w:pPr>
              <w:spacing w:line="310" w:lineRule="exact"/>
              <w:jc w:val="center"/>
              <w:rPr>
                <w:b/>
                <w:snapToGrid w:val="0"/>
                <w:color w:val="auto"/>
                <w:szCs w:val="21"/>
              </w:rPr>
            </w:pPr>
          </w:p>
        </w:tc>
        <w:tc>
          <w:tcPr>
            <w:tcW w:w="684" w:type="dxa"/>
            <w:vMerge w:val="continue"/>
            <w:vAlign w:val="center"/>
          </w:tcPr>
          <w:p>
            <w:pPr>
              <w:spacing w:line="310" w:lineRule="exact"/>
              <w:jc w:val="center"/>
              <w:textAlignment w:val="baseline"/>
              <w:rPr>
                <w:snapToGrid w:val="0"/>
                <w:color w:val="auto"/>
                <w:szCs w:val="21"/>
              </w:rPr>
            </w:pPr>
          </w:p>
        </w:tc>
        <w:tc>
          <w:tcPr>
            <w:tcW w:w="2307" w:type="dxa"/>
            <w:gridSpan w:val="2"/>
            <w:vAlign w:val="center"/>
          </w:tcPr>
          <w:p>
            <w:pPr>
              <w:spacing w:line="310" w:lineRule="exact"/>
              <w:jc w:val="center"/>
              <w:rPr>
                <w:color w:val="auto"/>
                <w:szCs w:val="21"/>
              </w:rPr>
            </w:pPr>
            <w:r>
              <w:rPr>
                <w:color w:val="auto"/>
                <w:szCs w:val="21"/>
              </w:rPr>
              <w:t>施工</w:t>
            </w:r>
            <w:r>
              <w:rPr>
                <w:rFonts w:hint="eastAsia"/>
                <w:color w:val="auto"/>
                <w:szCs w:val="21"/>
              </w:rPr>
              <w:t>作业噪</w:t>
            </w:r>
            <w:r>
              <w:rPr>
                <w:color w:val="auto"/>
                <w:szCs w:val="21"/>
              </w:rPr>
              <w:t>声</w:t>
            </w:r>
          </w:p>
        </w:tc>
        <w:tc>
          <w:tcPr>
            <w:tcW w:w="3995" w:type="dxa"/>
            <w:vMerge w:val="continue"/>
            <w:vAlign w:val="center"/>
          </w:tcPr>
          <w:p>
            <w:pPr>
              <w:spacing w:line="310" w:lineRule="exact"/>
              <w:jc w:val="center"/>
              <w:rPr>
                <w:color w:val="auto"/>
                <w:szCs w:val="21"/>
                <w:lang w:val="zh-CN"/>
              </w:rPr>
            </w:pP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83" w:type="dxa"/>
            <w:vMerge w:val="continue"/>
            <w:vAlign w:val="center"/>
          </w:tcPr>
          <w:p>
            <w:pPr>
              <w:spacing w:line="310" w:lineRule="exact"/>
              <w:jc w:val="center"/>
              <w:rPr>
                <w:b/>
                <w:snapToGrid w:val="0"/>
                <w:color w:val="auto"/>
                <w:szCs w:val="21"/>
              </w:rPr>
            </w:pPr>
          </w:p>
        </w:tc>
        <w:tc>
          <w:tcPr>
            <w:tcW w:w="684" w:type="dxa"/>
            <w:vMerge w:val="continue"/>
            <w:vAlign w:val="center"/>
          </w:tcPr>
          <w:p>
            <w:pPr>
              <w:spacing w:line="310" w:lineRule="exact"/>
              <w:jc w:val="center"/>
              <w:textAlignment w:val="baseline"/>
              <w:rPr>
                <w:snapToGrid w:val="0"/>
                <w:color w:val="auto"/>
                <w:szCs w:val="21"/>
              </w:rPr>
            </w:pPr>
          </w:p>
        </w:tc>
        <w:tc>
          <w:tcPr>
            <w:tcW w:w="2307" w:type="dxa"/>
            <w:gridSpan w:val="2"/>
            <w:vAlign w:val="center"/>
          </w:tcPr>
          <w:p>
            <w:pPr>
              <w:spacing w:line="310" w:lineRule="exact"/>
              <w:jc w:val="center"/>
              <w:rPr>
                <w:rFonts w:hint="eastAsia"/>
                <w:color w:val="auto"/>
                <w:szCs w:val="21"/>
              </w:rPr>
            </w:pPr>
            <w:r>
              <w:rPr>
                <w:rFonts w:hint="eastAsia"/>
                <w:color w:val="auto"/>
                <w:szCs w:val="21"/>
              </w:rPr>
              <w:t>施工车辆噪声</w:t>
            </w:r>
          </w:p>
        </w:tc>
        <w:tc>
          <w:tcPr>
            <w:tcW w:w="3995" w:type="dxa"/>
            <w:vMerge w:val="continue"/>
            <w:vAlign w:val="center"/>
          </w:tcPr>
          <w:p>
            <w:pPr>
              <w:spacing w:line="310" w:lineRule="exact"/>
              <w:jc w:val="center"/>
              <w:rPr>
                <w:color w:val="auto"/>
                <w:szCs w:val="21"/>
                <w:lang w:val="zh-CN"/>
              </w:rPr>
            </w:pPr>
          </w:p>
        </w:tc>
        <w:tc>
          <w:tcPr>
            <w:tcW w:w="1799" w:type="dxa"/>
            <w:vMerge w:val="continue"/>
            <w:vAlign w:val="center"/>
          </w:tcPr>
          <w:p>
            <w:pPr>
              <w:spacing w:line="310" w:lineRule="exact"/>
              <w:jc w:val="center"/>
              <w:rPr>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83" w:type="dxa"/>
            <w:vMerge w:val="continue"/>
            <w:vAlign w:val="center"/>
          </w:tcPr>
          <w:p>
            <w:pPr>
              <w:spacing w:line="310" w:lineRule="exact"/>
              <w:jc w:val="center"/>
              <w:rPr>
                <w:color w:val="auto"/>
                <w:szCs w:val="21"/>
              </w:rPr>
            </w:pPr>
          </w:p>
        </w:tc>
        <w:tc>
          <w:tcPr>
            <w:tcW w:w="684" w:type="dxa"/>
            <w:vMerge w:val="restart"/>
            <w:vAlign w:val="center"/>
          </w:tcPr>
          <w:p>
            <w:pPr>
              <w:spacing w:line="310" w:lineRule="exact"/>
              <w:jc w:val="center"/>
              <w:rPr>
                <w:snapToGrid w:val="0"/>
                <w:color w:val="auto"/>
                <w:szCs w:val="21"/>
              </w:rPr>
            </w:pPr>
            <w:r>
              <w:rPr>
                <w:snapToGrid w:val="0"/>
                <w:color w:val="auto"/>
                <w:szCs w:val="21"/>
              </w:rPr>
              <w:t>运</w:t>
            </w:r>
          </w:p>
          <w:p>
            <w:pPr>
              <w:spacing w:line="310" w:lineRule="exact"/>
              <w:jc w:val="center"/>
              <w:rPr>
                <w:snapToGrid w:val="0"/>
                <w:color w:val="auto"/>
                <w:szCs w:val="21"/>
              </w:rPr>
            </w:pPr>
            <w:r>
              <w:rPr>
                <w:snapToGrid w:val="0"/>
                <w:color w:val="auto"/>
                <w:szCs w:val="21"/>
              </w:rPr>
              <w:t>营</w:t>
            </w:r>
          </w:p>
          <w:p>
            <w:pPr>
              <w:spacing w:line="310" w:lineRule="exact"/>
              <w:jc w:val="center"/>
              <w:rPr>
                <w:color w:val="auto"/>
                <w:szCs w:val="21"/>
              </w:rPr>
            </w:pPr>
            <w:r>
              <w:rPr>
                <w:snapToGrid w:val="0"/>
                <w:color w:val="auto"/>
                <w:szCs w:val="21"/>
              </w:rPr>
              <w:t>期</w:t>
            </w:r>
          </w:p>
        </w:tc>
        <w:tc>
          <w:tcPr>
            <w:tcW w:w="2307" w:type="dxa"/>
            <w:gridSpan w:val="2"/>
            <w:vAlign w:val="center"/>
          </w:tcPr>
          <w:p>
            <w:pPr>
              <w:spacing w:line="310" w:lineRule="exact"/>
              <w:jc w:val="center"/>
              <w:rPr>
                <w:rFonts w:ascii="宋体" w:hAnsi="宋体"/>
                <w:color w:val="auto"/>
                <w:szCs w:val="21"/>
              </w:rPr>
            </w:pPr>
            <w:r>
              <w:rPr>
                <w:color w:val="auto"/>
                <w:szCs w:val="21"/>
              </w:rPr>
              <w:t>进出车辆噪声</w:t>
            </w:r>
          </w:p>
        </w:tc>
        <w:tc>
          <w:tcPr>
            <w:tcW w:w="3995" w:type="dxa"/>
            <w:vMerge w:val="restart"/>
            <w:vAlign w:val="center"/>
          </w:tcPr>
          <w:p>
            <w:pPr>
              <w:spacing w:line="310" w:lineRule="exact"/>
              <w:rPr>
                <w:rFonts w:hint="eastAsia"/>
                <w:snapToGrid w:val="0"/>
                <w:color w:val="auto"/>
                <w:szCs w:val="21"/>
              </w:rPr>
            </w:pPr>
            <w:r>
              <w:rPr>
                <w:rFonts w:hint="eastAsia" w:ascii="宋体" w:hAnsi="宋体"/>
                <w:snapToGrid w:val="0"/>
                <w:color w:val="auto"/>
                <w:szCs w:val="21"/>
              </w:rPr>
              <w:t>①</w:t>
            </w:r>
            <w:r>
              <w:rPr>
                <w:rFonts w:hint="eastAsia"/>
                <w:snapToGrid w:val="0"/>
                <w:color w:val="auto"/>
                <w:szCs w:val="21"/>
              </w:rPr>
              <w:t>立牌提示</w:t>
            </w:r>
            <w:r>
              <w:rPr>
                <w:snapToGrid w:val="0"/>
                <w:color w:val="auto"/>
                <w:szCs w:val="21"/>
              </w:rPr>
              <w:t>减速慢行，禁止</w:t>
            </w:r>
            <w:r>
              <w:rPr>
                <w:rFonts w:hint="eastAsia"/>
                <w:snapToGrid w:val="0"/>
                <w:color w:val="auto"/>
                <w:szCs w:val="21"/>
              </w:rPr>
              <w:t>鸣笛</w:t>
            </w:r>
            <w:r>
              <w:rPr>
                <w:rFonts w:ascii="宋体" w:hAnsi="宋体"/>
                <w:snapToGrid w:val="0"/>
                <w:color w:val="auto"/>
                <w:szCs w:val="21"/>
              </w:rPr>
              <w:t>；</w:t>
            </w:r>
            <w:r>
              <w:rPr>
                <w:rFonts w:hint="eastAsia" w:ascii="宋体" w:hAnsi="宋体"/>
                <w:snapToGrid w:val="0"/>
                <w:color w:val="auto"/>
                <w:szCs w:val="21"/>
              </w:rPr>
              <w:t>②</w:t>
            </w:r>
            <w:r>
              <w:rPr>
                <w:snapToGrid w:val="0"/>
                <w:color w:val="auto"/>
                <w:szCs w:val="21"/>
              </w:rPr>
              <w:t>选用低噪声设备</w:t>
            </w:r>
            <w:r>
              <w:rPr>
                <w:rFonts w:hint="eastAsia" w:ascii="宋体" w:hAnsi="宋体"/>
                <w:snapToGrid w:val="0"/>
                <w:color w:val="auto"/>
                <w:szCs w:val="21"/>
              </w:rPr>
              <w:t>；③</w:t>
            </w:r>
            <w:r>
              <w:rPr>
                <w:rFonts w:hint="eastAsia"/>
                <w:snapToGrid w:val="0"/>
                <w:color w:val="auto"/>
                <w:szCs w:val="21"/>
              </w:rPr>
              <w:t>发电机</w:t>
            </w:r>
            <w:r>
              <w:rPr>
                <w:snapToGrid w:val="0"/>
                <w:color w:val="auto"/>
                <w:szCs w:val="21"/>
              </w:rPr>
              <w:t>加减振垫和隔声罩</w:t>
            </w:r>
            <w:r>
              <w:rPr>
                <w:rFonts w:hint="eastAsia" w:ascii="宋体" w:hAnsi="宋体"/>
                <w:snapToGrid w:val="0"/>
                <w:color w:val="auto"/>
                <w:szCs w:val="21"/>
              </w:rPr>
              <w:t>；④</w:t>
            </w:r>
            <w:r>
              <w:rPr>
                <w:rFonts w:hint="eastAsia"/>
                <w:snapToGrid w:val="0"/>
                <w:color w:val="auto"/>
                <w:szCs w:val="21"/>
              </w:rPr>
              <w:t>文明工作，积极招呼进站车辆加油。</w:t>
            </w:r>
          </w:p>
        </w:tc>
        <w:tc>
          <w:tcPr>
            <w:tcW w:w="1799" w:type="dxa"/>
            <w:vMerge w:val="restart"/>
            <w:vAlign w:val="center"/>
          </w:tcPr>
          <w:p>
            <w:pPr>
              <w:spacing w:line="310" w:lineRule="exact"/>
              <w:jc w:val="center"/>
              <w:rPr>
                <w:rFonts w:hint="eastAsia"/>
                <w:color w:val="auto"/>
                <w:szCs w:val="21"/>
              </w:rPr>
            </w:pPr>
            <w:r>
              <w:rPr>
                <w:rFonts w:hint="eastAsia"/>
                <w:color w:val="auto"/>
                <w:szCs w:val="21"/>
              </w:rPr>
              <w:t>对环境产生</w:t>
            </w:r>
          </w:p>
          <w:p>
            <w:pPr>
              <w:spacing w:line="310" w:lineRule="exact"/>
              <w:jc w:val="center"/>
              <w:rPr>
                <w:color w:val="auto"/>
                <w:szCs w:val="21"/>
              </w:rPr>
            </w:pPr>
            <w:r>
              <w:rPr>
                <w:rFonts w:hint="eastAsia"/>
                <w:color w:val="auto"/>
                <w:szCs w:val="21"/>
              </w:rPr>
              <w:t>的影响不大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2307" w:type="dxa"/>
            <w:gridSpan w:val="2"/>
            <w:vAlign w:val="center"/>
          </w:tcPr>
          <w:p>
            <w:pPr>
              <w:spacing w:line="310" w:lineRule="exact"/>
              <w:jc w:val="center"/>
              <w:rPr>
                <w:color w:val="auto"/>
                <w:szCs w:val="21"/>
              </w:rPr>
            </w:pPr>
            <w:r>
              <w:rPr>
                <w:rFonts w:hint="eastAsia"/>
                <w:color w:val="auto"/>
                <w:szCs w:val="21"/>
              </w:rPr>
              <w:t>设备</w:t>
            </w:r>
            <w:r>
              <w:rPr>
                <w:color w:val="auto"/>
                <w:szCs w:val="21"/>
              </w:rPr>
              <w:t>噪声</w:t>
            </w:r>
          </w:p>
        </w:tc>
        <w:tc>
          <w:tcPr>
            <w:tcW w:w="3995" w:type="dxa"/>
            <w:vMerge w:val="continue"/>
            <w:vAlign w:val="center"/>
          </w:tcPr>
          <w:p>
            <w:pPr>
              <w:spacing w:line="310" w:lineRule="exact"/>
              <w:jc w:val="center"/>
              <w:rPr>
                <w:color w:val="auto"/>
                <w:szCs w:val="21"/>
              </w:rPr>
            </w:pPr>
          </w:p>
        </w:tc>
        <w:tc>
          <w:tcPr>
            <w:tcW w:w="1799" w:type="dxa"/>
            <w:vMerge w:val="continue"/>
            <w:vAlign w:val="center"/>
          </w:tcPr>
          <w:p>
            <w:pPr>
              <w:spacing w:line="310" w:lineRule="exact"/>
              <w:jc w:val="center"/>
              <w:rPr>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2307" w:type="dxa"/>
            <w:gridSpan w:val="2"/>
            <w:vAlign w:val="center"/>
          </w:tcPr>
          <w:p>
            <w:pPr>
              <w:spacing w:line="310" w:lineRule="exact"/>
              <w:jc w:val="center"/>
              <w:rPr>
                <w:color w:val="auto"/>
                <w:szCs w:val="21"/>
              </w:rPr>
            </w:pPr>
            <w:r>
              <w:rPr>
                <w:color w:val="auto"/>
                <w:szCs w:val="21"/>
                <w:lang w:val="zh-CN"/>
              </w:rPr>
              <w:t>社会噪声</w:t>
            </w:r>
          </w:p>
        </w:tc>
        <w:tc>
          <w:tcPr>
            <w:tcW w:w="3995" w:type="dxa"/>
            <w:vMerge w:val="continue"/>
            <w:vAlign w:val="center"/>
          </w:tcPr>
          <w:p>
            <w:pPr>
              <w:spacing w:line="310" w:lineRule="exact"/>
              <w:jc w:val="center"/>
              <w:rPr>
                <w:color w:val="auto"/>
                <w:szCs w:val="21"/>
                <w:lang w:val="zh-CN"/>
              </w:rPr>
            </w:pPr>
          </w:p>
        </w:tc>
        <w:tc>
          <w:tcPr>
            <w:tcW w:w="1799" w:type="dxa"/>
            <w:vMerge w:val="continue"/>
            <w:vAlign w:val="center"/>
          </w:tcPr>
          <w:p>
            <w:pPr>
              <w:spacing w:line="310" w:lineRule="exact"/>
              <w:jc w:val="center"/>
              <w:rPr>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83" w:type="dxa"/>
            <w:vMerge w:val="restart"/>
            <w:vAlign w:val="center"/>
          </w:tcPr>
          <w:p>
            <w:pPr>
              <w:spacing w:line="310" w:lineRule="exact"/>
              <w:jc w:val="center"/>
              <w:rPr>
                <w:snapToGrid w:val="0"/>
                <w:color w:val="auto"/>
                <w:szCs w:val="21"/>
              </w:rPr>
            </w:pPr>
          </w:p>
          <w:p>
            <w:pPr>
              <w:spacing w:line="310" w:lineRule="exact"/>
              <w:jc w:val="center"/>
              <w:rPr>
                <w:snapToGrid w:val="0"/>
                <w:color w:val="auto"/>
                <w:szCs w:val="21"/>
              </w:rPr>
            </w:pPr>
            <w:r>
              <w:rPr>
                <w:snapToGrid w:val="0"/>
                <w:color w:val="auto"/>
                <w:szCs w:val="21"/>
              </w:rPr>
              <w:t>固</w:t>
            </w:r>
          </w:p>
          <w:p>
            <w:pPr>
              <w:spacing w:line="310" w:lineRule="exact"/>
              <w:jc w:val="center"/>
              <w:rPr>
                <w:snapToGrid w:val="0"/>
                <w:color w:val="auto"/>
                <w:szCs w:val="21"/>
              </w:rPr>
            </w:pPr>
            <w:r>
              <w:rPr>
                <w:snapToGrid w:val="0"/>
                <w:color w:val="auto"/>
                <w:szCs w:val="21"/>
              </w:rPr>
              <w:t>体</w:t>
            </w:r>
          </w:p>
          <w:p>
            <w:pPr>
              <w:spacing w:line="310" w:lineRule="exact"/>
              <w:jc w:val="center"/>
              <w:rPr>
                <w:snapToGrid w:val="0"/>
                <w:color w:val="auto"/>
                <w:szCs w:val="21"/>
              </w:rPr>
            </w:pPr>
            <w:r>
              <w:rPr>
                <w:snapToGrid w:val="0"/>
                <w:color w:val="auto"/>
                <w:szCs w:val="21"/>
              </w:rPr>
              <w:t>废</w:t>
            </w:r>
          </w:p>
          <w:p>
            <w:pPr>
              <w:spacing w:line="310" w:lineRule="exact"/>
              <w:jc w:val="center"/>
              <w:rPr>
                <w:snapToGrid w:val="0"/>
                <w:color w:val="auto"/>
                <w:szCs w:val="21"/>
              </w:rPr>
            </w:pPr>
            <w:r>
              <w:rPr>
                <w:snapToGrid w:val="0"/>
                <w:color w:val="auto"/>
                <w:szCs w:val="21"/>
              </w:rPr>
              <w:t>弃</w:t>
            </w:r>
          </w:p>
          <w:p>
            <w:pPr>
              <w:spacing w:line="310" w:lineRule="exact"/>
              <w:jc w:val="center"/>
              <w:rPr>
                <w:color w:val="auto"/>
                <w:szCs w:val="21"/>
              </w:rPr>
            </w:pPr>
            <w:r>
              <w:rPr>
                <w:snapToGrid w:val="0"/>
                <w:color w:val="auto"/>
                <w:szCs w:val="21"/>
              </w:rPr>
              <w:t>物</w:t>
            </w:r>
          </w:p>
        </w:tc>
        <w:tc>
          <w:tcPr>
            <w:tcW w:w="684" w:type="dxa"/>
            <w:vMerge w:val="restart"/>
            <w:vAlign w:val="center"/>
          </w:tcPr>
          <w:p>
            <w:pPr>
              <w:spacing w:line="310" w:lineRule="exact"/>
              <w:jc w:val="center"/>
              <w:textAlignment w:val="baseline"/>
              <w:rPr>
                <w:snapToGrid w:val="0"/>
                <w:color w:val="auto"/>
                <w:szCs w:val="21"/>
              </w:rPr>
            </w:pPr>
            <w:r>
              <w:rPr>
                <w:snapToGrid w:val="0"/>
                <w:color w:val="auto"/>
                <w:szCs w:val="21"/>
              </w:rPr>
              <w:t>施</w:t>
            </w:r>
          </w:p>
          <w:p>
            <w:pPr>
              <w:spacing w:line="310" w:lineRule="exact"/>
              <w:jc w:val="center"/>
              <w:textAlignment w:val="baseline"/>
              <w:rPr>
                <w:snapToGrid w:val="0"/>
                <w:color w:val="auto"/>
                <w:szCs w:val="21"/>
              </w:rPr>
            </w:pPr>
            <w:r>
              <w:rPr>
                <w:snapToGrid w:val="0"/>
                <w:color w:val="auto"/>
                <w:szCs w:val="21"/>
              </w:rPr>
              <w:t>工</w:t>
            </w:r>
          </w:p>
          <w:p>
            <w:pPr>
              <w:spacing w:line="310" w:lineRule="exact"/>
              <w:jc w:val="center"/>
              <w:rPr>
                <w:color w:val="auto"/>
                <w:szCs w:val="21"/>
              </w:rPr>
            </w:pPr>
            <w:r>
              <w:rPr>
                <w:snapToGrid w:val="0"/>
                <w:color w:val="auto"/>
                <w:szCs w:val="21"/>
              </w:rPr>
              <w:t>期</w:t>
            </w:r>
          </w:p>
        </w:tc>
        <w:tc>
          <w:tcPr>
            <w:tcW w:w="1099" w:type="dxa"/>
            <w:vAlign w:val="center"/>
          </w:tcPr>
          <w:p>
            <w:pPr>
              <w:spacing w:line="310" w:lineRule="exact"/>
              <w:rPr>
                <w:rFonts w:hint="eastAsia"/>
                <w:color w:val="auto"/>
                <w:szCs w:val="21"/>
              </w:rPr>
            </w:pPr>
            <w:r>
              <w:rPr>
                <w:rFonts w:hint="eastAsia"/>
                <w:color w:val="auto"/>
                <w:szCs w:val="21"/>
              </w:rPr>
              <w:t>平整场区</w:t>
            </w:r>
          </w:p>
        </w:tc>
        <w:tc>
          <w:tcPr>
            <w:tcW w:w="1208" w:type="dxa"/>
            <w:vAlign w:val="center"/>
          </w:tcPr>
          <w:p>
            <w:pPr>
              <w:spacing w:line="310" w:lineRule="exact"/>
              <w:jc w:val="center"/>
              <w:rPr>
                <w:rFonts w:hint="eastAsia"/>
                <w:color w:val="auto"/>
                <w:szCs w:val="21"/>
              </w:rPr>
            </w:pPr>
            <w:r>
              <w:rPr>
                <w:rFonts w:hint="eastAsia"/>
                <w:color w:val="auto"/>
                <w:szCs w:val="21"/>
              </w:rPr>
              <w:t>土方、装修材料</w:t>
            </w:r>
          </w:p>
        </w:tc>
        <w:tc>
          <w:tcPr>
            <w:tcW w:w="3995" w:type="dxa"/>
            <w:vMerge w:val="restart"/>
            <w:vAlign w:val="center"/>
          </w:tcPr>
          <w:p>
            <w:pPr>
              <w:spacing w:line="310" w:lineRule="exact"/>
              <w:ind w:firstLine="420" w:firstLineChars="200"/>
              <w:rPr>
                <w:rFonts w:hint="eastAsia"/>
                <w:color w:val="auto"/>
                <w:szCs w:val="21"/>
              </w:rPr>
            </w:pPr>
            <w:r>
              <w:rPr>
                <w:rFonts w:hint="eastAsia"/>
                <w:color w:val="auto"/>
                <w:szCs w:val="21"/>
                <w:lang w:eastAsia="zh-CN"/>
              </w:rPr>
              <w:t>淘汰设备出售给回收单位，</w:t>
            </w:r>
            <w:r>
              <w:rPr>
                <w:rFonts w:hint="eastAsia"/>
                <w:color w:val="auto"/>
                <w:szCs w:val="21"/>
              </w:rPr>
              <w:t>照市政部门要求处置。</w:t>
            </w:r>
          </w:p>
        </w:tc>
        <w:tc>
          <w:tcPr>
            <w:tcW w:w="1799" w:type="dxa"/>
            <w:vMerge w:val="restart"/>
            <w:vAlign w:val="center"/>
          </w:tcPr>
          <w:p>
            <w:pPr>
              <w:spacing w:line="310" w:lineRule="exact"/>
              <w:ind w:firstLine="210" w:firstLineChars="100"/>
              <w:rPr>
                <w:rFonts w:hint="eastAsia"/>
                <w:color w:val="auto"/>
                <w:szCs w:val="21"/>
              </w:rPr>
            </w:pPr>
            <w:r>
              <w:rPr>
                <w:rFonts w:hint="eastAsia"/>
                <w:color w:val="auto"/>
                <w:szCs w:val="21"/>
              </w:rPr>
              <w:t>对环境产生</w:t>
            </w:r>
          </w:p>
          <w:p>
            <w:pPr>
              <w:spacing w:line="310" w:lineRule="exact"/>
              <w:ind w:firstLine="210" w:firstLineChars="100"/>
              <w:rPr>
                <w:rFonts w:hint="eastAsia"/>
                <w:color w:val="auto"/>
                <w:szCs w:val="21"/>
              </w:rPr>
            </w:pPr>
            <w:r>
              <w:rPr>
                <w:rFonts w:hint="eastAsia"/>
                <w:color w:val="auto"/>
                <w:szCs w:val="21"/>
              </w:rPr>
              <w:t>的影响不大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83" w:type="dxa"/>
            <w:vMerge w:val="continue"/>
            <w:vAlign w:val="center"/>
          </w:tcPr>
          <w:p>
            <w:pPr>
              <w:spacing w:line="310" w:lineRule="exact"/>
              <w:jc w:val="center"/>
              <w:rPr>
                <w:b/>
                <w:snapToGrid w:val="0"/>
                <w:color w:val="auto"/>
                <w:szCs w:val="21"/>
              </w:rPr>
            </w:pPr>
          </w:p>
        </w:tc>
        <w:tc>
          <w:tcPr>
            <w:tcW w:w="684" w:type="dxa"/>
            <w:vMerge w:val="continue"/>
            <w:vAlign w:val="center"/>
          </w:tcPr>
          <w:p>
            <w:pPr>
              <w:spacing w:line="310" w:lineRule="exact"/>
              <w:jc w:val="center"/>
              <w:textAlignment w:val="baseline"/>
              <w:rPr>
                <w:snapToGrid w:val="0"/>
                <w:color w:val="auto"/>
                <w:szCs w:val="21"/>
              </w:rPr>
            </w:pPr>
          </w:p>
        </w:tc>
        <w:tc>
          <w:tcPr>
            <w:tcW w:w="2307" w:type="dxa"/>
            <w:gridSpan w:val="2"/>
            <w:vAlign w:val="center"/>
          </w:tcPr>
          <w:p>
            <w:pPr>
              <w:jc w:val="center"/>
              <w:rPr>
                <w:rFonts w:hint="eastAsia"/>
                <w:snapToGrid w:val="0"/>
                <w:color w:val="auto"/>
                <w:szCs w:val="21"/>
              </w:rPr>
            </w:pPr>
            <w:r>
              <w:rPr>
                <w:rFonts w:hint="eastAsia"/>
                <w:snapToGrid w:val="0"/>
                <w:color w:val="auto"/>
                <w:szCs w:val="21"/>
              </w:rPr>
              <w:t>建筑垃圾</w:t>
            </w:r>
          </w:p>
        </w:tc>
        <w:tc>
          <w:tcPr>
            <w:tcW w:w="3995" w:type="dxa"/>
            <w:vMerge w:val="continue"/>
            <w:vAlign w:val="center"/>
          </w:tcPr>
          <w:p>
            <w:pPr>
              <w:spacing w:line="310" w:lineRule="exact"/>
              <w:ind w:firstLine="630" w:firstLineChars="300"/>
              <w:rPr>
                <w:rFonts w:hint="eastAsia"/>
                <w:color w:val="auto"/>
                <w:szCs w:val="21"/>
              </w:rPr>
            </w:pPr>
          </w:p>
        </w:tc>
        <w:tc>
          <w:tcPr>
            <w:tcW w:w="1799" w:type="dxa"/>
            <w:vMerge w:val="continue"/>
            <w:vAlign w:val="center"/>
          </w:tcPr>
          <w:p>
            <w:pPr>
              <w:spacing w:line="310" w:lineRule="exact"/>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1099" w:type="dxa"/>
            <w:vAlign w:val="center"/>
          </w:tcPr>
          <w:p>
            <w:pPr>
              <w:spacing w:line="310" w:lineRule="exact"/>
              <w:rPr>
                <w:rFonts w:hint="eastAsia" w:eastAsia="宋体"/>
                <w:color w:val="auto"/>
                <w:szCs w:val="21"/>
                <w:lang w:eastAsia="zh-CN"/>
              </w:rPr>
            </w:pPr>
            <w:r>
              <w:rPr>
                <w:rFonts w:hint="eastAsia"/>
                <w:color w:val="auto"/>
                <w:szCs w:val="21"/>
                <w:lang w:eastAsia="zh-CN"/>
              </w:rPr>
              <w:t>储罐</w:t>
            </w:r>
          </w:p>
        </w:tc>
        <w:tc>
          <w:tcPr>
            <w:tcW w:w="1208" w:type="dxa"/>
            <w:vAlign w:val="center"/>
          </w:tcPr>
          <w:p>
            <w:pPr>
              <w:spacing w:line="310" w:lineRule="exact"/>
              <w:jc w:val="center"/>
              <w:rPr>
                <w:rFonts w:hint="eastAsia" w:eastAsia="宋体"/>
                <w:snapToGrid w:val="0"/>
                <w:color w:val="auto"/>
                <w:szCs w:val="21"/>
                <w:lang w:eastAsia="zh-CN"/>
              </w:rPr>
            </w:pPr>
            <w:r>
              <w:rPr>
                <w:rFonts w:hint="eastAsia"/>
                <w:snapToGrid w:val="0"/>
                <w:color w:val="auto"/>
                <w:szCs w:val="21"/>
                <w:lang w:eastAsia="zh-CN"/>
              </w:rPr>
              <w:t>油渣</w:t>
            </w:r>
          </w:p>
        </w:tc>
        <w:tc>
          <w:tcPr>
            <w:tcW w:w="3995" w:type="dxa"/>
            <w:vAlign w:val="center"/>
          </w:tcPr>
          <w:p>
            <w:pPr>
              <w:spacing w:line="310" w:lineRule="exact"/>
              <w:rPr>
                <w:rFonts w:hint="eastAsia" w:eastAsia="宋体"/>
                <w:color w:val="auto"/>
                <w:szCs w:val="21"/>
                <w:lang w:eastAsia="zh-CN"/>
              </w:rPr>
            </w:pPr>
            <w:r>
              <w:rPr>
                <w:rFonts w:hint="eastAsia"/>
                <w:color w:val="auto"/>
                <w:szCs w:val="21"/>
                <w:lang w:eastAsia="zh-CN"/>
              </w:rPr>
              <w:t>委托有资质的单位清理处置。</w:t>
            </w: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310" w:lineRule="exact"/>
              <w:jc w:val="center"/>
              <w:rPr>
                <w:color w:val="auto"/>
                <w:szCs w:val="21"/>
              </w:rPr>
            </w:pPr>
          </w:p>
        </w:tc>
        <w:tc>
          <w:tcPr>
            <w:tcW w:w="1099" w:type="dxa"/>
            <w:vAlign w:val="center"/>
          </w:tcPr>
          <w:p>
            <w:pPr>
              <w:spacing w:line="310" w:lineRule="exact"/>
              <w:rPr>
                <w:color w:val="auto"/>
                <w:szCs w:val="21"/>
              </w:rPr>
            </w:pPr>
            <w:r>
              <w:rPr>
                <w:color w:val="auto"/>
                <w:szCs w:val="21"/>
              </w:rPr>
              <w:t>施工人员</w:t>
            </w:r>
          </w:p>
        </w:tc>
        <w:tc>
          <w:tcPr>
            <w:tcW w:w="1208" w:type="dxa"/>
            <w:vAlign w:val="center"/>
          </w:tcPr>
          <w:p>
            <w:pPr>
              <w:spacing w:line="310" w:lineRule="exact"/>
              <w:jc w:val="center"/>
              <w:rPr>
                <w:color w:val="auto"/>
                <w:szCs w:val="21"/>
              </w:rPr>
            </w:pPr>
            <w:r>
              <w:rPr>
                <w:snapToGrid w:val="0"/>
                <w:color w:val="auto"/>
                <w:szCs w:val="21"/>
              </w:rPr>
              <w:t>生活垃圾</w:t>
            </w:r>
          </w:p>
        </w:tc>
        <w:tc>
          <w:tcPr>
            <w:tcW w:w="3995" w:type="dxa"/>
            <w:vAlign w:val="center"/>
          </w:tcPr>
          <w:p>
            <w:pPr>
              <w:spacing w:line="310" w:lineRule="exact"/>
              <w:rPr>
                <w:rFonts w:hint="eastAsia"/>
                <w:color w:val="auto"/>
                <w:szCs w:val="21"/>
              </w:rPr>
            </w:pPr>
            <w:r>
              <w:rPr>
                <w:rFonts w:hint="eastAsia"/>
                <w:color w:val="auto"/>
                <w:szCs w:val="21"/>
              </w:rPr>
              <w:t>集中收集</w:t>
            </w:r>
            <w:r>
              <w:rPr>
                <w:rFonts w:hint="eastAsia"/>
                <w:color w:val="auto"/>
                <w:szCs w:val="21"/>
                <w:lang w:eastAsia="zh-CN"/>
              </w:rPr>
              <w:t>后，及时运至蚌峨垃圾处置点</w:t>
            </w:r>
            <w:r>
              <w:rPr>
                <w:rFonts w:hint="eastAsia"/>
                <w:color w:val="auto"/>
                <w:szCs w:val="21"/>
              </w:rPr>
              <w:t>。</w:t>
            </w: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83" w:type="dxa"/>
            <w:vMerge w:val="continue"/>
            <w:vAlign w:val="center"/>
          </w:tcPr>
          <w:p>
            <w:pPr>
              <w:spacing w:line="310" w:lineRule="exact"/>
              <w:jc w:val="center"/>
              <w:rPr>
                <w:color w:val="auto"/>
                <w:szCs w:val="21"/>
              </w:rPr>
            </w:pPr>
          </w:p>
        </w:tc>
        <w:tc>
          <w:tcPr>
            <w:tcW w:w="684" w:type="dxa"/>
            <w:vMerge w:val="restart"/>
            <w:vAlign w:val="center"/>
          </w:tcPr>
          <w:p>
            <w:pPr>
              <w:spacing w:line="240" w:lineRule="exact"/>
              <w:jc w:val="center"/>
              <w:rPr>
                <w:snapToGrid w:val="0"/>
                <w:color w:val="auto"/>
                <w:szCs w:val="21"/>
              </w:rPr>
            </w:pPr>
            <w:r>
              <w:rPr>
                <w:snapToGrid w:val="0"/>
                <w:color w:val="auto"/>
                <w:szCs w:val="21"/>
              </w:rPr>
              <w:t>运</w:t>
            </w:r>
          </w:p>
          <w:p>
            <w:pPr>
              <w:spacing w:line="240" w:lineRule="exact"/>
              <w:jc w:val="center"/>
              <w:rPr>
                <w:snapToGrid w:val="0"/>
                <w:color w:val="auto"/>
                <w:szCs w:val="21"/>
              </w:rPr>
            </w:pPr>
            <w:r>
              <w:rPr>
                <w:snapToGrid w:val="0"/>
                <w:color w:val="auto"/>
                <w:szCs w:val="21"/>
              </w:rPr>
              <w:t>营</w:t>
            </w:r>
          </w:p>
          <w:p>
            <w:pPr>
              <w:spacing w:line="240" w:lineRule="exact"/>
              <w:jc w:val="center"/>
              <w:rPr>
                <w:color w:val="auto"/>
                <w:szCs w:val="21"/>
              </w:rPr>
            </w:pPr>
            <w:r>
              <w:rPr>
                <w:snapToGrid w:val="0"/>
                <w:color w:val="auto"/>
                <w:szCs w:val="21"/>
              </w:rPr>
              <w:t>期</w:t>
            </w:r>
          </w:p>
        </w:tc>
        <w:tc>
          <w:tcPr>
            <w:tcW w:w="1099" w:type="dxa"/>
            <w:vMerge w:val="restart"/>
            <w:vAlign w:val="center"/>
          </w:tcPr>
          <w:p>
            <w:pPr>
              <w:spacing w:line="310" w:lineRule="exact"/>
              <w:jc w:val="center"/>
              <w:rPr>
                <w:rFonts w:hint="eastAsia"/>
                <w:color w:val="auto"/>
                <w:szCs w:val="21"/>
              </w:rPr>
            </w:pPr>
            <w:r>
              <w:rPr>
                <w:rFonts w:hint="eastAsia"/>
                <w:snapToGrid w:val="0"/>
                <w:color w:val="auto"/>
                <w:szCs w:val="21"/>
              </w:rPr>
              <w:t>一般固废</w:t>
            </w:r>
          </w:p>
        </w:tc>
        <w:tc>
          <w:tcPr>
            <w:tcW w:w="1208" w:type="dxa"/>
            <w:vAlign w:val="center"/>
          </w:tcPr>
          <w:p>
            <w:pPr>
              <w:spacing w:line="310" w:lineRule="exact"/>
              <w:jc w:val="center"/>
              <w:rPr>
                <w:rFonts w:hint="eastAsia"/>
                <w:color w:val="auto"/>
                <w:szCs w:val="21"/>
              </w:rPr>
            </w:pPr>
            <w:r>
              <w:rPr>
                <w:rFonts w:hint="eastAsia"/>
                <w:color w:val="auto"/>
                <w:szCs w:val="21"/>
              </w:rPr>
              <w:t>生活垃圾</w:t>
            </w:r>
          </w:p>
        </w:tc>
        <w:tc>
          <w:tcPr>
            <w:tcW w:w="3995" w:type="dxa"/>
            <w:vAlign w:val="center"/>
          </w:tcPr>
          <w:p>
            <w:pPr>
              <w:spacing w:line="310" w:lineRule="exact"/>
              <w:rPr>
                <w:rFonts w:hint="eastAsia"/>
                <w:color w:val="auto"/>
                <w:szCs w:val="21"/>
              </w:rPr>
            </w:pPr>
            <w:r>
              <w:rPr>
                <w:rFonts w:hint="eastAsia"/>
                <w:color w:val="auto"/>
                <w:szCs w:val="21"/>
              </w:rPr>
              <w:t>生活垃圾集中收集，</w:t>
            </w:r>
            <w:r>
              <w:rPr>
                <w:rFonts w:hint="eastAsia"/>
                <w:color w:val="auto"/>
                <w:szCs w:val="21"/>
                <w:lang w:eastAsia="zh-CN"/>
              </w:rPr>
              <w:t>集中收集后及时</w:t>
            </w:r>
            <w:r>
              <w:rPr>
                <w:rFonts w:hint="eastAsia"/>
                <w:color w:val="auto"/>
                <w:szCs w:val="21"/>
              </w:rPr>
              <w:t>处理。</w:t>
            </w: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240" w:lineRule="exact"/>
              <w:jc w:val="center"/>
              <w:rPr>
                <w:snapToGrid w:val="0"/>
                <w:color w:val="auto"/>
                <w:szCs w:val="21"/>
              </w:rPr>
            </w:pPr>
          </w:p>
        </w:tc>
        <w:tc>
          <w:tcPr>
            <w:tcW w:w="1099" w:type="dxa"/>
            <w:vMerge w:val="continue"/>
            <w:vAlign w:val="center"/>
          </w:tcPr>
          <w:p>
            <w:pPr>
              <w:spacing w:line="310" w:lineRule="exact"/>
              <w:jc w:val="center"/>
              <w:rPr>
                <w:snapToGrid w:val="0"/>
                <w:color w:val="auto"/>
                <w:szCs w:val="21"/>
              </w:rPr>
            </w:pPr>
          </w:p>
        </w:tc>
        <w:tc>
          <w:tcPr>
            <w:tcW w:w="1208" w:type="dxa"/>
            <w:vAlign w:val="center"/>
          </w:tcPr>
          <w:p>
            <w:pPr>
              <w:spacing w:line="310" w:lineRule="exact"/>
              <w:jc w:val="center"/>
              <w:rPr>
                <w:rFonts w:hint="eastAsia"/>
                <w:color w:val="auto"/>
                <w:szCs w:val="21"/>
              </w:rPr>
            </w:pPr>
            <w:r>
              <w:rPr>
                <w:rFonts w:hint="eastAsia"/>
                <w:color w:val="auto"/>
                <w:szCs w:val="21"/>
              </w:rPr>
              <w:t>化粪池污泥</w:t>
            </w:r>
          </w:p>
        </w:tc>
        <w:tc>
          <w:tcPr>
            <w:tcW w:w="3995" w:type="dxa"/>
            <w:vAlign w:val="center"/>
          </w:tcPr>
          <w:p>
            <w:pPr>
              <w:spacing w:line="310" w:lineRule="exact"/>
              <w:rPr>
                <w:rFonts w:hint="eastAsia"/>
                <w:color w:val="auto"/>
                <w:szCs w:val="21"/>
              </w:rPr>
            </w:pPr>
            <w:r>
              <w:rPr>
                <w:rFonts w:hint="eastAsia"/>
                <w:color w:val="auto"/>
                <w:szCs w:val="21"/>
              </w:rPr>
              <w:t>化粪池污泥委托周边农户定期清掏，清掏出来用作农肥。</w:t>
            </w: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240" w:lineRule="exact"/>
              <w:jc w:val="center"/>
              <w:rPr>
                <w:snapToGrid w:val="0"/>
                <w:color w:val="auto"/>
                <w:szCs w:val="21"/>
              </w:rPr>
            </w:pPr>
          </w:p>
        </w:tc>
        <w:tc>
          <w:tcPr>
            <w:tcW w:w="1099" w:type="dxa"/>
            <w:vMerge w:val="restart"/>
            <w:vAlign w:val="center"/>
          </w:tcPr>
          <w:p>
            <w:pPr>
              <w:spacing w:line="310" w:lineRule="exact"/>
              <w:jc w:val="center"/>
              <w:rPr>
                <w:rFonts w:hint="eastAsia"/>
                <w:snapToGrid w:val="0"/>
                <w:color w:val="auto"/>
                <w:szCs w:val="21"/>
              </w:rPr>
            </w:pPr>
            <w:r>
              <w:rPr>
                <w:rFonts w:hint="eastAsia"/>
                <w:snapToGrid w:val="0"/>
                <w:color w:val="auto"/>
                <w:szCs w:val="21"/>
              </w:rPr>
              <w:t>危废</w:t>
            </w:r>
          </w:p>
        </w:tc>
        <w:tc>
          <w:tcPr>
            <w:tcW w:w="1208" w:type="dxa"/>
            <w:vAlign w:val="center"/>
          </w:tcPr>
          <w:p>
            <w:pPr>
              <w:spacing w:line="310" w:lineRule="exact"/>
              <w:jc w:val="center"/>
              <w:rPr>
                <w:rFonts w:hint="eastAsia" w:eastAsia="宋体"/>
                <w:color w:val="auto"/>
                <w:szCs w:val="21"/>
                <w:lang w:eastAsia="zh-CN"/>
              </w:rPr>
            </w:pPr>
            <w:r>
              <w:rPr>
                <w:rFonts w:hint="eastAsia"/>
                <w:color w:val="auto"/>
                <w:szCs w:val="21"/>
                <w:lang w:eastAsia="zh-CN"/>
              </w:rPr>
              <w:t>储罐油渣</w:t>
            </w:r>
          </w:p>
        </w:tc>
        <w:tc>
          <w:tcPr>
            <w:tcW w:w="3995" w:type="dxa"/>
            <w:vAlign w:val="center"/>
          </w:tcPr>
          <w:p>
            <w:pPr>
              <w:spacing w:line="310" w:lineRule="exact"/>
              <w:rPr>
                <w:rFonts w:hint="eastAsia"/>
                <w:color w:val="auto"/>
                <w:szCs w:val="21"/>
              </w:rPr>
            </w:pPr>
            <w:r>
              <w:rPr>
                <w:rFonts w:hint="eastAsia"/>
                <w:color w:val="auto"/>
                <w:szCs w:val="21"/>
              </w:rPr>
              <w:t>委托有资质的单位定期清掏，及时处置，不在场区暂存。</w:t>
            </w: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240" w:lineRule="exact"/>
              <w:jc w:val="center"/>
              <w:rPr>
                <w:snapToGrid w:val="0"/>
                <w:color w:val="auto"/>
                <w:szCs w:val="21"/>
              </w:rPr>
            </w:pPr>
          </w:p>
        </w:tc>
        <w:tc>
          <w:tcPr>
            <w:tcW w:w="1099" w:type="dxa"/>
            <w:vMerge w:val="continue"/>
            <w:vAlign w:val="center"/>
          </w:tcPr>
          <w:p>
            <w:pPr>
              <w:spacing w:line="310" w:lineRule="exact"/>
              <w:jc w:val="center"/>
              <w:rPr>
                <w:snapToGrid w:val="0"/>
                <w:color w:val="auto"/>
                <w:szCs w:val="21"/>
              </w:rPr>
            </w:pPr>
          </w:p>
        </w:tc>
        <w:tc>
          <w:tcPr>
            <w:tcW w:w="1208" w:type="dxa"/>
            <w:vAlign w:val="center"/>
          </w:tcPr>
          <w:p>
            <w:pPr>
              <w:spacing w:line="310" w:lineRule="exact"/>
              <w:jc w:val="center"/>
              <w:rPr>
                <w:rFonts w:hint="eastAsia"/>
                <w:color w:val="auto"/>
                <w:szCs w:val="21"/>
              </w:rPr>
            </w:pPr>
            <w:r>
              <w:rPr>
                <w:rFonts w:hint="eastAsia"/>
                <w:snapToGrid w:val="0"/>
                <w:color w:val="auto"/>
                <w:szCs w:val="21"/>
              </w:rPr>
              <w:t>水封井油污</w:t>
            </w:r>
          </w:p>
        </w:tc>
        <w:tc>
          <w:tcPr>
            <w:tcW w:w="3995" w:type="dxa"/>
            <w:vAlign w:val="center"/>
          </w:tcPr>
          <w:p>
            <w:pPr>
              <w:spacing w:line="310" w:lineRule="exact"/>
              <w:rPr>
                <w:rFonts w:hint="eastAsia"/>
                <w:color w:val="auto"/>
                <w:szCs w:val="21"/>
              </w:rPr>
            </w:pPr>
            <w:r>
              <w:rPr>
                <w:rFonts w:hint="eastAsia"/>
                <w:color w:val="auto"/>
                <w:szCs w:val="21"/>
              </w:rPr>
              <w:t>委托有资质的单位定期清掏，及时处置，不在场区暂存。</w:t>
            </w: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83" w:type="dxa"/>
            <w:vMerge w:val="continue"/>
            <w:vAlign w:val="center"/>
          </w:tcPr>
          <w:p>
            <w:pPr>
              <w:spacing w:line="310" w:lineRule="exact"/>
              <w:jc w:val="center"/>
              <w:rPr>
                <w:color w:val="auto"/>
                <w:szCs w:val="21"/>
              </w:rPr>
            </w:pPr>
          </w:p>
        </w:tc>
        <w:tc>
          <w:tcPr>
            <w:tcW w:w="684" w:type="dxa"/>
            <w:vMerge w:val="continue"/>
            <w:vAlign w:val="center"/>
          </w:tcPr>
          <w:p>
            <w:pPr>
              <w:spacing w:line="240" w:lineRule="exact"/>
              <w:jc w:val="center"/>
              <w:rPr>
                <w:snapToGrid w:val="0"/>
                <w:color w:val="auto"/>
                <w:szCs w:val="21"/>
              </w:rPr>
            </w:pPr>
          </w:p>
        </w:tc>
        <w:tc>
          <w:tcPr>
            <w:tcW w:w="1099" w:type="dxa"/>
            <w:vMerge w:val="continue"/>
            <w:vAlign w:val="center"/>
          </w:tcPr>
          <w:p>
            <w:pPr>
              <w:spacing w:line="310" w:lineRule="exact"/>
              <w:jc w:val="center"/>
              <w:rPr>
                <w:rFonts w:hint="eastAsia"/>
                <w:snapToGrid w:val="0"/>
                <w:color w:val="auto"/>
                <w:szCs w:val="21"/>
              </w:rPr>
            </w:pPr>
          </w:p>
        </w:tc>
        <w:tc>
          <w:tcPr>
            <w:tcW w:w="1208" w:type="dxa"/>
            <w:vAlign w:val="center"/>
          </w:tcPr>
          <w:p>
            <w:pPr>
              <w:spacing w:line="310" w:lineRule="exact"/>
              <w:jc w:val="center"/>
              <w:rPr>
                <w:rFonts w:hint="eastAsia" w:eastAsia="宋体"/>
                <w:snapToGrid w:val="0"/>
                <w:color w:val="auto"/>
                <w:szCs w:val="21"/>
                <w:lang w:eastAsia="zh-CN"/>
              </w:rPr>
            </w:pPr>
            <w:r>
              <w:rPr>
                <w:rFonts w:hint="eastAsia"/>
                <w:color w:val="auto"/>
                <w:szCs w:val="21"/>
                <w:lang w:eastAsia="zh-CN"/>
              </w:rPr>
              <w:t>含有消防沙</w:t>
            </w:r>
          </w:p>
        </w:tc>
        <w:tc>
          <w:tcPr>
            <w:tcW w:w="3995" w:type="dxa"/>
            <w:vAlign w:val="center"/>
          </w:tcPr>
          <w:p>
            <w:pPr>
              <w:spacing w:line="310" w:lineRule="exact"/>
              <w:rPr>
                <w:color w:val="auto"/>
                <w:szCs w:val="21"/>
              </w:rPr>
            </w:pPr>
            <w:r>
              <w:rPr>
                <w:rFonts w:hint="eastAsia"/>
                <w:color w:val="auto"/>
                <w:szCs w:val="21"/>
                <w:lang w:eastAsia="zh-CN"/>
              </w:rPr>
              <w:t>临时存储在危废暂存间，委托有资质的单位处理</w:t>
            </w:r>
            <w:r>
              <w:rPr>
                <w:rFonts w:hint="eastAsia"/>
                <w:color w:val="auto"/>
                <w:szCs w:val="21"/>
              </w:rPr>
              <w:t>。</w:t>
            </w:r>
          </w:p>
          <w:p>
            <w:pPr>
              <w:spacing w:line="310" w:lineRule="exact"/>
              <w:rPr>
                <w:rFonts w:hint="eastAsia"/>
                <w:color w:val="auto"/>
                <w:szCs w:val="21"/>
              </w:rPr>
            </w:pPr>
          </w:p>
        </w:tc>
        <w:tc>
          <w:tcPr>
            <w:tcW w:w="1799" w:type="dxa"/>
            <w:vMerge w:val="continue"/>
            <w:vAlign w:val="center"/>
          </w:tcPr>
          <w:p>
            <w:pPr>
              <w:spacing w:line="310" w:lineRule="exact"/>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9468" w:type="dxa"/>
            <w:gridSpan w:val="6"/>
            <w:vAlign w:val="top"/>
          </w:tcPr>
          <w:p>
            <w:pPr>
              <w:spacing w:line="360" w:lineRule="auto"/>
              <w:rPr>
                <w:b/>
                <w:color w:val="auto"/>
                <w:sz w:val="24"/>
              </w:rPr>
            </w:pPr>
            <w:r>
              <w:rPr>
                <w:b/>
                <w:color w:val="auto"/>
                <w:sz w:val="24"/>
              </w:rPr>
              <w:t>生态保护措施及预期效果</w:t>
            </w:r>
          </w:p>
          <w:p>
            <w:pPr>
              <w:spacing w:line="360" w:lineRule="auto"/>
              <w:ind w:firstLine="480" w:firstLineChars="200"/>
              <w:rPr>
                <w:rFonts w:hint="eastAsia"/>
                <w:color w:val="auto"/>
                <w:sz w:val="24"/>
              </w:rPr>
            </w:pPr>
            <w:r>
              <w:rPr>
                <w:rFonts w:hint="eastAsia"/>
                <w:color w:val="auto"/>
                <w:sz w:val="24"/>
              </w:rPr>
              <w:t>项目建设过程中，进行开挖、铺填等基础施工作业时会对周边生态环境造成一定的影响，所以，环评建议应采取如下措施：</w:t>
            </w:r>
          </w:p>
          <w:p>
            <w:pPr>
              <w:numPr>
                <w:ilvl w:val="0"/>
                <w:numId w:val="13"/>
              </w:numPr>
              <w:spacing w:line="360" w:lineRule="auto"/>
              <w:ind w:firstLine="480" w:firstLineChars="200"/>
              <w:rPr>
                <w:rFonts w:hint="eastAsia"/>
                <w:color w:val="auto"/>
                <w:sz w:val="24"/>
                <w:lang w:eastAsia="zh-CN"/>
              </w:rPr>
            </w:pPr>
            <w:r>
              <w:rPr>
                <w:rFonts w:hint="eastAsia"/>
                <w:color w:val="auto"/>
                <w:sz w:val="24"/>
                <w:lang w:eastAsia="zh-CN"/>
              </w:rPr>
              <w:t>项目施工时设置挡墙，场区平整、地基、水封井、管网等开挖</w:t>
            </w:r>
            <w:r>
              <w:rPr>
                <w:rFonts w:hint="eastAsia"/>
                <w:color w:val="auto"/>
                <w:sz w:val="24"/>
              </w:rPr>
              <w:t>时应避开雨季进行，</w:t>
            </w:r>
            <w:r>
              <w:rPr>
                <w:rFonts w:hint="eastAsia"/>
                <w:color w:val="auto"/>
                <w:sz w:val="24"/>
                <w:lang w:eastAsia="zh-CN"/>
              </w:rPr>
              <w:t>产生的土石厂及时清运，不在场区进行存储场地平整过程需要不断的洒水抑尘。</w:t>
            </w:r>
          </w:p>
          <w:p>
            <w:pPr>
              <w:numPr>
                <w:ilvl w:val="0"/>
                <w:numId w:val="13"/>
              </w:numPr>
              <w:spacing w:line="360" w:lineRule="auto"/>
              <w:ind w:firstLine="480" w:firstLineChars="200"/>
              <w:rPr>
                <w:rFonts w:hint="eastAsia"/>
                <w:color w:val="auto"/>
                <w:sz w:val="24"/>
              </w:rPr>
            </w:pPr>
            <w:r>
              <w:rPr>
                <w:rFonts w:hint="eastAsia"/>
                <w:color w:val="auto"/>
                <w:sz w:val="24"/>
                <w:lang w:eastAsia="zh-CN"/>
              </w:rPr>
              <w:t>设置截洪沟和施工废水收集池。</w:t>
            </w:r>
          </w:p>
          <w:p>
            <w:pPr>
              <w:numPr>
                <w:ilvl w:val="0"/>
                <w:numId w:val="13"/>
              </w:numPr>
              <w:spacing w:line="360" w:lineRule="auto"/>
              <w:ind w:firstLine="480" w:firstLineChars="200"/>
              <w:rPr>
                <w:rFonts w:hint="eastAsia"/>
                <w:color w:val="auto"/>
                <w:sz w:val="24"/>
              </w:rPr>
            </w:pPr>
            <w:r>
              <w:rPr>
                <w:rFonts w:hint="eastAsia"/>
                <w:color w:val="auto"/>
                <w:sz w:val="24"/>
              </w:rPr>
              <w:t>堆积在场区内的</w:t>
            </w:r>
            <w:r>
              <w:rPr>
                <w:rFonts w:hint="eastAsia"/>
                <w:color w:val="auto"/>
                <w:sz w:val="24"/>
                <w:lang w:eastAsia="zh-CN"/>
              </w:rPr>
              <w:t>建筑用砂等</w:t>
            </w:r>
            <w:r>
              <w:rPr>
                <w:rFonts w:hint="eastAsia"/>
                <w:color w:val="auto"/>
                <w:sz w:val="24"/>
              </w:rPr>
              <w:t>顶部覆盖篷布，以防</w:t>
            </w:r>
            <w:r>
              <w:rPr>
                <w:rFonts w:hint="eastAsia"/>
                <w:color w:val="auto"/>
                <w:sz w:val="24"/>
                <w:lang w:eastAsia="zh-CN"/>
              </w:rPr>
              <w:t>雨水冲刷</w:t>
            </w:r>
            <w:r>
              <w:rPr>
                <w:rFonts w:hint="eastAsia"/>
                <w:color w:val="auto"/>
                <w:sz w:val="24"/>
              </w:rPr>
              <w:t>或粉尘对周边生态环境造成的影响</w:t>
            </w:r>
            <w:r>
              <w:rPr>
                <w:rFonts w:hint="eastAsia"/>
                <w:color w:val="auto"/>
                <w:sz w:val="24"/>
                <w:lang w:eastAsia="zh-CN"/>
              </w:rPr>
              <w:t>。</w:t>
            </w:r>
          </w:p>
          <w:p>
            <w:pPr>
              <w:numPr>
                <w:ilvl w:val="0"/>
                <w:numId w:val="0"/>
              </w:numPr>
              <w:spacing w:line="360" w:lineRule="auto"/>
              <w:ind w:firstLine="480" w:firstLineChars="200"/>
              <w:rPr>
                <w:rFonts w:hint="eastAsia"/>
                <w:color w:val="auto"/>
                <w:sz w:val="24"/>
              </w:rPr>
            </w:pPr>
            <w:r>
              <w:rPr>
                <w:rFonts w:hint="eastAsia"/>
                <w:color w:val="auto"/>
                <w:sz w:val="24"/>
              </w:rPr>
              <w:t>项目设有</w:t>
            </w:r>
            <w:r>
              <w:rPr>
                <w:rFonts w:hint="eastAsia"/>
                <w:color w:val="auto"/>
                <w:sz w:val="24"/>
                <w:lang w:val="en-US" w:eastAsia="zh-CN"/>
              </w:rPr>
              <w:t>20m</w:t>
            </w:r>
            <w:r>
              <w:rPr>
                <w:rFonts w:hint="eastAsia"/>
                <w:color w:val="auto"/>
                <w:sz w:val="24"/>
                <w:vertAlign w:val="superscript"/>
                <w:lang w:val="en-US" w:eastAsia="zh-CN"/>
              </w:rPr>
              <w:t>2</w:t>
            </w:r>
            <w:r>
              <w:rPr>
                <w:rFonts w:hint="eastAsia"/>
                <w:color w:val="auto"/>
                <w:sz w:val="24"/>
              </w:rPr>
              <w:t>的绿化用地</w:t>
            </w:r>
            <w:r>
              <w:rPr>
                <w:rFonts w:hint="eastAsia"/>
                <w:color w:val="auto"/>
                <w:sz w:val="24"/>
                <w:lang w:eastAsia="zh-CN"/>
              </w:rPr>
              <w:t>。</w:t>
            </w:r>
          </w:p>
          <w:p>
            <w:pPr>
              <w:numPr>
                <w:ilvl w:val="0"/>
                <w:numId w:val="0"/>
              </w:numPr>
              <w:spacing w:line="360" w:lineRule="auto"/>
              <w:rPr>
                <w:rFonts w:hint="eastAsia"/>
                <w:color w:val="auto"/>
                <w:sz w:val="24"/>
              </w:rPr>
            </w:pPr>
          </w:p>
        </w:tc>
      </w:tr>
    </w:tbl>
    <w:tbl>
      <w:tblPr>
        <w:tblStyle w:val="23"/>
        <w:tblW w:w="9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9"/>
        <w:gridCol w:w="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277" w:type="dxa"/>
            <w:gridSpan w:val="2"/>
            <w:tcBorders>
              <w:top w:val="nil"/>
              <w:left w:val="nil"/>
              <w:right w:val="nil"/>
            </w:tcBorders>
            <w:vAlign w:val="top"/>
          </w:tcPr>
          <w:p>
            <w:pPr>
              <w:spacing w:line="500" w:lineRule="exact"/>
              <w:rPr>
                <w:b/>
                <w:color w:val="auto"/>
                <w:sz w:val="32"/>
                <w:szCs w:val="32"/>
              </w:rPr>
            </w:pPr>
            <w:r>
              <w:rPr>
                <w:rFonts w:hAnsi="宋体"/>
                <w:b/>
                <w:color w:val="auto"/>
                <w:sz w:val="32"/>
                <w:szCs w:val="32"/>
              </w:rPr>
              <w:t>表九</w:t>
            </w:r>
            <w:r>
              <w:rPr>
                <w:rFonts w:hint="eastAsia" w:hAnsi="宋体"/>
                <w:b/>
                <w:color w:val="auto"/>
                <w:sz w:val="32"/>
                <w:szCs w:val="32"/>
              </w:rPr>
              <w:t>、</w:t>
            </w:r>
            <w:r>
              <w:rPr>
                <w:rFonts w:hAnsi="宋体"/>
                <w:b/>
                <w:color w:val="auto"/>
                <w:sz w:val="32"/>
                <w:szCs w:val="32"/>
              </w:rPr>
              <w:t>结论和建议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9" w:hRule="atLeast"/>
          <w:jc w:val="center"/>
        </w:trPr>
        <w:tc>
          <w:tcPr>
            <w:tcW w:w="9277" w:type="dxa"/>
            <w:gridSpan w:val="2"/>
            <w:tcMar>
              <w:top w:w="85" w:type="dxa"/>
              <w:bottom w:w="85" w:type="dxa"/>
            </w:tcMar>
            <w:vAlign w:val="top"/>
          </w:tcPr>
          <w:p>
            <w:pPr>
              <w:widowControl/>
              <w:spacing w:line="360" w:lineRule="auto"/>
              <w:jc w:val="left"/>
              <w:rPr>
                <w:rFonts w:hint="eastAsia" w:ascii="宋体" w:hAnsi="宋体" w:cs="宋体"/>
                <w:b/>
                <w:color w:val="auto"/>
                <w:kern w:val="0"/>
                <w:sz w:val="24"/>
              </w:rPr>
            </w:pPr>
            <w:r>
              <w:rPr>
                <w:rFonts w:hint="eastAsia" w:ascii="宋体" w:hAnsi="宋体" w:cs="宋体"/>
                <w:b/>
                <w:color w:val="auto"/>
                <w:kern w:val="0"/>
                <w:sz w:val="24"/>
              </w:rPr>
              <w:t>一、结论</w:t>
            </w:r>
          </w:p>
          <w:p>
            <w:pPr>
              <w:adjustRightInd w:val="0"/>
              <w:snapToGrid w:val="0"/>
              <w:spacing w:line="360" w:lineRule="auto"/>
              <w:ind w:firstLine="472" w:firstLineChars="196"/>
              <w:jc w:val="left"/>
              <w:rPr>
                <w:b/>
                <w:bCs/>
                <w:color w:val="auto"/>
                <w:sz w:val="24"/>
              </w:rPr>
            </w:pPr>
            <w:r>
              <w:rPr>
                <w:rFonts w:hint="eastAsia"/>
                <w:b/>
                <w:bCs/>
                <w:color w:val="auto"/>
                <w:sz w:val="24"/>
              </w:rPr>
              <w:t>1、</w:t>
            </w:r>
            <w:r>
              <w:rPr>
                <w:rFonts w:hAnsi="宋体"/>
                <w:b/>
                <w:bCs/>
                <w:color w:val="auto"/>
                <w:sz w:val="24"/>
              </w:rPr>
              <w:t>产业政策符合性结论</w:t>
            </w:r>
          </w:p>
          <w:p>
            <w:pPr>
              <w:adjustRightInd w:val="0"/>
              <w:snapToGrid w:val="0"/>
              <w:spacing w:line="360" w:lineRule="auto"/>
              <w:ind w:firstLine="480" w:firstLineChars="200"/>
              <w:jc w:val="left"/>
              <w:rPr>
                <w:rFonts w:hint="eastAsia"/>
                <w:b/>
                <w:bCs/>
                <w:color w:val="auto"/>
                <w:sz w:val="24"/>
              </w:rPr>
            </w:pPr>
            <w:bookmarkStart w:id="36" w:name="OLE_LINK31"/>
            <w:r>
              <w:rPr>
                <w:rFonts w:hAnsi="宋体"/>
                <w:bCs/>
                <w:color w:val="auto"/>
                <w:sz w:val="24"/>
              </w:rPr>
              <w:t>本项目建设不属于国家发展改革委员《产业结构调整指导目录</w:t>
            </w:r>
            <w:r>
              <w:rPr>
                <w:rFonts w:hint="eastAsia"/>
                <w:bCs/>
                <w:color w:val="auto"/>
                <w:sz w:val="24"/>
              </w:rPr>
              <w:t>（</w:t>
            </w:r>
            <w:r>
              <w:rPr>
                <w:bCs/>
                <w:color w:val="auto"/>
                <w:sz w:val="24"/>
              </w:rPr>
              <w:t>2011</w:t>
            </w:r>
            <w:r>
              <w:rPr>
                <w:rFonts w:hAnsi="宋体"/>
                <w:bCs/>
                <w:color w:val="auto"/>
                <w:sz w:val="24"/>
              </w:rPr>
              <w:t>年本</w:t>
            </w:r>
            <w:r>
              <w:rPr>
                <w:rFonts w:hint="eastAsia"/>
                <w:bCs/>
                <w:color w:val="auto"/>
                <w:sz w:val="24"/>
              </w:rPr>
              <w:t>）</w:t>
            </w:r>
            <w:r>
              <w:rPr>
                <w:rFonts w:hAnsi="宋体"/>
                <w:bCs/>
                <w:color w:val="auto"/>
                <w:sz w:val="24"/>
              </w:rPr>
              <w:t>》和</w:t>
            </w:r>
            <w:r>
              <w:rPr>
                <w:rFonts w:hAnsi="宋体"/>
                <w:color w:val="auto"/>
                <w:sz w:val="24"/>
              </w:rPr>
              <w:t>《云南省工业产业结构调整指导目录（</w:t>
            </w:r>
            <w:r>
              <w:rPr>
                <w:color w:val="auto"/>
                <w:sz w:val="24"/>
              </w:rPr>
              <w:t>2006</w:t>
            </w:r>
            <w:r>
              <w:rPr>
                <w:rFonts w:hAnsi="宋体"/>
                <w:color w:val="auto"/>
                <w:sz w:val="24"/>
              </w:rPr>
              <w:t>年本）》</w:t>
            </w:r>
            <w:r>
              <w:rPr>
                <w:rFonts w:hAnsi="宋体"/>
                <w:bCs/>
                <w:color w:val="auto"/>
                <w:sz w:val="24"/>
              </w:rPr>
              <w:t>中限制和淘汰类规定的范围，</w:t>
            </w:r>
            <w:r>
              <w:rPr>
                <w:rFonts w:hAnsi="宋体"/>
                <w:color w:val="auto"/>
                <w:sz w:val="24"/>
              </w:rPr>
              <w:t>项目符合国家当前的产业政策。</w:t>
            </w:r>
          </w:p>
          <w:bookmarkEnd w:id="36"/>
          <w:p>
            <w:pPr>
              <w:adjustRightInd w:val="0"/>
              <w:snapToGrid w:val="0"/>
              <w:spacing w:line="360" w:lineRule="auto"/>
              <w:ind w:firstLine="472" w:firstLineChars="196"/>
              <w:jc w:val="left"/>
              <w:rPr>
                <w:b/>
                <w:color w:val="auto"/>
                <w:sz w:val="24"/>
                <w:lang w:val="zh-CN"/>
              </w:rPr>
            </w:pPr>
            <w:r>
              <w:rPr>
                <w:rFonts w:hint="eastAsia"/>
                <w:b/>
                <w:color w:val="auto"/>
                <w:sz w:val="24"/>
                <w:lang w:val="zh-CN"/>
              </w:rPr>
              <w:t>2、</w:t>
            </w:r>
            <w:r>
              <w:rPr>
                <w:rFonts w:hAnsi="宋体"/>
                <w:b/>
                <w:color w:val="auto"/>
                <w:sz w:val="24"/>
                <w:lang w:val="zh-CN"/>
              </w:rPr>
              <w:t>场址选址合理性分析结论</w:t>
            </w:r>
          </w:p>
          <w:p>
            <w:pPr>
              <w:adjustRightInd w:val="0"/>
              <w:snapToGrid w:val="0"/>
              <w:spacing w:line="360" w:lineRule="auto"/>
              <w:ind w:firstLine="480" w:firstLineChars="200"/>
              <w:jc w:val="left"/>
              <w:rPr>
                <w:rFonts w:hint="eastAsia"/>
                <w:snapToGrid w:val="0"/>
                <w:color w:val="auto"/>
                <w:kern w:val="0"/>
                <w:sz w:val="24"/>
              </w:rPr>
            </w:pPr>
            <w:r>
              <w:rPr>
                <w:rFonts w:hint="eastAsia" w:ascii="宋体" w:hAnsi="宋体"/>
                <w:color w:val="auto"/>
                <w:sz w:val="24"/>
                <w:lang w:eastAsia="zh-CN"/>
              </w:rPr>
              <w:t>项目位于砚山县蚌峨乡蚌峨新寨，项目东侧靠近乡道者蚌段，北侧</w:t>
            </w:r>
            <w:r>
              <w:rPr>
                <w:rFonts w:hint="eastAsia" w:ascii="宋体" w:hAnsi="宋体"/>
                <w:color w:val="auto"/>
                <w:sz w:val="24"/>
                <w:lang w:val="en-US" w:eastAsia="zh-CN"/>
              </w:rPr>
              <w:t>20m处为私人住户，南侧15m处为私人住户，西南侧25m处为私人住户，西侧15m处为私人住户，东北、东南20m处为私人住户，东侧15m、东北60m处为旱地，主要种植包谷等作物，项目西北侧45m、西南侧50m坡地生长着地方性灌木，植被覆盖率一般，项目东南侧303m处为旱地，主要种植包谷等</w:t>
            </w:r>
            <w:r>
              <w:rPr>
                <w:rFonts w:hint="eastAsia" w:ascii="Times New Roman" w:hAnsi="Times New Roman" w:eastAsia="宋体"/>
                <w:color w:val="auto"/>
                <w:sz w:val="24"/>
                <w:lang w:val="en-US" w:eastAsia="zh-CN"/>
              </w:rPr>
              <w:t>，</w:t>
            </w:r>
            <w:r>
              <w:rPr>
                <w:rFonts w:hint="eastAsia"/>
                <w:color w:val="auto"/>
                <w:sz w:val="24"/>
              </w:rPr>
              <w:t>外环境较为简单，无明显制约因素，项目选择在该地没有改变区域的产业、环境功能，外环境对项目影响较小从环境影响角度分析，项目选址是合理的</w:t>
            </w:r>
            <w:r>
              <w:rPr>
                <w:rFonts w:hint="eastAsia"/>
                <w:snapToGrid w:val="0"/>
                <w:color w:val="auto"/>
                <w:kern w:val="0"/>
                <w:sz w:val="24"/>
              </w:rPr>
              <w:t>。</w:t>
            </w:r>
          </w:p>
          <w:p>
            <w:pPr>
              <w:adjustRightInd w:val="0"/>
              <w:snapToGrid w:val="0"/>
              <w:spacing w:line="400" w:lineRule="exact"/>
              <w:ind w:firstLine="482" w:firstLineChars="200"/>
              <w:jc w:val="left"/>
              <w:rPr>
                <w:rFonts w:hAnsi="宋体"/>
                <w:b/>
                <w:color w:val="auto"/>
                <w:sz w:val="24"/>
                <w:lang w:val="zh-CN"/>
              </w:rPr>
            </w:pPr>
            <w:r>
              <w:rPr>
                <w:rFonts w:hint="eastAsia" w:hAnsi="宋体"/>
                <w:b/>
                <w:color w:val="auto"/>
                <w:sz w:val="24"/>
                <w:lang w:val="zh-CN"/>
              </w:rPr>
              <w:t>3、环境</w:t>
            </w:r>
            <w:r>
              <w:rPr>
                <w:rFonts w:hAnsi="宋体"/>
                <w:b/>
                <w:color w:val="auto"/>
                <w:sz w:val="24"/>
                <w:lang w:val="zh-CN"/>
              </w:rPr>
              <w:t>影响分析结论</w:t>
            </w:r>
          </w:p>
          <w:p>
            <w:pPr>
              <w:spacing w:line="360" w:lineRule="auto"/>
              <w:ind w:firstLine="480" w:firstLineChars="200"/>
              <w:rPr>
                <w:color w:val="auto"/>
                <w:sz w:val="24"/>
              </w:rPr>
            </w:pPr>
            <w:r>
              <w:rPr>
                <w:rFonts w:hint="eastAsia" w:hAnsi="宋体"/>
                <w:color w:val="auto"/>
                <w:sz w:val="24"/>
              </w:rPr>
              <w:t>（1）</w:t>
            </w:r>
            <w:r>
              <w:rPr>
                <w:rFonts w:hAnsi="宋体"/>
                <w:color w:val="auto"/>
                <w:sz w:val="24"/>
              </w:rPr>
              <w:t>项目施工期会对周围环境产生一定的不利影响，但在采取有效的控制措施后，施工粉尘、废水、废气、固体废物、噪声等均可控制在环境可接受程度，并随施工活动的结束而消除。</w:t>
            </w:r>
          </w:p>
          <w:p>
            <w:pPr>
              <w:spacing w:line="360" w:lineRule="auto"/>
              <w:ind w:firstLine="480" w:firstLineChars="200"/>
              <w:rPr>
                <w:rFonts w:hint="eastAsia"/>
                <w:color w:val="auto"/>
                <w:sz w:val="24"/>
              </w:rPr>
            </w:pPr>
            <w:r>
              <w:rPr>
                <w:rFonts w:hint="eastAsia"/>
                <w:color w:val="auto"/>
                <w:sz w:val="24"/>
              </w:rPr>
              <w:t>（2）</w:t>
            </w:r>
            <w:r>
              <w:rPr>
                <w:color w:val="auto"/>
                <w:sz w:val="24"/>
              </w:rPr>
              <w:t>项目</w:t>
            </w:r>
            <w:r>
              <w:rPr>
                <w:rFonts w:hint="eastAsia"/>
                <w:color w:val="auto"/>
                <w:sz w:val="24"/>
              </w:rPr>
              <w:t>运营</w:t>
            </w:r>
            <w:r>
              <w:rPr>
                <w:color w:val="auto"/>
                <w:sz w:val="24"/>
              </w:rPr>
              <w:t>期会对周围环境排放废水、废气、固体废物和噪声等，对环境产生一定的不利影响。项目在确定建设和营运方案时，充分考虑了上述影响，对主要污染物排放源采取了相应防治措施，本报告表也作了相应的补充和要求，从而使项目运行期对环境的影响得以消除或缓解，项目建设</w:t>
            </w:r>
            <w:r>
              <w:rPr>
                <w:rFonts w:hint="eastAsia"/>
                <w:color w:val="auto"/>
                <w:sz w:val="24"/>
                <w:lang w:val="en-US" w:eastAsia="zh-CN"/>
              </w:rPr>
              <w:t>20m</w:t>
            </w:r>
            <w:r>
              <w:rPr>
                <w:rFonts w:hint="eastAsia"/>
                <w:color w:val="auto"/>
                <w:sz w:val="24"/>
                <w:vertAlign w:val="superscript"/>
                <w:lang w:val="en-US" w:eastAsia="zh-CN"/>
              </w:rPr>
              <w:t>2</w:t>
            </w:r>
            <w:r>
              <w:rPr>
                <w:color w:val="auto"/>
                <w:sz w:val="24"/>
              </w:rPr>
              <w:t>的绿化，这对改善</w:t>
            </w:r>
            <w:r>
              <w:rPr>
                <w:rFonts w:hint="eastAsia"/>
                <w:color w:val="auto"/>
                <w:sz w:val="24"/>
              </w:rPr>
              <w:t>区域</w:t>
            </w:r>
            <w:r>
              <w:rPr>
                <w:color w:val="auto"/>
                <w:sz w:val="24"/>
              </w:rPr>
              <w:t>内及周围生态环境起到了积极的作用。</w:t>
            </w:r>
          </w:p>
          <w:p>
            <w:pPr>
              <w:spacing w:line="360" w:lineRule="auto"/>
              <w:ind w:firstLine="480" w:firstLineChars="200"/>
              <w:rPr>
                <w:rFonts w:hint="eastAsia"/>
                <w:color w:val="auto"/>
                <w:sz w:val="24"/>
                <w:lang w:val="en-US" w:eastAsia="zh-CN"/>
              </w:rPr>
            </w:pPr>
            <w:r>
              <w:rPr>
                <w:rFonts w:hAnsi="宋体"/>
                <w:color w:val="auto"/>
                <w:sz w:val="24"/>
              </w:rPr>
              <w:t>本环评在</w:t>
            </w:r>
            <w:r>
              <w:rPr>
                <w:rFonts w:hint="eastAsia" w:hAnsi="宋体"/>
                <w:color w:val="auto"/>
                <w:sz w:val="24"/>
              </w:rPr>
              <w:t>充分考虑各项环境不利因素下，</w:t>
            </w:r>
            <w:r>
              <w:rPr>
                <w:rFonts w:hAnsi="宋体"/>
                <w:color w:val="auto"/>
                <w:sz w:val="24"/>
              </w:rPr>
              <w:t>作出了相应的要求，</w:t>
            </w:r>
            <w:r>
              <w:rPr>
                <w:rFonts w:hAnsi="宋体"/>
                <w:color w:val="auto"/>
                <w:sz w:val="24"/>
                <w:lang w:val="zh-CN"/>
              </w:rPr>
              <w:t>从而使项目运营期对环境的影响得以消除或缓解</w:t>
            </w:r>
            <w:r>
              <w:rPr>
                <w:rFonts w:hint="eastAsia"/>
                <w:color w:val="auto"/>
                <w:sz w:val="24"/>
                <w:lang w:val="zh-CN"/>
              </w:rPr>
              <w:t>，</w:t>
            </w:r>
            <w:r>
              <w:rPr>
                <w:rFonts w:hAnsi="宋体"/>
                <w:color w:val="auto"/>
                <w:sz w:val="24"/>
                <w:lang w:val="zh-CN"/>
              </w:rPr>
              <w:t>不会对环境造成明显影响</w:t>
            </w:r>
            <w:r>
              <w:rPr>
                <w:rFonts w:hint="eastAsia" w:hAnsi="宋体"/>
                <w:color w:val="auto"/>
                <w:sz w:val="24"/>
                <w:lang w:val="zh-CN"/>
              </w:rPr>
              <w:t>，</w:t>
            </w:r>
            <w:r>
              <w:rPr>
                <w:rFonts w:hint="eastAsia"/>
                <w:color w:val="auto"/>
                <w:sz w:val="24"/>
              </w:rPr>
              <w:t xml:space="preserve">业主只要严格按照报告表及安全评价报告中相关要求建设、营运，认真落实各类风险的防范措施，对环境的影响不大。      </w:t>
            </w:r>
            <w:r>
              <w:rPr>
                <w:rFonts w:hint="eastAsia"/>
                <w:color w:val="auto"/>
                <w:sz w:val="24"/>
                <w:lang w:val="en-US" w:eastAsia="zh-CN"/>
              </w:rPr>
              <w:t xml:space="preserve">   </w:t>
            </w:r>
          </w:p>
          <w:p>
            <w:pPr>
              <w:spacing w:line="360" w:lineRule="auto"/>
              <w:ind w:firstLine="482" w:firstLineChars="200"/>
              <w:rPr>
                <w:b/>
                <w:color w:val="auto"/>
                <w:sz w:val="24"/>
              </w:rPr>
            </w:pPr>
            <w:r>
              <w:rPr>
                <w:rFonts w:hAnsi="宋体"/>
                <w:b/>
                <w:color w:val="auto"/>
                <w:sz w:val="24"/>
              </w:rPr>
              <w:t>综上所述，</w:t>
            </w:r>
            <w:r>
              <w:rPr>
                <w:rFonts w:hint="eastAsia" w:hAnsi="宋体"/>
                <w:b/>
                <w:color w:val="auto"/>
                <w:sz w:val="24"/>
                <w:lang w:eastAsia="zh-CN"/>
              </w:rPr>
              <w:t>砚山县蚌峨加油站改建项目</w:t>
            </w:r>
            <w:r>
              <w:rPr>
                <w:rFonts w:hAnsi="宋体"/>
                <w:b/>
                <w:color w:val="auto"/>
                <w:sz w:val="24"/>
              </w:rPr>
              <w:t>，在落实了本报告表提出的各项环保</w:t>
            </w:r>
            <w:r>
              <w:rPr>
                <w:rFonts w:hint="eastAsia" w:hAnsi="宋体"/>
                <w:b/>
                <w:color w:val="auto"/>
                <w:sz w:val="24"/>
              </w:rPr>
              <w:t>及安全</w:t>
            </w:r>
            <w:r>
              <w:rPr>
                <w:rFonts w:hAnsi="宋体"/>
                <w:b/>
                <w:color w:val="auto"/>
                <w:sz w:val="24"/>
              </w:rPr>
              <w:t>措施后，从环境</w:t>
            </w:r>
            <w:r>
              <w:rPr>
                <w:rFonts w:hint="eastAsia" w:hAnsi="宋体"/>
                <w:b/>
                <w:color w:val="auto"/>
                <w:sz w:val="24"/>
                <w:lang w:eastAsia="zh-CN"/>
              </w:rPr>
              <w:t>保护</w:t>
            </w:r>
            <w:r>
              <w:rPr>
                <w:rFonts w:hAnsi="宋体"/>
                <w:b/>
                <w:color w:val="auto"/>
                <w:sz w:val="24"/>
              </w:rPr>
              <w:t>的角度评价项目是可行的。</w:t>
            </w:r>
          </w:p>
          <w:p>
            <w:pPr>
              <w:spacing w:line="360" w:lineRule="auto"/>
              <w:rPr>
                <w:rFonts w:hint="eastAsia"/>
                <w:b/>
                <w:bCs/>
                <w:color w:val="auto"/>
                <w:spacing w:val="6"/>
                <w:sz w:val="24"/>
              </w:rPr>
            </w:pPr>
            <w:r>
              <w:rPr>
                <w:rFonts w:hint="eastAsia"/>
                <w:b/>
                <w:bCs/>
                <w:color w:val="auto"/>
                <w:spacing w:val="6"/>
                <w:sz w:val="24"/>
              </w:rPr>
              <w:t>二、要求</w:t>
            </w:r>
          </w:p>
          <w:p>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ascii="宋体" w:hAnsi="宋体"/>
                <w:color w:val="auto"/>
                <w:sz w:val="24"/>
              </w:rPr>
              <w:t>建立健全完善的环境管理制度，并严格按</w:t>
            </w:r>
            <w:r>
              <w:rPr>
                <w:rFonts w:hint="eastAsia" w:ascii="宋体" w:hAnsi="宋体"/>
                <w:color w:val="auto"/>
                <w:sz w:val="24"/>
              </w:rPr>
              <w:t>照相关</w:t>
            </w:r>
            <w:r>
              <w:rPr>
                <w:rFonts w:ascii="宋体" w:hAnsi="宋体"/>
                <w:color w:val="auto"/>
                <w:sz w:val="24"/>
              </w:rPr>
              <w:t>管理制度执行</w:t>
            </w:r>
            <w:r>
              <w:rPr>
                <w:rFonts w:hint="eastAsia" w:ascii="宋体" w:hAnsi="宋体"/>
                <w:color w:val="auto"/>
                <w:sz w:val="24"/>
              </w:rPr>
              <w:t>。</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、严格落实本项目设计方案中的油气回收装置，并做到本环评报告补充的相应措施。</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、由于油品泄漏对地下水和纳污水体的水质影响较大，影响的范围也较大，特别是埋在地下的油罐泄漏不容易发现，要求地埋式储油罐为双层罐，并设置防渗池。</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4</w:t>
            </w:r>
            <w:r>
              <w:rPr>
                <w:rFonts w:hint="eastAsia" w:ascii="宋体" w:hAnsi="宋体"/>
                <w:color w:val="auto"/>
                <w:sz w:val="24"/>
              </w:rPr>
              <w:t>、严禁污水乱排，化粪池</w:t>
            </w:r>
            <w:r>
              <w:rPr>
                <w:rFonts w:hint="eastAsia" w:ascii="宋体" w:hAnsi="宋体"/>
                <w:color w:val="auto"/>
                <w:sz w:val="24"/>
                <w:lang w:eastAsia="zh-CN"/>
              </w:rPr>
              <w:t>、</w:t>
            </w:r>
            <w:r>
              <w:rPr>
                <w:rFonts w:hint="eastAsia" w:ascii="宋体" w:hAnsi="宋体"/>
                <w:color w:val="auto"/>
                <w:sz w:val="24"/>
              </w:rPr>
              <w:t>水封井需要规范设计，充分考虑其容积和去除率。</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、项目</w:t>
            </w:r>
            <w:r>
              <w:rPr>
                <w:rFonts w:hint="eastAsia" w:ascii="宋体" w:hAnsi="宋体"/>
                <w:color w:val="auto"/>
                <w:spacing w:val="-2"/>
                <w:sz w:val="24"/>
              </w:rPr>
              <w:t>在日常管理制度中加强环保管理的内容，包括：对相关人员进行有关环境保护的宣传培训，如节约用水、垃圾分类袋装等</w:t>
            </w:r>
            <w:r>
              <w:rPr>
                <w:rFonts w:hint="eastAsia" w:ascii="宋体" w:hAnsi="宋体"/>
                <w:color w:val="auto"/>
                <w:sz w:val="24"/>
              </w:rPr>
              <w:t>；加强环境保护意识教育，在施工期和营运期建立相应环境保护管理制度，同时设兼职的环境管理人员，负责监督环境管理制度的执行，项目设计和建设时，应落实各项环保投资。</w:t>
            </w:r>
          </w:p>
          <w:p>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6</w:t>
            </w:r>
            <w:r>
              <w:rPr>
                <w:rFonts w:hint="eastAsia" w:ascii="宋体" w:hAnsi="宋体"/>
                <w:color w:val="auto"/>
                <w:sz w:val="24"/>
              </w:rPr>
              <w:t>、项目必须严格执行环保“三同时”制度，即污染防治设施与主体工程同时设计、同时施工、同时投入使用。按照《</w:t>
            </w:r>
            <w:r>
              <w:rPr>
                <w:rFonts w:ascii="宋体" w:hAnsi="宋体"/>
                <w:color w:val="auto"/>
                <w:sz w:val="24"/>
              </w:rPr>
              <w:t>建设项目竣工环境保护验收暂行办法</w:t>
            </w:r>
            <w:r>
              <w:rPr>
                <w:rFonts w:hint="eastAsia" w:ascii="宋体" w:hAnsi="宋体"/>
                <w:color w:val="auto"/>
                <w:sz w:val="24"/>
              </w:rPr>
              <w:t>》（</w:t>
            </w:r>
            <w:r>
              <w:rPr>
                <w:rFonts w:ascii="宋体" w:hAnsi="宋体"/>
                <w:color w:val="auto"/>
                <w:sz w:val="24"/>
              </w:rPr>
              <w:t>国环规环评[2017]4号</w:t>
            </w:r>
            <w:r>
              <w:rPr>
                <w:rFonts w:hint="eastAsia" w:ascii="宋体" w:hAnsi="宋体"/>
                <w:color w:val="auto"/>
                <w:sz w:val="24"/>
              </w:rPr>
              <w:t>），项目竣工后，由企业自主验收，验收合格后方可正式投入运营。</w:t>
            </w:r>
          </w:p>
          <w:p>
            <w:pPr>
              <w:spacing w:line="360" w:lineRule="auto"/>
              <w:ind w:firstLine="480" w:firstLineChars="200"/>
              <w:rPr>
                <w:rFonts w:hint="eastAsia" w:ascii="宋体" w:hAnsi="宋体" w:eastAsia="宋体"/>
                <w:color w:val="auto"/>
                <w:sz w:val="24"/>
                <w:lang w:val="en-US" w:eastAsia="zh-CN"/>
              </w:rPr>
            </w:pPr>
            <w:r>
              <w:rPr>
                <w:rFonts w:hint="eastAsia" w:ascii="宋体" w:hAnsi="宋体"/>
                <w:color w:val="auto"/>
                <w:sz w:val="24"/>
                <w:lang w:val="en-US" w:eastAsia="zh-CN"/>
              </w:rPr>
              <w:t>7、做好突发环境事件应急预案备案工作。</w:t>
            </w:r>
          </w:p>
          <w:p>
            <w:pPr>
              <w:spacing w:line="360" w:lineRule="auto"/>
              <w:ind w:firstLine="482" w:firstLineChars="200"/>
              <w:rPr>
                <w:rFonts w:hint="eastAsia" w:ascii="宋体" w:hAnsi="宋体"/>
                <w:b/>
                <w:color w:val="auto"/>
                <w:sz w:val="24"/>
              </w:rPr>
            </w:pPr>
            <w:r>
              <w:rPr>
                <w:rFonts w:hint="eastAsia" w:ascii="宋体" w:hAnsi="宋体"/>
                <w:b/>
                <w:color w:val="auto"/>
                <w:sz w:val="24"/>
              </w:rPr>
              <w:t>三、建议</w:t>
            </w:r>
          </w:p>
          <w:p>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color w:val="auto"/>
                <w:sz w:val="24"/>
              </w:rPr>
              <w:t>考虑到项目距周边敏感点较近，站内禁止栽种油性植物（如桉树等）。</w:t>
            </w:r>
          </w:p>
          <w:p>
            <w:pPr>
              <w:spacing w:line="360" w:lineRule="auto"/>
              <w:ind w:firstLine="480" w:firstLineChars="200"/>
              <w:rPr>
                <w:rFonts w:hint="eastAsia" w:ascii="宋体" w:hAnsi="宋体"/>
                <w:color w:val="auto"/>
                <w:sz w:val="24"/>
              </w:rPr>
            </w:pPr>
            <w:r>
              <w:rPr>
                <w:rFonts w:hint="eastAsia" w:ascii="宋体" w:hAnsi="宋体"/>
                <w:color w:val="auto"/>
                <w:sz w:val="24"/>
              </w:rPr>
              <w:t>2、项目规划设计及施工时，应采用节水器具，节约用水。</w:t>
            </w: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8" w:type="dxa"/>
          <w:jc w:val="center"/>
        </w:trPr>
        <w:tc>
          <w:tcPr>
            <w:tcW w:w="9219" w:type="dxa"/>
            <w:vAlign w:val="top"/>
          </w:tcPr>
          <w:p>
            <w:pPr>
              <w:tabs>
                <w:tab w:val="left" w:pos="1890"/>
              </w:tabs>
              <w:spacing w:line="700" w:lineRule="exact"/>
              <w:rPr>
                <w:rFonts w:hint="eastAsia"/>
                <w:color w:val="auto"/>
                <w:sz w:val="24"/>
              </w:rPr>
            </w:pPr>
            <w:r>
              <w:rPr>
                <w:color w:val="auto"/>
                <w:sz w:val="24"/>
              </w:rPr>
              <w:t>预审</w:t>
            </w:r>
            <w:r>
              <w:rPr>
                <w:rFonts w:hint="eastAsia"/>
                <w:color w:val="auto"/>
                <w:sz w:val="24"/>
              </w:rPr>
              <w:t>意见：</w:t>
            </w: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rFonts w:hint="eastAsia"/>
                <w:color w:val="auto"/>
                <w:sz w:val="24"/>
              </w:rPr>
            </w:pPr>
          </w:p>
          <w:p>
            <w:pPr>
              <w:wordWrap w:val="0"/>
              <w:spacing w:line="400" w:lineRule="exact"/>
              <w:ind w:right="480" w:firstLine="6840" w:firstLineChars="2850"/>
              <w:rPr>
                <w:rFonts w:hint="eastAsia"/>
                <w:color w:val="auto"/>
                <w:sz w:val="24"/>
              </w:rPr>
            </w:pPr>
            <w:r>
              <w:rPr>
                <w:color w:val="auto"/>
                <w:sz w:val="24"/>
              </w:rPr>
              <w:t xml:space="preserve">公    章       </w:t>
            </w:r>
          </w:p>
          <w:p>
            <w:pPr>
              <w:wordWrap w:val="0"/>
              <w:spacing w:line="400" w:lineRule="exact"/>
              <w:ind w:right="480" w:firstLine="3000" w:firstLineChars="1250"/>
              <w:rPr>
                <w:rFonts w:hint="eastAsia"/>
                <w:color w:val="auto"/>
                <w:sz w:val="24"/>
              </w:rPr>
            </w:pPr>
            <w:r>
              <w:rPr>
                <w:color w:val="auto"/>
                <w:sz w:val="24"/>
              </w:rPr>
              <w:t xml:space="preserve">经办人：        </w:t>
            </w:r>
            <w:r>
              <w:rPr>
                <w:rFonts w:hint="eastAsia"/>
                <w:color w:val="auto"/>
                <w:sz w:val="24"/>
              </w:rPr>
              <w:t xml:space="preserve">                 </w:t>
            </w:r>
            <w:r>
              <w:rPr>
                <w:color w:val="auto"/>
                <w:sz w:val="24"/>
              </w:rPr>
              <w:t xml:space="preserve">  </w:t>
            </w:r>
          </w:p>
          <w:p>
            <w:pPr>
              <w:wordWrap w:val="0"/>
              <w:spacing w:line="400" w:lineRule="exact"/>
              <w:ind w:right="480" w:firstLine="6480" w:firstLineChars="2700"/>
              <w:rPr>
                <w:rFonts w:hint="eastAsia"/>
                <w:color w:val="auto"/>
                <w:sz w:val="24"/>
              </w:rPr>
            </w:pPr>
            <w:r>
              <w:rPr>
                <w:color w:val="auto"/>
                <w:sz w:val="24"/>
              </w:rPr>
              <w:t xml:space="preserve">年    月    日    </w:t>
            </w:r>
          </w:p>
          <w:p>
            <w:pPr>
              <w:wordWrap w:val="0"/>
              <w:spacing w:line="400" w:lineRule="exact"/>
              <w:ind w:right="480" w:firstLine="1680" w:firstLineChars="700"/>
              <w:rPr>
                <w:rFonts w:hint="eastAsia"/>
                <w:color w:val="auto"/>
                <w:sz w:val="24"/>
              </w:rPr>
            </w:pPr>
          </w:p>
          <w:p>
            <w:pPr>
              <w:wordWrap w:val="0"/>
              <w:spacing w:line="400" w:lineRule="exact"/>
              <w:ind w:right="480" w:firstLine="1680" w:firstLineChars="700"/>
              <w:rPr>
                <w:rFonts w:hint="eastAsia"/>
                <w:color w:val="auto"/>
                <w:sz w:val="24"/>
              </w:rPr>
            </w:pPr>
          </w:p>
          <w:p>
            <w:pPr>
              <w:spacing w:line="400" w:lineRule="exact"/>
              <w:ind w:right="480"/>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8" w:type="dxa"/>
          <w:trHeight w:val="7153" w:hRule="atLeast"/>
          <w:jc w:val="center"/>
        </w:trPr>
        <w:tc>
          <w:tcPr>
            <w:tcW w:w="9219" w:type="dxa"/>
            <w:vAlign w:val="top"/>
          </w:tcPr>
          <w:p>
            <w:pPr>
              <w:spacing w:line="720" w:lineRule="exact"/>
              <w:rPr>
                <w:color w:val="auto"/>
                <w:sz w:val="24"/>
              </w:rPr>
            </w:pPr>
            <w:r>
              <w:rPr>
                <w:color w:val="auto"/>
                <w:sz w:val="24"/>
              </w:rPr>
              <w:t>下一级环境保护行政主管部门审查意见：</w:t>
            </w:r>
          </w:p>
          <w:p>
            <w:pPr>
              <w:spacing w:line="520" w:lineRule="exact"/>
              <w:rPr>
                <w:rFonts w:eastAsia="仿宋_GB2312"/>
                <w:color w:val="auto"/>
                <w:sz w:val="24"/>
              </w:rPr>
            </w:pPr>
          </w:p>
          <w:p>
            <w:pPr>
              <w:spacing w:line="520" w:lineRule="exact"/>
              <w:rPr>
                <w:rFonts w:eastAsia="仿宋_GB2312"/>
                <w:color w:val="auto"/>
                <w:sz w:val="24"/>
              </w:rPr>
            </w:pPr>
          </w:p>
          <w:p>
            <w:pPr>
              <w:spacing w:line="520" w:lineRule="exact"/>
              <w:rPr>
                <w:rFonts w:eastAsia="仿宋_GB2312"/>
                <w:color w:val="auto"/>
                <w:sz w:val="24"/>
              </w:rPr>
            </w:pPr>
          </w:p>
          <w:p>
            <w:pPr>
              <w:spacing w:line="520" w:lineRule="exact"/>
              <w:rPr>
                <w:rFonts w:eastAsia="仿宋_GB2312"/>
                <w:color w:val="auto"/>
                <w:sz w:val="24"/>
              </w:rPr>
            </w:pPr>
          </w:p>
          <w:p>
            <w:pPr>
              <w:spacing w:line="520" w:lineRule="exact"/>
              <w:rPr>
                <w:rFonts w:eastAsia="仿宋_GB2312"/>
                <w:color w:val="auto"/>
                <w:sz w:val="24"/>
              </w:rPr>
            </w:pPr>
          </w:p>
          <w:p>
            <w:pPr>
              <w:spacing w:line="520" w:lineRule="exact"/>
              <w:rPr>
                <w:rFonts w:eastAsia="仿宋_GB2312"/>
                <w:color w:val="auto"/>
                <w:sz w:val="24"/>
              </w:rPr>
            </w:pPr>
          </w:p>
          <w:p>
            <w:pPr>
              <w:spacing w:line="520" w:lineRule="exact"/>
              <w:rPr>
                <w:rFonts w:hint="eastAsia" w:eastAsia="仿宋_GB2312"/>
                <w:color w:val="auto"/>
                <w:sz w:val="24"/>
              </w:rPr>
            </w:pPr>
          </w:p>
          <w:p>
            <w:pPr>
              <w:spacing w:line="520" w:lineRule="exact"/>
              <w:rPr>
                <w:rFonts w:hint="eastAsia" w:eastAsia="仿宋_GB2312"/>
                <w:color w:val="auto"/>
                <w:sz w:val="24"/>
              </w:rPr>
            </w:pPr>
          </w:p>
          <w:p>
            <w:pPr>
              <w:wordWrap w:val="0"/>
              <w:spacing w:line="400" w:lineRule="exact"/>
              <w:ind w:right="480" w:firstLine="6960" w:firstLineChars="2900"/>
              <w:rPr>
                <w:color w:val="auto"/>
                <w:sz w:val="24"/>
              </w:rPr>
            </w:pPr>
            <w:r>
              <w:rPr>
                <w:color w:val="auto"/>
                <w:sz w:val="24"/>
              </w:rPr>
              <w:t xml:space="preserve">公    章       </w:t>
            </w:r>
          </w:p>
          <w:p>
            <w:pPr>
              <w:wordWrap w:val="0"/>
              <w:spacing w:line="400" w:lineRule="exact"/>
              <w:ind w:right="480" w:firstLine="3000" w:firstLineChars="1250"/>
              <w:rPr>
                <w:rFonts w:hint="eastAsia"/>
                <w:color w:val="auto"/>
                <w:sz w:val="24"/>
              </w:rPr>
            </w:pPr>
            <w:r>
              <w:rPr>
                <w:color w:val="auto"/>
                <w:sz w:val="24"/>
              </w:rPr>
              <w:t xml:space="preserve">经办人：                        </w:t>
            </w:r>
            <w:r>
              <w:rPr>
                <w:rFonts w:hint="eastAsia"/>
                <w:color w:val="auto"/>
                <w:sz w:val="24"/>
              </w:rPr>
              <w:t xml:space="preserve"> </w:t>
            </w:r>
            <w:r>
              <w:rPr>
                <w:color w:val="auto"/>
                <w:sz w:val="24"/>
              </w:rPr>
              <w:t xml:space="preserve">  </w:t>
            </w:r>
          </w:p>
          <w:p>
            <w:pPr>
              <w:wordWrap w:val="0"/>
              <w:spacing w:line="400" w:lineRule="exact"/>
              <w:ind w:right="480" w:firstLine="6600" w:firstLineChars="2750"/>
              <w:rPr>
                <w:rFonts w:hint="eastAsia"/>
                <w:color w:val="auto"/>
                <w:sz w:val="24"/>
              </w:rPr>
            </w:pPr>
            <w:r>
              <w:rPr>
                <w:color w:val="auto"/>
                <w:sz w:val="24"/>
              </w:rPr>
              <w:t>年    月    日</w:t>
            </w:r>
          </w:p>
          <w:p>
            <w:pPr>
              <w:wordWrap w:val="0"/>
              <w:spacing w:line="240" w:lineRule="atLeast"/>
              <w:ind w:right="482" w:firstLine="6600" w:firstLineChars="2750"/>
              <w:rPr>
                <w:rFonts w:hint="eastAsia"/>
                <w:color w:val="auto"/>
                <w:sz w:val="24"/>
              </w:rPr>
            </w:pPr>
          </w:p>
          <w:p>
            <w:pPr>
              <w:wordWrap w:val="0"/>
              <w:spacing w:line="400" w:lineRule="exact"/>
              <w:ind w:right="480" w:firstLine="6600" w:firstLineChars="2750"/>
              <w:rPr>
                <w:rFonts w:hint="eastAsia"/>
                <w:color w:val="auto"/>
                <w:sz w:val="24"/>
              </w:rPr>
            </w:pPr>
          </w:p>
          <w:p>
            <w:pPr>
              <w:wordWrap w:val="0"/>
              <w:spacing w:line="240" w:lineRule="exact"/>
              <w:ind w:firstLine="6600" w:firstLineChars="2750"/>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8" w:type="dxa"/>
          <w:trHeight w:val="13694" w:hRule="atLeast"/>
          <w:jc w:val="center"/>
        </w:trPr>
        <w:tc>
          <w:tcPr>
            <w:tcW w:w="9219" w:type="dxa"/>
            <w:tcBorders>
              <w:bottom w:val="single" w:color="auto" w:sz="4" w:space="0"/>
            </w:tcBorders>
            <w:vAlign w:val="top"/>
          </w:tcPr>
          <w:p>
            <w:pPr>
              <w:spacing w:line="400" w:lineRule="exact"/>
              <w:rPr>
                <w:color w:val="auto"/>
                <w:sz w:val="24"/>
              </w:rPr>
            </w:pPr>
            <w:r>
              <w:rPr>
                <w:color w:val="auto"/>
                <w:sz w:val="24"/>
              </w:rPr>
              <w:t>审批意见：</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560" w:firstLineChars="200"/>
              <w:jc w:val="both"/>
              <w:textAlignment w:val="auto"/>
              <w:outlineLvl w:val="9"/>
              <w:rPr>
                <w:color w:val="auto"/>
                <w:sz w:val="28"/>
                <w:szCs w:val="28"/>
              </w:rPr>
            </w:pPr>
            <w:r>
              <w:rPr>
                <w:rFonts w:hint="eastAsia"/>
                <w:color w:val="auto"/>
                <w:sz w:val="28"/>
                <w:szCs w:val="28"/>
              </w:rPr>
              <w:t>经我局研究，同意《报告表》通过审批，请严格按照《报告表》及砚环审〔2019〕    号文件批复要求，做好环境保护工作。</w:t>
            </w:r>
          </w:p>
          <w:p>
            <w:pPr>
              <w:spacing w:line="400" w:lineRule="exact"/>
              <w:rPr>
                <w:rFonts w:eastAsia="仿宋_GB2312"/>
                <w:color w:val="auto"/>
                <w:sz w:val="24"/>
              </w:rPr>
            </w:pPr>
          </w:p>
          <w:p>
            <w:pPr>
              <w:spacing w:line="360" w:lineRule="auto"/>
              <w:rPr>
                <w:rFonts w:eastAsia="仿宋_GB2312"/>
                <w:color w:val="auto"/>
                <w:sz w:val="28"/>
              </w:rPr>
            </w:pPr>
          </w:p>
          <w:p>
            <w:pPr>
              <w:spacing w:line="400" w:lineRule="exact"/>
              <w:rPr>
                <w:rFonts w:eastAsia="仿宋_GB2312"/>
                <w:color w:val="auto"/>
                <w:sz w:val="24"/>
              </w:rPr>
            </w:pPr>
          </w:p>
          <w:p>
            <w:pPr>
              <w:spacing w:line="400" w:lineRule="exact"/>
              <w:rPr>
                <w:rFonts w:eastAsia="仿宋_GB2312"/>
                <w:color w:val="auto"/>
                <w:sz w:val="24"/>
              </w:rPr>
            </w:pPr>
          </w:p>
          <w:p>
            <w:pPr>
              <w:spacing w:line="400" w:lineRule="exact"/>
              <w:rPr>
                <w:rFonts w:eastAsia="仿宋_GB2312"/>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rFonts w:hint="eastAsia"/>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color w:val="auto"/>
                <w:sz w:val="24"/>
              </w:rPr>
            </w:pPr>
          </w:p>
          <w:p>
            <w:pPr>
              <w:spacing w:line="400" w:lineRule="exact"/>
              <w:rPr>
                <w:rFonts w:hint="eastAsia"/>
                <w:color w:val="auto"/>
                <w:sz w:val="24"/>
              </w:rPr>
            </w:pPr>
          </w:p>
          <w:p>
            <w:pPr>
              <w:spacing w:line="400" w:lineRule="exact"/>
              <w:rPr>
                <w:rFonts w:hint="eastAsia"/>
                <w:color w:val="auto"/>
                <w:sz w:val="24"/>
              </w:rPr>
            </w:pPr>
          </w:p>
          <w:p>
            <w:pPr>
              <w:spacing w:line="400" w:lineRule="exact"/>
              <w:rPr>
                <w:rFonts w:hint="eastAsia"/>
                <w:color w:val="auto"/>
                <w:sz w:val="24"/>
              </w:rPr>
            </w:pPr>
          </w:p>
          <w:p>
            <w:pPr>
              <w:spacing w:line="400" w:lineRule="exact"/>
              <w:rPr>
                <w:rFonts w:hint="eastAsia"/>
                <w:color w:val="auto"/>
                <w:sz w:val="24"/>
              </w:rPr>
            </w:pPr>
          </w:p>
          <w:p>
            <w:pPr>
              <w:wordWrap w:val="0"/>
              <w:spacing w:line="400" w:lineRule="exact"/>
              <w:ind w:right="960" w:firstLine="6480" w:firstLineChars="2700"/>
              <w:rPr>
                <w:rFonts w:hint="eastAsia"/>
                <w:color w:val="auto"/>
                <w:sz w:val="24"/>
              </w:rPr>
            </w:pPr>
            <w:r>
              <w:rPr>
                <w:color w:val="auto"/>
                <w:sz w:val="24"/>
              </w:rPr>
              <w:t xml:space="preserve">公    章   </w:t>
            </w:r>
          </w:p>
          <w:p>
            <w:pPr>
              <w:wordWrap w:val="0"/>
              <w:spacing w:line="400" w:lineRule="exact"/>
              <w:ind w:right="960" w:firstLine="1680" w:firstLineChars="700"/>
              <w:rPr>
                <w:rFonts w:hint="eastAsia"/>
                <w:color w:val="auto"/>
                <w:sz w:val="24"/>
              </w:rPr>
            </w:pPr>
            <w:r>
              <w:rPr>
                <w:color w:val="auto"/>
                <w:sz w:val="24"/>
              </w:rPr>
              <w:t xml:space="preserve">经办人：                           </w:t>
            </w:r>
          </w:p>
          <w:p>
            <w:pPr>
              <w:wordWrap w:val="0"/>
              <w:spacing w:line="400" w:lineRule="exact"/>
              <w:ind w:right="960" w:firstLine="6000" w:firstLineChars="2500"/>
              <w:rPr>
                <w:rFonts w:hint="eastAsia"/>
                <w:color w:val="auto"/>
                <w:sz w:val="24"/>
              </w:rPr>
            </w:pPr>
            <w:r>
              <w:rPr>
                <w:color w:val="auto"/>
                <w:sz w:val="24"/>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8" w:type="dxa"/>
          <w:trHeight w:val="11203" w:hRule="atLeast"/>
          <w:jc w:val="center"/>
        </w:trPr>
        <w:tc>
          <w:tcPr>
            <w:tcW w:w="9219" w:type="dxa"/>
            <w:tcBorders>
              <w:bottom w:val="single" w:color="auto" w:sz="4" w:space="0"/>
            </w:tcBorders>
            <w:vAlign w:val="top"/>
          </w:tcPr>
          <w:p>
            <w:pPr>
              <w:spacing w:line="360" w:lineRule="auto"/>
              <w:ind w:firstLine="4200" w:firstLineChars="1750"/>
              <w:rPr>
                <w:rFonts w:hint="eastAsia"/>
                <w:color w:val="auto"/>
                <w:sz w:val="24"/>
              </w:rPr>
            </w:pPr>
            <w:r>
              <w:rPr>
                <w:color w:val="auto"/>
                <w:sz w:val="24"/>
              </w:rPr>
              <w:t>注      释</w:t>
            </w:r>
          </w:p>
          <w:p>
            <w:pPr>
              <w:spacing w:line="360" w:lineRule="auto"/>
              <w:ind w:firstLine="480" w:firstLineChars="200"/>
              <w:rPr>
                <w:rFonts w:hint="eastAsia"/>
                <w:color w:val="auto"/>
                <w:sz w:val="24"/>
              </w:rPr>
            </w:pPr>
          </w:p>
          <w:p>
            <w:pPr>
              <w:spacing w:line="360" w:lineRule="auto"/>
              <w:ind w:firstLine="480" w:firstLineChars="200"/>
              <w:rPr>
                <w:color w:val="auto"/>
                <w:sz w:val="24"/>
              </w:rPr>
            </w:pPr>
            <w:r>
              <w:rPr>
                <w:color w:val="auto"/>
                <w:sz w:val="24"/>
              </w:rPr>
              <w:t>一、本报告表应附以下附件、附图：</w:t>
            </w:r>
          </w:p>
          <w:p>
            <w:pPr>
              <w:spacing w:line="360" w:lineRule="auto"/>
              <w:ind w:firstLine="600" w:firstLineChars="250"/>
              <w:rPr>
                <w:color w:val="auto"/>
                <w:sz w:val="24"/>
              </w:rPr>
            </w:pPr>
            <w:r>
              <w:rPr>
                <w:color w:val="auto"/>
                <w:sz w:val="24"/>
              </w:rPr>
              <w:t>附件1：与环评有关的行政管理文件</w:t>
            </w:r>
          </w:p>
          <w:p>
            <w:pPr>
              <w:spacing w:line="360" w:lineRule="auto"/>
              <w:ind w:left="1530" w:leftChars="275" w:hanging="952" w:hangingChars="397"/>
              <w:rPr>
                <w:rFonts w:hint="eastAsia"/>
                <w:color w:val="auto"/>
                <w:sz w:val="24"/>
                <w:lang w:eastAsia="zh-CN"/>
              </w:rPr>
            </w:pPr>
            <w:r>
              <w:rPr>
                <w:color w:val="auto"/>
                <w:sz w:val="24"/>
              </w:rPr>
              <w:t>附图1：</w:t>
            </w:r>
            <w:r>
              <w:rPr>
                <w:rFonts w:hint="eastAsia"/>
                <w:color w:val="auto"/>
                <w:sz w:val="24"/>
              </w:rPr>
              <w:t>项目平面</w:t>
            </w:r>
            <w:r>
              <w:rPr>
                <w:rFonts w:hint="eastAsia"/>
                <w:color w:val="auto"/>
                <w:sz w:val="24"/>
                <w:lang w:eastAsia="zh-CN"/>
              </w:rPr>
              <w:t>布置及环保设施布设图</w:t>
            </w:r>
          </w:p>
          <w:p>
            <w:pPr>
              <w:spacing w:line="360" w:lineRule="auto"/>
              <w:ind w:firstLine="600" w:firstLineChars="250"/>
              <w:rPr>
                <w:rFonts w:hint="eastAsia"/>
                <w:color w:val="auto"/>
                <w:sz w:val="24"/>
                <w:lang w:val="zh-CN"/>
              </w:rPr>
            </w:pPr>
            <w:r>
              <w:rPr>
                <w:rFonts w:hint="eastAsia"/>
                <w:color w:val="auto"/>
                <w:sz w:val="24"/>
                <w:lang w:eastAsia="zh-CN"/>
              </w:rPr>
              <w:t>附图</w:t>
            </w:r>
            <w:r>
              <w:rPr>
                <w:rFonts w:hint="eastAsia"/>
                <w:color w:val="auto"/>
                <w:sz w:val="24"/>
                <w:lang w:val="en-US" w:eastAsia="zh-CN"/>
              </w:rPr>
              <w:t>2</w:t>
            </w:r>
            <w:r>
              <w:rPr>
                <w:color w:val="auto"/>
                <w:sz w:val="24"/>
              </w:rPr>
              <w:t>：</w:t>
            </w:r>
            <w:r>
              <w:rPr>
                <w:color w:val="auto"/>
                <w:sz w:val="24"/>
                <w:lang w:val="zh-CN"/>
              </w:rPr>
              <w:t>项目</w:t>
            </w:r>
            <w:r>
              <w:rPr>
                <w:rFonts w:hint="eastAsia"/>
                <w:color w:val="auto"/>
                <w:sz w:val="24"/>
                <w:lang w:val="zh-CN"/>
              </w:rPr>
              <w:t>地理位置示意</w:t>
            </w:r>
            <w:r>
              <w:rPr>
                <w:color w:val="auto"/>
                <w:sz w:val="24"/>
                <w:lang w:val="zh-CN"/>
              </w:rPr>
              <w:t>图</w:t>
            </w:r>
          </w:p>
          <w:p>
            <w:pPr>
              <w:spacing w:line="360" w:lineRule="auto"/>
              <w:ind w:firstLine="600" w:firstLineChars="250"/>
              <w:rPr>
                <w:rFonts w:hint="eastAsia"/>
                <w:color w:val="auto"/>
                <w:sz w:val="24"/>
                <w:lang w:val="zh-CN"/>
              </w:rPr>
            </w:pPr>
            <w:r>
              <w:rPr>
                <w:rFonts w:hint="eastAsia"/>
                <w:color w:val="auto"/>
                <w:sz w:val="24"/>
                <w:lang w:val="zh-CN"/>
              </w:rPr>
              <w:t>附图</w:t>
            </w:r>
            <w:r>
              <w:rPr>
                <w:rFonts w:hint="eastAsia"/>
                <w:color w:val="auto"/>
                <w:sz w:val="24"/>
                <w:lang w:val="en-US" w:eastAsia="zh-CN"/>
              </w:rPr>
              <w:t>3-1</w:t>
            </w:r>
            <w:r>
              <w:rPr>
                <w:rFonts w:hint="eastAsia"/>
                <w:color w:val="auto"/>
                <w:sz w:val="24"/>
                <w:lang w:val="zh-CN"/>
              </w:rPr>
              <w:t>：项目与周边环境关系位置图</w:t>
            </w:r>
          </w:p>
          <w:p>
            <w:pPr>
              <w:spacing w:line="360" w:lineRule="auto"/>
              <w:ind w:firstLine="600" w:firstLineChars="250"/>
              <w:rPr>
                <w:rFonts w:hint="eastAsia"/>
                <w:color w:val="auto"/>
                <w:sz w:val="24"/>
                <w:lang w:val="zh-CN"/>
              </w:rPr>
            </w:pPr>
            <w:r>
              <w:rPr>
                <w:rFonts w:hint="eastAsia"/>
                <w:color w:val="auto"/>
                <w:sz w:val="24"/>
                <w:lang w:val="zh-CN"/>
              </w:rPr>
              <w:t>附图</w:t>
            </w:r>
            <w:r>
              <w:rPr>
                <w:rFonts w:hint="eastAsia"/>
                <w:color w:val="auto"/>
                <w:sz w:val="24"/>
                <w:lang w:val="en-US" w:eastAsia="zh-CN"/>
              </w:rPr>
              <w:t>3-2</w:t>
            </w:r>
            <w:r>
              <w:rPr>
                <w:rFonts w:hint="eastAsia"/>
                <w:color w:val="auto"/>
                <w:sz w:val="24"/>
                <w:lang w:val="zh-CN"/>
              </w:rPr>
              <w:t>：项目周边环境敏感点分布图</w:t>
            </w:r>
          </w:p>
          <w:p>
            <w:pPr>
              <w:spacing w:line="360" w:lineRule="auto"/>
              <w:ind w:firstLine="600" w:firstLineChars="250"/>
              <w:rPr>
                <w:rFonts w:hint="eastAsia"/>
                <w:color w:val="auto"/>
                <w:sz w:val="24"/>
                <w:lang w:val="zh-CN"/>
              </w:rPr>
            </w:pPr>
            <w:r>
              <w:rPr>
                <w:rFonts w:hint="eastAsia"/>
                <w:color w:val="auto"/>
                <w:sz w:val="24"/>
                <w:lang w:val="zh-CN"/>
              </w:rPr>
              <w:t>附图</w:t>
            </w:r>
            <w:r>
              <w:rPr>
                <w:rFonts w:hint="eastAsia"/>
                <w:color w:val="auto"/>
                <w:sz w:val="24"/>
                <w:lang w:val="en-US" w:eastAsia="zh-CN"/>
              </w:rPr>
              <w:t>4</w:t>
            </w:r>
            <w:r>
              <w:rPr>
                <w:rFonts w:hint="eastAsia"/>
                <w:color w:val="auto"/>
                <w:sz w:val="24"/>
                <w:lang w:val="zh-CN"/>
              </w:rPr>
              <w:t>：项目周边环境现状图</w:t>
            </w:r>
          </w:p>
          <w:p>
            <w:pPr>
              <w:spacing w:line="360" w:lineRule="auto"/>
              <w:ind w:firstLine="480" w:firstLineChars="200"/>
              <w:rPr>
                <w:color w:val="auto"/>
                <w:sz w:val="24"/>
              </w:rPr>
            </w:pPr>
            <w:r>
              <w:rPr>
                <w:color w:val="auto"/>
                <w:sz w:val="24"/>
              </w:rPr>
              <w:t>二、如果本报告表不能说明项目产生的污染及对环境造成的影响，应进行专项评价。根据建设项目的特点和当地环境特征，应选下列1—2项进行专项评价。</w:t>
            </w:r>
          </w:p>
          <w:p>
            <w:pPr>
              <w:spacing w:line="360" w:lineRule="auto"/>
              <w:ind w:firstLine="480" w:firstLineChars="200"/>
              <w:rPr>
                <w:color w:val="auto"/>
                <w:sz w:val="24"/>
              </w:rPr>
            </w:pPr>
            <w:r>
              <w:rPr>
                <w:color w:val="auto"/>
                <w:sz w:val="24"/>
              </w:rPr>
              <w:t>1．大气环境影响专项评价</w:t>
            </w:r>
          </w:p>
          <w:p>
            <w:pPr>
              <w:spacing w:line="360" w:lineRule="auto"/>
              <w:ind w:firstLine="480" w:firstLineChars="200"/>
              <w:rPr>
                <w:color w:val="auto"/>
                <w:sz w:val="24"/>
              </w:rPr>
            </w:pPr>
            <w:r>
              <w:rPr>
                <w:color w:val="auto"/>
                <w:sz w:val="24"/>
              </w:rPr>
              <w:t>2．水环境影响专项评价（包括地表水和地下水）</w:t>
            </w:r>
          </w:p>
          <w:p>
            <w:pPr>
              <w:spacing w:line="360" w:lineRule="auto"/>
              <w:ind w:firstLine="480" w:firstLineChars="200"/>
              <w:rPr>
                <w:color w:val="auto"/>
                <w:sz w:val="24"/>
              </w:rPr>
            </w:pPr>
            <w:r>
              <w:rPr>
                <w:color w:val="auto"/>
                <w:sz w:val="24"/>
              </w:rPr>
              <w:t>3．生态影响专项评价</w:t>
            </w:r>
          </w:p>
          <w:p>
            <w:pPr>
              <w:spacing w:line="360" w:lineRule="auto"/>
              <w:ind w:firstLine="480" w:firstLineChars="200"/>
              <w:rPr>
                <w:color w:val="auto"/>
                <w:sz w:val="24"/>
              </w:rPr>
            </w:pPr>
            <w:r>
              <w:rPr>
                <w:color w:val="auto"/>
                <w:sz w:val="24"/>
              </w:rPr>
              <w:t>4．声影响专项评价</w:t>
            </w:r>
          </w:p>
          <w:p>
            <w:pPr>
              <w:spacing w:line="360" w:lineRule="auto"/>
              <w:ind w:firstLine="480" w:firstLineChars="200"/>
              <w:rPr>
                <w:color w:val="auto"/>
                <w:sz w:val="24"/>
              </w:rPr>
            </w:pPr>
            <w:r>
              <w:rPr>
                <w:color w:val="auto"/>
                <w:sz w:val="24"/>
              </w:rPr>
              <w:t>5．土壤影响专项评价</w:t>
            </w:r>
          </w:p>
          <w:p>
            <w:pPr>
              <w:spacing w:line="360" w:lineRule="auto"/>
              <w:ind w:firstLine="480" w:firstLineChars="200"/>
              <w:rPr>
                <w:color w:val="auto"/>
                <w:sz w:val="24"/>
              </w:rPr>
            </w:pPr>
            <w:r>
              <w:rPr>
                <w:color w:val="auto"/>
                <w:sz w:val="24"/>
              </w:rPr>
              <w:t>6．固体废弃物影响专项评价</w:t>
            </w:r>
          </w:p>
          <w:p>
            <w:pPr>
              <w:spacing w:line="360" w:lineRule="auto"/>
              <w:ind w:firstLine="480" w:firstLineChars="200"/>
              <w:rPr>
                <w:rFonts w:hint="eastAsia"/>
                <w:color w:val="auto"/>
                <w:sz w:val="24"/>
              </w:rPr>
            </w:pPr>
            <w:r>
              <w:rPr>
                <w:color w:val="auto"/>
                <w:sz w:val="24"/>
              </w:rPr>
              <w:t>以上专项评价未包括的可另列专项，专项评价按照《环境影响评价技术导则》中的要求进行。</w:t>
            </w: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rPr>
                <w:rFonts w:hint="eastAsia"/>
                <w:color w:val="auto"/>
                <w:sz w:val="24"/>
              </w:rPr>
            </w:pPr>
          </w:p>
        </w:tc>
      </w:tr>
    </w:tbl>
    <w:p>
      <w:pPr>
        <w:rPr>
          <w:rFonts w:hint="eastAsia"/>
          <w:color w:val="000000"/>
        </w:rPr>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rPr>
        <w:rFonts w:hint="eastAsia"/>
        <w:sz w:val="21"/>
        <w:szCs w:val="21"/>
      </w:rPr>
    </w:pPr>
    <w:r>
      <w:rPr>
        <w:rFonts w:hint="eastAsia"/>
      </w:rPr>
      <w:t xml:space="preserve">                                          </w:t>
    </w:r>
    <w:r>
      <w:rPr>
        <w:sz w:val="21"/>
        <w:szCs w:val="21"/>
      </w:rPr>
      <w:t xml:space="preserve">- </w:t>
    </w:r>
    <w:r>
      <w:rPr>
        <w:sz w:val="21"/>
        <w:szCs w:val="21"/>
      </w:rPr>
      <w:fldChar w:fldCharType="begin"/>
    </w:r>
    <w:r>
      <w:rPr>
        <w:sz w:val="21"/>
        <w:szCs w:val="21"/>
      </w:rPr>
      <w:instrText xml:space="preserve"> PAGE </w:instrText>
    </w:r>
    <w:r>
      <w:rPr>
        <w:sz w:val="21"/>
        <w:szCs w:val="21"/>
      </w:rPr>
      <w:fldChar w:fldCharType="separate"/>
    </w:r>
    <w:r>
      <w:rPr>
        <w:sz w:val="21"/>
        <w:szCs w:val="21"/>
      </w:rPr>
      <w:t>22</w:t>
    </w:r>
    <w:r>
      <w:rPr>
        <w:sz w:val="21"/>
        <w:szCs w:val="21"/>
      </w:rPr>
      <w:fldChar w:fldCharType="end"/>
    </w:r>
    <w:r>
      <w:rPr>
        <w:sz w:val="21"/>
        <w:szCs w:val="21"/>
      </w:rPr>
      <w:t xml:space="preserve"> -</w:t>
    </w:r>
    <w:r>
      <w:rPr>
        <w:rFonts w:hint="eastAsia"/>
        <w:sz w:val="21"/>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eastAsia="宋体"/>
        <w:szCs w:val="21"/>
        <w:lang w:eastAsia="zh-CN"/>
      </w:rPr>
    </w:pPr>
    <w:r>
      <w:rPr>
        <w:rFonts w:hint="eastAsia"/>
        <w:color w:val="000000"/>
        <w:sz w:val="21"/>
        <w:szCs w:val="21"/>
        <w:lang w:eastAsia="zh-CN"/>
      </w:rPr>
      <w:t>砚山县蚌峨加油站改建项目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07ED0"/>
    <w:multiLevelType w:val="singleLevel"/>
    <w:tmpl w:val="5A307ED0"/>
    <w:lvl w:ilvl="0" w:tentative="0">
      <w:start w:val="1"/>
      <w:numFmt w:val="decimal"/>
      <w:suff w:val="nothing"/>
      <w:lvlText w:val="%1、"/>
      <w:lvlJc w:val="left"/>
    </w:lvl>
  </w:abstractNum>
  <w:abstractNum w:abstractNumId="1">
    <w:nsid w:val="5A3DE1A0"/>
    <w:multiLevelType w:val="singleLevel"/>
    <w:tmpl w:val="5A3DE1A0"/>
    <w:lvl w:ilvl="0" w:tentative="0">
      <w:start w:val="2"/>
      <w:numFmt w:val="decimal"/>
      <w:suff w:val="nothing"/>
      <w:lvlText w:val="%1、"/>
      <w:lvlJc w:val="left"/>
    </w:lvl>
  </w:abstractNum>
  <w:abstractNum w:abstractNumId="2">
    <w:nsid w:val="5A40C1A6"/>
    <w:multiLevelType w:val="singleLevel"/>
    <w:tmpl w:val="5A40C1A6"/>
    <w:lvl w:ilvl="0" w:tentative="0">
      <w:start w:val="1"/>
      <w:numFmt w:val="decimal"/>
      <w:suff w:val="nothing"/>
      <w:lvlText w:val="（%1）"/>
      <w:lvlJc w:val="left"/>
    </w:lvl>
  </w:abstractNum>
  <w:abstractNum w:abstractNumId="3">
    <w:nsid w:val="5A487B18"/>
    <w:multiLevelType w:val="singleLevel"/>
    <w:tmpl w:val="5A487B18"/>
    <w:lvl w:ilvl="0" w:tentative="0">
      <w:start w:val="4"/>
      <w:numFmt w:val="chineseCounting"/>
      <w:suff w:val="nothing"/>
      <w:lvlText w:val="（%1）"/>
      <w:lvlJc w:val="left"/>
    </w:lvl>
  </w:abstractNum>
  <w:abstractNum w:abstractNumId="4">
    <w:nsid w:val="5A48D2E6"/>
    <w:multiLevelType w:val="singleLevel"/>
    <w:tmpl w:val="5A48D2E6"/>
    <w:lvl w:ilvl="0" w:tentative="0">
      <w:start w:val="1"/>
      <w:numFmt w:val="decimal"/>
      <w:suff w:val="nothing"/>
      <w:lvlText w:val="（%1）"/>
      <w:lvlJc w:val="left"/>
    </w:lvl>
  </w:abstractNum>
  <w:abstractNum w:abstractNumId="5">
    <w:nsid w:val="5A48E9AE"/>
    <w:multiLevelType w:val="singleLevel"/>
    <w:tmpl w:val="5A48E9AE"/>
    <w:lvl w:ilvl="0" w:tentative="0">
      <w:start w:val="2"/>
      <w:numFmt w:val="decimal"/>
      <w:suff w:val="nothing"/>
      <w:lvlText w:val="（%1）"/>
      <w:lvlJc w:val="left"/>
    </w:lvl>
  </w:abstractNum>
  <w:abstractNum w:abstractNumId="6">
    <w:nsid w:val="5B1369BA"/>
    <w:multiLevelType w:val="singleLevel"/>
    <w:tmpl w:val="5B1369BA"/>
    <w:lvl w:ilvl="0" w:tentative="0">
      <w:start w:val="2"/>
      <w:numFmt w:val="decimal"/>
      <w:suff w:val="nothing"/>
      <w:lvlText w:val="%1、"/>
      <w:lvlJc w:val="left"/>
    </w:lvl>
  </w:abstractNum>
  <w:abstractNum w:abstractNumId="7">
    <w:nsid w:val="5B496351"/>
    <w:multiLevelType w:val="singleLevel"/>
    <w:tmpl w:val="5B496351"/>
    <w:lvl w:ilvl="0" w:tentative="0">
      <w:start w:val="1"/>
      <w:numFmt w:val="decimal"/>
      <w:suff w:val="nothing"/>
      <w:lvlText w:val="%1、"/>
      <w:lvlJc w:val="left"/>
    </w:lvl>
  </w:abstractNum>
  <w:abstractNum w:abstractNumId="8">
    <w:nsid w:val="5B499E31"/>
    <w:multiLevelType w:val="singleLevel"/>
    <w:tmpl w:val="5B499E31"/>
    <w:lvl w:ilvl="0" w:tentative="0">
      <w:start w:val="5"/>
      <w:numFmt w:val="decimal"/>
      <w:suff w:val="nothing"/>
      <w:lvlText w:val="（%1）"/>
      <w:lvlJc w:val="left"/>
    </w:lvl>
  </w:abstractNum>
  <w:abstractNum w:abstractNumId="9">
    <w:nsid w:val="5B49A2D2"/>
    <w:multiLevelType w:val="singleLevel"/>
    <w:tmpl w:val="5B49A2D2"/>
    <w:lvl w:ilvl="0" w:tentative="0">
      <w:start w:val="2"/>
      <w:numFmt w:val="decimal"/>
      <w:suff w:val="nothing"/>
      <w:lvlText w:val="%1、"/>
      <w:lvlJc w:val="left"/>
    </w:lvl>
  </w:abstractNum>
  <w:abstractNum w:abstractNumId="10">
    <w:nsid w:val="5B49A355"/>
    <w:multiLevelType w:val="singleLevel"/>
    <w:tmpl w:val="5B49A355"/>
    <w:lvl w:ilvl="0" w:tentative="0">
      <w:start w:val="1"/>
      <w:numFmt w:val="decimal"/>
      <w:suff w:val="nothing"/>
      <w:lvlText w:val="（%1）"/>
      <w:lvlJc w:val="left"/>
    </w:lvl>
  </w:abstractNum>
  <w:abstractNum w:abstractNumId="11">
    <w:nsid w:val="5B49B4FC"/>
    <w:multiLevelType w:val="singleLevel"/>
    <w:tmpl w:val="5B49B4FC"/>
    <w:lvl w:ilvl="0" w:tentative="0">
      <w:start w:val="5"/>
      <w:numFmt w:val="decimal"/>
      <w:suff w:val="nothing"/>
      <w:lvlText w:val="（%1）"/>
      <w:lvlJc w:val="left"/>
    </w:lvl>
  </w:abstractNum>
  <w:abstractNum w:abstractNumId="12">
    <w:nsid w:val="6C0A0353"/>
    <w:multiLevelType w:val="multilevel"/>
    <w:tmpl w:val="6C0A035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7"/>
  </w:num>
  <w:num w:numId="2">
    <w:abstractNumId w:val="3"/>
  </w:num>
  <w:num w:numId="3">
    <w:abstractNumId w:val="5"/>
  </w:num>
  <w:num w:numId="4">
    <w:abstractNumId w:val="4"/>
  </w:num>
  <w:num w:numId="5">
    <w:abstractNumId w:val="8"/>
  </w:num>
  <w:num w:numId="6">
    <w:abstractNumId w:val="9"/>
  </w:num>
  <w:num w:numId="7">
    <w:abstractNumId w:val="10"/>
  </w:num>
  <w:num w:numId="8">
    <w:abstractNumId w:val="1"/>
  </w:num>
  <w:num w:numId="9">
    <w:abstractNumId w:val="11"/>
  </w:num>
  <w:num w:numId="10">
    <w:abstractNumId w:val="12"/>
  </w:num>
  <w:num w:numId="11">
    <w:abstractNumId w:val="2"/>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D52"/>
    <w:rsid w:val="00013E3E"/>
    <w:rsid w:val="00014D1F"/>
    <w:rsid w:val="00016091"/>
    <w:rsid w:val="000326EF"/>
    <w:rsid w:val="00033C25"/>
    <w:rsid w:val="000343BA"/>
    <w:rsid w:val="0003526B"/>
    <w:rsid w:val="000368C3"/>
    <w:rsid w:val="00040465"/>
    <w:rsid w:val="00041C19"/>
    <w:rsid w:val="00043EA1"/>
    <w:rsid w:val="000500E7"/>
    <w:rsid w:val="000575D4"/>
    <w:rsid w:val="00062455"/>
    <w:rsid w:val="000654CF"/>
    <w:rsid w:val="00071E30"/>
    <w:rsid w:val="00075525"/>
    <w:rsid w:val="000759E3"/>
    <w:rsid w:val="000761AB"/>
    <w:rsid w:val="000770CF"/>
    <w:rsid w:val="00080895"/>
    <w:rsid w:val="00086327"/>
    <w:rsid w:val="00094487"/>
    <w:rsid w:val="00095065"/>
    <w:rsid w:val="00097F97"/>
    <w:rsid w:val="000A326F"/>
    <w:rsid w:val="000B045A"/>
    <w:rsid w:val="000B087D"/>
    <w:rsid w:val="000C31D4"/>
    <w:rsid w:val="000C4653"/>
    <w:rsid w:val="000D005E"/>
    <w:rsid w:val="000D3590"/>
    <w:rsid w:val="000D5B38"/>
    <w:rsid w:val="000D7582"/>
    <w:rsid w:val="000E05CF"/>
    <w:rsid w:val="000F0234"/>
    <w:rsid w:val="000F4299"/>
    <w:rsid w:val="000F6090"/>
    <w:rsid w:val="00100F54"/>
    <w:rsid w:val="0010130F"/>
    <w:rsid w:val="001066FF"/>
    <w:rsid w:val="00113F1E"/>
    <w:rsid w:val="00115180"/>
    <w:rsid w:val="00116576"/>
    <w:rsid w:val="001165DA"/>
    <w:rsid w:val="001212AF"/>
    <w:rsid w:val="00121984"/>
    <w:rsid w:val="00134CD5"/>
    <w:rsid w:val="001359EB"/>
    <w:rsid w:val="00140DFB"/>
    <w:rsid w:val="001430DC"/>
    <w:rsid w:val="0014610E"/>
    <w:rsid w:val="0015213B"/>
    <w:rsid w:val="00156450"/>
    <w:rsid w:val="001564BF"/>
    <w:rsid w:val="00163EF2"/>
    <w:rsid w:val="00164D1E"/>
    <w:rsid w:val="001651DE"/>
    <w:rsid w:val="00165AC0"/>
    <w:rsid w:val="001675C7"/>
    <w:rsid w:val="001708DA"/>
    <w:rsid w:val="00171171"/>
    <w:rsid w:val="00173474"/>
    <w:rsid w:val="001817B4"/>
    <w:rsid w:val="00184819"/>
    <w:rsid w:val="00187333"/>
    <w:rsid w:val="00187E28"/>
    <w:rsid w:val="00194113"/>
    <w:rsid w:val="00197B45"/>
    <w:rsid w:val="001A00DC"/>
    <w:rsid w:val="001B00B0"/>
    <w:rsid w:val="001B1026"/>
    <w:rsid w:val="001B3AE5"/>
    <w:rsid w:val="001B4AE0"/>
    <w:rsid w:val="001B6EDF"/>
    <w:rsid w:val="001C1A27"/>
    <w:rsid w:val="001C4F0E"/>
    <w:rsid w:val="001C5456"/>
    <w:rsid w:val="001D206E"/>
    <w:rsid w:val="001D713F"/>
    <w:rsid w:val="001E190F"/>
    <w:rsid w:val="001E31DE"/>
    <w:rsid w:val="001E756D"/>
    <w:rsid w:val="001F0E76"/>
    <w:rsid w:val="001F57E4"/>
    <w:rsid w:val="00202D4C"/>
    <w:rsid w:val="00203E2E"/>
    <w:rsid w:val="002054FB"/>
    <w:rsid w:val="0020563F"/>
    <w:rsid w:val="00206A45"/>
    <w:rsid w:val="0020782A"/>
    <w:rsid w:val="0021630D"/>
    <w:rsid w:val="00221877"/>
    <w:rsid w:val="00230A95"/>
    <w:rsid w:val="00234557"/>
    <w:rsid w:val="0023626B"/>
    <w:rsid w:val="0024172D"/>
    <w:rsid w:val="00242543"/>
    <w:rsid w:val="00244BB6"/>
    <w:rsid w:val="00244F84"/>
    <w:rsid w:val="002460A3"/>
    <w:rsid w:val="00257B28"/>
    <w:rsid w:val="00264B6E"/>
    <w:rsid w:val="00270207"/>
    <w:rsid w:val="00271804"/>
    <w:rsid w:val="00273DC8"/>
    <w:rsid w:val="002769D8"/>
    <w:rsid w:val="00285D6A"/>
    <w:rsid w:val="002869C7"/>
    <w:rsid w:val="0029165E"/>
    <w:rsid w:val="00291D09"/>
    <w:rsid w:val="002943E5"/>
    <w:rsid w:val="00296DBB"/>
    <w:rsid w:val="002A7A49"/>
    <w:rsid w:val="002B1860"/>
    <w:rsid w:val="002B1E22"/>
    <w:rsid w:val="002C6A28"/>
    <w:rsid w:val="002D2A8E"/>
    <w:rsid w:val="002D421F"/>
    <w:rsid w:val="002D478D"/>
    <w:rsid w:val="002E5325"/>
    <w:rsid w:val="002E7079"/>
    <w:rsid w:val="002E74B7"/>
    <w:rsid w:val="002F0B90"/>
    <w:rsid w:val="002F17FB"/>
    <w:rsid w:val="002F1A32"/>
    <w:rsid w:val="002F2A43"/>
    <w:rsid w:val="002F3A19"/>
    <w:rsid w:val="00306489"/>
    <w:rsid w:val="00311F44"/>
    <w:rsid w:val="00315B31"/>
    <w:rsid w:val="00316029"/>
    <w:rsid w:val="00323848"/>
    <w:rsid w:val="00325602"/>
    <w:rsid w:val="00331D17"/>
    <w:rsid w:val="00331EDD"/>
    <w:rsid w:val="003348D5"/>
    <w:rsid w:val="00335B56"/>
    <w:rsid w:val="0033708E"/>
    <w:rsid w:val="003422EF"/>
    <w:rsid w:val="00342ADF"/>
    <w:rsid w:val="00345E9D"/>
    <w:rsid w:val="00350462"/>
    <w:rsid w:val="00355E0F"/>
    <w:rsid w:val="00356B79"/>
    <w:rsid w:val="00356DBE"/>
    <w:rsid w:val="00371432"/>
    <w:rsid w:val="0037632D"/>
    <w:rsid w:val="0038340E"/>
    <w:rsid w:val="0038353A"/>
    <w:rsid w:val="003843B2"/>
    <w:rsid w:val="003926E9"/>
    <w:rsid w:val="00392D54"/>
    <w:rsid w:val="00395650"/>
    <w:rsid w:val="003960C1"/>
    <w:rsid w:val="0039763B"/>
    <w:rsid w:val="003A185B"/>
    <w:rsid w:val="003A1EC5"/>
    <w:rsid w:val="003A6A0F"/>
    <w:rsid w:val="003A6BE9"/>
    <w:rsid w:val="003B07DC"/>
    <w:rsid w:val="003B095E"/>
    <w:rsid w:val="003B5111"/>
    <w:rsid w:val="003B7B41"/>
    <w:rsid w:val="003C09A1"/>
    <w:rsid w:val="003C1497"/>
    <w:rsid w:val="003C4043"/>
    <w:rsid w:val="003D1015"/>
    <w:rsid w:val="003D1599"/>
    <w:rsid w:val="003D2B24"/>
    <w:rsid w:val="003D494D"/>
    <w:rsid w:val="003D7064"/>
    <w:rsid w:val="003E3CDD"/>
    <w:rsid w:val="003E4003"/>
    <w:rsid w:val="003E54E3"/>
    <w:rsid w:val="003E633B"/>
    <w:rsid w:val="003E660C"/>
    <w:rsid w:val="003E7F6A"/>
    <w:rsid w:val="003F014F"/>
    <w:rsid w:val="003F13BF"/>
    <w:rsid w:val="003F7D27"/>
    <w:rsid w:val="00400DD5"/>
    <w:rsid w:val="00402B9E"/>
    <w:rsid w:val="00403B60"/>
    <w:rsid w:val="00405554"/>
    <w:rsid w:val="00407B98"/>
    <w:rsid w:val="00410295"/>
    <w:rsid w:val="0041332E"/>
    <w:rsid w:val="004148FB"/>
    <w:rsid w:val="00415144"/>
    <w:rsid w:val="00416388"/>
    <w:rsid w:val="00416A26"/>
    <w:rsid w:val="00422BBA"/>
    <w:rsid w:val="00423197"/>
    <w:rsid w:val="00424054"/>
    <w:rsid w:val="0043093E"/>
    <w:rsid w:val="00430B54"/>
    <w:rsid w:val="0043288C"/>
    <w:rsid w:val="00441262"/>
    <w:rsid w:val="00446BE9"/>
    <w:rsid w:val="00450038"/>
    <w:rsid w:val="0045124A"/>
    <w:rsid w:val="00457A72"/>
    <w:rsid w:val="00463B4A"/>
    <w:rsid w:val="00465776"/>
    <w:rsid w:val="00476DFC"/>
    <w:rsid w:val="004773A2"/>
    <w:rsid w:val="00477ADA"/>
    <w:rsid w:val="00477F53"/>
    <w:rsid w:val="00485254"/>
    <w:rsid w:val="00487DC1"/>
    <w:rsid w:val="004922FB"/>
    <w:rsid w:val="00492EC7"/>
    <w:rsid w:val="004932BE"/>
    <w:rsid w:val="004945FC"/>
    <w:rsid w:val="00497BC3"/>
    <w:rsid w:val="004A1507"/>
    <w:rsid w:val="004B10F9"/>
    <w:rsid w:val="004B2A3F"/>
    <w:rsid w:val="004B70F9"/>
    <w:rsid w:val="004C1092"/>
    <w:rsid w:val="004C1D5D"/>
    <w:rsid w:val="004C75CC"/>
    <w:rsid w:val="004C7D03"/>
    <w:rsid w:val="004D451D"/>
    <w:rsid w:val="004D57E7"/>
    <w:rsid w:val="004D5BD2"/>
    <w:rsid w:val="004F22D0"/>
    <w:rsid w:val="004F279B"/>
    <w:rsid w:val="00503104"/>
    <w:rsid w:val="005045E2"/>
    <w:rsid w:val="00506946"/>
    <w:rsid w:val="00512E07"/>
    <w:rsid w:val="00520728"/>
    <w:rsid w:val="00522AEA"/>
    <w:rsid w:val="00527119"/>
    <w:rsid w:val="00527FE3"/>
    <w:rsid w:val="005311DA"/>
    <w:rsid w:val="00534C0C"/>
    <w:rsid w:val="00545447"/>
    <w:rsid w:val="00546A29"/>
    <w:rsid w:val="00546D80"/>
    <w:rsid w:val="0055592F"/>
    <w:rsid w:val="00556B38"/>
    <w:rsid w:val="00561792"/>
    <w:rsid w:val="00562BA1"/>
    <w:rsid w:val="00563C73"/>
    <w:rsid w:val="00572FC7"/>
    <w:rsid w:val="00574669"/>
    <w:rsid w:val="00577791"/>
    <w:rsid w:val="00581EDF"/>
    <w:rsid w:val="00581FA7"/>
    <w:rsid w:val="00583166"/>
    <w:rsid w:val="00591FDF"/>
    <w:rsid w:val="005A0451"/>
    <w:rsid w:val="005A50DA"/>
    <w:rsid w:val="005B1823"/>
    <w:rsid w:val="005B1CF6"/>
    <w:rsid w:val="005C1266"/>
    <w:rsid w:val="005C37A6"/>
    <w:rsid w:val="005C56D4"/>
    <w:rsid w:val="005D0E0C"/>
    <w:rsid w:val="005D218E"/>
    <w:rsid w:val="005E0548"/>
    <w:rsid w:val="005F1453"/>
    <w:rsid w:val="005F188B"/>
    <w:rsid w:val="005F3657"/>
    <w:rsid w:val="00601438"/>
    <w:rsid w:val="00602073"/>
    <w:rsid w:val="0060211D"/>
    <w:rsid w:val="0060388B"/>
    <w:rsid w:val="00603FAD"/>
    <w:rsid w:val="006068EF"/>
    <w:rsid w:val="006111B7"/>
    <w:rsid w:val="00614ACC"/>
    <w:rsid w:val="0061695F"/>
    <w:rsid w:val="00616C31"/>
    <w:rsid w:val="00617292"/>
    <w:rsid w:val="00621A06"/>
    <w:rsid w:val="00621F02"/>
    <w:rsid w:val="00624792"/>
    <w:rsid w:val="006249EE"/>
    <w:rsid w:val="006410F0"/>
    <w:rsid w:val="00645CA0"/>
    <w:rsid w:val="006516DF"/>
    <w:rsid w:val="00652D2B"/>
    <w:rsid w:val="00652F02"/>
    <w:rsid w:val="00655BE0"/>
    <w:rsid w:val="00661120"/>
    <w:rsid w:val="0066265E"/>
    <w:rsid w:val="00665C5A"/>
    <w:rsid w:val="006723BF"/>
    <w:rsid w:val="00676812"/>
    <w:rsid w:val="0067696D"/>
    <w:rsid w:val="00676E81"/>
    <w:rsid w:val="00683BB1"/>
    <w:rsid w:val="006901B2"/>
    <w:rsid w:val="00691786"/>
    <w:rsid w:val="00696D66"/>
    <w:rsid w:val="00697589"/>
    <w:rsid w:val="006A2098"/>
    <w:rsid w:val="006A3AA5"/>
    <w:rsid w:val="006A669C"/>
    <w:rsid w:val="006B1750"/>
    <w:rsid w:val="006B1A83"/>
    <w:rsid w:val="006B55B9"/>
    <w:rsid w:val="006B5F57"/>
    <w:rsid w:val="006B5FB4"/>
    <w:rsid w:val="006C09DE"/>
    <w:rsid w:val="006C426D"/>
    <w:rsid w:val="006C4870"/>
    <w:rsid w:val="006C51C8"/>
    <w:rsid w:val="006E1410"/>
    <w:rsid w:val="006E2951"/>
    <w:rsid w:val="006E4A39"/>
    <w:rsid w:val="006E5749"/>
    <w:rsid w:val="006F4121"/>
    <w:rsid w:val="006F7B21"/>
    <w:rsid w:val="00701A86"/>
    <w:rsid w:val="00710E96"/>
    <w:rsid w:val="0071736C"/>
    <w:rsid w:val="00720653"/>
    <w:rsid w:val="007237C2"/>
    <w:rsid w:val="00730EED"/>
    <w:rsid w:val="007319C7"/>
    <w:rsid w:val="00732B84"/>
    <w:rsid w:val="00736B7D"/>
    <w:rsid w:val="00742272"/>
    <w:rsid w:val="00750B9F"/>
    <w:rsid w:val="007538D5"/>
    <w:rsid w:val="00753AFA"/>
    <w:rsid w:val="007572E8"/>
    <w:rsid w:val="007628DD"/>
    <w:rsid w:val="0076718F"/>
    <w:rsid w:val="00770160"/>
    <w:rsid w:val="00773E0D"/>
    <w:rsid w:val="0077629F"/>
    <w:rsid w:val="00777C78"/>
    <w:rsid w:val="00780A0A"/>
    <w:rsid w:val="00781DA7"/>
    <w:rsid w:val="00785107"/>
    <w:rsid w:val="00794A7C"/>
    <w:rsid w:val="00796C7F"/>
    <w:rsid w:val="007976E1"/>
    <w:rsid w:val="007A09CF"/>
    <w:rsid w:val="007A29E8"/>
    <w:rsid w:val="007B5519"/>
    <w:rsid w:val="007B655A"/>
    <w:rsid w:val="007D02D1"/>
    <w:rsid w:val="007D0851"/>
    <w:rsid w:val="007D0D77"/>
    <w:rsid w:val="007D1395"/>
    <w:rsid w:val="007D1E7D"/>
    <w:rsid w:val="007D1FB2"/>
    <w:rsid w:val="007D4197"/>
    <w:rsid w:val="007D5A82"/>
    <w:rsid w:val="007D6126"/>
    <w:rsid w:val="007D73F6"/>
    <w:rsid w:val="007E044E"/>
    <w:rsid w:val="007E44D1"/>
    <w:rsid w:val="007E741D"/>
    <w:rsid w:val="007F57F5"/>
    <w:rsid w:val="008057FA"/>
    <w:rsid w:val="00805A1B"/>
    <w:rsid w:val="00812043"/>
    <w:rsid w:val="008126DB"/>
    <w:rsid w:val="00812CAA"/>
    <w:rsid w:val="00813A30"/>
    <w:rsid w:val="00816937"/>
    <w:rsid w:val="008206F9"/>
    <w:rsid w:val="00821995"/>
    <w:rsid w:val="0082629A"/>
    <w:rsid w:val="00827DED"/>
    <w:rsid w:val="00832A5F"/>
    <w:rsid w:val="00833415"/>
    <w:rsid w:val="008376AE"/>
    <w:rsid w:val="00837B81"/>
    <w:rsid w:val="00840E52"/>
    <w:rsid w:val="008434D5"/>
    <w:rsid w:val="00844262"/>
    <w:rsid w:val="008444C2"/>
    <w:rsid w:val="008515E6"/>
    <w:rsid w:val="008521B7"/>
    <w:rsid w:val="008528DE"/>
    <w:rsid w:val="00861283"/>
    <w:rsid w:val="0086190D"/>
    <w:rsid w:val="00865807"/>
    <w:rsid w:val="00866523"/>
    <w:rsid w:val="00867DCD"/>
    <w:rsid w:val="00870A78"/>
    <w:rsid w:val="00872458"/>
    <w:rsid w:val="00886A4F"/>
    <w:rsid w:val="008A5ABA"/>
    <w:rsid w:val="008B17F0"/>
    <w:rsid w:val="008B3719"/>
    <w:rsid w:val="008B3A81"/>
    <w:rsid w:val="008C4D45"/>
    <w:rsid w:val="008D14CF"/>
    <w:rsid w:val="008D3CDD"/>
    <w:rsid w:val="008D47F3"/>
    <w:rsid w:val="008F0480"/>
    <w:rsid w:val="008F2C65"/>
    <w:rsid w:val="008F5F8D"/>
    <w:rsid w:val="00901DF5"/>
    <w:rsid w:val="009034B5"/>
    <w:rsid w:val="00903F96"/>
    <w:rsid w:val="00912884"/>
    <w:rsid w:val="009134B5"/>
    <w:rsid w:val="0091424B"/>
    <w:rsid w:val="0091563C"/>
    <w:rsid w:val="009162AA"/>
    <w:rsid w:val="00920D81"/>
    <w:rsid w:val="00921F78"/>
    <w:rsid w:val="009234E5"/>
    <w:rsid w:val="009239AE"/>
    <w:rsid w:val="00924C00"/>
    <w:rsid w:val="009271AE"/>
    <w:rsid w:val="0093597E"/>
    <w:rsid w:val="00935ACA"/>
    <w:rsid w:val="00937890"/>
    <w:rsid w:val="0094391A"/>
    <w:rsid w:val="00943DBF"/>
    <w:rsid w:val="0094516E"/>
    <w:rsid w:val="00947EC6"/>
    <w:rsid w:val="00950BC1"/>
    <w:rsid w:val="00951A38"/>
    <w:rsid w:val="00951BF3"/>
    <w:rsid w:val="00960D9C"/>
    <w:rsid w:val="00962588"/>
    <w:rsid w:val="00971C98"/>
    <w:rsid w:val="00972371"/>
    <w:rsid w:val="00972476"/>
    <w:rsid w:val="00973788"/>
    <w:rsid w:val="00976887"/>
    <w:rsid w:val="009807BA"/>
    <w:rsid w:val="009874B6"/>
    <w:rsid w:val="00991B78"/>
    <w:rsid w:val="00993A48"/>
    <w:rsid w:val="009A0D8E"/>
    <w:rsid w:val="009A2883"/>
    <w:rsid w:val="009A493B"/>
    <w:rsid w:val="009A5801"/>
    <w:rsid w:val="009A7DFA"/>
    <w:rsid w:val="009B084F"/>
    <w:rsid w:val="009B5676"/>
    <w:rsid w:val="009B5AAB"/>
    <w:rsid w:val="009B6A5B"/>
    <w:rsid w:val="009C3E60"/>
    <w:rsid w:val="009C3F95"/>
    <w:rsid w:val="009C618A"/>
    <w:rsid w:val="009C7087"/>
    <w:rsid w:val="009E21A3"/>
    <w:rsid w:val="009E41E0"/>
    <w:rsid w:val="009E544D"/>
    <w:rsid w:val="009E57BF"/>
    <w:rsid w:val="009E58BC"/>
    <w:rsid w:val="009F260C"/>
    <w:rsid w:val="009F4446"/>
    <w:rsid w:val="00A030F7"/>
    <w:rsid w:val="00A03DA9"/>
    <w:rsid w:val="00A06B82"/>
    <w:rsid w:val="00A10F8B"/>
    <w:rsid w:val="00A130EF"/>
    <w:rsid w:val="00A13405"/>
    <w:rsid w:val="00A1686C"/>
    <w:rsid w:val="00A174D9"/>
    <w:rsid w:val="00A20B47"/>
    <w:rsid w:val="00A211DA"/>
    <w:rsid w:val="00A2171E"/>
    <w:rsid w:val="00A24E35"/>
    <w:rsid w:val="00A27210"/>
    <w:rsid w:val="00A32606"/>
    <w:rsid w:val="00A4039C"/>
    <w:rsid w:val="00A410C7"/>
    <w:rsid w:val="00A420C3"/>
    <w:rsid w:val="00A429A3"/>
    <w:rsid w:val="00A4417F"/>
    <w:rsid w:val="00A44E4C"/>
    <w:rsid w:val="00A52A1B"/>
    <w:rsid w:val="00A53B66"/>
    <w:rsid w:val="00A554E9"/>
    <w:rsid w:val="00A60946"/>
    <w:rsid w:val="00A65662"/>
    <w:rsid w:val="00A717C1"/>
    <w:rsid w:val="00A7193D"/>
    <w:rsid w:val="00A757F3"/>
    <w:rsid w:val="00A82924"/>
    <w:rsid w:val="00A83AF9"/>
    <w:rsid w:val="00A842CB"/>
    <w:rsid w:val="00A925EF"/>
    <w:rsid w:val="00A935E7"/>
    <w:rsid w:val="00A93F7A"/>
    <w:rsid w:val="00A946ED"/>
    <w:rsid w:val="00A97069"/>
    <w:rsid w:val="00AA1500"/>
    <w:rsid w:val="00AA260B"/>
    <w:rsid w:val="00AA2F96"/>
    <w:rsid w:val="00AB25CB"/>
    <w:rsid w:val="00AB27EF"/>
    <w:rsid w:val="00AB4613"/>
    <w:rsid w:val="00AB5301"/>
    <w:rsid w:val="00AB6F39"/>
    <w:rsid w:val="00AB73B5"/>
    <w:rsid w:val="00AC067B"/>
    <w:rsid w:val="00AC221D"/>
    <w:rsid w:val="00AC23D7"/>
    <w:rsid w:val="00AC64B7"/>
    <w:rsid w:val="00AD041F"/>
    <w:rsid w:val="00AD356C"/>
    <w:rsid w:val="00AF2232"/>
    <w:rsid w:val="00AF6CC2"/>
    <w:rsid w:val="00B00FFF"/>
    <w:rsid w:val="00B02C17"/>
    <w:rsid w:val="00B10403"/>
    <w:rsid w:val="00B10BC7"/>
    <w:rsid w:val="00B16EAD"/>
    <w:rsid w:val="00B221AA"/>
    <w:rsid w:val="00B3345B"/>
    <w:rsid w:val="00B3734B"/>
    <w:rsid w:val="00B40342"/>
    <w:rsid w:val="00B405B8"/>
    <w:rsid w:val="00B42FA6"/>
    <w:rsid w:val="00B4333F"/>
    <w:rsid w:val="00B438C6"/>
    <w:rsid w:val="00B43B22"/>
    <w:rsid w:val="00B4412F"/>
    <w:rsid w:val="00B458AB"/>
    <w:rsid w:val="00B57924"/>
    <w:rsid w:val="00B6068D"/>
    <w:rsid w:val="00B613D5"/>
    <w:rsid w:val="00B70D25"/>
    <w:rsid w:val="00B77E7A"/>
    <w:rsid w:val="00B83C36"/>
    <w:rsid w:val="00B867F2"/>
    <w:rsid w:val="00B9742C"/>
    <w:rsid w:val="00BA289E"/>
    <w:rsid w:val="00BA2D74"/>
    <w:rsid w:val="00BA537B"/>
    <w:rsid w:val="00BA5EB4"/>
    <w:rsid w:val="00BA7C7F"/>
    <w:rsid w:val="00BB1BD4"/>
    <w:rsid w:val="00BB436E"/>
    <w:rsid w:val="00BB5032"/>
    <w:rsid w:val="00BB604F"/>
    <w:rsid w:val="00BC73A1"/>
    <w:rsid w:val="00BC7AAB"/>
    <w:rsid w:val="00BD4C2F"/>
    <w:rsid w:val="00BD5842"/>
    <w:rsid w:val="00BE132D"/>
    <w:rsid w:val="00BE42AB"/>
    <w:rsid w:val="00BE66CB"/>
    <w:rsid w:val="00BF0F62"/>
    <w:rsid w:val="00C0050B"/>
    <w:rsid w:val="00C02D3E"/>
    <w:rsid w:val="00C06D56"/>
    <w:rsid w:val="00C2183F"/>
    <w:rsid w:val="00C23591"/>
    <w:rsid w:val="00C23FC3"/>
    <w:rsid w:val="00C25F5D"/>
    <w:rsid w:val="00C31963"/>
    <w:rsid w:val="00C31AF9"/>
    <w:rsid w:val="00C34B45"/>
    <w:rsid w:val="00C34CA8"/>
    <w:rsid w:val="00C350E7"/>
    <w:rsid w:val="00C36E08"/>
    <w:rsid w:val="00C421ED"/>
    <w:rsid w:val="00C42EB0"/>
    <w:rsid w:val="00C44606"/>
    <w:rsid w:val="00C462FA"/>
    <w:rsid w:val="00C536F0"/>
    <w:rsid w:val="00C559BE"/>
    <w:rsid w:val="00C62599"/>
    <w:rsid w:val="00C64424"/>
    <w:rsid w:val="00C66E16"/>
    <w:rsid w:val="00C70CB6"/>
    <w:rsid w:val="00C72BEB"/>
    <w:rsid w:val="00C76953"/>
    <w:rsid w:val="00C77D0A"/>
    <w:rsid w:val="00C92209"/>
    <w:rsid w:val="00C933F2"/>
    <w:rsid w:val="00CA0BED"/>
    <w:rsid w:val="00CA430E"/>
    <w:rsid w:val="00CB1441"/>
    <w:rsid w:val="00CB3D41"/>
    <w:rsid w:val="00CB4004"/>
    <w:rsid w:val="00CB4285"/>
    <w:rsid w:val="00CB661D"/>
    <w:rsid w:val="00CC0594"/>
    <w:rsid w:val="00CD3FF4"/>
    <w:rsid w:val="00CD4B5D"/>
    <w:rsid w:val="00CD5FA7"/>
    <w:rsid w:val="00CE39FB"/>
    <w:rsid w:val="00CF0121"/>
    <w:rsid w:val="00CF1376"/>
    <w:rsid w:val="00CF3797"/>
    <w:rsid w:val="00CF5997"/>
    <w:rsid w:val="00CF6A6C"/>
    <w:rsid w:val="00D07252"/>
    <w:rsid w:val="00D1078D"/>
    <w:rsid w:val="00D11D5C"/>
    <w:rsid w:val="00D14AA5"/>
    <w:rsid w:val="00D14E14"/>
    <w:rsid w:val="00D15948"/>
    <w:rsid w:val="00D222BB"/>
    <w:rsid w:val="00D24AAC"/>
    <w:rsid w:val="00D26DD8"/>
    <w:rsid w:val="00D273C6"/>
    <w:rsid w:val="00D31FA3"/>
    <w:rsid w:val="00D355AB"/>
    <w:rsid w:val="00D4550F"/>
    <w:rsid w:val="00D47521"/>
    <w:rsid w:val="00D545FD"/>
    <w:rsid w:val="00D572C6"/>
    <w:rsid w:val="00D61309"/>
    <w:rsid w:val="00D64652"/>
    <w:rsid w:val="00D64DB3"/>
    <w:rsid w:val="00D71B36"/>
    <w:rsid w:val="00D7434E"/>
    <w:rsid w:val="00D75264"/>
    <w:rsid w:val="00D77AED"/>
    <w:rsid w:val="00D77CD8"/>
    <w:rsid w:val="00D77EE4"/>
    <w:rsid w:val="00D813C4"/>
    <w:rsid w:val="00D8241D"/>
    <w:rsid w:val="00D834EC"/>
    <w:rsid w:val="00D83B5D"/>
    <w:rsid w:val="00D85108"/>
    <w:rsid w:val="00D86FCF"/>
    <w:rsid w:val="00D8783E"/>
    <w:rsid w:val="00DA3E80"/>
    <w:rsid w:val="00DA4B82"/>
    <w:rsid w:val="00DA5590"/>
    <w:rsid w:val="00DB00D3"/>
    <w:rsid w:val="00DB3FDE"/>
    <w:rsid w:val="00DC1526"/>
    <w:rsid w:val="00DC52B5"/>
    <w:rsid w:val="00DC7B0A"/>
    <w:rsid w:val="00DD2281"/>
    <w:rsid w:val="00DD4E62"/>
    <w:rsid w:val="00DD78C9"/>
    <w:rsid w:val="00DD791A"/>
    <w:rsid w:val="00DD7ABB"/>
    <w:rsid w:val="00DD7DDB"/>
    <w:rsid w:val="00DE2F3B"/>
    <w:rsid w:val="00DF4C5A"/>
    <w:rsid w:val="00E02328"/>
    <w:rsid w:val="00E07D4E"/>
    <w:rsid w:val="00E14892"/>
    <w:rsid w:val="00E23E65"/>
    <w:rsid w:val="00E2486D"/>
    <w:rsid w:val="00E24D08"/>
    <w:rsid w:val="00E24D7C"/>
    <w:rsid w:val="00E24E99"/>
    <w:rsid w:val="00E31F21"/>
    <w:rsid w:val="00E329F3"/>
    <w:rsid w:val="00E41B8E"/>
    <w:rsid w:val="00E4558E"/>
    <w:rsid w:val="00E45881"/>
    <w:rsid w:val="00E473CF"/>
    <w:rsid w:val="00E479F7"/>
    <w:rsid w:val="00E47B02"/>
    <w:rsid w:val="00E52F10"/>
    <w:rsid w:val="00E534F8"/>
    <w:rsid w:val="00E55FE5"/>
    <w:rsid w:val="00E5680C"/>
    <w:rsid w:val="00E57761"/>
    <w:rsid w:val="00E61338"/>
    <w:rsid w:val="00E627C0"/>
    <w:rsid w:val="00E64126"/>
    <w:rsid w:val="00E66188"/>
    <w:rsid w:val="00E73888"/>
    <w:rsid w:val="00E81566"/>
    <w:rsid w:val="00E82D2D"/>
    <w:rsid w:val="00E83469"/>
    <w:rsid w:val="00E863B4"/>
    <w:rsid w:val="00E86982"/>
    <w:rsid w:val="00E92D1D"/>
    <w:rsid w:val="00E948F0"/>
    <w:rsid w:val="00E94A9F"/>
    <w:rsid w:val="00E95EA3"/>
    <w:rsid w:val="00EA1609"/>
    <w:rsid w:val="00EA2B88"/>
    <w:rsid w:val="00EA5A73"/>
    <w:rsid w:val="00EB6C48"/>
    <w:rsid w:val="00EC00DD"/>
    <w:rsid w:val="00ED5879"/>
    <w:rsid w:val="00ED776F"/>
    <w:rsid w:val="00EE042F"/>
    <w:rsid w:val="00EE20E6"/>
    <w:rsid w:val="00EE5749"/>
    <w:rsid w:val="00EE6229"/>
    <w:rsid w:val="00EE6E2B"/>
    <w:rsid w:val="00EE7BAC"/>
    <w:rsid w:val="00EF5365"/>
    <w:rsid w:val="00EF62FE"/>
    <w:rsid w:val="00F051CB"/>
    <w:rsid w:val="00F12C93"/>
    <w:rsid w:val="00F1386E"/>
    <w:rsid w:val="00F16E7D"/>
    <w:rsid w:val="00F206BB"/>
    <w:rsid w:val="00F25C82"/>
    <w:rsid w:val="00F25D70"/>
    <w:rsid w:val="00F27DFF"/>
    <w:rsid w:val="00F31624"/>
    <w:rsid w:val="00F374B3"/>
    <w:rsid w:val="00F400A9"/>
    <w:rsid w:val="00F44B34"/>
    <w:rsid w:val="00F44D13"/>
    <w:rsid w:val="00F5126E"/>
    <w:rsid w:val="00F52F19"/>
    <w:rsid w:val="00F5796B"/>
    <w:rsid w:val="00F61197"/>
    <w:rsid w:val="00F67608"/>
    <w:rsid w:val="00F70515"/>
    <w:rsid w:val="00F70F52"/>
    <w:rsid w:val="00F71324"/>
    <w:rsid w:val="00F82FC2"/>
    <w:rsid w:val="00F850B7"/>
    <w:rsid w:val="00F86156"/>
    <w:rsid w:val="00F875B1"/>
    <w:rsid w:val="00F922D5"/>
    <w:rsid w:val="00F9342F"/>
    <w:rsid w:val="00F9407B"/>
    <w:rsid w:val="00F9537A"/>
    <w:rsid w:val="00FA05A9"/>
    <w:rsid w:val="00FA0C16"/>
    <w:rsid w:val="00FA4086"/>
    <w:rsid w:val="00FB25D3"/>
    <w:rsid w:val="00FB285D"/>
    <w:rsid w:val="00FC09E5"/>
    <w:rsid w:val="00FC2C2E"/>
    <w:rsid w:val="00FC2EDC"/>
    <w:rsid w:val="00FC70B7"/>
    <w:rsid w:val="00FC74F2"/>
    <w:rsid w:val="00FC7A9E"/>
    <w:rsid w:val="00FD23CB"/>
    <w:rsid w:val="00FD40F4"/>
    <w:rsid w:val="00FD4F25"/>
    <w:rsid w:val="00FD6715"/>
    <w:rsid w:val="00FD6AE3"/>
    <w:rsid w:val="00FE19D5"/>
    <w:rsid w:val="00FE2FCF"/>
    <w:rsid w:val="00FE53A8"/>
    <w:rsid w:val="00FE6D22"/>
    <w:rsid w:val="00FF3ED9"/>
    <w:rsid w:val="011976B4"/>
    <w:rsid w:val="01501181"/>
    <w:rsid w:val="0162491E"/>
    <w:rsid w:val="01AF43BC"/>
    <w:rsid w:val="01ED15FE"/>
    <w:rsid w:val="0252162A"/>
    <w:rsid w:val="029A446A"/>
    <w:rsid w:val="02F727D6"/>
    <w:rsid w:val="0359154D"/>
    <w:rsid w:val="04A67DF1"/>
    <w:rsid w:val="04AF224A"/>
    <w:rsid w:val="04B81D2D"/>
    <w:rsid w:val="04E76AD2"/>
    <w:rsid w:val="051F77A5"/>
    <w:rsid w:val="05BB1E2F"/>
    <w:rsid w:val="061E7521"/>
    <w:rsid w:val="06502937"/>
    <w:rsid w:val="06CA0E01"/>
    <w:rsid w:val="070D4486"/>
    <w:rsid w:val="078D0910"/>
    <w:rsid w:val="07D60F10"/>
    <w:rsid w:val="07ED7EE9"/>
    <w:rsid w:val="080D67C7"/>
    <w:rsid w:val="08E03295"/>
    <w:rsid w:val="0A7A2664"/>
    <w:rsid w:val="0B0A1DD1"/>
    <w:rsid w:val="0B2346E5"/>
    <w:rsid w:val="0B677E44"/>
    <w:rsid w:val="0C704F5C"/>
    <w:rsid w:val="0C7F5640"/>
    <w:rsid w:val="0CD33951"/>
    <w:rsid w:val="0CE03BF9"/>
    <w:rsid w:val="0E22268F"/>
    <w:rsid w:val="0E9E3D45"/>
    <w:rsid w:val="0EB25410"/>
    <w:rsid w:val="0F71516A"/>
    <w:rsid w:val="0F9338A2"/>
    <w:rsid w:val="0FB61180"/>
    <w:rsid w:val="106108E8"/>
    <w:rsid w:val="10BC3E8F"/>
    <w:rsid w:val="10CD77A3"/>
    <w:rsid w:val="1245624A"/>
    <w:rsid w:val="13357E32"/>
    <w:rsid w:val="14001DA1"/>
    <w:rsid w:val="15DC7402"/>
    <w:rsid w:val="16B64B5A"/>
    <w:rsid w:val="172771F0"/>
    <w:rsid w:val="1B171DB6"/>
    <w:rsid w:val="1B2B118F"/>
    <w:rsid w:val="1BC93896"/>
    <w:rsid w:val="1D0C13CF"/>
    <w:rsid w:val="1D197373"/>
    <w:rsid w:val="1D346122"/>
    <w:rsid w:val="1D74700A"/>
    <w:rsid w:val="1DD05422"/>
    <w:rsid w:val="1DD37BB2"/>
    <w:rsid w:val="1E476007"/>
    <w:rsid w:val="1EE449A7"/>
    <w:rsid w:val="1F6811E3"/>
    <w:rsid w:val="1F9C3DF0"/>
    <w:rsid w:val="209A4E89"/>
    <w:rsid w:val="20D30CF3"/>
    <w:rsid w:val="20D40F9C"/>
    <w:rsid w:val="20EA01E0"/>
    <w:rsid w:val="212D646A"/>
    <w:rsid w:val="21332642"/>
    <w:rsid w:val="216E3328"/>
    <w:rsid w:val="224864ED"/>
    <w:rsid w:val="22CD79E5"/>
    <w:rsid w:val="23813F47"/>
    <w:rsid w:val="242E40BD"/>
    <w:rsid w:val="250877F8"/>
    <w:rsid w:val="26346C7B"/>
    <w:rsid w:val="26550044"/>
    <w:rsid w:val="27A60A04"/>
    <w:rsid w:val="28503202"/>
    <w:rsid w:val="28ED7686"/>
    <w:rsid w:val="2A6D00BF"/>
    <w:rsid w:val="2A6E541F"/>
    <w:rsid w:val="2B157598"/>
    <w:rsid w:val="2BFD23F3"/>
    <w:rsid w:val="2D2D6323"/>
    <w:rsid w:val="2E4E3243"/>
    <w:rsid w:val="2F2C60B8"/>
    <w:rsid w:val="300F0810"/>
    <w:rsid w:val="305101FD"/>
    <w:rsid w:val="3090167B"/>
    <w:rsid w:val="30F71553"/>
    <w:rsid w:val="313217F9"/>
    <w:rsid w:val="32AF1458"/>
    <w:rsid w:val="32E7065C"/>
    <w:rsid w:val="33014E0A"/>
    <w:rsid w:val="33886665"/>
    <w:rsid w:val="339B4F8F"/>
    <w:rsid w:val="346216FB"/>
    <w:rsid w:val="34AD1832"/>
    <w:rsid w:val="34D43549"/>
    <w:rsid w:val="35667981"/>
    <w:rsid w:val="35C734AA"/>
    <w:rsid w:val="36C32E5D"/>
    <w:rsid w:val="37984CF8"/>
    <w:rsid w:val="383140EF"/>
    <w:rsid w:val="3833341E"/>
    <w:rsid w:val="391C2D0B"/>
    <w:rsid w:val="3A213563"/>
    <w:rsid w:val="3A6C47AC"/>
    <w:rsid w:val="3B5E0E50"/>
    <w:rsid w:val="3BD415B6"/>
    <w:rsid w:val="3C326AB0"/>
    <w:rsid w:val="3C59066C"/>
    <w:rsid w:val="3CFD1284"/>
    <w:rsid w:val="3D2C368C"/>
    <w:rsid w:val="3DD741CC"/>
    <w:rsid w:val="3E49521B"/>
    <w:rsid w:val="3F2C2915"/>
    <w:rsid w:val="401D3027"/>
    <w:rsid w:val="405A13D4"/>
    <w:rsid w:val="40CE1E18"/>
    <w:rsid w:val="4110506C"/>
    <w:rsid w:val="417555D3"/>
    <w:rsid w:val="434474CA"/>
    <w:rsid w:val="43515302"/>
    <w:rsid w:val="436328AA"/>
    <w:rsid w:val="43AB1E46"/>
    <w:rsid w:val="440B0627"/>
    <w:rsid w:val="447A03FA"/>
    <w:rsid w:val="455D6B02"/>
    <w:rsid w:val="45D9366A"/>
    <w:rsid w:val="4660352E"/>
    <w:rsid w:val="46EF6330"/>
    <w:rsid w:val="46F21B12"/>
    <w:rsid w:val="47044AD2"/>
    <w:rsid w:val="47365B31"/>
    <w:rsid w:val="47B640B3"/>
    <w:rsid w:val="48001F45"/>
    <w:rsid w:val="48AC384F"/>
    <w:rsid w:val="49B15194"/>
    <w:rsid w:val="49D36E4B"/>
    <w:rsid w:val="4A435714"/>
    <w:rsid w:val="4A6B5634"/>
    <w:rsid w:val="4B347B67"/>
    <w:rsid w:val="4B3F7296"/>
    <w:rsid w:val="4BC21907"/>
    <w:rsid w:val="4CC7408A"/>
    <w:rsid w:val="4CC94269"/>
    <w:rsid w:val="4ECE2A17"/>
    <w:rsid w:val="5030550A"/>
    <w:rsid w:val="515F307B"/>
    <w:rsid w:val="524775A9"/>
    <w:rsid w:val="52481B82"/>
    <w:rsid w:val="52F238A2"/>
    <w:rsid w:val="534833BE"/>
    <w:rsid w:val="54621355"/>
    <w:rsid w:val="54B95762"/>
    <w:rsid w:val="55F71BCD"/>
    <w:rsid w:val="56FE294B"/>
    <w:rsid w:val="576B3FE2"/>
    <w:rsid w:val="591141AB"/>
    <w:rsid w:val="59892FB1"/>
    <w:rsid w:val="59930174"/>
    <w:rsid w:val="59B761BA"/>
    <w:rsid w:val="59B81387"/>
    <w:rsid w:val="5AB8791C"/>
    <w:rsid w:val="5AF728E2"/>
    <w:rsid w:val="5B0254E3"/>
    <w:rsid w:val="5B1F3C7B"/>
    <w:rsid w:val="5BB65161"/>
    <w:rsid w:val="5C64205A"/>
    <w:rsid w:val="5C8E2B71"/>
    <w:rsid w:val="5D2F1CEF"/>
    <w:rsid w:val="5D9B721B"/>
    <w:rsid w:val="5E9918C6"/>
    <w:rsid w:val="5EAA3CE0"/>
    <w:rsid w:val="604E44C2"/>
    <w:rsid w:val="6053645A"/>
    <w:rsid w:val="62500104"/>
    <w:rsid w:val="631F0058"/>
    <w:rsid w:val="63264B16"/>
    <w:rsid w:val="63CA45ED"/>
    <w:rsid w:val="63D1200A"/>
    <w:rsid w:val="63E034A6"/>
    <w:rsid w:val="642C0C98"/>
    <w:rsid w:val="6491514F"/>
    <w:rsid w:val="650D02C1"/>
    <w:rsid w:val="6556118B"/>
    <w:rsid w:val="65746E85"/>
    <w:rsid w:val="66430582"/>
    <w:rsid w:val="666B470F"/>
    <w:rsid w:val="672752B7"/>
    <w:rsid w:val="67E26D25"/>
    <w:rsid w:val="68AB5DB5"/>
    <w:rsid w:val="68AE5D70"/>
    <w:rsid w:val="68B76DAA"/>
    <w:rsid w:val="69F64FB6"/>
    <w:rsid w:val="6A526B32"/>
    <w:rsid w:val="6AE40585"/>
    <w:rsid w:val="6AFF7470"/>
    <w:rsid w:val="6B471975"/>
    <w:rsid w:val="6C640922"/>
    <w:rsid w:val="6E1D5151"/>
    <w:rsid w:val="6E6863E9"/>
    <w:rsid w:val="6EC951F9"/>
    <w:rsid w:val="6F0979E5"/>
    <w:rsid w:val="6F623262"/>
    <w:rsid w:val="6FE807C0"/>
    <w:rsid w:val="716A45DA"/>
    <w:rsid w:val="71B3042D"/>
    <w:rsid w:val="71BF072F"/>
    <w:rsid w:val="71D819C2"/>
    <w:rsid w:val="72350DCE"/>
    <w:rsid w:val="725D1560"/>
    <w:rsid w:val="72D34AC7"/>
    <w:rsid w:val="72D5497E"/>
    <w:rsid w:val="73AE3531"/>
    <w:rsid w:val="73B911D3"/>
    <w:rsid w:val="74E4315A"/>
    <w:rsid w:val="751616A2"/>
    <w:rsid w:val="759459C7"/>
    <w:rsid w:val="763675AE"/>
    <w:rsid w:val="76EB30CD"/>
    <w:rsid w:val="77770E4B"/>
    <w:rsid w:val="77AB13A7"/>
    <w:rsid w:val="78091901"/>
    <w:rsid w:val="79794E2E"/>
    <w:rsid w:val="79C175C7"/>
    <w:rsid w:val="79EE751F"/>
    <w:rsid w:val="7A592AE2"/>
    <w:rsid w:val="7A6113EB"/>
    <w:rsid w:val="7B071979"/>
    <w:rsid w:val="7B325E13"/>
    <w:rsid w:val="7B651AAA"/>
    <w:rsid w:val="7B960AA8"/>
    <w:rsid w:val="7BC54B47"/>
    <w:rsid w:val="7BEC2BAD"/>
    <w:rsid w:val="7C547407"/>
    <w:rsid w:val="7D2300F0"/>
    <w:rsid w:val="7D6C589F"/>
    <w:rsid w:val="7F4662A3"/>
    <w:rsid w:val="7FDA2250"/>
    <w:rsid w:val="7FFE12D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jc w:val="center"/>
      <w:outlineLvl w:val="0"/>
    </w:pPr>
    <w:rPr>
      <w:sz w:val="28"/>
    </w:rPr>
  </w:style>
  <w:style w:type="paragraph" w:styleId="3">
    <w:name w:val="heading 2"/>
    <w:basedOn w:val="1"/>
    <w:next w:val="1"/>
    <w:link w:val="6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Normal Indent"/>
    <w:basedOn w:val="1"/>
    <w:link w:val="66"/>
    <w:qFormat/>
    <w:uiPriority w:val="0"/>
    <w:pPr>
      <w:spacing w:line="360" w:lineRule="auto"/>
      <w:ind w:firstLine="480" w:firstLineChars="200"/>
    </w:pPr>
    <w:rPr>
      <w:sz w:val="24"/>
      <w:szCs w:val="20"/>
    </w:rPr>
  </w:style>
  <w:style w:type="paragraph" w:styleId="7">
    <w:name w:val="annotation text"/>
    <w:basedOn w:val="1"/>
    <w:semiHidden/>
    <w:qFormat/>
    <w:uiPriority w:val="0"/>
    <w:pPr>
      <w:jc w:val="left"/>
    </w:pPr>
  </w:style>
  <w:style w:type="paragraph" w:styleId="8">
    <w:name w:val="Body Text"/>
    <w:basedOn w:val="1"/>
    <w:qFormat/>
    <w:uiPriority w:val="0"/>
    <w:pPr>
      <w:jc w:val="center"/>
    </w:pPr>
    <w:rPr>
      <w:rFonts w:eastAsia="黑体"/>
      <w:sz w:val="84"/>
    </w:rPr>
  </w:style>
  <w:style w:type="paragraph" w:styleId="9">
    <w:name w:val="Body Text Indent"/>
    <w:basedOn w:val="1"/>
    <w:qFormat/>
    <w:uiPriority w:val="0"/>
    <w:pPr>
      <w:spacing w:line="400" w:lineRule="exact"/>
      <w:ind w:firstLine="560" w:firstLineChars="200"/>
    </w:pPr>
    <w:rPr>
      <w:rFonts w:ascii="仿宋_GB2312" w:hAnsi="宋体" w:eastAsia="仿宋_GB2312"/>
      <w:sz w:val="28"/>
    </w:rPr>
  </w:style>
  <w:style w:type="paragraph" w:styleId="10">
    <w:name w:val="Plain Text"/>
    <w:basedOn w:val="1"/>
    <w:qFormat/>
    <w:uiPriority w:val="0"/>
    <w:rPr>
      <w:rFonts w:ascii="宋体" w:hAnsi="Courier New" w:cs="Courier New"/>
      <w:szCs w:val="21"/>
    </w:rPr>
  </w:style>
  <w:style w:type="paragraph" w:styleId="11">
    <w:name w:val="Date"/>
    <w:basedOn w:val="1"/>
    <w:next w:val="1"/>
    <w:qFormat/>
    <w:uiPriority w:val="0"/>
    <w:rPr>
      <w:sz w:val="28"/>
      <w:szCs w:val="20"/>
    </w:rPr>
  </w:style>
  <w:style w:type="paragraph" w:styleId="12">
    <w:name w:val="Body Text Indent 2"/>
    <w:basedOn w:val="1"/>
    <w:qFormat/>
    <w:uiPriority w:val="0"/>
    <w:pPr>
      <w:spacing w:before="50" w:line="580" w:lineRule="exact"/>
      <w:ind w:firstLine="560" w:firstLineChars="200"/>
    </w:pPr>
    <w:rPr>
      <w:rFonts w:eastAsia="仿宋_GB2312"/>
      <w:color w:val="FF0000"/>
      <w:sz w:val="28"/>
    </w:r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List"/>
    <w:basedOn w:val="1"/>
    <w:qFormat/>
    <w:uiPriority w:val="0"/>
    <w:pPr>
      <w:ind w:left="200" w:hanging="200" w:hangingChars="200"/>
      <w:contextualSpacing/>
    </w:pPr>
  </w:style>
  <w:style w:type="paragraph" w:styleId="17">
    <w:name w:val="Body Text Indent 3"/>
    <w:basedOn w:val="1"/>
    <w:link w:val="68"/>
    <w:qFormat/>
    <w:uiPriority w:val="0"/>
    <w:pPr>
      <w:spacing w:after="120"/>
      <w:ind w:left="420" w:leftChars="200"/>
    </w:pPr>
    <w:rPr>
      <w:sz w:val="16"/>
      <w:szCs w:val="16"/>
    </w:rPr>
  </w:style>
  <w:style w:type="paragraph" w:styleId="1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19">
    <w:name w:val="Normal (Web)"/>
    <w:basedOn w:val="1"/>
    <w:qFormat/>
    <w:uiPriority w:val="0"/>
    <w:pPr>
      <w:widowControl/>
      <w:spacing w:before="100" w:beforeAutospacing="1" w:after="100" w:afterAutospacing="1" w:line="360" w:lineRule="auto"/>
      <w:jc w:val="left"/>
    </w:pPr>
    <w:rPr>
      <w:rFonts w:ascii="??" w:hAnsi="??" w:cs="宋体"/>
      <w:kern w:val="0"/>
      <w:sz w:val="20"/>
      <w:szCs w:val="20"/>
    </w:rPr>
  </w:style>
  <w:style w:type="paragraph" w:styleId="20">
    <w:name w:val="index 1"/>
    <w:basedOn w:val="1"/>
    <w:next w:val="1"/>
    <w:semiHidden/>
    <w:qFormat/>
    <w:uiPriority w:val="0"/>
    <w:pPr>
      <w:tabs>
        <w:tab w:val="left" w:pos="5580"/>
      </w:tabs>
      <w:spacing w:line="280" w:lineRule="exact"/>
    </w:pPr>
    <w:rPr>
      <w:rFonts w:ascii="宋体" w:hAnsi="宋体"/>
      <w:spacing w:val="10"/>
    </w:rPr>
  </w:style>
  <w:style w:type="paragraph" w:styleId="21">
    <w:name w:val="annotation subject"/>
    <w:basedOn w:val="7"/>
    <w:next w:val="7"/>
    <w:semiHidden/>
    <w:qFormat/>
    <w:uiPriority w:val="0"/>
    <w:rPr>
      <w:b/>
      <w:bCs/>
    </w:rPr>
  </w:style>
  <w:style w:type="paragraph" w:styleId="22">
    <w:name w:val="Body Text First Indent"/>
    <w:basedOn w:val="8"/>
    <w:qFormat/>
    <w:uiPriority w:val="0"/>
    <w:pPr>
      <w:spacing w:after="120"/>
      <w:ind w:firstLine="420" w:firstLineChars="100"/>
      <w:jc w:val="both"/>
    </w:pPr>
    <w:rPr>
      <w:rFonts w:eastAsia="宋体"/>
      <w:sz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bCs/>
    </w:rPr>
  </w:style>
  <w:style w:type="character" w:styleId="27">
    <w:name w:val="page number"/>
    <w:basedOn w:val="25"/>
    <w:qFormat/>
    <w:uiPriority w:val="0"/>
  </w:style>
  <w:style w:type="character" w:styleId="28">
    <w:name w:val="Emphasis"/>
    <w:basedOn w:val="25"/>
    <w:qFormat/>
    <w:uiPriority w:val="0"/>
    <w:rPr>
      <w:color w:val="CC0000"/>
    </w:rPr>
  </w:style>
  <w:style w:type="character" w:styleId="29">
    <w:name w:val="Hyperlink"/>
    <w:basedOn w:val="25"/>
    <w:qFormat/>
    <w:uiPriority w:val="0"/>
    <w:rPr>
      <w:color w:val="0000FF"/>
      <w:u w:val="none"/>
    </w:rPr>
  </w:style>
  <w:style w:type="character" w:styleId="30">
    <w:name w:val="annotation reference"/>
    <w:basedOn w:val="25"/>
    <w:semiHidden/>
    <w:qFormat/>
    <w:uiPriority w:val="0"/>
    <w:rPr>
      <w:sz w:val="21"/>
      <w:szCs w:val="21"/>
    </w:rPr>
  </w:style>
  <w:style w:type="character" w:styleId="31">
    <w:name w:val="HTML Cite"/>
    <w:basedOn w:val="25"/>
    <w:qFormat/>
    <w:uiPriority w:val="0"/>
    <w:rPr>
      <w:color w:val="008000"/>
    </w:rPr>
  </w:style>
  <w:style w:type="paragraph" w:customStyle="1" w:styleId="32">
    <w:name w:val="首行缩进"/>
    <w:basedOn w:val="1"/>
    <w:uiPriority w:val="0"/>
    <w:pPr>
      <w:tabs>
        <w:tab w:val="left" w:pos="-238"/>
      </w:tabs>
      <w:adjustRightInd w:val="0"/>
      <w:snapToGrid w:val="0"/>
      <w:jc w:val="center"/>
    </w:pPr>
    <w:rPr>
      <w:rFonts w:eastAsia="楷体_GB2312"/>
      <w:bCs/>
      <w:kern w:val="0"/>
      <w:sz w:val="24"/>
      <w:lang w:bidi="en-US"/>
    </w:rPr>
  </w:style>
  <w:style w:type="paragraph" w:customStyle="1" w:styleId="33">
    <w:name w:val="Style 3"/>
    <w:basedOn w:val="1"/>
    <w:qFormat/>
    <w:uiPriority w:val="0"/>
    <w:pPr>
      <w:autoSpaceDE w:val="0"/>
      <w:autoSpaceDN w:val="0"/>
      <w:adjustRightInd w:val="0"/>
    </w:pPr>
    <w:rPr>
      <w:sz w:val="20"/>
      <w:szCs w:val="20"/>
    </w:rPr>
  </w:style>
  <w:style w:type="paragraph" w:customStyle="1" w:styleId="34">
    <w:name w:val="1 Char Char Char Char"/>
    <w:basedOn w:val="1"/>
    <w:uiPriority w:val="0"/>
  </w:style>
  <w:style w:type="paragraph" w:customStyle="1" w:styleId="35">
    <w:name w:val="表头"/>
    <w:basedOn w:val="36"/>
    <w:next w:val="10"/>
    <w:qFormat/>
    <w:uiPriority w:val="0"/>
    <w:pPr>
      <w:tabs>
        <w:tab w:val="left" w:pos="4440"/>
      </w:tabs>
      <w:autoSpaceDE w:val="0"/>
      <w:autoSpaceDN w:val="0"/>
      <w:adjustRightInd w:val="0"/>
      <w:snapToGrid w:val="0"/>
      <w:spacing w:before="25" w:beforeLines="25" w:after="25" w:afterLines="25"/>
      <w:jc w:val="center"/>
      <w:textAlignment w:val="bottom"/>
    </w:pPr>
    <w:rPr>
      <w:rFonts w:ascii="Times New Roman" w:hAnsi="Times New Roman" w:eastAsia="黑体"/>
      <w:spacing w:val="16"/>
      <w:kern w:val="0"/>
      <w:sz w:val="24"/>
    </w:rPr>
  </w:style>
  <w:style w:type="paragraph" w:customStyle="1" w:styleId="36">
    <w:name w:val="样式4"/>
    <w:basedOn w:val="1"/>
    <w:qFormat/>
    <w:uiPriority w:val="0"/>
    <w:pPr>
      <w:adjustRightInd w:val="0"/>
      <w:snapToGrid w:val="0"/>
      <w:jc w:val="center"/>
    </w:pPr>
    <w:rPr>
      <w:sz w:val="24"/>
    </w:rPr>
  </w:style>
  <w:style w:type="paragraph" w:customStyle="1" w:styleId="37">
    <w:name w:val="样式2"/>
    <w:basedOn w:val="16"/>
    <w:uiPriority w:val="0"/>
    <w:pPr>
      <w:ind w:firstLine="0" w:firstLineChars="0"/>
    </w:pPr>
  </w:style>
  <w:style w:type="paragraph" w:customStyle="1" w:styleId="38">
    <w:name w:val="正文2"/>
    <w:basedOn w:val="1"/>
    <w:uiPriority w:val="0"/>
    <w:pPr>
      <w:snapToGrid w:val="0"/>
      <w:spacing w:line="500" w:lineRule="atLeast"/>
      <w:ind w:firstLine="567"/>
    </w:pPr>
    <w:rPr>
      <w:sz w:val="24"/>
      <w:szCs w:val="20"/>
    </w:rPr>
  </w:style>
  <w:style w:type="paragraph" w:customStyle="1" w:styleId="39">
    <w:name w:val=" Char Char Char Char"/>
    <w:basedOn w:val="1"/>
    <w:uiPriority w:val="0"/>
    <w:pPr>
      <w:snapToGrid w:val="0"/>
      <w:spacing w:line="360" w:lineRule="auto"/>
      <w:ind w:firstLine="529" w:firstLineChars="200"/>
    </w:pPr>
    <w:rPr>
      <w:rFonts w:ascii="宋体" w:hAnsi="宋体"/>
      <w:b/>
    </w:rPr>
  </w:style>
  <w:style w:type="paragraph" w:customStyle="1" w:styleId="40">
    <w:name w:val="bg正文首行缩进"/>
    <w:basedOn w:val="1"/>
    <w:link w:val="75"/>
    <w:uiPriority w:val="0"/>
    <w:pPr>
      <w:spacing w:line="400" w:lineRule="exact"/>
      <w:ind w:firstLine="482"/>
    </w:pPr>
    <w:rPr>
      <w:rFonts w:eastAsia="Times New Roman"/>
      <w:sz w:val="24"/>
      <w:szCs w:val="20"/>
    </w:rPr>
  </w:style>
  <w:style w:type="paragraph" w:customStyle="1" w:styleId="41">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方案正文样式"/>
    <w:basedOn w:val="1"/>
    <w:link w:val="71"/>
    <w:uiPriority w:val="0"/>
    <w:pPr>
      <w:adjustRightInd w:val="0"/>
      <w:snapToGrid w:val="0"/>
      <w:spacing w:line="360" w:lineRule="auto"/>
      <w:ind w:firstLine="454"/>
      <w:textAlignment w:val="baseline"/>
    </w:pPr>
    <w:rPr>
      <w:snapToGrid w:val="0"/>
      <w:kern w:val="0"/>
      <w:sz w:val="24"/>
    </w:rPr>
  </w:style>
  <w:style w:type="paragraph" w:customStyle="1" w:styleId="43">
    <w:name w:val="xl25"/>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4">
    <w:name w:val="表标题"/>
    <w:basedOn w:val="1"/>
    <w:link w:val="69"/>
    <w:uiPriority w:val="0"/>
    <w:pPr>
      <w:spacing w:beforeLines="50" w:line="500" w:lineRule="exact"/>
      <w:ind w:firstLine="570"/>
      <w:jc w:val="center"/>
    </w:pPr>
    <w:rPr>
      <w:rFonts w:ascii="宋体" w:hAnsi="宋体"/>
      <w:kern w:val="0"/>
      <w:sz w:val="24"/>
      <w:szCs w:val="20"/>
    </w:rPr>
  </w:style>
  <w:style w:type="paragraph" w:customStyle="1" w:styleId="45">
    <w:name w:val="样式 五号 行距: 单倍行距"/>
    <w:basedOn w:val="1"/>
    <w:uiPriority w:val="0"/>
    <w:pPr>
      <w:widowControl/>
      <w:tabs>
        <w:tab w:val="left" w:pos="2040"/>
      </w:tabs>
    </w:pPr>
    <w:rPr>
      <w:rFonts w:cs="宋体"/>
      <w:kern w:val="0"/>
      <w:szCs w:val="20"/>
    </w:rPr>
  </w:style>
  <w:style w:type="paragraph" w:customStyle="1" w:styleId="46">
    <w:name w:val=" Char Char Char Char Char Char Char Char Char Char Char Char Char Char Char Char Char Char Char"/>
    <w:basedOn w:val="1"/>
    <w:uiPriority w:val="0"/>
  </w:style>
  <w:style w:type="paragraph" w:customStyle="1" w:styleId="47">
    <w:name w:val="表格题目"/>
    <w:basedOn w:val="1"/>
    <w:qFormat/>
    <w:uiPriority w:val="99"/>
    <w:pPr>
      <w:spacing w:line="240" w:lineRule="atLeast"/>
      <w:jc w:val="center"/>
    </w:pPr>
    <w:rPr>
      <w:rFonts w:ascii="黑体" w:hAnsi="宋体" w:eastAsia="黑体"/>
      <w:sz w:val="24"/>
      <w:szCs w:val="24"/>
    </w:rPr>
  </w:style>
  <w:style w:type="paragraph" w:customStyle="1" w:styleId="48">
    <w:name w:val="p0"/>
    <w:basedOn w:val="1"/>
    <w:qFormat/>
    <w:uiPriority w:val="0"/>
    <w:pPr>
      <w:widowControl/>
    </w:pPr>
    <w:rPr>
      <w:kern w:val="0"/>
      <w:szCs w:val="21"/>
    </w:rPr>
  </w:style>
  <w:style w:type="paragraph" w:customStyle="1" w:styleId="49">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50">
    <w:name w:val=" Char Char Char 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51">
    <w:name w:val=" Char Char Char Char Char Char Char"/>
    <w:basedOn w:val="1"/>
    <w:semiHidden/>
    <w:uiPriority w:val="0"/>
  </w:style>
  <w:style w:type="paragraph" w:customStyle="1" w:styleId="52">
    <w:name w:val="表格文字"/>
    <w:basedOn w:val="1"/>
    <w:qFormat/>
    <w:uiPriority w:val="0"/>
    <w:pPr>
      <w:autoSpaceDE w:val="0"/>
      <w:autoSpaceDN w:val="0"/>
      <w:adjustRightInd w:val="0"/>
      <w:spacing w:before="60" w:beforeLines="0" w:after="60" w:afterLines="0"/>
      <w:jc w:val="center"/>
      <w:textAlignment w:val="bottom"/>
    </w:pPr>
    <w:rPr>
      <w:rFonts w:eastAsia="仿宋_GB2312"/>
      <w:sz w:val="24"/>
      <w:lang w:bidi="ar-SA"/>
    </w:rPr>
  </w:style>
  <w:style w:type="paragraph" w:customStyle="1" w:styleId="53">
    <w:name w:val="Char"/>
    <w:basedOn w:val="1"/>
    <w:uiPriority w:val="0"/>
  </w:style>
  <w:style w:type="paragraph" w:customStyle="1" w:styleId="54">
    <w:name w:val="二级无标题条"/>
    <w:basedOn w:val="1"/>
    <w:uiPriority w:val="0"/>
  </w:style>
  <w:style w:type="paragraph" w:customStyle="1" w:styleId="55">
    <w:name w:val="_Style 2"/>
    <w:qFormat/>
    <w:uiPriority w:val="0"/>
    <w:pPr>
      <w:widowControl w:val="0"/>
      <w:jc w:val="both"/>
    </w:pPr>
    <w:rPr>
      <w:rFonts w:ascii="Times New Roman" w:hAnsi="Times New Roman" w:eastAsia="Times New Roman" w:cs="Times New Roman"/>
      <w:kern w:val="2"/>
      <w:sz w:val="21"/>
      <w:szCs w:val="22"/>
      <w:lang w:val="en-US" w:eastAsia="zh-CN" w:bidi="ar-SA"/>
    </w:rPr>
  </w:style>
  <w:style w:type="paragraph" w:customStyle="1" w:styleId="56">
    <w:name w:val="正文文本缩进一"/>
    <w:qFormat/>
    <w:uiPriority w:val="0"/>
    <w:rPr>
      <w:rFonts w:ascii="Times New Roman" w:hAnsi="Times New Roman" w:eastAsia="宋体" w:cs="Times New Roman"/>
      <w:kern w:val="2"/>
      <w:sz w:val="21"/>
      <w:szCs w:val="22"/>
      <w:lang w:val="en-US" w:eastAsia="zh-CN" w:bidi="ar-SA"/>
    </w:rPr>
  </w:style>
  <w:style w:type="paragraph" w:customStyle="1" w:styleId="57">
    <w:name w:val="1"/>
    <w:basedOn w:val="1"/>
    <w:next w:val="9"/>
    <w:uiPriority w:val="0"/>
    <w:pPr>
      <w:spacing w:line="360" w:lineRule="auto"/>
      <w:ind w:firstLine="480" w:firstLineChars="200"/>
    </w:pPr>
    <w:rPr>
      <w:rFonts w:ascii="仿宋_GB2312" w:eastAsia="仿宋_GB2312"/>
      <w:sz w:val="24"/>
      <w:szCs w:val="21"/>
    </w:rPr>
  </w:style>
  <w:style w:type="paragraph" w:customStyle="1" w:styleId="58">
    <w:name w:val="表中文字（工大）"/>
    <w:basedOn w:val="1"/>
    <w:qFormat/>
    <w:uiPriority w:val="0"/>
    <w:pPr>
      <w:spacing w:line="400" w:lineRule="exact"/>
      <w:ind w:firstLine="0" w:firstLineChars="0"/>
      <w:jc w:val="center"/>
    </w:pPr>
    <w:rPr>
      <w:rFonts w:ascii="Times New Roman" w:hAnsi="Times New Roman" w:eastAsia="宋体"/>
      <w:sz w:val="21"/>
    </w:rPr>
  </w:style>
  <w:style w:type="paragraph" w:customStyle="1" w:styleId="59">
    <w:name w:val="样式1"/>
    <w:basedOn w:val="3"/>
    <w:uiPriority w:val="0"/>
    <w:pPr>
      <w:spacing w:before="0" w:after="0" w:line="240" w:lineRule="auto"/>
    </w:pPr>
    <w:rPr>
      <w:rFonts w:ascii="Cambria" w:hAnsi="Cambria" w:eastAsia="宋体"/>
      <w:sz w:val="28"/>
    </w:rPr>
  </w:style>
  <w:style w:type="paragraph" w:customStyle="1" w:styleId="60">
    <w:name w:val="样式12"/>
    <w:basedOn w:val="3"/>
    <w:uiPriority w:val="0"/>
    <w:pPr>
      <w:spacing w:line="240" w:lineRule="atLeast"/>
    </w:pPr>
    <w:rPr>
      <w:rFonts w:ascii="Times New Roman" w:hAnsi="Times New Roman"/>
      <w:b w:val="0"/>
      <w:bCs w:val="0"/>
      <w:sz w:val="24"/>
    </w:rPr>
  </w:style>
  <w:style w:type="paragraph" w:customStyle="1" w:styleId="61">
    <w:name w:val=" Char"/>
    <w:basedOn w:val="1"/>
    <w:uiPriority w:val="0"/>
  </w:style>
  <w:style w:type="paragraph" w:customStyle="1" w:styleId="62">
    <w:name w:val="报告表正文"/>
    <w:basedOn w:val="1"/>
    <w:uiPriority w:val="0"/>
    <w:pPr>
      <w:widowControl/>
      <w:adjustRightInd w:val="0"/>
      <w:spacing w:line="312" w:lineRule="auto"/>
      <w:ind w:left="113" w:right="113" w:firstLine="482"/>
      <w:jc w:val="left"/>
    </w:pPr>
    <w:rPr>
      <w:rFonts w:ascii="宋体" w:hAnsi="宋体" w:cs="宋体"/>
      <w:kern w:val="0"/>
      <w:sz w:val="24"/>
      <w:szCs w:val="20"/>
    </w:rPr>
  </w:style>
  <w:style w:type="paragraph" w:customStyle="1" w:styleId="63">
    <w:name w:val=" Char1"/>
    <w:basedOn w:val="1"/>
    <w:uiPriority w:val="0"/>
  </w:style>
  <w:style w:type="character" w:customStyle="1" w:styleId="64">
    <w:name w:val="apple-style-span"/>
    <w:basedOn w:val="25"/>
    <w:uiPriority w:val="0"/>
  </w:style>
  <w:style w:type="character" w:customStyle="1" w:styleId="65">
    <w:name w:val="t_tag"/>
    <w:basedOn w:val="25"/>
    <w:uiPriority w:val="0"/>
  </w:style>
  <w:style w:type="character" w:customStyle="1" w:styleId="66">
    <w:name w:val="正文缩进 Char1"/>
    <w:basedOn w:val="25"/>
    <w:link w:val="6"/>
    <w:uiPriority w:val="0"/>
    <w:rPr>
      <w:rFonts w:eastAsia="宋体"/>
      <w:kern w:val="2"/>
      <w:sz w:val="24"/>
      <w:lang w:val="en-US" w:eastAsia="zh-CN" w:bidi="ar-SA"/>
    </w:rPr>
  </w:style>
  <w:style w:type="character" w:customStyle="1" w:styleId="67">
    <w:name w:val="标题 2 Char"/>
    <w:basedOn w:val="25"/>
    <w:link w:val="3"/>
    <w:uiPriority w:val="0"/>
    <w:rPr>
      <w:rFonts w:ascii="Arial" w:hAnsi="Arial" w:eastAsia="黑体"/>
      <w:b/>
      <w:bCs/>
      <w:kern w:val="2"/>
      <w:sz w:val="32"/>
      <w:szCs w:val="32"/>
    </w:rPr>
  </w:style>
  <w:style w:type="character" w:customStyle="1" w:styleId="68">
    <w:name w:val="正文文本缩进 3 Char"/>
    <w:basedOn w:val="25"/>
    <w:link w:val="17"/>
    <w:uiPriority w:val="0"/>
    <w:rPr>
      <w:rFonts w:eastAsia="宋体"/>
      <w:kern w:val="2"/>
      <w:sz w:val="16"/>
      <w:szCs w:val="16"/>
      <w:lang w:val="en-US" w:eastAsia="zh-CN" w:bidi="ar-SA"/>
    </w:rPr>
  </w:style>
  <w:style w:type="character" w:customStyle="1" w:styleId="69">
    <w:name w:val="表标题 Char"/>
    <w:link w:val="44"/>
    <w:uiPriority w:val="0"/>
    <w:rPr>
      <w:rFonts w:ascii="宋体" w:hAnsi="宋体" w:eastAsia="宋体"/>
      <w:sz w:val="24"/>
      <w:lang w:bidi="ar-SA"/>
    </w:rPr>
  </w:style>
  <w:style w:type="character" w:customStyle="1" w:styleId="70">
    <w:name w:val="font_141"/>
    <w:basedOn w:val="25"/>
    <w:uiPriority w:val="0"/>
    <w:rPr>
      <w:sz w:val="21"/>
      <w:szCs w:val="21"/>
    </w:rPr>
  </w:style>
  <w:style w:type="character" w:customStyle="1" w:styleId="71">
    <w:name w:val="方案正文样式 Char"/>
    <w:link w:val="42"/>
    <w:uiPriority w:val="0"/>
    <w:rPr>
      <w:rFonts w:eastAsia="宋体"/>
      <w:snapToGrid w:val="0"/>
      <w:sz w:val="24"/>
      <w:szCs w:val="24"/>
      <w:lang w:val="en-US" w:eastAsia="zh-CN" w:bidi="ar-SA"/>
    </w:rPr>
  </w:style>
  <w:style w:type="character" w:customStyle="1" w:styleId="72">
    <w:name w:val="网格型c Char"/>
    <w:basedOn w:val="25"/>
    <w:uiPriority w:val="0"/>
    <w:rPr>
      <w:rFonts w:eastAsia="宋体"/>
      <w:kern w:val="2"/>
      <w:sz w:val="21"/>
      <w:szCs w:val="21"/>
      <w:lang w:val="en-US" w:eastAsia="zh-CN" w:bidi="ar-SA"/>
    </w:rPr>
  </w:style>
  <w:style w:type="character" w:customStyle="1" w:styleId="73">
    <w:name w:val="style21"/>
    <w:basedOn w:val="25"/>
    <w:uiPriority w:val="0"/>
    <w:rPr>
      <w:sz w:val="14"/>
      <w:szCs w:val="14"/>
    </w:rPr>
  </w:style>
  <w:style w:type="character" w:customStyle="1" w:styleId="74">
    <w:name w:val="grame"/>
    <w:basedOn w:val="25"/>
    <w:uiPriority w:val="0"/>
  </w:style>
  <w:style w:type="character" w:customStyle="1" w:styleId="75">
    <w:name w:val="bg正文首行缩进 Char"/>
    <w:basedOn w:val="25"/>
    <w:link w:val="40"/>
    <w:uiPriority w:val="0"/>
    <w:rPr>
      <w:kern w:val="2"/>
      <w:sz w:val="24"/>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9.emf"/><Relationship Id="rId35" Type="http://schemas.openxmlformats.org/officeDocument/2006/relationships/image" Target="media/image18.wmf"/><Relationship Id="rId34" Type="http://schemas.openxmlformats.org/officeDocument/2006/relationships/oleObject" Target="embeddings/oleObject12.bin"/><Relationship Id="rId33" Type="http://schemas.openxmlformats.org/officeDocument/2006/relationships/image" Target="media/image17.wmf"/><Relationship Id="rId32" Type="http://schemas.openxmlformats.org/officeDocument/2006/relationships/oleObject" Target="embeddings/oleObject11.bin"/><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oleObject" Target="embeddings/oleObject10.bin"/><Relationship Id="rId22" Type="http://schemas.openxmlformats.org/officeDocument/2006/relationships/oleObject" Target="embeddings/oleObject9.bin"/><Relationship Id="rId21" Type="http://schemas.openxmlformats.org/officeDocument/2006/relationships/oleObject" Target="embeddings/oleObject8.bin"/><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wmf"/><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MC SYSTEM</Company>
  <Pages>74</Pages>
  <Words>8184</Words>
  <Characters>46653</Characters>
  <Lines>388</Lines>
  <Paragraphs>109</Paragraphs>
  <TotalTime>0</TotalTime>
  <ScaleCrop>false</ScaleCrop>
  <LinksUpToDate>false</LinksUpToDate>
  <CharactersWithSpaces>54728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2016-10-15T08:56:00Z</dcterms:created>
  <dc:creator>Administrator</dc:creator>
  <cp:lastModifiedBy>theFates丿</cp:lastModifiedBy>
  <cp:lastPrinted>2013-06-03T07:08:00Z</cp:lastPrinted>
  <dcterms:modified xsi:type="dcterms:W3CDTF">2023-07-18T12:13:20Z</dcterms:modified>
  <dc:title>表一、建设项目基本情况</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