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snapToGrid w:val="0"/>
          <w:color w:val="000000" w:themeColor="text1"/>
          <w:kern w:val="2"/>
          <w:sz w:val="21"/>
          <w:szCs w:val="22"/>
          <w:lang w:val="en-US" w:eastAsia="zh-CN" w:bidi="ar-SA"/>
          <w14:textFill>
            <w14:solidFill>
              <w14:schemeClr w14:val="tx1"/>
            </w14:solidFill>
          </w14:textFill>
        </w:rPr>
        <w:id w:val="147468083"/>
        <w15:color w:val="DBDBDB"/>
        <w:docPartObj>
          <w:docPartGallery w:val="Table of Contents"/>
          <w:docPartUnique/>
        </w:docPartObj>
      </w:sdtPr>
      <w:sdtEndPr>
        <w:rPr>
          <w:rFonts w:hint="eastAsia" w:ascii="宋体" w:hAnsi="宋体" w:eastAsia="宋体" w:cs="宋体"/>
          <w:snapToGrid w:val="0"/>
          <w:color w:val="000000" w:themeColor="text1"/>
          <w:kern w:val="2"/>
          <w:sz w:val="24"/>
          <w:szCs w:val="24"/>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b/>
              <w:bCs/>
              <w:color w:val="000000" w:themeColor="text1"/>
              <w:sz w:val="32"/>
              <w:szCs w:val="32"/>
              <w14:textFill>
                <w14:solidFill>
                  <w14:schemeClr w14:val="tx1"/>
                </w14:solidFill>
              </w14:textFill>
            </w:rPr>
          </w:pPr>
          <w:r>
            <w:rPr>
              <w:rFonts w:ascii="宋体" w:hAnsi="宋体" w:eastAsia="宋体"/>
              <w:b/>
              <w:bCs/>
              <w:color w:val="000000" w:themeColor="text1"/>
              <w:sz w:val="32"/>
              <w:szCs w:val="32"/>
              <w14:textFill>
                <w14:solidFill>
                  <w14:schemeClr w14:val="tx1"/>
                </w14:solidFill>
              </w14:textFill>
            </w:rPr>
            <w:t>目录</w:t>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TOC \o "1-1" \h \u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_Toc14591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14:textFill>
                <w14:solidFill>
                  <w14:schemeClr w14:val="tx1"/>
                </w14:solidFill>
              </w14:textFill>
            </w:rPr>
            <w:t>一、建设项目基本情况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_Toc14591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_Toc29780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14:textFill>
                <w14:solidFill>
                  <w14:schemeClr w14:val="tx1"/>
                </w14:solidFill>
              </w14:textFill>
            </w:rPr>
            <w:t>二、建设项目工程分析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_Toc29780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_Toc19891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14:textFill>
                <w14:solidFill>
                  <w14:schemeClr w14:val="tx1"/>
                </w14:solidFill>
              </w14:textFill>
            </w:rPr>
            <w:t>三、区域环境质量现状、环境保护目标及评价标准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_Toc19891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_Toc25392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lang w:val="en-US" w:eastAsia="zh-CN"/>
              <w14:textFill>
                <w14:solidFill>
                  <w14:schemeClr w14:val="tx1"/>
                </w14:solidFill>
              </w14:textFill>
            </w:rPr>
            <w:t>四、</w:t>
          </w:r>
          <w:r>
            <w:rPr>
              <w:rFonts w:hint="default" w:ascii="Times New Roman" w:hAnsi="Times New Roman" w:eastAsia="宋体" w:cs="Times New Roman"/>
              <w:bCs/>
              <w:snapToGrid w:val="0"/>
              <w:color w:val="000000" w:themeColor="text1"/>
              <w:szCs w:val="32"/>
              <w14:textFill>
                <w14:solidFill>
                  <w14:schemeClr w14:val="tx1"/>
                </w14:solidFill>
              </w14:textFill>
            </w:rPr>
            <w:t>主要环境影响和保护措施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_Toc25392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_Toc13021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lang w:val="en-US" w:eastAsia="zh-CN"/>
              <w14:textFill>
                <w14:solidFill>
                  <w14:schemeClr w14:val="tx1"/>
                </w14:solidFill>
              </w14:textFill>
            </w:rPr>
            <w:t>五、环境保护措施监督检查清单</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_Toc13021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_Toc29843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highlight w:val="none"/>
              <w14:textFill>
                <w14:solidFill>
                  <w14:schemeClr w14:val="tx1"/>
                </w14:solidFill>
              </w14:textFill>
            </w:rPr>
            <w:t>六、结论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_Toc29843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pStyle w:val="11"/>
            <w:tabs>
              <w:tab w:val="right" w:leader="dot" w:pos="9746"/>
            </w:tabs>
            <w:rPr>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HYPERLINK \l _Toc14765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Cs w:val="32"/>
              <w14:textFill>
                <w14:solidFill>
                  <w14:schemeClr w14:val="tx1"/>
                </w14:solidFill>
              </w14:textFill>
            </w:rPr>
            <w:t>附表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_Toc14765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napToGrid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fldChar w:fldCharType="end"/>
          </w:r>
        </w:p>
      </w:sdtContent>
    </w:sdt>
    <w:p>
      <w:pPr>
        <w:pStyle w:val="8"/>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sectPr>
          <w:headerReference r:id="rId5" w:type="default"/>
          <w:pgSz w:w="11906" w:h="16838"/>
          <w:pgMar w:top="1440" w:right="1080" w:bottom="1440" w:left="108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附件1  委托书</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 xml:space="preserve">附件2 </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14:textFill>
            <w14:solidFill>
              <w14:schemeClr w14:val="tx1"/>
            </w14:solidFill>
          </w14:textFill>
        </w:rPr>
        <w:t>营业执照</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 xml:space="preserve">附件3 </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14:textFill>
            <w14:solidFill>
              <w14:schemeClr w14:val="tx1"/>
            </w14:solidFill>
          </w14:textFill>
        </w:rPr>
        <w:t>法人代表身份证</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附件4  投资备案证</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附件5  建设项目选址并联审批表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附件6  租地合同</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 xml:space="preserve">附件7 </w:t>
      </w:r>
      <w:r>
        <w:rPr>
          <w:rFonts w:hint="eastAsia" w:ascii="Times New Roman" w:hAnsi="Times New Roman" w:eastAsia="宋体" w:cs="Times New Roman"/>
          <w:color w:val="000000" w:themeColor="text1"/>
          <w:kern w:val="0"/>
          <w:sz w:val="24"/>
          <w:lang w:eastAsia="zh-CN"/>
          <w14:textFill>
            <w14:solidFill>
              <w14:schemeClr w14:val="tx1"/>
            </w14:solidFill>
          </w14:textFill>
        </w:rPr>
        <w:t>生态环境空间管控数据表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4"/>
          <w14:textFill>
            <w14:solidFill>
              <w14:schemeClr w14:val="tx1"/>
            </w14:solidFill>
          </w14:textFill>
        </w:rPr>
        <w:t xml:space="preserve">  园区规划环评审查意见</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附件</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9</w:t>
      </w:r>
      <w:r>
        <w:rPr>
          <w:rFonts w:hint="eastAsia" w:ascii="Times New Roman" w:hAnsi="Times New Roman" w:eastAsia="宋体" w:cs="Times New Roman"/>
          <w:color w:val="000000" w:themeColor="text1"/>
          <w:kern w:val="0"/>
          <w:sz w:val="24"/>
          <w14:textFill>
            <w14:solidFill>
              <w14:schemeClr w14:val="tx1"/>
            </w14:solidFill>
          </w14:textFill>
        </w:rPr>
        <w:t xml:space="preserve">  环境质量现状监测检测报告</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附件10  环保咨询服务合同</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附件11 环评项目内部进度表、审核表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附图1 地理位置图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附图2 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厂区</w:t>
      </w:r>
      <w:r>
        <w:rPr>
          <w:rFonts w:hint="eastAsia" w:ascii="Times New Roman" w:hAnsi="Times New Roman" w:eastAsia="宋体" w:cs="Times New Roman"/>
          <w:color w:val="000000" w:themeColor="text1"/>
          <w:kern w:val="0"/>
          <w:sz w:val="24"/>
          <w14:textFill>
            <w14:solidFill>
              <w14:schemeClr w14:val="tx1"/>
            </w14:solidFill>
          </w14:textFill>
        </w:rPr>
        <w:t>平面布置图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附图3 环境保护目标及周边关系图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附图4 项目区水系图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附图5 项目所在位置用地规划图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附图6 项目所在位置产业布局规划图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附图7 环境质量现状监测点位图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14:textFill>
            <w14:solidFill>
              <w14:schemeClr w14:val="tx1"/>
            </w14:solidFill>
          </w14:textFill>
        </w:rPr>
        <w:sectPr>
          <w:pgSz w:w="11906" w:h="16838"/>
          <w:pgMar w:top="1440" w:right="1080" w:bottom="1440" w:left="1080" w:header="851" w:footer="992" w:gutter="0"/>
          <w:cols w:space="425" w:num="1"/>
          <w:docGrid w:type="lines"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b/>
          <w:bCs/>
          <w:snapToGrid w:val="0"/>
          <w:color w:val="000000" w:themeColor="text1"/>
          <w:sz w:val="32"/>
          <w:szCs w:val="32"/>
          <w14:textFill>
            <w14:solidFill>
              <w14:schemeClr w14:val="tx1"/>
            </w14:solidFill>
          </w14:textFill>
        </w:rPr>
      </w:pPr>
      <w:bookmarkStart w:id="0" w:name="_Toc28661"/>
      <w:bookmarkStart w:id="1" w:name="_Toc14591"/>
      <w:r>
        <w:rPr>
          <w:rFonts w:hint="default" w:ascii="Times New Roman" w:hAnsi="Times New Roman" w:eastAsia="宋体" w:cs="Times New Roman"/>
          <w:b/>
          <w:bCs/>
          <w:snapToGrid w:val="0"/>
          <w:color w:val="000000" w:themeColor="text1"/>
          <w:sz w:val="32"/>
          <w:szCs w:val="32"/>
          <w14:textFill>
            <w14:solidFill>
              <w14:schemeClr w14:val="tx1"/>
            </w14:solidFill>
          </w14:textFill>
        </w:rPr>
        <w:t>一、建设项目基本情况</w:t>
      </w:r>
      <w:bookmarkEnd w:id="0"/>
      <w:bookmarkEnd w:id="1"/>
    </w:p>
    <w:tbl>
      <w:tblPr>
        <w:tblStyle w:val="17"/>
        <w:tblpPr w:leftFromText="181" w:rightFromText="181" w:bottomFromText="181" w:vertAnchor="text" w:tblpXSpec="center" w:tblpY="1"/>
        <w:tblOverlap w:val="never"/>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3"/>
        <w:gridCol w:w="2233"/>
        <w:gridCol w:w="2213"/>
        <w:gridCol w:w="33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建设项目名称</w:t>
            </w:r>
          </w:p>
        </w:tc>
        <w:tc>
          <w:tcPr>
            <w:tcW w:w="3911" w:type="pct"/>
            <w:gridSpan w:val="3"/>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snapToGrid/>
              <w:spacing w:line="360" w:lineRule="auto"/>
              <w:ind w:left="0" w:leftChars="0" w:right="0" w:rightChars="0" w:firstLine="0" w:firstLineChars="0"/>
              <w:jc w:val="center"/>
              <w:textAlignment w:val="auto"/>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合创机制炭及生物质颗粒及生物质猫砂颗粒生产线项目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项目代码</w:t>
            </w:r>
          </w:p>
        </w:tc>
        <w:tc>
          <w:tcPr>
            <w:tcW w:w="3911" w:type="pct"/>
            <w:gridSpan w:val="3"/>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snapToGrid/>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2407-532622-04-01-786600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建设单位联系人</w:t>
            </w:r>
          </w:p>
        </w:tc>
        <w:tc>
          <w:tcPr>
            <w:tcW w:w="112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tc>
        <w:tc>
          <w:tcPr>
            <w:tcW w:w="111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联系方式</w:t>
            </w:r>
          </w:p>
        </w:tc>
        <w:tc>
          <w:tcPr>
            <w:tcW w:w="1675"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建设地点</w:t>
            </w:r>
          </w:p>
        </w:tc>
        <w:tc>
          <w:tcPr>
            <w:tcW w:w="3911" w:type="pct"/>
            <w:gridSpan w:val="3"/>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云南省文山州砚山县江那镇三星坝工业园区内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地理坐标</w:t>
            </w:r>
          </w:p>
        </w:tc>
        <w:tc>
          <w:tcPr>
            <w:tcW w:w="3911" w:type="pct"/>
            <w:gridSpan w:val="3"/>
            <w:noWrap w:val="0"/>
            <w:tcMar>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104</w:t>
            </w:r>
            <w:r>
              <w:rPr>
                <w:rFonts w:hint="eastAsia" w:ascii="Times New Roman" w:hAnsi="Times New Roman" w:eastAsia="宋体" w:cs="Times New Roman"/>
                <w:color w:val="000000" w:themeColor="text1"/>
                <w:sz w:val="24"/>
                <w:lang w:val="en-US" w:eastAsia="zh-CN"/>
                <w14:textFill>
                  <w14:solidFill>
                    <w14:schemeClr w14:val="tx1"/>
                  </w14:solidFill>
                </w14:textFill>
              </w:rPr>
              <w:t>度</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22</w:t>
            </w:r>
            <w:r>
              <w:rPr>
                <w:rFonts w:hint="eastAsia" w:ascii="Times New Roman" w:hAnsi="Times New Roman" w:eastAsia="宋体" w:cs="Times New Roman"/>
                <w:color w:val="000000" w:themeColor="text1"/>
                <w:sz w:val="24"/>
                <w:lang w:val="en-US" w:eastAsia="zh-CN"/>
                <w14:textFill>
                  <w14:solidFill>
                    <w14:schemeClr w14:val="tx1"/>
                  </w14:solidFill>
                </w14:textFill>
              </w:rPr>
              <w:t>分</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20.218</w:t>
            </w:r>
            <w:r>
              <w:rPr>
                <w:rFonts w:hint="eastAsia" w:ascii="Times New Roman" w:hAnsi="Times New Roman" w:eastAsia="宋体" w:cs="Times New Roman"/>
                <w:color w:val="000000" w:themeColor="text1"/>
                <w:sz w:val="24"/>
                <w:lang w:val="en-US" w:eastAsia="zh-CN"/>
                <w14:textFill>
                  <w14:solidFill>
                    <w14:schemeClr w14:val="tx1"/>
                  </w14:solidFill>
                </w14:textFill>
              </w:rPr>
              <w:t>秒</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度</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37</w:t>
            </w:r>
            <w:r>
              <w:rPr>
                <w:rFonts w:hint="eastAsia" w:ascii="Times New Roman" w:hAnsi="Times New Roman" w:eastAsia="宋体" w:cs="Times New Roman"/>
                <w:color w:val="000000" w:themeColor="text1"/>
                <w:sz w:val="24"/>
                <w:lang w:val="en-US" w:eastAsia="zh-CN"/>
                <w14:textFill>
                  <w14:solidFill>
                    <w14:schemeClr w14:val="tx1"/>
                  </w14:solidFill>
                </w14:textFill>
              </w:rPr>
              <w:t>分</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16.671</w:t>
            </w:r>
            <w:r>
              <w:rPr>
                <w:rFonts w:hint="eastAsia" w:ascii="Times New Roman" w:hAnsi="Times New Roman" w:eastAsia="宋体" w:cs="Times New Roman"/>
                <w:color w:val="000000" w:themeColor="text1"/>
                <w:sz w:val="24"/>
                <w:lang w:val="en-US" w:eastAsia="zh-CN"/>
                <w14:textFill>
                  <w14:solidFill>
                    <w14:schemeClr w14:val="tx1"/>
                  </w14:solidFill>
                </w14:textFill>
              </w:rPr>
              <w:t>秒</w:t>
            </w:r>
            <w:r>
              <w:rPr>
                <w:rFonts w:hint="default" w:ascii="Times New Roman" w:hAnsi="Times New Roman" w:eastAsia="宋体" w:cs="Times New Roman"/>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国民经济行业类别</w:t>
            </w:r>
          </w:p>
        </w:tc>
        <w:tc>
          <w:tcPr>
            <w:tcW w:w="112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C2542</w:t>
            </w:r>
            <w:r>
              <w:rPr>
                <w:rFonts w:ascii="Times New Roman" w:hAnsi="Times New Roman" w:eastAsia="宋体" w:cs="Times New Roman"/>
                <w:color w:val="000000" w:themeColor="text1"/>
                <w:kern w:val="0"/>
                <w:sz w:val="24"/>
                <w:szCs w:val="24"/>
                <w14:textFill>
                  <w14:solidFill>
                    <w14:schemeClr w14:val="tx1"/>
                  </w14:solidFill>
                </w14:textFill>
              </w:rPr>
              <w:t>生物质致密成型燃料加工</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spacing w:line="36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C4220 非金属废料和碎屑加工处理</w:t>
            </w:r>
          </w:p>
        </w:tc>
        <w:tc>
          <w:tcPr>
            <w:tcW w:w="111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bookmarkStart w:id="2" w:name="_Hlk49843745"/>
            <w:r>
              <w:rPr>
                <w:rFonts w:hint="default" w:ascii="Times New Roman" w:hAnsi="Times New Roman" w:eastAsia="宋体" w:cs="Times New Roman"/>
                <w:b/>
                <w:bCs/>
                <w:color w:val="000000" w:themeColor="text1"/>
                <w:sz w:val="24"/>
                <w14:textFill>
                  <w14:solidFill>
                    <w14:schemeClr w14:val="tx1"/>
                  </w14:solidFill>
                </w14:textFill>
              </w:rPr>
              <w:t>建设项目行业类别</w:t>
            </w:r>
            <w:bookmarkEnd w:id="2"/>
          </w:p>
        </w:tc>
        <w:tc>
          <w:tcPr>
            <w:tcW w:w="1675"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val="en-US" w:eastAsia="zh-CN"/>
                <w14:textFill>
                  <w14:solidFill>
                    <w14:schemeClr w14:val="tx1"/>
                  </w14:solidFill>
                </w14:textFill>
              </w:rPr>
              <w:t>二十二、石油、煤炭及其他燃料加工业 25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生物质燃料加工254——生物质致密成型燃料加工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widowControl/>
              <w:suppressLineNumbers w:val="0"/>
              <w:jc w:val="left"/>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三十九、废弃资源综合利用业</w:t>
            </w:r>
            <w:r>
              <w:rPr>
                <w:rFonts w:hint="eastAsia" w:ascii="Times New Roman" w:hAnsi="Times New Roman" w:eastAsia="宋体" w:cs="Times New Roman"/>
                <w:color w:val="000000" w:themeColor="text1"/>
                <w:lang w:val="en-US" w:eastAsia="zh-CN"/>
                <w14:textFill>
                  <w14:solidFill>
                    <w14:schemeClr w14:val="tx1"/>
                  </w14:solidFill>
                </w14:textFill>
              </w:rPr>
              <w:t>42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非金属废料和碎屑加工处理 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建设性质</w:t>
            </w:r>
          </w:p>
        </w:tc>
        <w:tc>
          <w:tcPr>
            <w:tcW w:w="1123" w:type="pct"/>
            <w:noWrap w:val="0"/>
            <w:tcMar>
              <w:left w:w="108" w:type="dxa"/>
              <w:right w:w="108" w:type="dxa"/>
            </w:tcMar>
            <w:vAlign w:val="center"/>
          </w:tcPr>
          <w:p>
            <w:pPr>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新建（迁建）</w:t>
            </w:r>
          </w:p>
          <w:p>
            <w:pPr>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pPr>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pPr>
              <w:keepNext w:val="0"/>
              <w:keepLines w:val="0"/>
              <w:pageBreakBefore w:val="0"/>
              <w:kinsoku/>
              <w:wordWrap/>
              <w:overflowPunct/>
              <w:topLinePunct w:val="0"/>
              <w:bidi w:val="0"/>
              <w:snapToGrid/>
              <w:spacing w:line="360" w:lineRule="auto"/>
              <w:ind w:left="0" w:leftChars="0" w:right="0" w:rightChars="0" w:firstLine="0" w:firstLineChars="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111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建设项目</w:t>
            </w:r>
          </w:p>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申报情形</w:t>
            </w:r>
          </w:p>
        </w:tc>
        <w:tc>
          <w:tcPr>
            <w:tcW w:w="1675" w:type="pct"/>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超五年重新审核项目</w:t>
            </w:r>
          </w:p>
          <w:p>
            <w:pPr>
              <w:keepNext w:val="0"/>
              <w:keepLines w:val="0"/>
              <w:pageBreakBefore w:val="0"/>
              <w:kinsoku/>
              <w:wordWrap/>
              <w:overflowPunct/>
              <w:topLinePunct w:val="0"/>
              <w:bidi w:val="0"/>
              <w:snapToGrid/>
              <w:spacing w:line="360" w:lineRule="auto"/>
              <w:ind w:left="0" w:leftChars="0" w:right="0" w:rightChars="0" w:firstLine="0" w:firstLineChars="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项目审批</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核准/备案</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部门</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选填</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p>
        </w:tc>
        <w:tc>
          <w:tcPr>
            <w:tcW w:w="112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砚山县发展和改革委员会</w:t>
            </w:r>
          </w:p>
        </w:tc>
        <w:tc>
          <w:tcPr>
            <w:tcW w:w="111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项目审批</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核准/备案</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文号</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选填</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p>
        </w:tc>
        <w:tc>
          <w:tcPr>
            <w:tcW w:w="1675"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总投资（万元）</w:t>
            </w:r>
          </w:p>
        </w:tc>
        <w:tc>
          <w:tcPr>
            <w:tcW w:w="1123"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100</w:t>
            </w:r>
          </w:p>
        </w:tc>
        <w:tc>
          <w:tcPr>
            <w:tcW w:w="1113"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环保投资（万元）</w:t>
            </w:r>
          </w:p>
        </w:tc>
        <w:tc>
          <w:tcPr>
            <w:tcW w:w="1675" w:type="pct"/>
            <w:noWrap w:val="0"/>
            <w:tcMar>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环保投资占比（%）</w:t>
            </w:r>
          </w:p>
        </w:tc>
        <w:tc>
          <w:tcPr>
            <w:tcW w:w="1123" w:type="pct"/>
            <w:noWrap w:val="0"/>
            <w:tcMar>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29.69</w:t>
            </w:r>
          </w:p>
        </w:tc>
        <w:tc>
          <w:tcPr>
            <w:tcW w:w="1113"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施工工期</w:t>
            </w:r>
          </w:p>
        </w:tc>
        <w:tc>
          <w:tcPr>
            <w:tcW w:w="1675"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88" w:type="pct"/>
            <w:noWrap w:val="0"/>
            <w:tcMar>
              <w:top w:w="16" w:type="dxa"/>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是否开工建设</w:t>
            </w:r>
          </w:p>
        </w:tc>
        <w:tc>
          <w:tcPr>
            <w:tcW w:w="1123" w:type="pct"/>
            <w:noWrap w:val="0"/>
            <w:tcMar>
              <w:left w:w="108" w:type="dxa"/>
              <w:right w:w="108" w:type="dxa"/>
            </w:tcMar>
            <w:vAlign w:val="center"/>
          </w:tcPr>
          <w:p>
            <w:pPr>
              <w:adjustRightInd w:val="0"/>
              <w:snapToGrid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否</w:t>
            </w:r>
          </w:p>
          <w:p>
            <w:pPr>
              <w:keepNext w:val="0"/>
              <w:keepLines w:val="0"/>
              <w:pageBreakBefore w:val="0"/>
              <w:kinsoku/>
              <w:wordWrap/>
              <w:overflowPunct/>
              <w:topLinePunct w:val="0"/>
              <w:bidi w:val="0"/>
              <w:adjustRightInd w:val="0"/>
              <w:snapToGrid/>
              <w:spacing w:line="360" w:lineRule="auto"/>
              <w:ind w:left="0" w:leftChars="0" w:right="0" w:rightChars="0" w:firstLine="0" w:firstLineChars="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p>
        </w:tc>
        <w:tc>
          <w:tcPr>
            <w:tcW w:w="1113" w:type="pct"/>
            <w:noWrap w:val="0"/>
            <w:tcMar>
              <w:top w:w="16" w:type="dxa"/>
              <w:left w:w="108" w:type="dxa"/>
              <w:right w:w="108" w:type="dxa"/>
            </w:tcMar>
            <w:vAlign w:val="center"/>
          </w:tcPr>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6"/>
                <w:sz w:val="24"/>
                <w14:textFill>
                  <w14:solidFill>
                    <w14:schemeClr w14:val="tx1"/>
                  </w14:solidFill>
                </w14:textFill>
              </w:rPr>
            </w:pPr>
            <w:r>
              <w:rPr>
                <w:rFonts w:hint="default" w:ascii="Times New Roman" w:hAnsi="Times New Roman" w:eastAsia="宋体" w:cs="Times New Roman"/>
                <w:b/>
                <w:bCs/>
                <w:color w:val="000000" w:themeColor="text1"/>
                <w:spacing w:val="-6"/>
                <w:sz w:val="24"/>
                <w14:textFill>
                  <w14:solidFill>
                    <w14:schemeClr w14:val="tx1"/>
                  </w14:solidFill>
                </w14:textFill>
              </w:rPr>
              <w:t>用地（用海）</w:t>
            </w:r>
          </w:p>
          <w:p>
            <w:pPr>
              <w:keepNext w:val="0"/>
              <w:keepLines w:val="0"/>
              <w:pageBreakBefore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pacing w:val="-6"/>
                <w:sz w:val="24"/>
                <w14:textFill>
                  <w14:solidFill>
                    <w14:schemeClr w14:val="tx1"/>
                  </w14:solidFill>
                </w14:textFill>
              </w:rPr>
              <w:t>面积（</w:t>
            </w:r>
            <w:r>
              <w:rPr>
                <w:rFonts w:hint="eastAsia" w:ascii="Times New Roman" w:hAnsi="Times New Roman" w:eastAsia="宋体" w:cs="Times New Roman"/>
                <w:b/>
                <w:bCs/>
                <w:color w:val="000000" w:themeColor="text1"/>
                <w:spacing w:val="-6"/>
                <w:sz w:val="24"/>
                <w:lang w:eastAsia="zh-CN"/>
                <w14:textFill>
                  <w14:solidFill>
                    <w14:schemeClr w14:val="tx1"/>
                  </w14:solidFill>
                </w14:textFill>
              </w:rPr>
              <w:t>m²</w:t>
            </w:r>
            <w:r>
              <w:rPr>
                <w:rFonts w:hint="default" w:ascii="Times New Roman" w:hAnsi="Times New Roman" w:eastAsia="宋体" w:cs="Times New Roman"/>
                <w:b/>
                <w:bCs/>
                <w:color w:val="000000" w:themeColor="text1"/>
                <w:spacing w:val="-6"/>
                <w:sz w:val="24"/>
                <w14:textFill>
                  <w14:solidFill>
                    <w14:schemeClr w14:val="tx1"/>
                  </w14:solidFill>
                </w14:textFill>
              </w:rPr>
              <w:t>）</w:t>
            </w:r>
          </w:p>
        </w:tc>
        <w:tc>
          <w:tcPr>
            <w:tcW w:w="1675" w:type="pct"/>
            <w:noWrap w:val="0"/>
            <w:tcMar>
              <w:left w:w="108" w:type="dxa"/>
              <w:right w:w="108" w:type="dxa"/>
            </w:tcMar>
            <w:vAlign w:val="center"/>
          </w:tcPr>
          <w:p>
            <w:pPr>
              <w:pStyle w:val="16"/>
              <w:keepNext w:val="0"/>
              <w:keepLines w:val="0"/>
              <w:pageBreakBefore w:val="0"/>
              <w:kinsoku/>
              <w:wordWrap/>
              <w:overflowPunct/>
              <w:topLinePunct w:val="0"/>
              <w:autoSpaceDE/>
              <w:autoSpaceDN/>
              <w:bidi w:val="0"/>
              <w:spacing w:before="0" w:after="0"/>
              <w:ind w:left="0" w:leftChars="0" w:right="0" w:firstLine="0" w:firstLineChars="0"/>
              <w:jc w:val="center"/>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2866.67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8" w:type="pct"/>
            <w:noWrap w:val="0"/>
            <w:tcMar>
              <w:left w:w="108" w:type="dxa"/>
              <w:right w:w="108" w:type="dxa"/>
            </w:tcMar>
            <w:vAlign w:val="center"/>
          </w:tcPr>
          <w:p>
            <w:pPr>
              <w:keepNext w:val="0"/>
              <w:keepLines w:val="0"/>
              <w:pageBreakBefore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专项评价设置情况</w:t>
            </w:r>
          </w:p>
        </w:tc>
        <w:tc>
          <w:tcPr>
            <w:tcW w:w="3911" w:type="pct"/>
            <w:gridSpan w:val="3"/>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根据《建设项目环境影响报告表编制技术指南（污染影响类）（试行）》“表1 专项评价设置原则表”。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表1-1 专项评价设置原则表</w:t>
            </w:r>
          </w:p>
          <w:tbl>
            <w:tblPr>
              <w:tblStyle w:val="17"/>
              <w:tblpPr w:leftFromText="181" w:rightFromText="181" w:bottomFromText="181"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894"/>
              <w:gridCol w:w="2429"/>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专项评价的类别</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设置原则</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排放废气含有毒有害污染物</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、二噁英、苯并[a]芘、氰化物、氯气且厂界外500米范围内有环境空气保护目标</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的建设项目</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废气排放为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、NOx、非甲烷总烃</w:t>
                  </w:r>
                  <w:r>
                    <w:rPr>
                      <w:rFonts w:hint="default" w:ascii="Times New Roman" w:hAnsi="Times New Roman" w:eastAsia="宋体" w:cs="Times New Roman"/>
                      <w:color w:val="000000" w:themeColor="text1"/>
                      <w:sz w:val="21"/>
                      <w:szCs w:val="21"/>
                      <w14:textFill>
                        <w14:solidFill>
                          <w14:schemeClr w14:val="tx1"/>
                        </w14:solidFill>
                      </w14:textFill>
                    </w:rPr>
                    <w:t>，不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w:t>
                  </w:r>
                  <w:r>
                    <w:rPr>
                      <w:rFonts w:hint="default" w:ascii="Times New Roman" w:hAnsi="Times New Roman" w:eastAsia="宋体" w:cs="Times New Roman"/>
                      <w:color w:val="000000" w:themeColor="text1"/>
                      <w:sz w:val="21"/>
                      <w:szCs w:val="21"/>
                      <w14:textFill>
                        <w14:solidFill>
                          <w14:schemeClr w14:val="tx1"/>
                        </w14:solidFill>
                      </w14:textFill>
                    </w:rPr>
                    <w:t>有毒有害污染物</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、二噁英、苯并[a]芘、氰化物、氯气</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生产不涉及用水，</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不外排，不属于前述情形</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有毒有害和易燃易爆危险物质存储量超过临界量的建设项目</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项目不涉及危险物质，不属于前述情形</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项目生活用水来自于农村自来水管网，不涉及取水口，不属于前述情形</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海洋</w:t>
                  </w:r>
                </w:p>
              </w:tc>
              <w:tc>
                <w:tcPr>
                  <w:tcW w:w="19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直接向海排放污染物的海洋工程建设项目</w:t>
                  </w:r>
                </w:p>
              </w:tc>
              <w:tc>
                <w:tcPr>
                  <w:tcW w:w="160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项目不属于向海排放污染物的海洋工程建设项目</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注：1.废气中有毒有害污染物指纳入《有毒有害大气污染物名录》的污染物（不包括无排放标准的污染物）。</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2.环境空气保护目标指自然保护区、风景名胜区、居住区、文化区和农村地区中人群较集中的区域。</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根据上表分析，</w:t>
            </w:r>
            <w:r>
              <w:rPr>
                <w:rFonts w:hint="default" w:ascii="Times New Roman" w:hAnsi="Times New Roman" w:eastAsia="宋体" w:cs="Times New Roman"/>
                <w:color w:val="000000" w:themeColor="text1"/>
                <w:sz w:val="24"/>
                <w:lang w:val="en-US" w:eastAsia="zh-CN"/>
                <w14:textFill>
                  <w14:solidFill>
                    <w14:schemeClr w14:val="tx1"/>
                  </w14:solidFill>
                </w14:textFill>
              </w:rPr>
              <w:t>本项目不设置专项评价，专项评价设置情况为“无”</w:t>
            </w: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8" w:type="pct"/>
            <w:noWrap w:val="0"/>
            <w:tcMar>
              <w:left w:w="108" w:type="dxa"/>
              <w:right w:w="108" w:type="dxa"/>
            </w:tcMar>
            <w:vAlign w:val="center"/>
          </w:tcPr>
          <w:p>
            <w:pPr>
              <w:keepNext w:val="0"/>
              <w:keepLines w:val="0"/>
              <w:pageBreakBefore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规划情况</w:t>
            </w:r>
          </w:p>
        </w:tc>
        <w:tc>
          <w:tcPr>
            <w:tcW w:w="3911" w:type="pct"/>
            <w:gridSpan w:val="3"/>
            <w:noWrap w:val="0"/>
            <w:tcMar>
              <w:left w:w="108" w:type="dxa"/>
              <w:right w:w="108" w:type="dxa"/>
            </w:tcMar>
            <w:vAlign w:val="center"/>
          </w:tcPr>
          <w:p>
            <w:pPr>
              <w:pStyle w:val="23"/>
              <w:keepNext w:val="0"/>
              <w:keepLines w:val="0"/>
              <w:pageBreakBefore w:val="0"/>
              <w:widowControl w:val="0"/>
              <w:kinsoku/>
              <w:wordWrap/>
              <w:overflowPunct/>
              <w:topLinePunct w:val="0"/>
              <w:autoSpaceDE/>
              <w:autoSpaceDN/>
              <w:bidi w:val="0"/>
              <w:snapToGrid/>
              <w:spacing w:line="360" w:lineRule="auto"/>
              <w:ind w:right="0" w:firstLine="0" w:firstLineChars="0"/>
              <w:jc w:val="left"/>
              <w:textAlignment w:val="auto"/>
              <w:rPr>
                <w:rFonts w:hint="default" w:ascii="Times New Roman" w:hAnsi="Times New Roman" w:eastAsia="宋体" w:cs="Times New Roman"/>
                <w:color w:val="000000" w:themeColor="text1"/>
                <w:spacing w:val="-7"/>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规划名称：《云南砚山产业园区总体规划</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修编</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2021</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2035</w:t>
            </w:r>
            <w:r>
              <w:rPr>
                <w:rFonts w:hint="default" w:ascii="Times New Roman" w:hAnsi="Times New Roman" w:eastAsia="宋体" w:cs="Times New Roman"/>
                <w:color w:val="000000" w:themeColor="text1"/>
                <w:spacing w:val="-7"/>
                <w:sz w:val="24"/>
                <w:szCs w:val="24"/>
                <w14:textFill>
                  <w14:solidFill>
                    <w14:schemeClr w14:val="tx1"/>
                  </w14:solidFill>
                </w14:textFill>
              </w:rPr>
              <w:t>年</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szCs w:val="24"/>
                <w:lang w:eastAsia="zh-CN"/>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snapToGrid/>
              <w:spacing w:line="360" w:lineRule="auto"/>
              <w:ind w:right="0" w:firstLine="0" w:firstLineChars="0"/>
              <w:jc w:val="left"/>
              <w:textAlignment w:val="auto"/>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审批时间：2023年8月14日；</w:t>
            </w:r>
          </w:p>
          <w:p>
            <w:pPr>
              <w:pStyle w:val="31"/>
              <w:keepNext w:val="0"/>
              <w:keepLines w:val="0"/>
              <w:pageBreakBefore w:val="0"/>
              <w:widowControl w:val="0"/>
              <w:kinsoku/>
              <w:overflowPunct/>
              <w:autoSpaceDE/>
              <w:autoSpaceDN/>
              <w:bidi w:val="0"/>
              <w:snapToGrid/>
              <w:ind w:left="0" w:leftChars="0" w:firstLine="0" w:firstLineChars="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审批机关：文山州人民政府；</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审查文件文号：文政复</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2023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17号。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8" w:type="pct"/>
            <w:noWrap w:val="0"/>
            <w:tcMar>
              <w:left w:w="108" w:type="dxa"/>
              <w:right w:w="108" w:type="dxa"/>
            </w:tcMar>
            <w:vAlign w:val="center"/>
          </w:tcPr>
          <w:p>
            <w:pPr>
              <w:keepNext w:val="0"/>
              <w:keepLines w:val="0"/>
              <w:pageBreakBefore w:val="0"/>
              <w:kinsoku/>
              <w:wordWrap/>
              <w:overflowPunct/>
              <w:topLinePunct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规划环境影响评价情况</w:t>
            </w:r>
          </w:p>
        </w:tc>
        <w:tc>
          <w:tcPr>
            <w:tcW w:w="3911" w:type="pct"/>
            <w:gridSpan w:val="3"/>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《云南砚山产业园区总体规划</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修编</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2021</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2035</w:t>
            </w:r>
            <w:r>
              <w:rPr>
                <w:rFonts w:hint="default" w:ascii="Times New Roman" w:hAnsi="Times New Roman" w:eastAsia="宋体" w:cs="Times New Roman"/>
                <w:color w:val="000000" w:themeColor="text1"/>
                <w:spacing w:val="-7"/>
                <w:sz w:val="24"/>
                <w:szCs w:val="24"/>
                <w14:textFill>
                  <w14:solidFill>
                    <w14:schemeClr w14:val="tx1"/>
                  </w14:solidFill>
                </w14:textFill>
              </w:rPr>
              <w:t>年</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环境影响报告书</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已经委托云南省生态环境科学研究院编制完成并通过文山州生态环境局组织的专家组审查，于2023年6月5日取得了文山州生态环境局出具的规划环评审查意见（文环函</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2023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45号）。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8" w:type="pct"/>
            <w:noWrap w:val="0"/>
            <w:tcMar>
              <w:left w:w="108" w:type="dxa"/>
              <w:right w:w="108" w:type="dxa"/>
            </w:tcMar>
            <w:vAlign w:val="center"/>
          </w:tcPr>
          <w:p>
            <w:pPr>
              <w:keepNext w:val="0"/>
              <w:keepLines w:val="0"/>
              <w:pageBreakBefore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规划及规划环境影响评价符合性分析</w:t>
            </w:r>
          </w:p>
        </w:tc>
        <w:tc>
          <w:tcPr>
            <w:tcW w:w="3911" w:type="pct"/>
            <w:gridSpan w:val="3"/>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云南</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砚山</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产业园区</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总体规划》[修编]（20</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-2035）符合性分析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①用地规划符合性分析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项目位于三星坝工业园区，根据《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云南</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砚山</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产业园区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总体规划》[修编]（20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-2035）用地规划图，项目选址位于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M2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二类工业用地，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项目属于“煤炭及其他燃料加工业”“</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符合工业园区用地规划。</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②产业定位符合性分析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项目位于三星坝工业园区，根据《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云南</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砚山</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产业园区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总体规划》[修编]（20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-2035）中三星坝的功能定位为：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布局主导产业</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新型</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建材产业园，辅助产业及多元兼容产业为铝产业下游精深加工产业、现状锰业转型升级、沸石矿加工业、再生资源回收利用产业等，积极培育低能耗、低排放、高产出的小微企业。</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将废木材边角料加工为生物质颗粒、环保机制木炭、生物质猫砂颗粒</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属于煤炭及其他燃料加工业和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符合园区的发展定位。</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云南</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砚山</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产业园区</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总体规划修编（20</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-2035</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年</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）环境影响报告书》及审查意见符合性分析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园区规划为“一园三片、四个产业园”的空间结构，分为布标片区、三星坝片区和二道箐片区，包括绿色铝创新产业园、承接产业园、建材产业园、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新材料产业园四个产业园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。项目位于三星坝片区，园区占地面积5.</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3平方公里，</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布局主导产业</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新型</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建材产业园，辅助产业及多元兼容产业为铝产业下游精深加工产业、现状锰业转型升级、沸石矿加工业、再生资源回收利用产业等，积极培育低能耗、低排放、高产出的小微企业。</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（1）项目与规划环评的符合型分析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根据《云南砚山产业园区总体规划修编（2021-2035年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环境影响报告书》</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以下简称“园区规划环评”</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，本项目与园区入园原则和园区负面清单符合性分析如下</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①</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项目入园原则</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本项目与入园原则符合性分析详见下表。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入园原则符合性分析</w:t>
            </w:r>
          </w:p>
          <w:tbl>
            <w:tblPr>
              <w:tblStyle w:val="17"/>
              <w:tblpPr w:leftFromText="181" w:rightFromText="181" w:bottomFromText="170" w:vertAnchor="text" w:tblpXSpec="left" w:tblpY="1"/>
              <w:tblOverlap w:val="never"/>
              <w:tblW w:w="7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273"/>
              <w:gridCol w:w="2863"/>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入园原则</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本项目情况</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项目引进原则</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采用先进生产工艺和设备的、自动化程度高的、具有可靠先进的污染治理技术的生产项目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提高产品的关联度，发展系列产品，力求发挥各项目间的最佳协同效应</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鼓励具有先进的、科学的环境管理水平的</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符合工业园区产业定位的企业入区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注意生产装置的规模效益</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鼓励在工业园区建设具有国际竞争能力的符合经济规模的生产装置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根据本地区环境承载能力，控制工业园区合理的发展规模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严格控制特异污染因子项目的排放总量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根据工业园区基础设施配备情况确定进区企业的类别</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在项目选择上应优先引进无污染、轻污染的工业企业入驻</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严格控制污染排放较为严重的企业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特别是生产工艺中有特异污染因子排放的项目应禁止。</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1）项目使用</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全自动生产工艺及机械，各类污染物治理后均能达标排放；</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将废木材边角料加工为生物质颗粒、环保机制木炭、生物质猫砂颗粒，生物质颗粒和机制炭产品可提供给园区内其他企业；</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项目安排专业人员进行公司管理，项目员工经培训后才上岗就职；</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，建成后年产1500吨绿色环保机制木炭、6000吨生物质颗粒、6000吨生物质猫砂颗粒，产品具有市场竞争力；</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排放污染物为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、NOx、非甲烷总烃，划定总量控制指标，限制污染物排放总量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排放污染物为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、NOx、非甲烷总烃，排放量小且划定总量控制指标，限制污染物排放总量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优先发展企业建议：</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工业园区鼓励引进和优先发展工业区产业定位所包括的行业：</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（1）冶金深加工；（2）现代物流；（3）绿色食品；（4）绿色能源；（5）特色轻工；（6）高新技术产业（新材料、生物医药、电子信息和新能源等）；（7）新型建材；（8）加工制造业。</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具体引进的企业除在上述行业中外，还需要遵循以下原则：</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（1）进区项目应是科技含量较高的、产品附加值较高的项目，其生产工艺、设备和环保设施的水平应先进可靠；（2）采用有效的回收、回用技术，包括物料回收利用、各类废水回用等。</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，产生的废气、废水、噪声、固废均采取有效治理措施，各类资源综合利用，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符合该片区的产业定位。</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限制发展企业建议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对于达不到进园区企业要求的建设项目不支持进入。主要体现为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不符合工业园区产业定位</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对于重大项目，水的重复利用率低于80%的项目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废水含难降解的有机污染物、“三致”污染物</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盐</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含量较高的项目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废水经预处理达不到污水处理厂接管标准的项目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工艺废气中含有难处理的、有毒有害物质的项目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采用落后的生产工艺或生产设备，不符合国家相关产业政策、达不到规模经济的项目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排放的主要污染物达不到国家或地方规定的排放标准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或者总量控制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的项目。</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（1）项目位于三星坝片区，布局主导产业</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新型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建材产业园，辅助产业及多元兼容产业为铝产业下游精深加工产业、现状锰业转型升级、沸石矿加工业、再生资源回收利用产业等，积极培育低能耗、低排放、高产出的小微企业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，符合该片区的产业定位</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（2）本项目不属于重大项目；（3）项目产生的废水不外排；</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（4）项目排放废气污染物为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、NOx、非甲烷总烃，不</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含难处理的、有毒有害物质</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（5）项目不属于《产业结构调整指导目录（2024年本）》（2023第7号令）及《云南省工业产业结构调整指导目录》（2006年本）中限制类和淘汰类项目；</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（6）项目生产过程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排放的主要污染物</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经处理后可达</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国家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地方规定的排放标准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总量控制。</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根据表1-1分析，本项目符合入园原则。</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②园区负面清单</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园区负面清单</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符合性分析详见下表。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负面清单符合性分析</w:t>
            </w:r>
          </w:p>
          <w:tbl>
            <w:tblPr>
              <w:tblStyle w:val="17"/>
              <w:tblpPr w:leftFromText="181" w:rightFromText="181" w:bottomFromText="170" w:vertAnchor="text" w:tblpXSpec="left" w:tblpY="1"/>
              <w:tblOverlap w:val="never"/>
              <w:tblW w:w="7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273"/>
              <w:gridCol w:w="2863"/>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负面清单</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本项目情况</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不符合园区规划产业布局的行业不得入园</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项目位于三星坝片区，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符合该片区的产业定位。</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严格按《产业结构调整指导目录（2019年本）》要求进行企业的引进。</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项目不属于《产业结构调整指导目录（2019年本）》（2023第7号令）及《云南省工业产业结构调整指导目录》（2006年本）中限制类和淘汰类项目。</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建材</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禁止新建扩建水泥、玻璃、建筑陶瓷、石膏板、空心砖、石棉、改性沥青制品和普通技术等级混凝土离心桩和混凝土管生产项目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达到清洁生产要求的资源综合利用和资源回收项目除外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不新增产能的技改和环保改造项目除外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，符合规划。</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医药</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禁止新开办无新药证书的药品生产企业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禁止新建扩建产能过剩的维生素、抗生素、化学原料药生产项目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禁止采用不能达到废水零排放和易造成严重大气污染的生产工艺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劳动保护、</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三废治理不能达到国家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标准的原料生产装置。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禁止新建及改扩建原料含有尚未规模化种植或养殖的濒危动植物药材的产品生产装置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禁止新建扩建产能过剩的一般规格医疗器械生产项目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废弃资源综合利用业，不属于医药行业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4）机械制造</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限制新建扩建一般性采矿、选矿设备生产项目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﹔禁止新建扩建国家淘汰类的采选和冶炼设备生产项目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限制新建低速汽车（三轮汽车、低速货车</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及配套零部件生产项目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禁止新建非法拼</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组</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装汽车、摩托车生产项目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限制新建常规燃煤火力发电设备制造项目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综合利用、热电联产机组除外）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限制新建产能过剩的电线、电缆制造项目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用于新能源、信息产业、航天航空、轨道交通、海洋工程等领域的特种电线电缆除外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﹔禁止新建产能过剩型输配电设备生产项目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限制新建非数控机床及配套零部件生产项目（出口型和填补/替代进口的产品生产除外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普通低档标准紧固件、铸锻件、空气压缩机、蒸汽锤、锻造液压机、盘摩擦压力机生产项目限制新建普通运输集装干箱项目限制新建一般技术等级的产能过剩型泵、阀门等五金产品（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限制新建一般规格的电动机及电钻、电动砂轮机等相关产品（符合国家、省和新区鼓励发展的战略性新兴产业项目除外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限制新建一般规格的产能过剩型农业生产和农业加工机械</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符合国</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家、省和新区鼓励发展的战略性新兴产业项目除外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禁止新建扩建国家淘汰类机电五金产品生产项目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废弃资源综合利用业，不属于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机械制造行业。</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冶金</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三星坝片区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由于该片区位于砚山县城东，与建成区基本相连，位于城市的常年主导风向的侧风向，为降低该片区企业引进后对环境及敏感点的影响，三星坝片区原规划中的冶金行业将不能在该片区进行新增，现有冶金企业只能按国家相关行业规定进行的技术改造和环保治理设施改造，即三星坝片区除现有冶金企业的升级改造外，不再引进其他冶金企业。新建企业需要求有总量来源，做到“等量消减”，以减缓该片区对城区的污染。二道等片区则禁止引进国家产业政策禁止的企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废弃资源综合利用业，不属于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冶金</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行业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6）轻工</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禁止新建高污染高排放的普通人造革、产能过剩的塑料制品的生产项目（出口型和填补/替代进口的产品生产除外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资源综合利用项目除外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环境友好可降解型产品生产项目除外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限制新建普通照明白炽灯、高压汞灯、糊式锌锰电池、镉镍电池、一般精度和规格电子计量器具生产项目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具有出口订单的产品生产项目除外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禁止新建造纸项目，禁止新建产能过剩的普通纸制品生产项目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禁止高污染高耗水高排放的纸浆、漂白工艺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限制新建产能过剩的玻璃制品生产项目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具有出口订单的产品生产项目除外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限制新建产能过剩的洗涤产品、日化产品生产项目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出口型产品和填补/替代进口的产品生产除外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限制新建小规模的制糖、果汁、油料加工、啤酒、白酒、味精、乳品等食品、饮料和食品添加剂生产项</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出口型产品和填补/替代进口的产品生产除外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﹔禁止新建扩建高污染高排放的食品生产项目本规划范围内限制新建年屠宰生猪15万头及以下、肉牛1万头及以下、肉羊15万只及以下、活禽1000万只及以下的屠宰建设项目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少数民族地区除外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﹔限制新建3000吨/年及以下的西式肉制品加工项目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禁止新建手工屠宰厂项</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目。</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建成后回收利用废木材边角料，减少废木材边角料对环境造成的压力</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，与园区负面清单不冲突</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7）纺织</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限制新建产能过剩的一般规格化纤、面料、织物生产项目（出口型产品和填补/替代进口的产品生产除外）﹔禁止不符合清洁生产要求的纺织工艺、印染工业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禁止新建淘汰类纺织机械装备制造项目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废弃资源综合利用业，不属于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纺织</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行业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8）印刷</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禁止新建国家淘汰类的印刷设备生产项目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禁止新建高污染的印刷项目，禁止采用环境保护不达标的印刷工艺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限制新建产能过剩的印刷耗材产品生产项目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出口型产品和填补/替代进口的产品生产除外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废弃资源综合利用业，不属于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印刷</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行业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针对</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园区招</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商引资应严格按规划的产业定位，不符合产业布局的行业不得入园。</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主要发展新型建材产业，包括铝型材，不符合上述产业，不得入该片区。针对原有老企业按国家的产业政策和技术要求，由当地发改局和工信局对其生产规模和生产工艺进行认定，满足国家要求的可进行保留，但需满足企业所属行业的产业政策，以及区域的排污要求和环境管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项目位于三星坝片区，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符合该片区的产业定位。</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根据表1-2分析，本项目与《云南砚山产业园区总体规划修编（2021-2035年）环境影响报告书》提出的入园原则不冲突，不在园区负面清单内。</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园区</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规划环评审查意见的符合型分析。</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园区</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规划环评审查意见的符合性分析一览表</w:t>
            </w:r>
          </w:p>
          <w:tbl>
            <w:tblPr>
              <w:tblStyle w:val="17"/>
              <w:tblpPr w:leftFromText="181" w:rightFromText="181" w:bottomFromText="170" w:vertAnchor="text" w:tblpXSpec="center" w:tblpY="1"/>
              <w:tblOverlap w:val="never"/>
              <w:tblW w:w="7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273"/>
              <w:gridCol w:w="2863"/>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园区规划环评</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审查意见</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项目情况</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三星坝片区规划面积5.</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平方公里，</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布局主导产业</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新型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建材产业园，辅助产业及多元兼容产业为铝产业下游精深加工产业、现状锰业转型升级、沸石矿加工业、再生资源回收利用产业等，积极培育低能耗、低排放、高产出的小微企业。</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项目位于三星坝片区，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符合该片区的产业定位。</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进一步优化园区空间布局，严格对环境敏感区的保护。合理控制园区高污染产业规模和开发强度，确保园区产业发展与环境承载力相适应。三星坝片区与居住用地间应设置防护隔离带，减缓对县城的环境影响</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项目属于煤炭及其他燃料加工业和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不属于高污染产业，项目区周围无居民区。</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严守质量底线，严格入园项目准入管理。根据国家和云南省有关大气、水、土壤污染防治行动计划相关要求，采取有效措施减少主要污染物（二氧化硫、氮氧化物及颗粒物）、挥发性有机物、苯并芘和臭气异味等特征污染物的排放总量。</w:t>
                  </w:r>
                </w:p>
              </w:tc>
              <w:tc>
                <w:tcPr>
                  <w:tcW w:w="2863" w:type="dxa"/>
                  <w:noWrap w:val="0"/>
                  <w:vAlign w:val="center"/>
                </w:tcPr>
                <w:p>
                  <w:pPr>
                    <w:keepNext w:val="0"/>
                    <w:keepLines w:val="0"/>
                    <w:pageBreakBefore w:val="0"/>
                    <w:widowControl w:val="0"/>
                    <w:kinsoku/>
                    <w:wordWrap w:val="0"/>
                    <w:overflowPunct/>
                    <w:topLinePunct w:val="0"/>
                    <w:autoSpaceDE/>
                    <w:autoSpaceDN/>
                    <w:bidi w:val="0"/>
                    <w:adjustRightInd w:val="0"/>
                    <w:snapToGrid/>
                    <w:spacing w:line="300" w:lineRule="exact"/>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废水：</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运营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期无生产废水外排；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废气：项目产生污染物为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、NOx、非甲烷总烃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，经一系列治理措施治理后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均能达标排放。</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加快推进园区内产业转型升级，逐步淘汰现有不符合区域发展定位和环境保护要求的企业。结合区域大气污染防治要求，加快能源结构升级改造和使用清洁能源，促进区域大气环境质量逐步改善。与规划功能、产业定位不相符的现有企业有序转移到与规划相符的片区。</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将废木材边角料加工为生物质颗粒、环保机制木炭、生物质猫砂颗粒，为煤炭及其他燃料加工业和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使用能源电能、生物质热能为清洁能源</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立健全区域环境风险防范和生态安全保障体系。加强园区内重要风险源管控，统筹考虑园区内污染防治、生态恢复与建设、环境风险防范、环境管理等事宜；强化园区危险化学品储运及尾矿库的环境风险管理，建立应急响应联动机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项目不使用危险化学物品，也不涉及尾矿库</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建立完善环境监测制度。根据园区功能分区、产业布局、重点企业分布、特征污染物的排放种类和状况、环境敏感目标分布等情况，做好园区内大气、水、土壤等环境的长期跟踪监测与管理。</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项目环评期间进行了环境质量现状监测，后续排污证监管也会定期进行自行监测，符合园区管理要求。</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327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完善园区环保基础设施建设，推进区域环境质量持续改善。加快推进污水管网、污水处理厂的建设及提标改造，确保受纳水体水质达到环境功能要求。固体废物应依法依规进行集中收集和处理处置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863"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项目废水达标排入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；固体废物均合理处置，处置率100%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根据表1-3分析，本项目符合《云南砚山产业园区总体规划修编（2021-2035年）环境影响报告书》审查意见要求。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8" w:type="pct"/>
            <w:noWrap w:val="0"/>
            <w:tcMar>
              <w:left w:w="108" w:type="dxa"/>
              <w:right w:w="108" w:type="dxa"/>
            </w:tcMar>
            <w:vAlign w:val="center"/>
          </w:tcPr>
          <w:p>
            <w:pPr>
              <w:keepNext w:val="0"/>
              <w:keepLines w:val="0"/>
              <w:pageBreakBefore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其他符合性分析</w:t>
            </w:r>
          </w:p>
        </w:tc>
        <w:tc>
          <w:tcPr>
            <w:tcW w:w="3911" w:type="pct"/>
            <w:gridSpan w:val="3"/>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1、项目</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与</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产业政策符合性分析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将废木材边角料加工为生物质颗粒、环保机制木炭、生物质猫砂颗粒。生物质颗粒及生物质猫砂颗粒生产属于国民经济行业类别中“</w:t>
            </w:r>
            <w:r>
              <w:rPr>
                <w:rFonts w:ascii="Times New Roman" w:hAnsi="Times New Roman" w:eastAsia="宋体" w:cs="Times New Roman"/>
                <w:color w:val="000000" w:themeColor="text1"/>
                <w:sz w:val="24"/>
                <w:szCs w:val="24"/>
                <w14:textFill>
                  <w14:solidFill>
                    <w14:schemeClr w14:val="tx1"/>
                  </w14:solidFill>
                </w14:textFill>
              </w:rPr>
              <w:t>C2542</w:t>
            </w:r>
            <w:r>
              <w:rPr>
                <w:rFonts w:ascii="Times New Roman" w:hAnsi="Times New Roman" w:eastAsia="宋体" w:cs="Times New Roman"/>
                <w:color w:val="000000" w:themeColor="text1"/>
                <w:kern w:val="0"/>
                <w:sz w:val="24"/>
                <w:szCs w:val="24"/>
                <w14:textFill>
                  <w14:solidFill>
                    <w14:schemeClr w14:val="tx1"/>
                  </w14:solidFill>
                </w14:textFill>
              </w:rPr>
              <w:t>生物质致密成型燃料加工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”，建设项目行业类别中“</w:t>
            </w:r>
            <w:r>
              <w:rPr>
                <w:rFonts w:ascii="Times New Roman" w:hAnsi="Times New Roman" w:eastAsia="宋体" w:cs="Times New Roman"/>
                <w:color w:val="000000" w:themeColor="text1"/>
                <w:sz w:val="24"/>
                <w:szCs w:val="24"/>
                <w:lang w:val="en-US" w:eastAsia="zh-CN"/>
                <w14:textFill>
                  <w14:solidFill>
                    <w14:schemeClr w14:val="tx1"/>
                  </w14:solidFill>
                </w14:textFill>
              </w:rPr>
              <w:t>二十二、石油、煤炭及其他燃料加工业 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:43</w:t>
            </w:r>
            <w:r>
              <w:rPr>
                <w:rFonts w:ascii="Times New Roman" w:hAnsi="Times New Roman" w:eastAsia="宋体" w:cs="Times New Roman"/>
                <w:color w:val="000000" w:themeColor="text1"/>
                <w:sz w:val="24"/>
                <w:szCs w:val="24"/>
                <w14:textFill>
                  <w14:solidFill>
                    <w14:schemeClr w14:val="tx1"/>
                  </w14:solidFill>
                </w14:textFill>
              </w:rPr>
              <w:t>生物质燃料加工254——生物质致密成型燃料加工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”；环保机制炭生产属于国民经济行业类别中“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C4220 非金属废料和碎屑加工处理</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”，建设项目行业类别中“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三十九、废弃资源综合利用业</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42:85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非金属废料和碎屑加工处理 422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建成后</w:t>
            </w:r>
            <w:r>
              <w:rPr>
                <w:rFonts w:hint="eastAsia" w:ascii="Times New Roman" w:hAnsi="Times New Roman" w:eastAsia="宋体" w:cs="宋体"/>
                <w:color w:val="000000" w:themeColor="text1"/>
                <w:sz w:val="24"/>
                <w:szCs w:val="24"/>
                <w:lang w:val="en-US" w:eastAsia="zh-CN"/>
                <w14:textFill>
                  <w14:solidFill>
                    <w14:schemeClr w14:val="tx1"/>
                  </w14:solidFill>
                </w14:textFill>
              </w:rPr>
              <w:t>年产1500吨绿色环保机制木炭、6000吨生物质颗粒、6000吨生物质猫砂颗粒</w:t>
            </w:r>
            <w:r>
              <w:rPr>
                <w:rFonts w:hint="default" w:ascii="Times New Roman" w:hAnsi="Times New Roman" w:eastAsia="宋体" w:cs="宋体"/>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根据《产业结构调整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指导目录（</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24年本）》（2023第7号令），本项目属于第一类：鼓励类“四十二、环境保护与资源节约综合利用8、废弃物循环利用”，属于鼓励类项目，符合国家政策。</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同时，项目已</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取得砚山县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发展和改革局</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投资项目备案证，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项目代码：</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2407-532622-04-01-786600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，同意项目建设。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综上，本项目符合国家及地方现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产业政策。</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w:t>
            </w:r>
            <w:bookmarkStart w:id="3" w:name="_Toc116901020"/>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与《</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文山州人民政府关于印发文山州生态环境分区管控动态更新方案的通知</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》符合性分析</w:t>
            </w:r>
            <w:bookmarkEnd w:id="3"/>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文山州</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人民政府发布了《</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文山州人民政府关于印发文山州生态环境分区管控动态更新方案的通知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》（文政发</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4〕18</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号），文山州优先保护、重点管控和一般管控3类环境管控单元数量为71个</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其中优先保护单元24个，重点管控单元39个，一般管控单元8个。</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本项目选址于云南省文山壮族苗族自治州砚山县江那镇三星坝工业园区，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根据《砚山县生态环境空间管控数据表》（编号：</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202400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17），项目用地范围涉及砚山产业园区重点管控单元、砚山县城区生活污染重点管控单元、砚山县一般管控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单元，</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文山州人民政府关于印发文山州生态环境分区管控动态更新方案的通知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见下表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“三线一单”符合性分析</w:t>
            </w:r>
          </w:p>
          <w:tbl>
            <w:tblPr>
              <w:tblStyle w:val="17"/>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482"/>
              <w:gridCol w:w="2630"/>
              <w:gridCol w:w="3356"/>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0" w:type="pct"/>
                  <w:gridSpan w:val="3"/>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方案内容</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35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生态保护红线管控要求按《自然资源部生态环境部 国家林业和草原局关于加强生态保护红线管理的通知（试行）》（自然资发〔2022〕142号）和《云南省自然资源厅 云南省生态环境厅云南省林业和草原局关于加强生态保护红线管理工作的通知》（云自然资﹝2023﹞98号）执行。后续若国家和省生态保护红线相关管控政策发生调整，按调整后的管控办法执行。</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砚山县江那镇三星坝工业园区，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用地范围</w:t>
                  </w:r>
                  <w:r>
                    <w:rPr>
                      <w:rFonts w:hint="default" w:ascii="Times New Roman" w:hAnsi="Times New Roman" w:eastAsia="宋体" w:cs="Times New Roman"/>
                      <w:b w:val="0"/>
                      <w:bCs/>
                      <w:caps w:val="0"/>
                      <w:smallCaps w:val="0"/>
                      <w:color w:val="000000" w:themeColor="text1"/>
                      <w:sz w:val="21"/>
                      <w:szCs w:val="21"/>
                      <w:shd w:val="clear" w:color="auto" w:fill="auto"/>
                      <w:vertAlign w:val="baseline"/>
                      <w:lang w:eastAsia="zh-CN"/>
                      <w14:textFill>
                        <w14:solidFill>
                          <w14:schemeClr w14:val="tx1"/>
                        </w14:solidFill>
                      </w14:textFill>
                    </w:rPr>
                    <w:t>不占生态保护红线、不占永久基本农田</w:t>
                  </w:r>
                  <w:r>
                    <w:rPr>
                      <w:rFonts w:hint="default" w:ascii="Times New Roman" w:hAnsi="Times New Roman" w:eastAsia="宋体" w:cs="Times New Roman"/>
                      <w:b w:val="0"/>
                      <w:bCs/>
                      <w:caps w:val="0"/>
                      <w:smallCaps w:val="0"/>
                      <w:color w:val="000000" w:themeColor="text1"/>
                      <w:sz w:val="21"/>
                      <w:szCs w:val="21"/>
                      <w:highlight w:val="none"/>
                      <w:shd w:val="clear" w:color="auto" w:fill="auto"/>
                      <w:vertAlign w:val="baseline"/>
                      <w:lang w:eastAsia="zh-CN"/>
                      <w14:textFill>
                        <w14:solidFill>
                          <w14:schemeClr w14:val="tx1"/>
                        </w14:solidFill>
                      </w14:textFill>
                    </w:rPr>
                    <w:t>。</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0" w:type="pct"/>
                  <w:gridSpan w:val="3"/>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①水环境质量底线：</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到2025年，重点区域、流域水环境质量进一步改善，纳入国家和省级考核的地表水监测断面水质优良率稳步提升，集中式饮用水水源水质巩固改善。到2035年，重点区域、流域水环境质量根本好转，地表水体水质优良率全面提升，各监测断面水质稳定达到目标要求，集中式饮用水水源水质稳定达标。</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项目临近地表水体为听湖水库，位于项目西北侧</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1255m，听湖水库</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全库</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属于清水江砚山丘北保留区，执行</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《地表水环境质量标准》（GB3838-2002）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中的</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Ⅱ类</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根据</w:t>
                  </w:r>
                  <w:r>
                    <w:rPr>
                      <w:rFonts w:hint="default" w:ascii="Times New Roman" w:hAnsi="Times New Roman" w:eastAsia="宋体" w:cs="Times New Roman"/>
                      <w:bCs/>
                      <w:color w:val="000000" w:themeColor="text1"/>
                      <w:sz w:val="21"/>
                      <w:szCs w:val="21"/>
                      <w:highlight w:val="none"/>
                      <w14:textFill>
                        <w14:solidFill>
                          <w14:schemeClr w14:val="tx1"/>
                        </w14:solidFill>
                      </w14:textFill>
                    </w:rPr>
                    <w:t>监测结果</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综合评价</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听湖水库</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水质</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不能</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达到</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《地表水环境质量标准》（GB3838-2002）</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Ⅱ</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类标准。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听湖水库主要超标因子为</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BOD</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BOD</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属于生活污染源</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超标原因可能为听湖水库周边雨污管网建设不完善，导致</w:t>
                  </w:r>
                  <w:r>
                    <w:rPr>
                      <w:rFonts w:hint="default" w:ascii="Times New Roman" w:hAnsi="Times New Roman" w:eastAsia="宋体" w:cs="Times New Roman"/>
                      <w:color w:val="000000" w:themeColor="text1"/>
                      <w:sz w:val="21"/>
                      <w:szCs w:val="21"/>
                      <w14:textFill>
                        <w14:solidFill>
                          <w14:schemeClr w14:val="tx1"/>
                        </w14:solidFill>
                      </w14:textFill>
                    </w:rPr>
                    <w:t>听湖水库及其支流沿线部分居民区产生的生活污水未经处理直接排入听湖水库及其上游支流。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项目建成后，正常运营情况下，无外排废水产生，不会改变地表水环境功能，符合影响水环境质量底线。</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0" w:type="pct"/>
                  <w:gridSpan w:val="3"/>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空气环境质量底线：</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到2025年，环境空气质量稳中向好，县（市）环境空气质量稳定达到国家二级标准。到2035年，环境空气质量全面改善，县（市）环境空气质量稳定达到国家二级标准。</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根据砚山县民族中学环境空气自动监测站监测结果显示，2024年第一季度总天数91天，空气自动监测站有效运行85天，其中优良天数83天，优良率97.6</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、二氧化硫、二氧化氮、一氧化碳、臭氧等6项指标均达到《环境空气质量标准》（GB3095-2012）二级标准。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合创机制炭及生物质颗粒及生物质猫砂颗粒生产线项目环境质量现状监测检测报告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》（YNJN检字</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2024</w:t>
                  </w:r>
                  <w:r>
                    <w:rPr>
                      <w:rFonts w:hint="eastAsia" w:ascii="Times New Roman" w:hAnsi="Times New Roman" w:cs="Times New Roman"/>
                      <w:color w:val="000000" w:themeColor="text1"/>
                      <w:sz w:val="21"/>
                      <w:szCs w:val="21"/>
                      <w:lang w:val="en-US" w:eastAsia="zh-CN"/>
                      <w14:textFill>
                        <w14:solidFill>
                          <w14:schemeClr w14:val="tx1"/>
                        </w14:solidFill>
                      </w14:textFill>
                    </w:rPr>
                    <w:t>〕-08042号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）检测结果分析，</w:t>
                  </w:r>
                  <w:r>
                    <w:rPr>
                      <w:rFonts w:hint="default" w:ascii="Times New Roman" w:hAnsi="Times New Roman" w:eastAsia="宋体" w:cs="Times New Roman"/>
                      <w:color w:val="000000" w:themeColor="text1"/>
                      <w:kern w:val="0"/>
                      <w:sz w:val="21"/>
                      <w:szCs w:val="21"/>
                      <w14:textFill>
                        <w14:solidFill>
                          <w14:schemeClr w14:val="tx1"/>
                        </w14:solidFill>
                      </w14:textFill>
                    </w:rPr>
                    <w:t>TSP</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浓度</w:t>
                  </w:r>
                  <w:r>
                    <w:rPr>
                      <w:rFonts w:hint="eastAsia" w:ascii="Times New Roman" w:hAnsi="Times New Roman" w:cs="Times New Roman"/>
                      <w:color w:val="000000" w:themeColor="text1"/>
                      <w:kern w:val="0"/>
                      <w:sz w:val="21"/>
                      <w:szCs w:val="21"/>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《环境空气质量标准》（GB3095-2012）二级标准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非甲烷总烃浓度达到《大气污染物综合排放标准详解》</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封闭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产生的粉尘由集气罩收集到1#布袋除尘器处理，后通过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）呈有组织排放</w:t>
                  </w: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烘干、炭化、制棒</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非甲烷总烃引入热风炉内燃烧，约有90%完全燃烧，尾气</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通过管道引至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2#布袋除尘器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装置</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风机风量为20000</w:t>
                  </w:r>
                  <w:r>
                    <w:rPr>
                      <w:rFonts w:hint="eastAsia" w:eastAsia="宋体" w:cs="Times New Roman"/>
                      <w:b w:val="0"/>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³/h，粉尘去除效率为</w:t>
                  </w:r>
                  <w:r>
                    <w:rPr>
                      <w:rFonts w:hint="eastAsia" w:eastAsia="宋体" w:cs="Times New Roman"/>
                      <w:b w:val="0"/>
                      <w:bCs/>
                      <w:color w:val="000000" w:themeColor="text1"/>
                      <w:sz w:val="21"/>
                      <w:szCs w:val="21"/>
                      <w:highlight w:val="none"/>
                      <w:lang w:val="en-US" w:eastAsia="zh-CN"/>
                      <w14:textFill>
                        <w14:solidFill>
                          <w14:schemeClr w14:val="tx1"/>
                        </w14:solidFill>
                      </w14:textFill>
                    </w:rPr>
                    <w:t>94.8</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后由1根15m排气筒（DA00</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）呈有组织排放</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综上，</w:t>
                  </w:r>
                  <w:r>
                    <w:rPr>
                      <w:rFonts w:hint="eastAsia" w:eastAsia="宋体"/>
                      <w:color w:val="000000" w:themeColor="text1"/>
                      <w:sz w:val="21"/>
                      <w:szCs w:val="21"/>
                      <w:lang w:val="en-US" w:eastAsia="zh-CN"/>
                      <w14:textFill>
                        <w14:solidFill>
                          <w14:schemeClr w14:val="tx1"/>
                        </w14:solidFill>
                      </w14:textFill>
                    </w:rPr>
                    <w:t>项目生产过程中产生的废气均可实现达标排放，</w:t>
                  </w:r>
                  <w:r>
                    <w:rPr>
                      <w:rFonts w:hint="default" w:ascii="Times New Roman" w:hAnsi="Times New Roman" w:eastAsia="宋体" w:cs="Times New Roman"/>
                      <w:color w:val="000000" w:themeColor="text1"/>
                      <w:sz w:val="21"/>
                      <w:szCs w:val="21"/>
                      <w14:textFill>
                        <w14:solidFill>
                          <w14:schemeClr w14:val="tx1"/>
                        </w14:solidFill>
                      </w14:textFill>
                    </w:rPr>
                    <w:t>项目建设对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空气</w:t>
                  </w:r>
                  <w:r>
                    <w:rPr>
                      <w:rFonts w:hint="default" w:ascii="Times New Roman" w:hAnsi="Times New Roman" w:eastAsia="宋体" w:cs="Times New Roman"/>
                      <w:color w:val="000000" w:themeColor="text1"/>
                      <w:sz w:val="21"/>
                      <w:szCs w:val="21"/>
                      <w14:textFill>
                        <w14:solidFill>
                          <w14:schemeClr w14:val="tx1"/>
                        </w14:solidFill>
                      </w14:textFill>
                    </w:rPr>
                    <w:t>环境影响较小，符合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空气</w:t>
                  </w:r>
                  <w:r>
                    <w:rPr>
                      <w:rFonts w:hint="default" w:ascii="Times New Roman" w:hAnsi="Times New Roman" w:eastAsia="宋体" w:cs="Times New Roman"/>
                      <w:color w:val="000000" w:themeColor="text1"/>
                      <w:sz w:val="21"/>
                      <w:szCs w:val="21"/>
                      <w14:textFill>
                        <w14:solidFill>
                          <w14:schemeClr w14:val="tx1"/>
                        </w14:solidFill>
                      </w14:textFill>
                    </w:rPr>
                    <w:t>环境风险防控底线</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0" w:type="pct"/>
                  <w:gridSpan w:val="3"/>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③</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土壤环境风险防控底线：</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到2025年，全州土壤环境质量总体保持稳定，局部区域土壤环境质量有所改善，农用地和建设用地土壤环境安全得到进一步保障，土壤环境风险防范体系进一步完善，受污染耕地安全利用率和污染地块安全利用率进一步提高。到2035年，全州土壤环境质量稳中向好，受污染耕地安全利用率和污染地块安全利用率均达到95%以上，农用地和建设用地土壤环境安全得到有效保障，土壤环境风险得到全面管控。</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过程中</w:t>
                  </w:r>
                  <w:r>
                    <w:rPr>
                      <w:rFonts w:hint="default" w:ascii="Times New Roman" w:hAnsi="Times New Roman" w:eastAsia="宋体" w:cs="Times New Roman"/>
                      <w:color w:val="000000" w:themeColor="text1"/>
                      <w:sz w:val="21"/>
                      <w:szCs w:val="21"/>
                      <w14:textFill>
                        <w14:solidFill>
                          <w14:schemeClr w14:val="tx1"/>
                        </w14:solidFill>
                      </w14:textFill>
                    </w:rPr>
                    <w:t>不涉及重金属及有毒有害污染物排放。项目在建设过程中采取分区防渗处置，可有效防止项目未处理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污废水</w:t>
                  </w:r>
                  <w:r>
                    <w:rPr>
                      <w:rFonts w:hint="default" w:ascii="Times New Roman" w:hAnsi="Times New Roman" w:eastAsia="宋体" w:cs="Times New Roman"/>
                      <w:color w:val="000000" w:themeColor="text1"/>
                      <w:sz w:val="21"/>
                      <w:szCs w:val="21"/>
                      <w14:textFill>
                        <w14:solidFill>
                          <w14:schemeClr w14:val="tx1"/>
                        </w14:solidFill>
                      </w14:textFill>
                    </w:rPr>
                    <w:t>下渗进入土壤。项目建设对土壤环境影响较小，符合土壤环境风险防控底线</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0" w:type="pct"/>
                  <w:gridSpan w:val="3"/>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强化资源能源节约集约利用，持续提升资源能源利用效率，水资源、土地资源、能源消耗等达到或优于云南省下达的总量和强度控制目标。</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本项目生产过程中消耗能源为水、电</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生物质能</w:t>
                  </w:r>
                  <w:r>
                    <w:rPr>
                      <w:rFonts w:hint="default" w:ascii="Times New Roman" w:hAnsi="Times New Roman" w:eastAsia="宋体" w:cs="Times New Roman"/>
                      <w:color w:val="000000" w:themeColor="text1"/>
                      <w:sz w:val="21"/>
                      <w:szCs w:val="21"/>
                      <w14:textFill>
                        <w14:solidFill>
                          <w14:schemeClr w14:val="tx1"/>
                        </w14:solidFill>
                      </w14:textFill>
                    </w:rPr>
                    <w:t>等资源，不属于</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两高</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行业，项目不涉及使用煤炭等高污染能源，资源消耗量相对区域资源总量较少，符合资源利用上线要求。</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0"/>
                  <w:vAlign w:val="center"/>
                </w:tcPr>
                <w:p>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生态环境准入清单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9" w:type="pct"/>
                  <w:vMerge w:val="restar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云南砚山产业园区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重点管控单元</w:t>
                  </w:r>
                </w:p>
              </w:tc>
              <w:tc>
                <w:tcPr>
                  <w:tcW w:w="319" w:type="pct"/>
                  <w:noWrap w:val="0"/>
                  <w:vAlign w:val="center"/>
                </w:tcPr>
                <w:p>
                  <w:pPr>
                    <w:keepNext w:val="0"/>
                    <w:keepLines w:val="0"/>
                    <w:pageBreakBefore w:val="0"/>
                    <w:widowControl w:val="0"/>
                    <w:numPr>
                      <w:ilvl w:val="0"/>
                      <w:numId w:val="0"/>
                    </w:numPr>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空间布局约束</w:t>
                  </w:r>
                </w:p>
              </w:tc>
              <w:tc>
                <w:tcPr>
                  <w:tcW w:w="1742"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严格按照产业园区功能定位进行内部产业布局。园区引入工业项目应符合国家产业政策和行业准入条件，不得采用淘汰或禁止使用的原料、工艺、技术和设备。</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三星坝片区位于城市的常年主导风向的侧风向，为降低该片区企业引进后对环境及敏感点的影响，该片区除现有冶金企业的升级改造外，不再引进其他冶金企业。</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引进的工业企业项目，按要求设置环境防护距离，在防护距离内不得新建居住区、办公区。严格落实产业园区规划、规划环评及规划环评审查意见要求。</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本项目符合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《产业结构调整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指导目录（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24年本）》（2023第7号令），属于鼓励类项目</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位于三星坝片区，属于煤炭及其他燃料加工业和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，不涉及冶金业</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严格落实</w:t>
                  </w:r>
                  <w:r>
                    <w:rPr>
                      <w:rFonts w:hint="default" w:ascii="Times New Roman" w:hAnsi="Times New Roman" w:eastAsia="宋体" w:cs="Times New Roman"/>
                      <w:color w:val="000000" w:themeColor="text1"/>
                      <w:sz w:val="21"/>
                      <w:szCs w:val="21"/>
                      <w14:textFill>
                        <w14:solidFill>
                          <w14:schemeClr w14:val="tx1"/>
                        </w14:solidFill>
                      </w14:textFill>
                    </w:rPr>
                    <w:t>产业园区规划、规划环评及规划环评审查意见要求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不与</w:t>
                  </w:r>
                  <w:r>
                    <w:rPr>
                      <w:rFonts w:hint="default" w:ascii="Times New Roman" w:hAnsi="Times New Roman" w:eastAsia="宋体" w:cs="Times New Roman"/>
                      <w:color w:val="000000" w:themeColor="text1"/>
                      <w:sz w:val="21"/>
                      <w:szCs w:val="21"/>
                      <w14:textFill>
                        <w14:solidFill>
                          <w14:schemeClr w14:val="tx1"/>
                        </w14:solidFill>
                      </w14:textFill>
                    </w:rPr>
                    <w:t>产业园区规划、规划环评及规划环评审查意见要求的内容及其审查意见发生冲突。</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9"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p>
              </w:tc>
              <w:tc>
                <w:tcPr>
                  <w:tcW w:w="482" w:type="dxa"/>
                  <w:noWrap w:val="0"/>
                  <w:vAlign w:val="center"/>
                </w:tcPr>
                <w:p>
                  <w:pPr>
                    <w:keepNext w:val="0"/>
                    <w:keepLines w:val="0"/>
                    <w:pageBreakBefore w:val="0"/>
                    <w:widowControl w:val="0"/>
                    <w:numPr>
                      <w:ilvl w:val="0"/>
                      <w:numId w:val="0"/>
                    </w:numPr>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污染物排放管控</w:t>
                  </w:r>
                </w:p>
              </w:tc>
              <w:tc>
                <w:tcPr>
                  <w:tcW w:w="2630" w:type="dxa"/>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园区需完善“雨污”分流系统。园区属于公革河流域规划Ⅱ类水体，不得新建排污口。绿色铝创新产业园、三星坝片区工业企业生产废水处理达标后回用不外排。布标片区承接产业园区生产废水经处理后回用，不能回用部分与生活污水类似，经处理达到《污水排入城市下水道水质标准》和《污水综合排放标准》相应标准后进入市政污水管网。二道箐片区所有入驻工业企业生产废水经处理后回用，生活污水经企业自建处理设施预处理后进入园区污水处理厂处理达标后回用。</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鼓励使用清洁燃料，引进能源利用效率高、污染物排放量少的清洁生产工艺，废气排放不得超过国家规定的标准。新建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两高</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须按照《关于加强重点行业项目区域削减措施监督管理的通知》要求，依据区域环境质量改善要求，制定配套区域污染物削减方案。大气环境质量保持在国家大气环境质量二级标准以内，工业集中区废气达标排放。</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电解铝企业各排放口执行《铝工业污染物排放标准》修改单中“大气污染物特别排放限值”，并加强监测监控，确保周边环境空气质量满足功能区要求。</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④</w:t>
                  </w:r>
                  <w:r>
                    <w:rPr>
                      <w:rFonts w:hint="default" w:ascii="Times New Roman" w:hAnsi="Times New Roman" w:eastAsia="宋体" w:cs="Times New Roman"/>
                      <w:color w:val="000000" w:themeColor="text1"/>
                      <w:sz w:val="21"/>
                      <w:szCs w:val="21"/>
                      <w14:textFill>
                        <w14:solidFill>
                          <w14:schemeClr w14:val="tx1"/>
                        </w14:solidFill>
                      </w14:textFill>
                    </w:rPr>
                    <w:t>严格固体废物管理，危险废弃物必须按规定处置，做好危险废物的处理处置及监管工作。鼓励企业应采用新技术减少工业固体废弃物的产生量，固废处置达到“无害化、减量化、资源化、效益化”的要求，延伸企业产品自身产业链和企业协作产业链，提高固体废弃物的综合利用率。</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项目生产废水经处理后循环使用，不外排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；生活污水进入园区管网，不设置排口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使用燃料为生物质颗粒，废气达标排放，不属于“两高”项目；项目所在区域</w:t>
                  </w:r>
                  <w:r>
                    <w:rPr>
                      <w:rFonts w:hint="default" w:ascii="Times New Roman" w:hAnsi="Times New Roman" w:eastAsia="宋体" w:cs="Times New Roman"/>
                      <w:color w:val="000000" w:themeColor="text1"/>
                      <w:sz w:val="21"/>
                      <w:szCs w:val="21"/>
                      <w14:textFill>
                        <w14:solidFill>
                          <w14:schemeClr w14:val="tx1"/>
                        </w14:solidFill>
                      </w14:textFill>
                    </w:rPr>
                    <w:t>大气环境质量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14:textFill>
                        <w14:solidFill>
                          <w14:schemeClr w14:val="tx1"/>
                        </w14:solidFill>
                      </w14:textFill>
                    </w:rPr>
                    <w:t>大气环境质量二级标准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属于煤炭及其他燃料加工业和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废弃资源综合利用业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，不涉及电解铝业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④</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项目一般固体废物合理处置，危险废物收集于危废暂存间，而后委托有资质单位处置。</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9"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p>
              </w:tc>
              <w:tc>
                <w:tcPr>
                  <w:tcW w:w="482" w:type="dxa"/>
                  <w:noWrap w:val="0"/>
                  <w:vAlign w:val="center"/>
                </w:tcPr>
                <w:p>
                  <w:pPr>
                    <w:keepNext w:val="0"/>
                    <w:keepLines w:val="0"/>
                    <w:pageBreakBefore w:val="0"/>
                    <w:widowControl w:val="0"/>
                    <w:numPr>
                      <w:ilvl w:val="0"/>
                      <w:numId w:val="0"/>
                    </w:numPr>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环境风险防控</w:t>
                  </w:r>
                </w:p>
              </w:tc>
              <w:tc>
                <w:tcPr>
                  <w:tcW w:w="2630" w:type="dxa"/>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建立健全区域环境风险防范和生态安全保障体系。工业集中区应做好环境风险防范和编制应急预案，以降低突发性环境污染事件发生的风险，并减缓环境风险的影响程度和范围。</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工业企业应有完善的风险防范措施，保障居民生活环境的安全。</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③</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建立健全突发环境事件预警应急机制，建立完善环境监测制度。</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④</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使用、生产化学危险品的装置区，应配置地坪设备冲洗或初期雨水收集池或设置环形水沟，收集的废水送配套建设的废水处理站处理，不准直接外排。</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⑤</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贮存液体化学危险品的库区，应配置防火堤、围堰、消防设施、事故备用贮罐或贮槽，事故消防水收集池，收集处理泄漏物或事故处置水，收集的废水送配套建设的废水处理站处理，不准直接外排。</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⑥</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加强重金属污染防治，实行总量控制，严格环境准入管理，依法关停达标无望、治理整顿后仍不能稳定达标的涉重金属企业。确保农用地和建设用地土壤环境安全得到有效保障，土壤环境风险得到全面管控。</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①项目建设完成后，需按照《企业事业单位突发环境事件应急预案备案管理办法（试行）》（环发</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2015</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4号文）中的要求，编制项目突发环境事件应急预案，并在当地生态环境局备案。</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②项目无重大环境风险源，通过采取对应的环境风险防范措施，环境风险影响小。</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③根据项目突发环境事件应急预案的内容，建立健全厂内预警应急机制</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，建立环境监测制度</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④项目不使用、生产化学危险品。</w:t>
                  </w:r>
                </w:p>
                <w:p>
                  <w:pPr>
                    <w:keepNext w:val="0"/>
                    <w:keepLines w:val="0"/>
                    <w:pageBreakBefore w:val="0"/>
                    <w:widowControl w:val="0"/>
                    <w:kinsoku/>
                    <w:wordWrap/>
                    <w:overflowPunct/>
                    <w:topLinePunct w:val="0"/>
                    <w:bidi w:val="0"/>
                    <w:adjustRightInd/>
                    <w:snapToGrid/>
                    <w:spacing w:line="240" w:lineRule="auto"/>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⑤废机油、木焦油、木醋液暂存于按照</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《危险废物贮存污染控制标准》（GB18597-2023）中的有关规定</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设置的危废暂存间，设置</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防火堤、围堰、消防设施</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⑥项目排放污染物中不涉及重金属。</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9"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p>
              </w:tc>
              <w:tc>
                <w:tcPr>
                  <w:tcW w:w="482" w:type="dxa"/>
                  <w:noWrap w:val="0"/>
                  <w:vAlign w:val="center"/>
                </w:tcPr>
                <w:p>
                  <w:pPr>
                    <w:keepNext w:val="0"/>
                    <w:keepLines w:val="0"/>
                    <w:pageBreakBefore w:val="0"/>
                    <w:widowControl w:val="0"/>
                    <w:numPr>
                      <w:ilvl w:val="0"/>
                      <w:numId w:val="0"/>
                    </w:numPr>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资源开发效率</w:t>
                  </w:r>
                </w:p>
              </w:tc>
              <w:tc>
                <w:tcPr>
                  <w:tcW w:w="2630" w:type="dxa"/>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项目入驻，不得超过工业集中区已确定的土地、水、能源等主要资源能源可开发利用总量。</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推进循环发展，推广国家鼓励的工业节水工艺、技术和装备，提高水资源利用效率、水的复用率、工业用水重复利用率和中水回用率。</w:t>
                  </w:r>
                </w:p>
              </w:tc>
              <w:tc>
                <w:tcPr>
                  <w:tcW w:w="2223" w:type="pct"/>
                  <w:noWrap w:val="0"/>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项目入驻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未</w:t>
                  </w:r>
                  <w:r>
                    <w:rPr>
                      <w:rFonts w:hint="default" w:ascii="Times New Roman" w:hAnsi="Times New Roman" w:eastAsia="宋体" w:cs="Times New Roman"/>
                      <w:color w:val="000000" w:themeColor="text1"/>
                      <w:sz w:val="21"/>
                      <w:szCs w:val="21"/>
                      <w14:textFill>
                        <w14:solidFill>
                          <w14:schemeClr w14:val="tx1"/>
                        </w14:solidFill>
                      </w14:textFill>
                    </w:rPr>
                    <w:t>超过三星坝片区资源能源可开发利用总量。</w:t>
                  </w:r>
                </w:p>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废水循环利用，不外排；固体废物最大程度综合利用，做到妥善处置。</w:t>
                  </w:r>
                </w:p>
              </w:tc>
              <w:tc>
                <w:tcPr>
                  <w:tcW w:w="425" w:type="pc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根据表1-4分析</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，项目符合《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文山州人民政府关于印发文山州生态环境分区管控动态更新方案的通知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》（文政发</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4〕18</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号）的管理要求。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66" w:firstLineChars="200"/>
              <w:jc w:val="left"/>
              <w:textAlignment w:val="auto"/>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4"/>
                <w:kern w:val="2"/>
                <w:sz w:val="24"/>
                <w:szCs w:val="24"/>
                <w:lang w:val="en-US" w:eastAsia="zh-CN" w:bidi="ar-SA"/>
                <w14:textFill>
                  <w14:solidFill>
                    <w14:schemeClr w14:val="tx1"/>
                  </w14:solidFill>
                </w14:textFill>
              </w:rPr>
              <w:t>3、</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bCs/>
                <w:color w:val="000000" w:themeColor="text1"/>
                <w:spacing w:val="-6"/>
                <w:sz w:val="24"/>
                <w:szCs w:val="24"/>
                <w14:textFill>
                  <w14:solidFill>
                    <w14:schemeClr w14:val="tx1"/>
                  </w14:solidFill>
                </w14:textFill>
              </w:rPr>
              <w:t>与《云南省生态环境厅办公室关于德宏州生态环</w:t>
            </w:r>
            <w:r>
              <w:rPr>
                <w:rFonts w:hint="default" w:ascii="Times New Roman" w:hAnsi="Times New Roman" w:eastAsia="宋体" w:cs="Times New Roman"/>
                <w:b/>
                <w:bCs/>
                <w:color w:val="000000" w:themeColor="text1"/>
                <w:spacing w:val="-7"/>
                <w:sz w:val="24"/>
                <w:szCs w:val="24"/>
                <w14:textFill>
                  <w14:solidFill>
                    <w14:schemeClr w14:val="tx1"/>
                  </w14:solidFill>
                </w14:textFill>
              </w:rPr>
              <w:t>境局请求确</w:t>
            </w:r>
            <w:r>
              <w:rPr>
                <w:rFonts w:hint="default" w:ascii="Times New Roman" w:hAnsi="Times New Roman" w:eastAsia="宋体" w:cs="Times New Roman"/>
                <w:b/>
                <w:bCs/>
                <w:color w:val="000000" w:themeColor="text1"/>
                <w:spacing w:val="1"/>
                <w:sz w:val="24"/>
                <w:szCs w:val="24"/>
                <w14:textFill>
                  <w14:solidFill>
                    <w14:schemeClr w14:val="tx1"/>
                  </w14:solidFill>
                </w14:textFill>
              </w:rPr>
              <w:t>定木炭、机制炭项目环评审批相关事宜的复函》（云环办函</w:t>
            </w:r>
            <w:r>
              <w:rPr>
                <w:rFonts w:hint="eastAsia" w:ascii="Times New Roman" w:hAnsi="Times New Roman" w:cs="Times New Roman"/>
                <w:b/>
                <w:bCs/>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pacing w:val="1"/>
                <w:sz w:val="24"/>
                <w:szCs w:val="24"/>
                <w14:textFill>
                  <w14:solidFill>
                    <w14:schemeClr w14:val="tx1"/>
                  </w14:solidFill>
                </w14:textFill>
              </w:rPr>
              <w:t>2022</w:t>
            </w:r>
            <w:r>
              <w:rPr>
                <w:rFonts w:hint="eastAsia" w:ascii="Times New Roman" w:hAnsi="Times New Roman" w:cs="Times New Roman"/>
                <w:b/>
                <w:bCs/>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72</w:t>
            </w:r>
            <w:r>
              <w:rPr>
                <w:rFonts w:hint="default" w:ascii="Times New Roman" w:hAnsi="Times New Roman" w:eastAsia="宋体" w:cs="Times New Roman"/>
                <w:b/>
                <w:bCs/>
                <w:color w:val="000000" w:themeColor="text1"/>
                <w:spacing w:val="-4"/>
                <w:sz w:val="24"/>
                <w:szCs w:val="24"/>
                <w14:textFill>
                  <w14:solidFill>
                    <w14:schemeClr w14:val="tx1"/>
                  </w14:solidFill>
                </w14:textFill>
              </w:rPr>
              <w:t>号）</w:t>
            </w:r>
            <w:r>
              <w:rPr>
                <w:rFonts w:hint="default" w:ascii="Times New Roman" w:hAnsi="Times New Roman" w:eastAsia="宋体" w:cs="Times New Roman"/>
                <w:b/>
                <w:bCs/>
                <w:color w:val="000000" w:themeColor="text1"/>
                <w:spacing w:val="-4"/>
                <w:sz w:val="24"/>
                <w:szCs w:val="24"/>
                <w:lang w:val="en-US" w:eastAsia="zh-CN"/>
                <w14:textFill>
                  <w14:solidFill>
                    <w14:schemeClr w14:val="tx1"/>
                  </w14:solidFill>
                </w14:textFill>
              </w:rPr>
              <w:t>的</w:t>
            </w:r>
            <w:r>
              <w:rPr>
                <w:rFonts w:hint="default" w:ascii="Times New Roman" w:hAnsi="Times New Roman" w:eastAsia="宋体" w:cs="Times New Roman"/>
                <w:b/>
                <w:bCs/>
                <w:color w:val="000000" w:themeColor="text1"/>
                <w:spacing w:val="-4"/>
                <w:sz w:val="24"/>
                <w:szCs w:val="24"/>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德宏州生态环境局《关于请求确定木炭、机制炭项目环评审批相关事宜的请示》，云南省生态环境厅办公室回复如下：</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一、以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秸秆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稻壳、甘蔗渣、豆藤、玉米芯、刨花、锯末等废料为原料，经炭化工艺生产机制炭的项目可参照《建设项目环境影响评价分类管理名录（2021年版）》“三十九、废弃资源综合利用业42”类别进行管理，编制环境影响评价报告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二、按照《2017年国民经济行业分类注释（试行）》，“林产化学产品制造2633”是指以林产品为原料，经过化学、生物化学和物理加工方法生产产品的活动，属于2633的制炭项目。建议按照《推动长江经济带发展领导小组办公室关于印发〈长江经济带发展负面清单指南（试行，2022年版)〉的通知》（长江办〔2022〕7号）执行，并结合项目原辅材料、生产工艺等分析该项目是否属于“可能引发环境风险的项目”，如政府或其他部门对此类项目提出明确进园入区要求的，从其规定。</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环保机制炭生产线以废木材边角料、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锯末、木屑为原料，经炭化工艺生产</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环保</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机制炭，因此参照《建设项目环境影响评价分类管理名录（2021年版）》“三十九、弃资源综合利用业42”类别进行管理，项目应编制环境影响评价报告表</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；生物质颗粒及生物质猫砂颗粒生产线以废木材边角料、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锯末、木屑为原料</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，经制粒工艺生产生物质颗粒及生物质猫砂颗粒，属于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《环境影响评价分类管理名录》（2021版）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“二十二、石油、煤炭及其他燃料加工业 25:43生物质燃料加工254——生物质致密成型燃料加工”，应编制环境影响评价报告表。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因此，项目参照《云南省生态环境厅办公室关于德宏州生态环境局请求确定木炭、机制炭项目环评审批相关事宜的复函》（云环办函〔2022〕72号）的相关内容进行对照分析。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与《长江经济带发展负面清单指南（试行，2022年版）》</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2022年1月19日推动长江经济带发展领导小组办公室发布的关于印发《长江经济带发展负面清单指南（试行，2022年版）》的通知（长江办〔2022〕7号），项目与《长江经济带发展负面清单指南（试行，2022年版）》的符合性分析如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项目与《长江经济带发展负面清单指南》的符合性分析</w:t>
            </w:r>
          </w:p>
          <w:tbl>
            <w:tblPr>
              <w:tblStyle w:val="18"/>
              <w:tblpPr w:leftFromText="181" w:rightFromText="181" w:bottomFromText="17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114"/>
              <w:gridCol w:w="2229"/>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文件要求</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项目情况</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本项目不涉及码头和长江通道项目。</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禁止在自然保护区核心区、缓冲区的岸线和河段范围内投资建设旅游和生产经营项目。禁止在风景名胜区核心景区的岸线和河段范围内投资建设风景名胜资源保护无关的项目。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本项目不涉及自然保护区和风景名胜区。</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本项目不涉及饮用水水源保护区。</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本项目不涉及水产种质资源保护区和国家湿地公园。</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本项目不涉及《长江岸线保护和开发利用总体规划》划定的岸线保护区和保留区，《全国重要江河湖泊水功能区划》划定的河段及湖泊保护区、保留区。</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禁止未经许可在长江干支流及湖泊新设、改设或扩大排污口。</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本项目不涉及在长江干支流及湖泊新设、改设或扩大排污口。</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禁止在“一江一口两湖七河”和332个水生生物保护区开展生产性捕捞。</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本项目不涉及在“一江一口两湖七河”和332个水生生物保护区开展生产性捕捞。</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本项目不涉及在长江干支流、重要湖泊岸线一公里范围内新建、扩建化工园区和化工项目。不涉及在长江干流岸线三公里范围内和重要支流岸线一公里范围内新建、改建、扩建尾矿库、冶炼渣库和磷石膏库。</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禁止在合规园区外新建、扩建钢铁、石化、化工、焦化、建材、有色、制浆造纸等高污染项目。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本项目位于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云南省文山壮族苗族自治州砚山县江那镇三星坝工业园区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，本项目的建设符合园区规划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禁止新建、扩建不符合国家石化、现代煤化工等产业布局规划的项目。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本项目不属于石化、现代煤化工等项目。</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11</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禁止新建、扩建法律法规和相关政策明令禁止的落后产能项目。禁止新建、扩建不符合国家产能置换要求的严重过剩产能行业的项目。禁止新建、扩建不符合要求的高能耗高排放项目。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国家发展改革委</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《产业结构调整指导目录（20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年本）》中的相关内容，属于国家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鼓励类</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发展的产业。</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27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法律法规及相关政策文件有更加严格规定的从其规定。</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针对本项目法律法规及相关政策文件目前没有更加严格规定的从其规定。</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《云南省长江经济带发展负面清单指南实施细则》（试行，2022 年版）符合性分析</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表1-6 与</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《云南省长江经济带发展负面清单指南实施细则》</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符合性分析</w:t>
            </w:r>
          </w:p>
          <w:tbl>
            <w:tblPr>
              <w:tblStyle w:val="18"/>
              <w:tblpPr w:leftFromText="181" w:rightFromText="181" w:bottomFromText="17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115"/>
              <w:gridCol w:w="2229"/>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文件要求</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项目情况</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禁止一切不符合主体功能定位的投资建设项目，严禁任意改变用途，因国家重大战略资源勘查需要，在不影响主体功能定位的前提下，经依法批准后予以安排勘查项目。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项目符合主体功能定位。</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项目不在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《长江岸线保护和开发利用总体规划》划定的岸线保护区内</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《全国重要江河湖泊水功能区划》划定的河段保护区、保留区内</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且项目建设不会对水资源和自然生态造成不利影响。</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工业园区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，用地规划为“二类工业用地”，</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不占用生态保护红线。</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工业园区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，用地规划为“二类工业用地”，不占永久基本农田。</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三星坝工业园区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，其规划由文山州人民政府审批，用地规划为“二类工业用地”，不占永久基本农田。</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禁止在金沙江、长江一级支流（详见附件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）建设除党中央、国务院、国家投资主管部门、省级有关部门批复同意以外的过江基础设施项目。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项目所处水域为珠江流域，不涉及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金沙江、长江一级支流</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且项目不涉及过江基础设施建设。</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项目占地不涉及自然保护区。</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项目占地不涉及风景名胜区。</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项目不在饮用水水源一级保护区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的岸线和河段范围内</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饮用水水源二级保护区的岸线和河段范围内</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项目无外排废水，不涉及排污口的建设；项目占地不涉及国家湿地公园，不涉及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开（围）垦、填埋或者排干湿地</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截断湿地水源、挖沙、采矿、引入外来物种</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放牧、捕捞、取土、取水、排污、放生</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11</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禁止在金沙江、长江一级支流（详见附件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岸线边界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1 </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项目所处水域为珠江流域，不涉及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金沙江、长江一级支流</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且项目不涉及过江基础设施建设。</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禁止新建不符合非煤矿山转型升级有关准入标准的非煤矿山。禁止在金沙江岸线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3 </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公里、长江一级支流岸线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1 </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公里范围内新建、改建、扩建尾矿库。</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项目为环保机制炭、生物质颗粒、生物质猫砂颗粒生产，不涉及矿山和尾矿库。</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禁止在合规园区（详见附件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）外新建、扩建钢铁、石化、化工、焦化、建材、有色等高污染项目。禁止新增钢铁、水泥、平板玻璃等行业建设产能，确有必要建设的，应按规定实施产能等量或减量置换。</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项目建设地址位于三星坝工业园区内。</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禁止新建、扩建不符合国家石化、现代煤化工等产业布局规划的项目。</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项目符合</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国家石化、现代煤化工等产业布局规划</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根据《产业结构调整</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指导目录（</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24年本）》（2023第7号令），本项目属于第一类：鼓励类。</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禁止建设高毒高残留以及对环境影响大的农药原药生产装置，严格控制尿素、磷铵、电石、焦炭、黄磷、烧碱、纯碱、聚氯乙烯等行业新增产能。</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项目为环保机制炭、生物质颗粒、生物质猫砂颗粒生产，不涉及农药原药生产。</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17</w:t>
                  </w:r>
                </w:p>
              </w:tc>
              <w:tc>
                <w:tcPr>
                  <w:tcW w:w="272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4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项目为新建项目，未被列入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《云南省城镇人口密集区危险化学品生产企业搬迁改造名单》</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5"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是否属于“可能引发环境风险的项目”分析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废木材边角料、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锯末、木屑为原料，</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生产环保机制炭、生物质颗粒、生物质猫砂颗粒</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，项目运营过程不涉及使用化学药剂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主要风险事故类型为火灾事故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和废机油泄露、渗漏。</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项目运营过程中存在一定风险性，但在加强用火、用电管理，加强设备检修、日常巡检等有效的安全措施后，本项目的环境风险水平在可接受范围内。</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对照《淘汰落后危险化学品安全生产工艺技术设备目录（第一批）》（应急厅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38号），项目工艺技术和设备均不在淘汰落后危险化学品安全生产工艺技术设备目录内。</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对照《环境保护综合名录（2021年版）》，行业“2663林产化学产品制造”产品“2616080101木炭”特性为GHW高污染产品，不属于GHF高环境风险产品。因此，项目产品机制木炭不属于高环境风险产品，属于高污染产品，因此，建设单位在后期生产经营过程中，严格执行国家及地方木炭销售和使用的相关规定。</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项目运营过程中存在一定风险性，但在实施有效的安全措施后，环境风险水平在可接受范围内，不属于重大危险源。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入园要求符合性分析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已取得云南砚山产业园区管理委员会的入园证明，取得了由文山州生态环境局砚山分局、砚山县工信商务局、砚山县发展和改革局、砚山县林业和草原局、砚山县应急管理局等并联审批的选址意见表，均同意选址，未对此类项目提出明确进园入区的要求。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今后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国家、地方政府、生态环境局等相关部门提出明确进入园区的要求，本项目应该从其规定。</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综上所述，项目建设符合《云南省生态环境厅办公室关于德宏州生态环境局请求确定木炭、机制炭项目环评审批相关事宜的复函》（云环办函</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72号）的相关要求。</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4、与《关于切实加强风险防范严格环境影响评价管理的通知》（环发〔2012〕98号）相关要求符合性分析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关于切实加强风险防范严格环境影响评价管理的通知》（环发〔2012〕98号）要求化工石化、有色冶炼、制浆造纸等可能引发环境风险的项目，在符合国家产业政策和清洁生产水平要求、满足污染物排放标准以及污染物排放总量控制指标的前提下，必须在依法设立、环境保护基础设施齐全并经规划环评的产业园区内布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本项目建成后，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破碎、粉碎、制粒工序颗粒物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《大气污染物综合排放标准》（GB16297-1996）表2中二级排放标准限值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烘干、炭化、制棒工序颗粒物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中表2二级标准要求，非甲烷总烃排放浓度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b w:val="0"/>
                <w:bCs/>
                <w:snapToGrid w:val="0"/>
                <w:color w:val="000000" w:themeColor="text1"/>
                <w:kern w:val="2"/>
                <w:sz w:val="24"/>
                <w:szCs w:val="24"/>
                <w:lang w:val="en-US" w:eastAsia="zh-CN"/>
                <w14:textFill>
                  <w14:solidFill>
                    <w14:schemeClr w14:val="tx1"/>
                  </w14:solidFill>
                </w14:textFill>
              </w:rPr>
              <w:t>《工业企业挥发性有机物排放标准》（DB35/1782-2018）表1中其他行业标准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厂界无组织达到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《大气污染物综合排放标准》（GB16297-1996）</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；且项目位于三星坝工业园区内，该园区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已经规划环评</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综上，项目建设与《关于切实加强风险防范严格环境影响评价管理的通知》（环发〔2012〕98号）相关要求符合性分析。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、平面布置合理性分析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项目占地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整体</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矩</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形，</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厂内设置办公生活区（厂区南面）和生产厂房，厂区东北角设置出入口。</w:t>
            </w:r>
          </w:p>
          <w:p>
            <w:pPr>
              <w:pStyle w:val="2"/>
              <w:keepNext w:val="0"/>
              <w:keepLines w:val="0"/>
              <w:pageBreakBefore w:val="0"/>
              <w:widowControl w:val="0"/>
              <w:kinsoku/>
              <w:wordWrap/>
              <w:overflowPunct/>
              <w:topLinePunct w:val="0"/>
              <w:autoSpaceDE/>
              <w:autoSpaceDN/>
              <w:bidi w:val="0"/>
              <w:snapToGrid/>
              <w:spacing w:after="0"/>
              <w:ind w:left="0" w:leftChars="0"/>
              <w:jc w:val="left"/>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生产厂房内部布局：东面为原料暂存区、破碎区、粉碎区，北面为生物质颗粒及生物质猫砂颗粒生产线（自东向西依次布置为烘干区、制粒区、包装区），中部为环保机制木炭生产线（自东向西依次布置为烘干区、制棒区、碳化区、冷却包装区），南面为成品暂存区（分为生物质颗粒暂存区、生物质猫砂颗粒暂存区、环保机制木炭暂存区），西面为环保设备（1#布袋除尘器、危废暂存间等）。</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生产厂房根据生产工艺、生产制造顺序进行合理布设，做到分区合理，生产方便。厂房周边</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原已</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设置绿化带，厂内道路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可</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做到厂内运输不交叉，人流、物流互不干扰。其余空地根据项目实际情况在各建筑物四周因地制宜的进行绿化。综上，项目区总体平面布置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总体</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合理。</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、项目选址合理性分析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（1）建设条件可行性分析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项目位于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云南省文山壮族苗族自治州砚山县江那镇三星坝工业园区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内闲置场地，用地规划为“二类工业用地”。</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有较为平整的道路与项目区连接，总的来说，项目区选址路网畅通，位置优越，交通便利。项目给水由</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市政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管网供给，供电由</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市政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电网引入，项目所在区域配套设施基本完善，交通便利。为项目建设</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提</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供了良好的建设条件。</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（2）与周边环境相容性分析</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项目位于云南省文山壮族苗族自治州砚山县江那镇三星坝工业园区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，区域</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周边主要为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工业园区其它企业及园区绿化</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，评价范围内无特殊保护文物古迹、风景名胜区、自然保护区和特殊环境制约因素</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，项目区500m范围内大气保护</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目标为罗锅寨散户</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运营期间主要污染物为废气、固废、废水和噪声，通过采取一系列的环境保护和污染防治措施，废气、噪声可实现达标排放；项目运营期间无生产废水外排，生活污水不外排，固体废弃物100%妥善处理处置，不会改变周围环境功能，与周边环境基本相容。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周边关系如下表所示。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周边关系一览表</w:t>
            </w:r>
          </w:p>
          <w:tbl>
            <w:tblPr>
              <w:tblStyle w:val="18"/>
              <w:tblpPr w:leftFromText="181" w:rightFromText="181" w:bottomFromText="170" w:vertAnchor="text" w:tblpXSpec="lef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3240"/>
              <w:gridCol w:w="1906"/>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名称</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与本项目相对方位</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罗锅寨散户</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西</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砚山强鑫公司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文山森凯再生资源回收有限公司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云南牧隆锰业有限公司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砚山县滇常铁合金有限责任公司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砚山壮山商砼制品有限责任公司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西</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江南锰业</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砚山县宏兴焊剂厂</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砚山县灌进建材有限公司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2146"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砚山县老炮团</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西南</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265</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000000" w:themeColor="text1"/>
          <w:sz w:val="32"/>
          <w:szCs w:val="32"/>
          <w14:textFill>
            <w14:solidFill>
              <w14:schemeClr w14:val="tx1"/>
            </w14:solidFill>
          </w14:textFill>
        </w:rPr>
      </w:pPr>
      <w:bookmarkStart w:id="4" w:name="_Toc29780"/>
      <w:bookmarkStart w:id="5" w:name="_Toc6077"/>
      <w:r>
        <w:rPr>
          <w:rFonts w:hint="default" w:ascii="Times New Roman" w:hAnsi="Times New Roman" w:eastAsia="宋体" w:cs="Times New Roman"/>
          <w:b/>
          <w:bCs/>
          <w:snapToGrid w:val="0"/>
          <w:color w:val="000000" w:themeColor="text1"/>
          <w:sz w:val="32"/>
          <w:szCs w:val="32"/>
          <w14:textFill>
            <w14:solidFill>
              <w14:schemeClr w14:val="tx1"/>
            </w14:solidFill>
          </w14:textFill>
        </w:rPr>
        <w:t>二、建设项目工程分析</w:t>
      </w:r>
      <w:bookmarkEnd w:id="4"/>
      <w:bookmarkEnd w:id="5"/>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2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5" w:type="dxa"/>
            <w:noWrap w:val="0"/>
            <w:vAlign w:val="center"/>
          </w:tcPr>
          <w:p>
            <w:pPr>
              <w:pStyle w:val="14"/>
              <w:adjustRightInd w:val="0"/>
              <w:snapToGrid w:val="0"/>
              <w:spacing w:before="0" w:beforeAutospacing="0" w:after="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建设内容</w:t>
            </w:r>
          </w:p>
        </w:tc>
        <w:tc>
          <w:tcPr>
            <w:tcW w:w="9237"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bookmarkStart w:id="6" w:name="_Toc48148600"/>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1、项目概况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1.1项目由来</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近年来，我国注重环境保护，大力倡导清洁生产，倡导使用新能源，减少使用化石能源；随之而来，各行业能源消耗转型，对风能、电能、地热能、太阳能、生物能等能源的需求量日趋增长；生物质颗粒、环保有机碳作为污染物排放量少的生物能燃料，日渐成为煤炭等旧型能源的替代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文山合创能源有限公司致力于发展废木材边角料、锯末、木屑加工和再利用，发展循环经济、绿色经济。在此背景下文山合创能源有限公司租用砚山强鑫</w:t>
            </w:r>
            <w:bookmarkStart w:id="19" w:name="_GoBack"/>
            <w:bookmarkEnd w:id="19"/>
            <w:r>
              <w:rPr>
                <w:rFonts w:hint="eastAsia" w:ascii="Times New Roman" w:hAnsi="Times New Roman" w:eastAsia="宋体" w:cs="Times New Roman"/>
                <w:color w:val="000000" w:themeColor="text1"/>
                <w:kern w:val="0"/>
                <w:sz w:val="24"/>
                <w:lang w:val="en-US" w:eastAsia="zh-CN"/>
                <w14:textFill>
                  <w14:solidFill>
                    <w14:schemeClr w14:val="tx1"/>
                  </w14:solidFill>
                </w14:textFill>
              </w:rPr>
              <w:t>混凝土有限公司位于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云南省文山壮族苗族自治州砚山县江那镇三星坝工业园区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的4.3亩闲置场地用于建设本项目。</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项目于2024年7月19日取得砚山县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发展和改革局</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投资项目备案证，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项目代码：</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2407-532622-04-01-786600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，同意项目建设。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主要建设内容及规模为：项目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占地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2000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平方米，厂房仓库占地建筑面积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1500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平方米，办公区建筑面积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150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，生产厂房内设置原料暂存区、破碎粉碎区、生物质颗粒及生物质猫砂颗粒生产线、环保机制炭生产线、成品暂存区、环保设施。项目建成后环保机制炭生产线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5吨环保机制木炭生产线，年产1500吨绿色环保机制木炭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；生物质颗粒及生物质猫砂颗粒生产线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40吨生物质颗粒及生物质颗粒猫砂生产线，</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年产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6000吨生物质颗粒</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及</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6000吨生物质猫砂颗粒</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tabs>
                <w:tab w:val="left" w:pos="2395"/>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1.2项目用地及手续办理情况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2024年6月1日，文山合创能源有限公司与砚山强鑫建材有限公司签订了《场地租转协议》；该协议指出，砚山强鑫建材有限公司出租给文山合创能源有限公司建厂土地面积约为4亩（原石棉瓦厂），另加200平方米用于建设住房。场地边界为：东至中间道路，南至厂区变压器，西至厂区西侧边坡，北至厂区水泥地块边缘，出厂道路与甲方共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根据《砚山工业园区总体规划[修编]（20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-2035年）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用地规划图，项目选址位于M2二类工业用地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，可用于本项目的建设。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本项目于2024年7月19日取得砚山县发展和改革局出具的云南省固定资产投资项目备案证，备案号【项目代码】：2407-532622-04-01-786600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pageBreakBefore w:val="0"/>
              <w:widowControl w:val="0"/>
              <w:tabs>
                <w:tab w:val="left" w:pos="239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1.3环评程序</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根据《中华人民共和国环境保护法</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中华人民共和国环境影响评价法》及《建设项目环境保护条例》（国务院第682号令）等法律法规相关规定，本项目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环保机制炭生产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属于《环境影响评价分类管理名录》（2021版）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三十九、废弃资源综合利用业</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85非金属废料和碎屑加工处理 422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生物质颗粒及生物质猫砂颗粒生产属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《环境影响评价分类管理名录》（2021版）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“二十二、石油、煤炭及其他燃料加工业 25:43生物质燃料加工254——生物质致密成型燃料加工”，本项目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需编写环境影响报告表。项目环评类别详见下表。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表2-1环评类别一览表</w:t>
            </w:r>
          </w:p>
          <w:tbl>
            <w:tblPr>
              <w:tblStyle w:val="18"/>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418"/>
              <w:gridCol w:w="1453"/>
              <w:gridCol w:w="4928"/>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65" w:type="dxa"/>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righ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8890</wp:posOffset>
                            </wp:positionV>
                            <wp:extent cx="1168400" cy="389890"/>
                            <wp:effectExtent l="1270" t="4445" r="11430" b="5715"/>
                            <wp:wrapNone/>
                            <wp:docPr id="1" name="直接连接符 1"/>
                            <wp:cNvGraphicFramePr/>
                            <a:graphic xmlns:a="http://schemas.openxmlformats.org/drawingml/2006/main">
                              <a:graphicData uri="http://schemas.microsoft.com/office/word/2010/wordprocessingShape">
                                <wps:wsp>
                                  <wps:cNvCnPr/>
                                  <wps:spPr>
                                    <a:xfrm>
                                      <a:off x="0" y="0"/>
                                      <a:ext cx="1168400" cy="389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pt;margin-top:0.7pt;height:30.7pt;width:92pt;z-index:251659264;mso-width-relative:page;mso-height-relative:page;" filled="f" stroked="t" coordsize="21600,21600" o:gfxdata="UEsDBAoAAAAAAIdO4kAAAAAAAAAAAAAAAAAEAAAAZHJzL1BLAwQUAAAACACHTuJA25hPyNYAAAAH&#10;AQAADwAAAGRycy9kb3ducmV2LnhtbE2OvU7DQBCEeyTe4bRINFFyjolMMD6nANylIYBoN77FtvDt&#10;Ob7LDzx9NhVUo50ZzX7F6uR6daAxdJ4NzGcJKOLa244bA+9v1XQJKkRki71nMvBDAVbl9VWBufVH&#10;fqXDJjZKRjjkaKCNcci1DnVLDsPMD8SSffnRYZRzbLQd8SjjrtdpkmTaYcfyocWBnlqqvzd7ZyBU&#10;H7Srfif1JPm8azylu+f1CxpzezNPHkFFOsW/MlzwBR1KYdr6PdugegPTh4U0xRe5xPeLDNTWQJYu&#10;QZeF/s9fngFQSwMEFAAAAAgAh07iQERYrrP7AQAA6QMAAA4AAABkcnMvZTJvRG9jLnhtbK1TzY7T&#10;MBC+I/EOlu80bWFXbdR0D1uWC4JKwANMHSex5D953KZ9CV4AiRucOHLnbXZ5DMZOt7sslx7IwRl7&#10;xt/M93lmcbU3mu1kQOVsxSejMWfSClcr21b808ebFzPOMIKtQTsrK36QyK+Wz58tel/KqeucrmVg&#10;BGKx7H3Fuxh9WRQoOmkAR85LS87GBQORtqEt6gA9oRtdTMfjy6J3ofbBCYlIp6vByY+I4RxA1zRK&#10;yJUTWyNtHFCD1BCJEnbKI1/maptGivi+aVBGpitOTGNeKQnZm7QWywWUbQDfKXEsAc4p4QknA8pS&#10;0hPUCiKwbVD/QBklgkPXxJFwphiIZEWIxWT8RJsPHXiZuZDU6E+i4/+DFe9268BUTZ3AmQVDD373&#10;5eft52+/f32l9e7HdzZJIvUeS4q9tutw3KFfh8R43wST/sSF7bOwh5Owch+ZoMPJ5HL2akyaC/K9&#10;nM1n86x88XDbB4xvpDMsGRXXyibiUMLuLUbKSKH3IelYW9ZXfH4xvSBMoC5s6PXJNJ6YoG3zXXRa&#10;1TdK63QDQ7u51oHtIHVC/hIvwv0rLCVZAXZDXHYNPdJJqF/bmsWDJ40sjQZPJRhZc6YlTVKyCBDK&#10;CEqfE0mptaUKkrSDmMnauPpAL7L1QbUdKZHVzzHUAbneY7emFnu8z0gPE7r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YT8jWAAAABwEAAA8AAAAAAAAAAQAgAAAAIgAAAGRycy9kb3ducmV2Lnht&#10;bFBLAQIUABQAAAAIAIdO4kBEWK6z+wEAAOkDAAAOAAAAAAAAAAEAIAAAACUBAABkcnMvZTJvRG9j&#10;LnhtbFBLBQYAAAAABgAGAFkBAACSBQAAAAA=&#10;">
                            <v:fill on="f" focussize="0,0"/>
                            <v:stroke color="#000000" joinstyle="round"/>
                            <v:imagedata o:title=""/>
                            <o:lock v:ext="edit" aspectratio="f"/>
                          </v:line>
                        </w:pict>
                      </mc:Fallback>
                    </mc:AlternateConten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环评类别</w:t>
                  </w:r>
                </w:p>
                <w:p>
                  <w:pPr>
                    <w:pStyle w:val="27"/>
                    <w:keepNext w:val="0"/>
                    <w:keepLines w:val="0"/>
                    <w:pageBreakBefore w:val="0"/>
                    <w:widowControl w:val="0"/>
                    <w:kinsoku/>
                    <w:wordWrap/>
                    <w:overflowPunct/>
                    <w:topLinePunct w:val="0"/>
                    <w:bidi w:val="0"/>
                    <w:snapToGrid/>
                    <w:spacing w:line="240" w:lineRule="auto"/>
                    <w:ind w:left="0" w:right="0"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1419"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报告书</w:t>
                  </w:r>
                </w:p>
              </w:tc>
              <w:tc>
                <w:tcPr>
                  <w:tcW w:w="481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报告表</w:t>
                  </w:r>
                </w:p>
              </w:tc>
              <w:tc>
                <w:tcPr>
                  <w:tcW w:w="70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98" w:type="dxa"/>
                  <w:gridSpan w:val="5"/>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二十二、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石油、煤炭及其他燃料加工业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1"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1384"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生物质燃料加工254</w:t>
                  </w:r>
                </w:p>
              </w:tc>
              <w:tc>
                <w:tcPr>
                  <w:tcW w:w="1419"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生物质液体燃料生产</w:t>
                  </w:r>
                </w:p>
              </w:tc>
              <w:tc>
                <w:tcPr>
                  <w:tcW w:w="481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生物质致密成型燃料加工</w:t>
                  </w:r>
                </w:p>
              </w:tc>
              <w:tc>
                <w:tcPr>
                  <w:tcW w:w="70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98" w:type="dxa"/>
                  <w:gridSpan w:val="5"/>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三十九、废弃资源综合利用业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1"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85</w:t>
                  </w:r>
                </w:p>
              </w:tc>
              <w:tc>
                <w:tcPr>
                  <w:tcW w:w="1384"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非金属废料和碎屑加工处理422</w:t>
                  </w:r>
                </w:p>
              </w:tc>
              <w:tc>
                <w:tcPr>
                  <w:tcW w:w="1419"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废电池、废油加工处理</w:t>
                  </w:r>
                </w:p>
              </w:tc>
              <w:tc>
                <w:tcPr>
                  <w:tcW w:w="481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702"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为此文山合创能源有限公司委托云南百源众环环保科技有限公司（以下简称“我公司”）开展本项目环境影响报告表的编制工作。我公司接受委托后，立即开展了详细的现场调查及资料收集工作，在对本项目的环境现状和可能造成的环境影响进行仔细分析后，依照环境影响评价技术导则的要求编制了《</w:t>
            </w: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合创机制炭及生物质颗粒及生物质猫砂颗粒生产线项目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环境影响报告表》，待审批后作为开展项目建设环保设计及主管部门环境管理工作的依据。</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w:t>
            </w:r>
            <w:bookmarkEnd w:id="6"/>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项目概况</w:t>
            </w:r>
          </w:p>
          <w:p>
            <w:pPr>
              <w:keepNext w:val="0"/>
              <w:keepLines w:val="0"/>
              <w:pageBreakBefore w:val="0"/>
              <w:widowControl w:val="0"/>
              <w:tabs>
                <w:tab w:val="left" w:pos="2395"/>
              </w:tabs>
              <w:kinsoku/>
              <w:wordWrap/>
              <w:overflowPunct/>
              <w:topLinePunct w:val="0"/>
              <w:autoSpaceDE/>
              <w:autoSpaceDN/>
              <w:bidi w:val="0"/>
              <w:adjustRightInd/>
              <w:spacing w:line="360" w:lineRule="auto"/>
              <w:ind w:left="0" w:leftChars="0" w:right="0" w:rightChars="0" w:firstLine="482"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项目名称：</w:t>
            </w: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合创机制炭及生物质颗粒及生物质猫砂颗粒生产线项目</w:t>
            </w:r>
          </w:p>
          <w:p>
            <w:pPr>
              <w:keepNext w:val="0"/>
              <w:keepLines w:val="0"/>
              <w:pageBreakBefore w:val="0"/>
              <w:widowControl w:val="0"/>
              <w:tabs>
                <w:tab w:val="left" w:pos="2395"/>
              </w:tabs>
              <w:kinsoku/>
              <w:wordWrap/>
              <w:overflowPunct/>
              <w:topLinePunct w:val="0"/>
              <w:autoSpaceDE/>
              <w:autoSpaceDN/>
              <w:bidi w:val="0"/>
              <w:adjustRightInd/>
              <w:spacing w:line="360" w:lineRule="auto"/>
              <w:ind w:left="0" w:leftChars="0" w:right="0" w:rightChars="0" w:firstLine="482"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建设单位：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文山合创能源有限公司</w:t>
            </w:r>
          </w:p>
          <w:p>
            <w:pPr>
              <w:keepNext w:val="0"/>
              <w:keepLines w:val="0"/>
              <w:pageBreakBefore w:val="0"/>
              <w:widowControl w:val="0"/>
              <w:tabs>
                <w:tab w:val="left" w:pos="2395"/>
              </w:tabs>
              <w:kinsoku/>
              <w:wordWrap/>
              <w:overflowPunct/>
              <w:topLinePunct w:val="0"/>
              <w:autoSpaceDE/>
              <w:autoSpaceDN/>
              <w:bidi w:val="0"/>
              <w:adjustRightInd/>
              <w:spacing w:line="360" w:lineRule="auto"/>
              <w:ind w:left="0" w:leftChars="0" w:right="0" w:rightChars="0" w:firstLine="482"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建设地点：</w:t>
            </w:r>
            <w:r>
              <w:rPr>
                <w:rFonts w:hint="eastAsia" w:ascii="Times New Roman" w:hAnsi="Times New Roman" w:eastAsia="宋体" w:cs="Times New Roman"/>
                <w:color w:val="000000" w:themeColor="text1"/>
                <w:sz w:val="24"/>
                <w:lang w:val="en-US" w:eastAsia="zh-CN"/>
                <w14:textFill>
                  <w14:solidFill>
                    <w14:schemeClr w14:val="tx1"/>
                  </w14:solidFill>
                </w14:textFill>
              </w:rPr>
              <w:t>云南省文山州砚山县江那镇三星坝工业园区内</w:t>
            </w:r>
          </w:p>
          <w:p>
            <w:pPr>
              <w:keepNext w:val="0"/>
              <w:keepLines w:val="0"/>
              <w:pageBreakBefore w:val="0"/>
              <w:widowControl w:val="0"/>
              <w:tabs>
                <w:tab w:val="left" w:pos="2395"/>
              </w:tabs>
              <w:kinsoku/>
              <w:wordWrap/>
              <w:overflowPunct/>
              <w:topLinePunct w:val="0"/>
              <w:autoSpaceDE/>
              <w:autoSpaceDN/>
              <w:bidi w:val="0"/>
              <w:adjustRightInd/>
              <w:spacing w:line="360" w:lineRule="auto"/>
              <w:ind w:left="0" w:leftChars="0" w:right="0" w:rightChars="0" w:firstLine="482"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建设性质：</w:t>
            </w:r>
            <w:r>
              <w:rPr>
                <w:rFonts w:hint="default" w:ascii="Times New Roman" w:hAnsi="Times New Roman" w:eastAsia="宋体" w:cs="Times New Roman"/>
                <w:color w:val="000000" w:themeColor="text1"/>
                <w:sz w:val="24"/>
                <w:szCs w:val="24"/>
                <w:highlight w:val="none"/>
                <w14:textFill>
                  <w14:solidFill>
                    <w14:schemeClr w14:val="tx1"/>
                  </w14:solidFill>
                </w14:textFill>
              </w:rPr>
              <w:t>新建</w:t>
            </w:r>
          </w:p>
          <w:p>
            <w:pPr>
              <w:keepNext w:val="0"/>
              <w:keepLines w:val="0"/>
              <w:pageBreakBefore w:val="0"/>
              <w:widowControl w:val="0"/>
              <w:tabs>
                <w:tab w:val="left" w:pos="2395"/>
              </w:tabs>
              <w:kinsoku/>
              <w:wordWrap/>
              <w:overflowPunct/>
              <w:topLinePunct w:val="0"/>
              <w:autoSpaceDE/>
              <w:autoSpaceDN/>
              <w:bidi w:val="0"/>
              <w:adjustRightInd/>
              <w:spacing w:line="360" w:lineRule="auto"/>
              <w:ind w:left="0" w:leftChars="0" w:right="0" w:rightChars="0" w:firstLine="48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投资总额：</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2、建设内容及规模：</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项目占地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2000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平方米，厂房仓库占地建筑面积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1500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平方米，办公区建筑面积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150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平方米</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；建设两条生产线，包括</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5吨环保机制炭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年产1500吨绿色环保机制木炭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的环保机制炭生产线，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日</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40吨生物质颗粒及生物质颗粒猫砂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、年产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6000吨生物质颗粒</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及</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6000吨生物质猫砂颗粒</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的生物质颗粒及生物质猫砂颗粒生产线</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；项目具体组成详见下表。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2-2</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项目工程组成一览表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6"/>
              <w:gridCol w:w="433"/>
              <w:gridCol w:w="1441"/>
              <w:gridCol w:w="5789"/>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87" w:type="pct"/>
                  <w:gridSpan w:val="3"/>
                  <w:tcBorders>
                    <w:righ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组成</w:t>
                  </w:r>
                </w:p>
              </w:tc>
              <w:tc>
                <w:tcPr>
                  <w:tcW w:w="3211" w:type="pct"/>
                  <w:tcBorders>
                    <w:lef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及规模</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1039" w:type="pct"/>
                  <w:gridSpan w:val="2"/>
                  <w:tcBorders>
                    <w:righ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w:t>
                  </w:r>
                </w:p>
              </w:tc>
              <w:tc>
                <w:tcPr>
                  <w:tcW w:w="3211" w:type="pct"/>
                  <w:tcBorders>
                    <w:lef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项目区建设一座占地</w:t>
                  </w:r>
                  <w:r>
                    <w:rPr>
                      <w:rFonts w:hint="default" w:ascii="Times New Roman" w:hAnsi="Times New Roman" w:eastAsia="宋体" w:cs="Times New Roman"/>
                      <w:color w:val="000000" w:themeColor="text1"/>
                      <w:sz w:val="21"/>
                      <w:szCs w:val="21"/>
                      <w14:textFill>
                        <w14:solidFill>
                          <w14:schemeClr w14:val="tx1"/>
                        </w14:solidFill>
                      </w14:textFill>
                    </w:rPr>
                    <w:t>面积为</w:t>
                  </w:r>
                  <w:r>
                    <w:rPr>
                      <w:rFonts w:hint="eastAsia" w:eastAsia="宋体" w:cs="Times New Roman"/>
                      <w:color w:val="000000" w:themeColor="text1"/>
                      <w:sz w:val="21"/>
                      <w:szCs w:val="21"/>
                      <w:lang w:val="en-US" w:eastAsia="zh-CN"/>
                      <w14:textFill>
                        <w14:solidFill>
                          <w14:schemeClr w14:val="tx1"/>
                        </w14:solidFill>
                      </w14:textFill>
                    </w:rPr>
                    <w:t>1500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14:textFill>
                        <w14:solidFill>
                          <w14:schemeClr w14:val="tx1"/>
                        </w14:solidFill>
                      </w14:textFill>
                    </w:rPr>
                    <w:t>封闭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生产厂房内（地面硬化、留出入口），厂房为</w:t>
                  </w:r>
                  <w:r>
                    <w:rPr>
                      <w:rFonts w:hint="default" w:ascii="Times New Roman" w:hAnsi="Times New Roman" w:eastAsia="宋体" w:cs="Times New Roman"/>
                      <w:color w:val="000000" w:themeColor="text1"/>
                      <w:sz w:val="21"/>
                      <w:szCs w:val="21"/>
                      <w14:textFill>
                        <w14:solidFill>
                          <w14:schemeClr w14:val="tx1"/>
                        </w14:solidFill>
                      </w14:textFill>
                    </w:rPr>
                    <w:t>一层钢架结构建筑</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其内设置</w:t>
                  </w:r>
                  <w:r>
                    <w:rPr>
                      <w:rFonts w:hint="eastAsia" w:eastAsia="宋体" w:cs="Times New Roman"/>
                      <w:color w:val="000000" w:themeColor="text1"/>
                      <w:sz w:val="21"/>
                      <w:szCs w:val="21"/>
                      <w:lang w:val="en-US" w:eastAsia="zh-CN"/>
                      <w14:textFill>
                        <w14:solidFill>
                          <w14:schemeClr w14:val="tx1"/>
                        </w14:solidFill>
                      </w14:textFill>
                    </w:rPr>
                    <w:t>原料暂存区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、破碎区、粉碎区、烘干区、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环保机制炭生产线、生物质颗粒及生物质猫砂颗粒生产线、成品暂存区。</w:t>
                  </w:r>
                </w:p>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其中，原料暂存区设置于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生产厂房东</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eastAsia="宋体" w:cs="Times New Roman"/>
                      <w:color w:val="000000" w:themeColor="text1"/>
                      <w:kern w:val="0"/>
                      <w:sz w:val="21"/>
                      <w:szCs w:val="21"/>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暂存</w:t>
                  </w:r>
                  <w:r>
                    <w:rPr>
                      <w:rFonts w:hint="eastAsia" w:eastAsia="宋体" w:cs="Times New Roman"/>
                      <w:color w:val="000000" w:themeColor="text1"/>
                      <w:sz w:val="21"/>
                      <w:szCs w:val="21"/>
                      <w:lang w:val="en-US" w:eastAsia="zh-CN"/>
                      <w14:textFill>
                        <w14:solidFill>
                          <w14:schemeClr w14:val="tx1"/>
                        </w14:solidFill>
                      </w14:textFill>
                    </w:rPr>
                    <w:t>废木材边角料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、木屑、</w:t>
                  </w:r>
                  <w:r>
                    <w:rPr>
                      <w:rFonts w:hint="default" w:ascii="Times New Roman" w:hAnsi="Times New Roman" w:eastAsia="宋体" w:cs="Times New Roman"/>
                      <w:color w:val="000000" w:themeColor="text1"/>
                      <w:sz w:val="21"/>
                      <w:szCs w:val="21"/>
                      <w14:textFill>
                        <w14:solidFill>
                          <w14:schemeClr w14:val="tx1"/>
                        </w14:solidFill>
                      </w14:textFill>
                    </w:rPr>
                    <w:t>锯末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等大块</w:t>
                  </w:r>
                  <w:r>
                    <w:rPr>
                      <w:rFonts w:hint="default" w:ascii="Times New Roman" w:hAnsi="Times New Roman" w:eastAsia="宋体" w:cs="Times New Roman"/>
                      <w:color w:val="000000" w:themeColor="text1"/>
                      <w:sz w:val="21"/>
                      <w:szCs w:val="21"/>
                      <w14:textFill>
                        <w14:solidFill>
                          <w14:schemeClr w14:val="tx1"/>
                        </w14:solidFill>
                      </w14:textFill>
                    </w:rPr>
                    <w:t>原料</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破碎区设置于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生产厂房</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原料暂存区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西面</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安装1台破碎机，</w:t>
                  </w: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eastAsia" w:eastAsia="宋体" w:cs="Times New Roman"/>
                      <w:color w:val="000000" w:themeColor="text1"/>
                      <w:sz w:val="21"/>
                      <w:szCs w:val="21"/>
                      <w:lang w:val="en-US" w:eastAsia="zh-CN"/>
                      <w14:textFill>
                        <w14:solidFill>
                          <w14:schemeClr w14:val="tx1"/>
                        </w14:solidFill>
                      </w14:textFill>
                    </w:rPr>
                    <w:t>废木材边角料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等原料。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粉碎区设置于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生产厂房</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（破碎区西面），占地面积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安装1台粉碎机，</w:t>
                  </w: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粉碎木屑、锯末、破碎后的</w:t>
                  </w:r>
                  <w:r>
                    <w:rPr>
                      <w:rFonts w:hint="eastAsia" w:eastAsia="宋体" w:cs="Times New Roman"/>
                      <w:color w:val="000000" w:themeColor="text1"/>
                      <w:sz w:val="21"/>
                      <w:szCs w:val="21"/>
                      <w:lang w:val="en-US" w:eastAsia="zh-CN"/>
                      <w14:textFill>
                        <w14:solidFill>
                          <w14:schemeClr w14:val="tx1"/>
                        </w14:solidFill>
                      </w14:textFill>
                    </w:rPr>
                    <w:t>废木材边角料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等小块原料。</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tcBorders>
                    <w:right w:val="single" w:color="auto" w:sz="6"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环保机制炭生产线</w:t>
                  </w:r>
                </w:p>
              </w:tc>
              <w:tc>
                <w:tcPr>
                  <w:tcW w:w="3211" w:type="pct"/>
                  <w:tcBorders>
                    <w:left w:val="single" w:color="auto" w:sz="6"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环保机制炭生产线设置在生产厂房中部，从东至西依次设置烘干区、制棒区、碳化区、冷却包装区。</w:t>
                  </w:r>
                </w:p>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其中烘干区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气流式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烘干机和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台热风炉，</w:t>
                  </w: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烘干原料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制棒区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安装</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4台制棒机，将烘干的原料制成棒状。</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炭化区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占地面积为1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0m²，设置</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个</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炭化炉</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，将成型棒进行干馏炭化。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冷却包装区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m²，用于炭化成型的</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环保</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机制炭自然冷却</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，并包装成箱，20kg/箱</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tcBorders>
                    <w:righ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生物质颗粒及生物质猫砂颗粒生产线</w:t>
                  </w:r>
                </w:p>
              </w:tc>
              <w:tc>
                <w:tcPr>
                  <w:tcW w:w="3211" w:type="pct"/>
                  <w:tcBorders>
                    <w:left w:val="single" w:color="auto" w:sz="6"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生物质颗粒及生物质猫砂颗粒生产线</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设置在生产厂房北部，从东至西依次设置烘干区、制粒区、包装区。</w:t>
                  </w:r>
                </w:p>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其中烘干区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气流式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烘干机和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台热风炉，</w:t>
                  </w:r>
                  <w:r>
                    <w:rPr>
                      <w:rFonts w:hint="default" w:ascii="Times New Roman" w:hAnsi="Times New Roman" w:eastAsia="宋体" w:cs="Times New Roman"/>
                      <w:color w:val="000000" w:themeColor="text1"/>
                      <w:sz w:val="21"/>
                      <w:szCs w:val="21"/>
                      <w14:textFill>
                        <w14:solidFill>
                          <w14:schemeClr w14:val="tx1"/>
                        </w14:solidFill>
                      </w14:textFill>
                    </w:rPr>
                    <w:t>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烘干原料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制粒区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，安装1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台</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生物质颗粒制粒机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，将烘干的原料制成</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生物质颗粒；安装1台生物质猫砂颗粒制粒机，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将烘干的原料制成</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包装区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m²，用于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包装生物质颗粒或生物质猫砂颗粒成品，20kg/袋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tcBorders>
                    <w:right w:val="single" w:color="auto" w:sz="6" w:space="0"/>
                  </w:tcBorders>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成品暂存区</w:t>
                  </w:r>
                </w:p>
              </w:tc>
              <w:tc>
                <w:tcPr>
                  <w:tcW w:w="3211" w:type="pct"/>
                  <w:tcBorders>
                    <w:left w:val="single" w:color="auto" w:sz="6"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成品暂存区设置在生产厂房南部，从东至西依次设置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环保机制炭暂存区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生物质颗粒暂存区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生物质猫砂颗粒暂存区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其中环保机制炭暂存区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用于暂存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环保机制炭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生物质颗粒暂存区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用于暂存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生物质颗粒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生物质猫砂颗粒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eastAsia="zh-CN"/>
                      <w14:textFill>
                        <w14:solidFill>
                          <w14:schemeClr w14:val="tx1"/>
                        </w14:solidFill>
                      </w14:textFill>
                    </w:rPr>
                    <w:t>m²</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用于暂存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生物质猫砂颗粒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辅助</w:t>
                  </w: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039" w:type="pct"/>
                  <w:gridSpan w:val="2"/>
                  <w:noWrap w:val="0"/>
                  <w:tcMar>
                    <w:top w:w="0" w:type="dxa"/>
                    <w:left w:w="108" w:type="dxa"/>
                    <w:bottom w:w="0" w:type="dxa"/>
                    <w:right w:w="108" w:type="dxa"/>
                  </w:tcMar>
                  <w:vAlign w:val="center"/>
                </w:tcPr>
                <w:p>
                  <w:pPr>
                    <w:pStyle w:val="30"/>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办公生活区</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设置在项目区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南部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，占地面积</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0m²，为2层钢架建筑结构。</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卫生间</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位于办公生活区旁，占地面积10m²，配套有化粪池。</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由</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园区市政</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自来水管网供给。</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由</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园区市政</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电网供给。</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项目场地实行雨污分流；食堂废水经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供热</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项目生产过程中需要进行烘干，烘干热源为热风炉燃烧炭化废气</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和生物质燃料燃烧产生的热量。</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color w:val="000000" w:themeColor="text1"/>
                      <w14:textFill>
                        <w14:solidFill>
                          <w14:schemeClr w14:val="tx1"/>
                        </w14:solidFill>
                      </w14:textFill>
                    </w:rPr>
                  </w:pPr>
                </w:p>
              </w:tc>
              <w:tc>
                <w:tcPr>
                  <w:tcW w:w="24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废水</w:t>
                  </w: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生活污水</w:t>
                  </w:r>
                </w:p>
              </w:tc>
              <w:tc>
                <w:tcPr>
                  <w:tcW w:w="32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原料暂存粉尘</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s="Times New Roman"/>
                      <w:color w:val="000000" w:themeColor="text1"/>
                      <w:kern w:val="0"/>
                      <w:sz w:val="21"/>
                      <w:szCs w:val="21"/>
                      <w:highlight w:val="none"/>
                      <w:lang w:val="en-US" w:eastAsia="zh-CN" w:bidi="ar-SA"/>
                      <w14:textFill>
                        <w14:solidFill>
                          <w14:schemeClr w14:val="tx1"/>
                        </w14:solidFill>
                      </w14:textFill>
                    </w:rPr>
                    <w:t>原料暂存区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设置于</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封闭</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厂房内，粉尘在厂房内沉降，</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少量</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呈无组织排放。</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color w:val="000000" w:themeColor="text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color w:val="000000" w:themeColor="text1"/>
                      <w14:textFill>
                        <w14:solidFill>
                          <w14:schemeClr w14:val="tx1"/>
                        </w14:solidFill>
                      </w14:textFill>
                    </w:rPr>
                  </w:pP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、制粒工序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封闭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产生的粉尘由集气罩收集到</w:t>
                  </w:r>
                  <w:r>
                    <w:rPr>
                      <w:rFonts w:hint="eastAsia" w:eastAsia="宋体" w:cs="Times New Roman"/>
                      <w:color w:val="000000" w:themeColor="text1"/>
                      <w:sz w:val="21"/>
                      <w:szCs w:val="21"/>
                      <w:lang w:val="en-US" w:eastAsia="zh-CN"/>
                      <w14:textFill>
                        <w14:solidFill>
                          <w14:schemeClr w14:val="tx1"/>
                        </w14:solidFill>
                      </w14:textFill>
                    </w:rPr>
                    <w:t>1#布袋除尘器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）呈有组织排放。</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烘干、炭化、制棒废气</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非甲烷总烃引入热风炉内燃烧，约有90%完全燃烧，尾气通过</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管道引至2#布袋除尘器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装置处理（</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风机风量为20000</w:t>
                  </w:r>
                  <w:r>
                    <w:rPr>
                      <w:rFonts w:hint="eastAsia" w:eastAsia="宋体" w:cs="Times New Roman"/>
                      <w:b w:val="0"/>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³/h，粉尘去除效率为</w:t>
                  </w:r>
                  <w:r>
                    <w:rPr>
                      <w:rFonts w:hint="eastAsia" w:eastAsia="宋体" w:cs="Times New Roman"/>
                      <w:b w:val="0"/>
                      <w:bCs/>
                      <w:color w:val="000000" w:themeColor="text1"/>
                      <w:sz w:val="21"/>
                      <w:szCs w:val="21"/>
                      <w:highlight w:val="none"/>
                      <w:lang w:val="en-US" w:eastAsia="zh-CN"/>
                      <w14:textFill>
                        <w14:solidFill>
                          <w14:schemeClr w14:val="tx1"/>
                        </w14:solidFill>
                      </w14:textFill>
                    </w:rPr>
                    <w:t>94.8</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）处置后由1根15m排气筒（DA00</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）呈有组织排放。</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皮带输送</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粉尘</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right="0" w:right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皮带输送设置于</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封闭</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厂房内，输送过程设置密闭皮带运输。</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食堂油烟</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食堂油烟设置1台油烟净化器处理（风量为2000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³/h，油烟净化效率60%）后经1根高于屋顶的排气筒排放。</w:t>
                  </w:r>
                </w:p>
              </w:tc>
              <w:tc>
                <w:tcPr>
                  <w:tcW w:w="50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9"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选用低噪声设备，布置于厂房内、设置减振垫，加强设备维修与保养等</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设置垃圾回收桶，生活垃圾分类收集后，</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由当地环卫部门定期清运处置</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化粪池污泥</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由当地环卫部门定期清运处置。</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食堂泔水、隔油池废油</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设置1只泔水桶，收集后交由有资质单位处置。</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80" w:firstLineChars="200"/>
                    <w:jc w:val="left"/>
                    <w:textAlignment w:val="auto"/>
                    <w:rPr>
                      <w:color w:val="000000" w:themeColor="text1"/>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80" w:firstLineChars="200"/>
                    <w:jc w:val="left"/>
                    <w:textAlignment w:val="auto"/>
                    <w:rPr>
                      <w:color w:val="000000" w:themeColor="text1"/>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灰渣</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统一收集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后委托周边农户清运用作农肥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布袋除尘灰</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收集后作为原料回用于生产</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木焦油、木醋液</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right="0" w:rightChars="0"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专用收集桶集中收集后暂存于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，并设置危险废物识别标志，</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而后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委托有资质单位定期清运处置。</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 w:hRule="atLeast"/>
                <w:jc w:val="center"/>
              </w:trPr>
              <w:tc>
                <w:tcPr>
                  <w:tcW w:w="248"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4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79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废机油、废油桶</w:t>
                  </w:r>
                </w:p>
              </w:tc>
              <w:tc>
                <w:tcPr>
                  <w:tcW w:w="32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right="0" w:rightChars="0"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设置1间危废暂存间，面积为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m²，用于暂存废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油等危险废物，危险废物进行分区放置，危废暂存间严格按照《危险废物贮存污染控制标准》（GB18597-2023）要求进行建设，设置危险废物暂存间地面采取防渗措施，防渗层为至少1m厚粘土层（渗透系数不大于10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cm/s），或其他防渗性能等效材料，危废暂存间在废矿物油四周建设不低于20cm的围堰，设危废暂存间标识牌和转移台账</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；废机油、废油桶专用容器收集后暂存于危废暂存间，而后委托有资质单位定期清运处置。</w:t>
                  </w:r>
                </w:p>
              </w:tc>
              <w:tc>
                <w:tcPr>
                  <w:tcW w:w="50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新建</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3、项目主要建筑指标</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2-3</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项目主要建筑指标一览表</w:t>
            </w:r>
          </w:p>
          <w:tbl>
            <w:tblPr>
              <w:tblStyle w:val="18"/>
              <w:tblpPr w:leftFromText="181" w:rightFromText="181" w:bottomFromText="113"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52"/>
              <w:gridCol w:w="2388"/>
              <w:gridCol w:w="872"/>
              <w:gridCol w:w="1747"/>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7" w:type="pct"/>
                  <w:gridSpan w:val="3"/>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项目名称</w:t>
                  </w:r>
                </w:p>
              </w:tc>
              <w:tc>
                <w:tcPr>
                  <w:tcW w:w="484"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面积</w:t>
                  </w:r>
                </w:p>
              </w:tc>
              <w:tc>
                <w:tcPr>
                  <w:tcW w:w="91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gridSpan w:val="3"/>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总用地面积</w:t>
                  </w:r>
                </w:p>
              </w:tc>
              <w:tc>
                <w:tcPr>
                  <w:tcW w:w="484"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w:t>
                  </w:r>
                </w:p>
              </w:tc>
              <w:tc>
                <w:tcPr>
                  <w:tcW w:w="91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gridSpan w:val="3"/>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总建筑面积</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1660</w:t>
                  </w:r>
                </w:p>
              </w:tc>
              <w:tc>
                <w:tcPr>
                  <w:tcW w:w="91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restar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生产厂房</w:t>
                  </w:r>
                </w:p>
              </w:tc>
              <w:tc>
                <w:tcPr>
                  <w:tcW w:w="2185" w:type="pct"/>
                  <w:gridSpan w:val="2"/>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原料暂存区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918" w:type="pct"/>
                  <w:vMerge w:val="restar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封闭式厂房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85" w:type="pct"/>
                  <w:gridSpan w:val="2"/>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85" w:type="pct"/>
                  <w:gridSpan w:val="2"/>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粉碎区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restar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环保机制炭生产线</w:t>
                  </w: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烘干区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制棒区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碳化区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冷却包装区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restart"/>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生物质颗粒及生物质猫砂颗粒生产线</w:t>
                  </w: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烘干区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restart"/>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成品暂存区</w:t>
                  </w: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环保机制炭暂存区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生物质颗粒暂存区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1"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23"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生物质猫砂颗粒暂存区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918" w:type="pct"/>
                  <w:vMerge w:val="continue"/>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gridSpan w:val="3"/>
                  <w:vAlign w:val="center"/>
                </w:tcPr>
                <w:p>
                  <w:pPr>
                    <w:pStyle w:val="30"/>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办公生活区</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91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pct"/>
                  <w:gridSpan w:val="3"/>
                  <w:vAlign w:val="center"/>
                </w:tcPr>
                <w:p>
                  <w:pPr>
                    <w:pStyle w:val="27"/>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卫生间</w:t>
                  </w:r>
                </w:p>
              </w:tc>
              <w:tc>
                <w:tcPr>
                  <w:tcW w:w="48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²</w:t>
                  </w:r>
                </w:p>
              </w:tc>
              <w:tc>
                <w:tcPr>
                  <w:tcW w:w="969"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91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、主要产品及产能</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bookmarkStart w:id="7" w:name="_Toc48148621"/>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本项目主要利用</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废木材边角料、</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木屑、锯末等生产</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环保机制炭、生物质颗粒、生物质猫砂颗粒</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，产品方案详见下表。</w:t>
            </w:r>
            <w:bookmarkEnd w:id="7"/>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项目产品及产能一览表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829"/>
              <w:gridCol w:w="1152"/>
              <w:gridCol w:w="1267"/>
              <w:gridCol w:w="1281"/>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21"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产品名称</w:t>
                  </w:r>
                </w:p>
              </w:tc>
              <w:tc>
                <w:tcPr>
                  <w:tcW w:w="460"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639"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w:t>
                  </w:r>
                </w:p>
              </w:tc>
              <w:tc>
                <w:tcPr>
                  <w:tcW w:w="1414" w:type="pct"/>
                  <w:gridSpan w:val="2"/>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产品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规格</w:t>
                  </w:r>
                </w:p>
              </w:tc>
              <w:tc>
                <w:tcPr>
                  <w:tcW w:w="1463"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包装规格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21"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color w:val="000000" w:themeColor="text1"/>
                      <w:sz w:val="21"/>
                      <w:szCs w:val="21"/>
                      <w14:textFill>
                        <w14:solidFill>
                          <w14:schemeClr w14:val="tx1"/>
                        </w14:solidFill>
                      </w14:textFill>
                    </w:rPr>
                  </w:pPr>
                </w:p>
              </w:tc>
              <w:tc>
                <w:tcPr>
                  <w:tcW w:w="460"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color w:val="000000" w:themeColor="text1"/>
                      <w:sz w:val="21"/>
                      <w:szCs w:val="21"/>
                      <w14:textFill>
                        <w14:solidFill>
                          <w14:schemeClr w14:val="tx1"/>
                        </w14:solidFill>
                      </w14:textFill>
                    </w:rPr>
                  </w:pPr>
                </w:p>
              </w:tc>
              <w:tc>
                <w:tcPr>
                  <w:tcW w:w="639"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color w:val="000000" w:themeColor="text1"/>
                      <w:sz w:val="21"/>
                      <w:szCs w:val="21"/>
                      <w14:textFill>
                        <w14:solidFill>
                          <w14:schemeClr w14:val="tx1"/>
                        </w14:solidFill>
                      </w14:textFill>
                    </w:rPr>
                  </w:pPr>
                </w:p>
              </w:tc>
              <w:tc>
                <w:tcPr>
                  <w:tcW w:w="703"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粒径（mm）</w:t>
                  </w:r>
                </w:p>
              </w:tc>
              <w:tc>
                <w:tcPr>
                  <w:tcW w:w="7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长度（mm）</w:t>
                  </w:r>
                </w:p>
              </w:tc>
              <w:tc>
                <w:tcPr>
                  <w:tcW w:w="1463"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环保</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机制炭</w:t>
                  </w:r>
                </w:p>
              </w:tc>
              <w:tc>
                <w:tcPr>
                  <w:tcW w:w="46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63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1500</w:t>
                  </w:r>
                </w:p>
              </w:tc>
              <w:tc>
                <w:tcPr>
                  <w:tcW w:w="703"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eastAsia="宋体" w:cs="Times New Roman"/>
                      <w:b w:val="0"/>
                      <w:bCs w:val="0"/>
                      <w:color w:val="000000" w:themeColor="text1"/>
                      <w:kern w:val="0"/>
                      <w:sz w:val="21"/>
                      <w:szCs w:val="21"/>
                      <w:lang w:val="en-US" w:eastAsia="zh-CN"/>
                      <w14:textFill>
                        <w14:solidFill>
                          <w14:schemeClr w14:val="tx1"/>
                        </w14:solidFill>
                      </w14:textFill>
                    </w:rPr>
                    <w:t>40</w:t>
                  </w:r>
                </w:p>
              </w:tc>
              <w:tc>
                <w:tcPr>
                  <w:tcW w:w="7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340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eastAsia="宋体" w:cs="Times New Roman"/>
                      <w:b w:val="0"/>
                      <w:bCs w:val="0"/>
                      <w:color w:val="000000" w:themeColor="text1"/>
                      <w:kern w:val="0"/>
                      <w:sz w:val="21"/>
                      <w:szCs w:val="21"/>
                      <w:lang w:val="en-US" w:eastAsia="zh-CN"/>
                      <w14:textFill>
                        <w14:solidFill>
                          <w14:schemeClr w14:val="tx1"/>
                        </w14:solidFill>
                      </w14:textFill>
                    </w:rPr>
                    <w:t>400</w:t>
                  </w:r>
                </w:p>
              </w:tc>
              <w:tc>
                <w:tcPr>
                  <w:tcW w:w="2576" w:type="dxa"/>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箱装，20kg/箱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生物质颗粒</w:t>
                  </w:r>
                </w:p>
              </w:tc>
              <w:tc>
                <w:tcPr>
                  <w:tcW w:w="4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63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6000</w:t>
                  </w:r>
                </w:p>
              </w:tc>
              <w:tc>
                <w:tcPr>
                  <w:tcW w:w="703"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6~8</w:t>
                  </w:r>
                </w:p>
              </w:tc>
              <w:tc>
                <w:tcPr>
                  <w:tcW w:w="71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eastAsia="宋体" w:cs="Times New Roman"/>
                      <w:b w:val="0"/>
                      <w:bCs w:val="0"/>
                      <w:color w:val="000000" w:themeColor="text1"/>
                      <w:kern w:val="0"/>
                      <w:sz w:val="21"/>
                      <w:szCs w:val="21"/>
                      <w:lang w:val="en-US" w:eastAsia="zh-CN"/>
                      <w14:textFill>
                        <w14:solidFill>
                          <w14:schemeClr w14:val="tx1"/>
                        </w14:solidFill>
                      </w14:textFill>
                    </w:rPr>
                    <w:t>40</w:t>
                  </w:r>
                </w:p>
              </w:tc>
              <w:tc>
                <w:tcPr>
                  <w:tcW w:w="257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kg/</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1"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生物质猫砂颗粒</w:t>
                  </w:r>
                </w:p>
              </w:tc>
              <w:tc>
                <w:tcPr>
                  <w:tcW w:w="4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63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6000</w:t>
                  </w:r>
                </w:p>
              </w:tc>
              <w:tc>
                <w:tcPr>
                  <w:tcW w:w="703"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71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15</w:t>
                  </w:r>
                </w:p>
              </w:tc>
              <w:tc>
                <w:tcPr>
                  <w:tcW w:w="257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，20kg/箱</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表2-</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木炭质量指标（GB/t17664-1999）     单位：%</w:t>
            </w:r>
          </w:p>
          <w:tbl>
            <w:tblPr>
              <w:tblStyle w:val="18"/>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568"/>
              <w:gridCol w:w="1806"/>
              <w:gridCol w:w="1258"/>
              <w:gridCol w:w="1449"/>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5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元素</w:t>
                  </w:r>
                </w:p>
              </w:tc>
              <w:tc>
                <w:tcPr>
                  <w:tcW w:w="870"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w:p>
              </w:tc>
              <w:tc>
                <w:tcPr>
                  <w:tcW w:w="1002"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p>
              </w:tc>
              <w:tc>
                <w:tcPr>
                  <w:tcW w:w="69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w:t>
                  </w:r>
                </w:p>
              </w:tc>
              <w:tc>
                <w:tcPr>
                  <w:tcW w:w="804"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w:t>
                  </w:r>
                </w:p>
              </w:tc>
              <w:tc>
                <w:tcPr>
                  <w:tcW w:w="565"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5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木材</w:t>
                  </w:r>
                </w:p>
              </w:tc>
              <w:tc>
                <w:tcPr>
                  <w:tcW w:w="870"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49-50</w:t>
                  </w:r>
                </w:p>
              </w:tc>
              <w:tc>
                <w:tcPr>
                  <w:tcW w:w="1002"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698"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43-44</w:t>
                  </w:r>
                </w:p>
              </w:tc>
              <w:tc>
                <w:tcPr>
                  <w:tcW w:w="804"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565" w:type="pct"/>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2-6  生物质颗粒燃料产品质量标准</w:t>
            </w:r>
          </w:p>
          <w:tbl>
            <w:tblPr>
              <w:tblStyle w:val="18"/>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843"/>
              <w:gridCol w:w="1904"/>
              <w:gridCol w:w="1917"/>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燃料属性</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1级</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2级</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规格</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mm</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长度小于直径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倍</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长度小于直径5倍</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长度小于直径5倍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堆积密度</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g/m³</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机械耐久性</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97.5</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小于3.15mm细小颗粒量</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全水分（收到基）</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灰分（干燥基）</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收到基低位发热量</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MJ/kg</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14.6</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13.4</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氮（N，干燥基）</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硫（S，干燥基）</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氯（Cl，干燥基）</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结渣性</w:t>
                  </w:r>
                </w:p>
              </w:tc>
              <w:tc>
                <w:tcPr>
                  <w:tcW w:w="468"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5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弱结渣区</w:t>
                  </w:r>
                </w:p>
              </w:tc>
              <w:tc>
                <w:tcPr>
                  <w:tcW w:w="1064"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弱结渣区</w:t>
                  </w:r>
                </w:p>
              </w:tc>
              <w:tc>
                <w:tcPr>
                  <w:tcW w:w="104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弱结渣区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标准：《生物质成型燃料质量分级》（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NBT 34024-2015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2-7 生物质猫砂颗粒产品质量标准</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67"/>
              <w:gridCol w:w="744"/>
              <w:gridCol w:w="947"/>
              <w:gridCol w:w="910"/>
              <w:gridCol w:w="1138"/>
              <w:gridCol w:w="1113"/>
              <w:gridCol w:w="1126"/>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01"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属性</w:t>
                  </w:r>
                </w:p>
              </w:tc>
              <w:tc>
                <w:tcPr>
                  <w:tcW w:w="4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水分</w:t>
                  </w:r>
                </w:p>
              </w:tc>
              <w:tc>
                <w:tcPr>
                  <w:tcW w:w="41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气味</w:t>
                  </w:r>
                </w:p>
              </w:tc>
              <w:tc>
                <w:tcPr>
                  <w:tcW w:w="5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粉尘率</w:t>
                  </w:r>
                </w:p>
              </w:tc>
              <w:tc>
                <w:tcPr>
                  <w:tcW w:w="505"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可燃性</w:t>
                  </w:r>
                </w:p>
              </w:tc>
              <w:tc>
                <w:tcPr>
                  <w:tcW w:w="632"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颗粒形状</w:t>
                  </w:r>
                </w:p>
              </w:tc>
              <w:tc>
                <w:tcPr>
                  <w:tcW w:w="618"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颗粒强度</w:t>
                  </w:r>
                </w:p>
              </w:tc>
              <w:tc>
                <w:tcPr>
                  <w:tcW w:w="625"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水泡实验</w:t>
                  </w:r>
                </w:p>
              </w:tc>
              <w:tc>
                <w:tcPr>
                  <w:tcW w:w="84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结团实验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生物质猫砂颗粒</w:t>
                  </w:r>
                </w:p>
              </w:tc>
              <w:tc>
                <w:tcPr>
                  <w:tcW w:w="4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≤10%</w:t>
                  </w:r>
                </w:p>
              </w:tc>
              <w:tc>
                <w:tcPr>
                  <w:tcW w:w="41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无异味</w:t>
                  </w:r>
                </w:p>
              </w:tc>
              <w:tc>
                <w:tcPr>
                  <w:tcW w:w="5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20目筛下物≤10%</w:t>
                  </w:r>
                </w:p>
              </w:tc>
              <w:tc>
                <w:tcPr>
                  <w:tcW w:w="505"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5s内可燃</w:t>
                  </w:r>
                </w:p>
              </w:tc>
              <w:tc>
                <w:tcPr>
                  <w:tcW w:w="632"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4.2×4.5mm圆柱体，柱面光滑</w:t>
                  </w:r>
                </w:p>
              </w:tc>
              <w:tc>
                <w:tcPr>
                  <w:tcW w:w="618"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手指可捻碎</w:t>
                  </w:r>
                </w:p>
              </w:tc>
              <w:tc>
                <w:tcPr>
                  <w:tcW w:w="625"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快速崩开呈碎屑，不漂浮</w:t>
                  </w:r>
                </w:p>
              </w:tc>
              <w:tc>
                <w:tcPr>
                  <w:tcW w:w="84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结团快、团块呈圆球状、被水湿透，不穿底</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掰开团块拉丝多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9"/>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中国知网，孙忠、杨秀双《新一代环保型宠物垫圈颗粒——木制猫砂研制》</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、项目原辅料及能源消耗</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根据建设单位提供资料，项目原料不含有油漆。主要原辅料及能源消耗详见下表。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2-8</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项目原辅料用量表 </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057"/>
              <w:gridCol w:w="912"/>
              <w:gridCol w:w="913"/>
              <w:gridCol w:w="1212"/>
              <w:gridCol w:w="1888"/>
              <w:gridCol w:w="112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消耗量</w:t>
                  </w:r>
                </w:p>
              </w:tc>
              <w:tc>
                <w:tcPr>
                  <w:tcW w:w="672"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储运方式</w:t>
                  </w:r>
                </w:p>
              </w:tc>
              <w:tc>
                <w:tcPr>
                  <w:tcW w:w="104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规格</w:t>
                  </w:r>
                </w:p>
              </w:tc>
              <w:tc>
                <w:tcPr>
                  <w:tcW w:w="624"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来源</w:t>
                  </w:r>
                </w:p>
              </w:tc>
              <w:tc>
                <w:tcPr>
                  <w:tcW w:w="61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木屑、锯末</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50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7000</w:t>
                  </w:r>
                </w:p>
              </w:tc>
              <w:tc>
                <w:tcPr>
                  <w:tcW w:w="672" w:type="pct"/>
                  <w:vMerge w:val="restart"/>
                  <w:noWrap w:val="0"/>
                  <w:tcMar>
                    <w:top w:w="0" w:type="dxa"/>
                    <w:left w:w="108" w:type="dxa"/>
                    <w:bottom w:w="0" w:type="dxa"/>
                    <w:right w:w="108"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汽车运输，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原料暂存区</w:t>
                  </w:r>
                </w:p>
              </w:tc>
              <w:tc>
                <w:tcPr>
                  <w:tcW w:w="104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极小</w:t>
                  </w:r>
                </w:p>
              </w:tc>
              <w:tc>
                <w:tcPr>
                  <w:tcW w:w="624"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木材厂、农户</w:t>
                  </w:r>
                </w:p>
              </w:tc>
              <w:tc>
                <w:tcPr>
                  <w:tcW w:w="619" w:type="pct"/>
                  <w:vMerge w:val="restar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含水率约为48%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废木材边角料</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50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15553.7</w:t>
                  </w:r>
                </w:p>
              </w:tc>
              <w:tc>
                <w:tcPr>
                  <w:tcW w:w="672" w:type="pct"/>
                  <w:vMerge w:val="continue"/>
                  <w:noWrap w:val="0"/>
                  <w:tcMar>
                    <w:top w:w="0" w:type="dxa"/>
                    <w:left w:w="108" w:type="dxa"/>
                    <w:bottom w:w="0" w:type="dxa"/>
                    <w:right w:w="108"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长度≤500mm，</w:t>
                  </w:r>
                </w:p>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宽度≤100mm，</w:t>
                  </w:r>
                </w:p>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厚度≤50mm</w:t>
                  </w:r>
                </w:p>
              </w:tc>
              <w:tc>
                <w:tcPr>
                  <w:tcW w:w="624"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pct"/>
                  <w:vMerge w:val="continue"/>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m³/a</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555</w:t>
                  </w:r>
                </w:p>
              </w:tc>
              <w:tc>
                <w:tcPr>
                  <w:tcW w:w="672"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4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4"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市政管网</w:t>
                  </w:r>
                </w:p>
              </w:tc>
              <w:tc>
                <w:tcPr>
                  <w:tcW w:w="61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kW·h/a</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40500</w:t>
                  </w:r>
                </w:p>
              </w:tc>
              <w:tc>
                <w:tcPr>
                  <w:tcW w:w="672"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48"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4"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市政电网</w:t>
                  </w:r>
                </w:p>
              </w:tc>
              <w:tc>
                <w:tcPr>
                  <w:tcW w:w="619"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8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成型生物质颗粒</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506"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1250</w:t>
                  </w:r>
                </w:p>
              </w:tc>
              <w:tc>
                <w:tcPr>
                  <w:tcW w:w="672"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汽车运输，仓库堆放</w:t>
                  </w:r>
                </w:p>
              </w:tc>
              <w:tc>
                <w:tcPr>
                  <w:tcW w:w="104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∅4.2×4.5mm圆柱体</w:t>
                  </w:r>
                </w:p>
              </w:tc>
              <w:tc>
                <w:tcPr>
                  <w:tcW w:w="624"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自行生产</w:t>
                  </w:r>
                </w:p>
              </w:tc>
              <w:tc>
                <w:tcPr>
                  <w:tcW w:w="619"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主要原辅材料理化性质：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锯末：是指在进行</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"https://baike.so.com/doc/5756381-5969142.html"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木材加工</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时因为锯削加工时从树木上散落下来的树木本身的粉末状木屑。在</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"https://baike.so.com/doc/8578315-8899080.html"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森林工业</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中，木材加工业和</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"https://baike.so.com/doc/5970415-6183372.html"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林产化学加工</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同为</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"https://baike.so.com/doc/5802600-6015398.html"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森林采伐</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运输的后续工业，是木材</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"https://baike.so.com/doc/4979773-5202823.html"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资源综合利用</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的重要部门。</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木屑：是指木头加工时留下的粉料。主要是用来做燃料和轻骨填充料，或是再复合成</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"https://baike.so.com/doc/5348750-5584203.html"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人造板</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，如</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"https://baike.so.com/doc/5347309-5582756.html"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中纤板</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，也可以作为</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"https://baike.so.com/doc/360373-381763.html"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造纸原料</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废木材边角料：</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是指在木材加工过程中产生的零碎材料，通常被视为废弃物</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，最大规格为：</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500mm×100mm×50mm</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废木材边角料主要用途：DIY项目材料、粉碎后作为原材料、再生资源利用、家具制作、商业价值、燃料使用；废木材边角料拥有多种潜在用途，可以转化为有价值的资源，既减少对环境的污染，又创造新的经济价值。</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成型生物质颗粒：由秸秆、稻草、</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"https://baike.so.com/doc/5848216-6061054.html"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稻壳</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、花生壳、</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"https://baike.so.com/doc/6242565-6455960.html"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玉米芯</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、油茶壳、</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instrText xml:space="preserve"> HYPERLINK "https://baike.so.com/doc/3640142-3826286.html" \t "https://baike.so.com/doc/_blank" </w:instrTex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棉籽壳</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等以及“三剩物”经过加工产生的块状环保新能源。生物质颗粒具有以下特性：生物质颗粒的直径一般为6~8毫米，长度为其直径的4~5倍，破碎率小于1.5%~2.0%，干基含水量小于10%~15%，灰分含量小于1.5%，硫含量和氯含量均小于0.07%，氮含量小于0.5%。生物质颗粒燃料发热量大，发热量在</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3900~4800千</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卡/kg左右，生物质颗粒燃料清洁卫生，投料方便，减少工人的劳动强度。</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、主要设备</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根据建设单位提供资料，本项目主要设备见下表。</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2-9</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  项目主要设备一览表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631"/>
              <w:gridCol w:w="2388"/>
              <w:gridCol w:w="1651"/>
              <w:gridCol w:w="795"/>
              <w:gridCol w:w="98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905"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生产工序</w:t>
                  </w:r>
                </w:p>
              </w:tc>
              <w:tc>
                <w:tcPr>
                  <w:tcW w:w="1325"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设备名称</w:t>
                  </w:r>
                </w:p>
              </w:tc>
              <w:tc>
                <w:tcPr>
                  <w:tcW w:w="916"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规格</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1"/>
                      <w:szCs w:val="21"/>
                      <w14:textFill>
                        <w14:solidFill>
                          <w14:schemeClr w14:val="tx1"/>
                        </w14:solidFill>
                      </w14:textFill>
                    </w:rPr>
                    <w:t>型号</w:t>
                  </w:r>
                </w:p>
              </w:tc>
              <w:tc>
                <w:tcPr>
                  <w:tcW w:w="441"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单位</w:t>
                  </w:r>
                </w:p>
              </w:tc>
              <w:tc>
                <w:tcPr>
                  <w:tcW w:w="544"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数量</w:t>
                  </w:r>
                </w:p>
              </w:tc>
              <w:tc>
                <w:tcPr>
                  <w:tcW w:w="507" w:type="pct"/>
                  <w:shd w:val="clear" w:color="auto" w:fill="FFFFFF"/>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905" w:type="pct"/>
                  <w:vMerge w:val="restar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原料预处理单元</w:t>
                  </w: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叉车</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Han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辆</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铲车</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Han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辆</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破碎机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Hans"/>
                      <w14:textFill>
                        <w14:solidFill>
                          <w14:schemeClr w14:val="tx1"/>
                        </w14:solidFill>
                      </w14:textFill>
                    </w:rPr>
                    <w:t>FCH</w:t>
                  </w:r>
                  <w:r>
                    <w:rPr>
                      <w:rFonts w:hint="default" w:ascii="Times New Roman" w:hAnsi="Times New Roman" w:eastAsia="宋体" w:cs="Times New Roman"/>
                      <w:color w:val="000000" w:themeColor="text1"/>
                      <w:kern w:val="0"/>
                      <w:sz w:val="21"/>
                      <w:szCs w:val="21"/>
                      <w:lang w:val="en-US" w:eastAsia="zh-Hans"/>
                      <w14:textFill>
                        <w14:solidFill>
                          <w14:schemeClr w14:val="tx1"/>
                        </w14:solidFill>
                      </w14:textFill>
                    </w:rPr>
                    <w:t>8</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Hans"/>
                      <w14:textFill>
                        <w14:solidFill>
                          <w14:schemeClr w14:val="tx1"/>
                        </w14:solidFill>
                      </w14:textFill>
                    </w:rPr>
                    <w:t>x</w:t>
                  </w:r>
                  <w:r>
                    <w:rPr>
                      <w:rFonts w:hint="default" w:ascii="Times New Roman" w:hAnsi="Times New Roman" w:eastAsia="宋体" w:cs="Times New Roman"/>
                      <w:color w:val="000000" w:themeColor="text1"/>
                      <w:kern w:val="0"/>
                      <w:sz w:val="21"/>
                      <w:szCs w:val="21"/>
                      <w:lang w:val="en-US" w:eastAsia="zh-Hans"/>
                      <w14:textFill>
                        <w14:solidFill>
                          <w14:schemeClr w14:val="tx1"/>
                        </w14:solidFill>
                      </w14:textFill>
                    </w:rPr>
                    <w:t>8</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粉碎机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HLI1300</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90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输送单元</w:t>
                  </w: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皮带输送机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HLI1300</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套</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905" w:type="pct"/>
                  <w:vMerge w:val="restar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环保机制炭生产线</w:t>
                  </w: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气流式</w:t>
                  </w:r>
                  <w:r>
                    <w:rPr>
                      <w:rFonts w:hint="default" w:ascii="Times New Roman" w:hAnsi="Times New Roman" w:eastAsia="宋体" w:cs="Times New Roman"/>
                      <w:color w:val="000000" w:themeColor="text1"/>
                      <w:kern w:val="0"/>
                      <w:sz w:val="21"/>
                      <w:szCs w:val="21"/>
                      <w14:textFill>
                        <w14:solidFill>
                          <w14:schemeClr w14:val="tx1"/>
                        </w14:solidFill>
                      </w14:textFill>
                    </w:rPr>
                    <w:t>烘干机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套</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热风炉</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制棒机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炭化炉</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905" w:type="pct"/>
                  <w:vMerge w:val="restar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生物质颗粒及生物质猫砂颗粒生产线</w:t>
                  </w: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气流式</w:t>
                  </w:r>
                  <w:r>
                    <w:rPr>
                      <w:rFonts w:hint="default" w:ascii="Times New Roman" w:hAnsi="Times New Roman" w:eastAsia="宋体" w:cs="Times New Roman"/>
                      <w:color w:val="000000" w:themeColor="text1"/>
                      <w:kern w:val="0"/>
                      <w:sz w:val="21"/>
                      <w:szCs w:val="21"/>
                      <w14:textFill>
                        <w14:solidFill>
                          <w14:schemeClr w14:val="tx1"/>
                        </w14:solidFill>
                      </w14:textFill>
                    </w:rPr>
                    <w:t>烘干机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热风炉</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生物质颗粒制粒机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生物质猫砂颗粒制粒机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905" w:type="pct"/>
                  <w:vMerge w:val="continue"/>
                  <w:noWrap w:val="0"/>
                  <w:tcMar>
                    <w:top w:w="0" w:type="dxa"/>
                    <w:left w:w="108" w:type="dxa"/>
                    <w:bottom w:w="0" w:type="dxa"/>
                    <w:right w:w="108" w:type="dxa"/>
                  </w:tcMar>
                  <w:vAlign w:val="center"/>
                </w:tcPr>
                <w:p>
                  <w:pPr>
                    <w:autoSpaceDE w:val="0"/>
                    <w:autoSpaceDN w:val="0"/>
                    <w:adjustRightInd w:val="0"/>
                    <w:spacing w:line="360" w:lineRule="exact"/>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包装机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BZJ50</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90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废气处理单元</w:t>
                  </w:r>
                </w:p>
              </w:tc>
              <w:tc>
                <w:tcPr>
                  <w:tcW w:w="1325"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风机</w:t>
                  </w:r>
                </w:p>
              </w:tc>
              <w:tc>
                <w:tcPr>
                  <w:tcW w:w="916"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41"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544"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507" w:type="pct"/>
                  <w:noWrap w:val="0"/>
                  <w:tcMar>
                    <w:top w:w="0" w:type="dxa"/>
                    <w:left w:w="108" w:type="dxa"/>
                    <w:bottom w:w="0" w:type="dxa"/>
                    <w:right w:w="108" w:type="dxa"/>
                  </w:tcMar>
                  <w:vAlign w:val="center"/>
                </w:tcPr>
                <w:p>
                  <w:pPr>
                    <w:autoSpaceDE w:val="0"/>
                    <w:autoSpaceDN w:val="0"/>
                    <w:adjustRightIn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6、工作制度和劳动定员</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（1）劳动定员：</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项目劳动定员</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人，项目区内</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设置办公生活区</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提供员工食宿</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（2）工作制度：</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项目生产天数为3</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0天，</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一班制，每天工作</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小时。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bookmarkStart w:id="8" w:name="_Toc48148622"/>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14:textFill>
                  <w14:solidFill>
                    <w14:schemeClr w14:val="tx1"/>
                  </w14:solidFill>
                </w14:textFill>
              </w:rPr>
              <w:t>、总平面布置</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项目占地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整体</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矩</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形，</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厂内设置办公生活区（厂区南面）和生产厂房，厂区东北角设置出入口。</w:t>
            </w:r>
          </w:p>
          <w:p>
            <w:pPr>
              <w:pStyle w:val="2"/>
              <w:keepNext w:val="0"/>
              <w:keepLines w:val="0"/>
              <w:pageBreakBefore w:val="0"/>
              <w:widowControl w:val="0"/>
              <w:kinsoku/>
              <w:wordWrap/>
              <w:overflowPunct/>
              <w:topLinePunct w:val="0"/>
              <w:autoSpaceDE/>
              <w:autoSpaceDN/>
              <w:bidi w:val="0"/>
              <w:snapToGrid/>
              <w:spacing w:after="0"/>
              <w:ind w:left="0" w:leftChars="0"/>
              <w:jc w:val="left"/>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生产厂房内部布局：东面为原料暂存区、破碎区、粉碎区，北面为生物质颗粒及生物质猫砂颗粒生产线（自东向西依次布置为烘干区、制粒区、包装区），中部为环保机制木炭生产线（自东向西依次布置为烘干区、制棒区、碳化区、冷却包装区），南面为成品暂存区（分为生物质颗粒暂存区、生物质猫砂颗粒暂存区、环保机制木炭暂存区），西面为环保设备（1#布袋除尘器、危废暂存间等）。</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生产厂房根据生产工艺、生产制造顺序进行合理布设，做到分区合理，生产方便。厂房周边</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原已</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设置绿化带，厂内道路</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可</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做到厂内运输不交叉，人流、物流互不干扰。其余空地根据项目实际情况在各建筑物四周因地制宜的进行绿化。综上，项目区总体平面布置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总体</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合理。</w:t>
            </w:r>
          </w:p>
          <w:bookmarkEnd w:id="8"/>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8、公用辅助设施</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（1）给排水</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①给水</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用水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由</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市政自来水管网供给</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②排水</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项目场地实行雨污分流；</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达《污水综合排放标准》（GB8978-1996）三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（2）供热</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项目生产过程中需要进行烘干，烘干热源为热风炉燃烧炭化废气</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和生物质燃料燃烧产生的热量。</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（3）供电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项目用电由市政电网供给</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9、环保投资</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项目总投资</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100</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万元，其中环保总投资为</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29.69</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万元，占项目总投资的</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29.69</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%。环保投资一览表见下表。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2-10</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项目环保投资估算表</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92"/>
              <w:gridCol w:w="4974"/>
              <w:gridCol w:w="1049"/>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t>类别</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污染源</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环保投资项目</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投资金额（万元）</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废气</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无组织废气</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生产工序</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设置于</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封闭</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厂房内，粉尘在厂房内沉降，</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少量</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呈无组织排放</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5</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破碎、粉碎、制粒粉尘</w:t>
                  </w:r>
                </w:p>
              </w:tc>
              <w:tc>
                <w:tcPr>
                  <w:tcW w:w="276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、制粒工序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封闭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产生的粉尘由集气罩收集到</w:t>
                  </w:r>
                  <w:r>
                    <w:rPr>
                      <w:rFonts w:hint="eastAsia" w:eastAsia="宋体" w:cs="Times New Roman"/>
                      <w:color w:val="000000" w:themeColor="text1"/>
                      <w:sz w:val="21"/>
                      <w:szCs w:val="21"/>
                      <w:lang w:val="en-US" w:eastAsia="zh-CN"/>
                      <w14:textFill>
                        <w14:solidFill>
                          <w14:schemeClr w14:val="tx1"/>
                        </w14:solidFill>
                      </w14:textFill>
                    </w:rPr>
                    <w:t>1#布袋除尘器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）呈有组织排放。</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1.0</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烘干、炭化、制棒</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工序</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非甲烷总烃引入热风炉内燃烧，尾气</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通过管道引至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2#布袋除尘器</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处理，而</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后由1根15m排气筒（DA00</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）呈有组织排放。</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15</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食堂</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设置1套小型油烟净化器（风量为2000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³/h，净化效率为60%）+高于屋顶排气筒</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1.5</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废水</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生活污水</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1.55</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固废</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垃圾回收桶分类收集后，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当地环卫部门清运处置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0.1</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化粪池污泥</w:t>
                  </w:r>
                </w:p>
              </w:tc>
              <w:tc>
                <w:tcPr>
                  <w:tcW w:w="276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由当地环卫部门定期清运处置。</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0.02</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食堂泔水、隔油池废油</w:t>
                  </w:r>
                </w:p>
              </w:tc>
              <w:tc>
                <w:tcPr>
                  <w:tcW w:w="2760" w:type="pct"/>
                  <w:noWrap w:val="0"/>
                  <w:tcMar>
                    <w:top w:w="0" w:type="dxa"/>
                    <w:left w:w="108" w:type="dxa"/>
                    <w:bottom w:w="0" w:type="dxa"/>
                    <w:right w:w="108" w:type="dxa"/>
                  </w:tcMar>
                  <w:vAlign w:val="center"/>
                </w:tcPr>
                <w:p>
                  <w:pPr>
                    <w:pStyle w:val="27"/>
                    <w:keepNext w:val="0"/>
                    <w:keepLines w:val="0"/>
                    <w:pageBreakBefore w:val="0"/>
                    <w:widowControl w:val="0"/>
                    <w:kinsoku/>
                    <w:wordWrap/>
                    <w:overflowPunct/>
                    <w:topLinePunct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设置1只泔水桶，收集后交由有资质单位处置。</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0.02</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木焦油、木醋液</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专用收集桶收集后暂存于</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危废暂存间</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，并设置危险废物识别标志，</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而后委托有资质单位定期清运处置。</w:t>
                  </w:r>
                </w:p>
              </w:tc>
              <w:tc>
                <w:tcPr>
                  <w:tcW w:w="582"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5</w:t>
                  </w:r>
                </w:p>
              </w:tc>
              <w:tc>
                <w:tcPr>
                  <w:tcW w:w="451"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废机油</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设置1间危废暂存间</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m²</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暂存废</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油等危险废物，危险废物进行分区放置，危废暂存间严格按照《危险废物贮存污染控制标准》（GB18597-2023）要求进行建设，设置危险废物暂存间地面采取防渗措施，防渗层为至少1m厚粘土层（渗透系数不大于10</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cm/s），或其他防渗性能等效材料，危废暂存间在废矿物油四周建设不低于20cm的围堰，设危废暂存间标识牌和转移台账</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；废机油、废油桶专用容器收集后暂存于危废暂存间，而后委托有资质单位定期清运处置。</w:t>
                  </w:r>
                </w:p>
              </w:tc>
              <w:tc>
                <w:tcPr>
                  <w:tcW w:w="58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51"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噪声</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噪声</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设备安装减震垫</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维修保养</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0.5</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合计</w:t>
                  </w:r>
                </w:p>
              </w:tc>
              <w:tc>
                <w:tcPr>
                  <w:tcW w:w="828"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w w:val="101"/>
                      <w:position w:val="1"/>
                      <w:sz w:val="21"/>
                      <w:szCs w:val="21"/>
                      <w:highlight w:val="none"/>
                      <w14:textFill>
                        <w14:solidFill>
                          <w14:schemeClr w14:val="tx1"/>
                        </w14:solidFill>
                      </w14:textFill>
                    </w:rPr>
                    <w:t>/</w:t>
                  </w:r>
                </w:p>
              </w:tc>
              <w:tc>
                <w:tcPr>
                  <w:tcW w:w="276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29.69</w:t>
                  </w:r>
                </w:p>
              </w:tc>
              <w:tc>
                <w:tcPr>
                  <w:tcW w:w="451"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5" w:type="dxa"/>
            <w:noWrap w:val="0"/>
            <w:vAlign w:val="center"/>
          </w:tcPr>
          <w:p>
            <w:pPr>
              <w:pStyle w:val="14"/>
              <w:adjustRightInd w:val="0"/>
              <w:snapToGrid w:val="0"/>
              <w:spacing w:before="0" w:beforeAutospacing="0" w:after="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工艺流程和产排污环节</w:t>
            </w:r>
          </w:p>
        </w:tc>
        <w:tc>
          <w:tcPr>
            <w:tcW w:w="9237"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bookmarkStart w:id="9" w:name="_Toc29434"/>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（一）工艺流程简述</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1、施工期</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根据现场踏勘结果，本项目</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尚未开工建设</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1"/>
                <w14:textFill>
                  <w14:solidFill>
                    <w14:schemeClr w14:val="tx1"/>
                  </w14:solidFill>
                </w14:textFill>
              </w:rPr>
              <w:t>项目施工期工作主要分为施工队进场、基础开挖、钢棚修建、安装设备、清场、整地、绿化、工程验收及工程运营等步骤</w:t>
            </w:r>
            <w:r>
              <w:rPr>
                <w:rFonts w:hint="eastAsia" w:ascii="Times New Roman" w:hAnsi="Times New Roman" w:eastAsia="宋体" w:cs="Times New Roman"/>
                <w:bCs/>
                <w:color w:val="000000" w:themeColor="text1"/>
                <w:sz w:val="24"/>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施工期主要工序及排污节点见下图。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935" distR="114935">
                  <wp:extent cx="5267325" cy="3184525"/>
                  <wp:effectExtent l="0" t="0" r="952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7325" cy="3184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图2-1  项目施工</w:t>
            </w:r>
            <w:r>
              <w:rPr>
                <w:rFonts w:hint="default" w:ascii="Times New Roman" w:hAnsi="Times New Roman" w:eastAsia="宋体" w:cs="Times New Roman"/>
                <w:b/>
                <w:color w:val="000000" w:themeColor="text1"/>
                <w:sz w:val="24"/>
                <w14:textFill>
                  <w14:solidFill>
                    <w14:schemeClr w14:val="tx1"/>
                  </w14:solidFill>
                </w14:textFill>
              </w:rPr>
              <w:t>期</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工艺流程及产污节点图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2、运营期</w:t>
            </w:r>
            <w:bookmarkEnd w:id="9"/>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（1）工艺流程及产污节点图</w:t>
            </w:r>
          </w:p>
          <w:p>
            <w:pPr>
              <w:pStyle w:val="32"/>
              <w:ind w:firstLine="480"/>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t>本项目营运期工艺流程如图</w:t>
            </w:r>
            <w:r>
              <w:rPr>
                <w:rFonts w:hint="eastAsia" w:eastAsia="宋体" w:cs="Times New Roman"/>
                <w:b w:val="0"/>
                <w:bCs/>
                <w:color w:val="000000" w:themeColor="text1"/>
                <w:szCs w:val="24"/>
                <w:highlight w:val="none"/>
                <w:lang w:val="en-US" w:eastAsia="zh-CN"/>
                <w14:textFill>
                  <w14:solidFill>
                    <w14:schemeClr w14:val="tx1"/>
                  </w14:solidFill>
                </w14:textFill>
              </w:rPr>
              <w:t>2-2、图2-3</w:t>
            </w:r>
            <w:r>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object>
                <v:shape id="_x0000_i1025" o:spt="75" type="#_x0000_t75" style="height:164.15pt;width:323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after="313" w:afterLines="100" w:line="24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项目运营期生活区产污环节流程图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object>
                <v:shape id="_x0000_i1026" o:spt="75" type="#_x0000_t75" style="height:505.15pt;width:445.5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项目运营期生产工艺流程</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产排污节点图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object>
                <v:shape id="_x0000_i1027" o:spt="75" type="#_x0000_t75" style="height:348.6pt;width:434.15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项目运营期</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废气收集线路图</w:t>
            </w:r>
          </w:p>
          <w:p>
            <w:pPr>
              <w:pStyle w:val="32"/>
              <w:ind w:firstLine="482"/>
              <w:rPr>
                <w:rFonts w:hint="default" w:ascii="Times New Roman" w:hAnsi="Times New Roman" w:eastAsia="宋体" w:cs="Times New Roman"/>
                <w:b/>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Cs w:val="24"/>
                <w:highlight w:val="none"/>
                <w14:textFill>
                  <w14:solidFill>
                    <w14:schemeClr w14:val="tx1"/>
                  </w14:solidFill>
                </w14:textFill>
              </w:rPr>
              <w:t>工艺流程简</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本项目使用的原料为家具、木材厂生产过程产生的木屑、锯末、</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木材边角料等，通过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破碎、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、制棒、炭化等工艺，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制成环保机制炭；通过破碎、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制粒等工艺，制成生物质颗粒或生物质猫砂颗粒</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。项目生产工艺简述如下：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①</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原料暂存：</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项目外购木屑、锯末、</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木材边角料在项目区原料暂存区暂存，原料暂存过程由于人为扰动会产生粉尘。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②铲装上料：</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原料堆场废木材边角料、锯末、木屑通过叉车铲装上料，该过程由于机械扰动会产生粉尘，叉车运行会产生噪声。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③破碎：</w:t>
            </w:r>
            <w:r>
              <w:rPr>
                <w:rFonts w:hint="eastAsia"/>
                <w:color w:val="000000" w:themeColor="text1"/>
                <w:lang w:val="en-US" w:eastAsia="zh-CN"/>
                <w14:textFill>
                  <w14:solidFill>
                    <w14:schemeClr w14:val="tx1"/>
                  </w14:solidFill>
                </w14:textFill>
              </w:rPr>
              <w:t>将收购而来的</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eastAsia"/>
                <w:color w:val="000000" w:themeColor="text1"/>
                <w:lang w:val="en-US" w:eastAsia="zh-CN"/>
                <w14:textFill>
                  <w14:solidFill>
                    <w14:schemeClr w14:val="tx1"/>
                  </w14:solidFill>
                </w14:textFill>
              </w:rPr>
              <w:t>木材边角料等大块原料破碎成细小原料。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破碎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过程主要产生的污染物为粉尘、噪声。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④</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粉碎：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收购而来的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木屑、锯末</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与破碎为细小原料的</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木材边角料通过皮带输送机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进入粉碎机粉碎成颗粒。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粉碎过程主要产生的污染物为粉尘、噪声。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木屑、锯末</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木材边角料分开暂存，经破碎、粉碎后粒径能达到生产要求，无需筛分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破碎和粉碎工序</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设置于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封闭</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厂房内，</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产生的粉尘由集气罩收集到1#布袋除尘器处理，后通过</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15m</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排气筒（</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）呈有组织排放。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⑤环保机制炭生产工艺</w:t>
            </w:r>
          </w:p>
          <w:p>
            <w:pPr>
              <w:pStyle w:val="32"/>
              <w:ind w:firstLine="482"/>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Cs w:val="24"/>
                <w:highlight w:val="none"/>
                <w:lang w:val="en-US" w:eastAsia="zh-CN"/>
                <w14:textFill>
                  <w14:solidFill>
                    <w14:schemeClr w14:val="tx1"/>
                  </w14:solidFill>
                </w14:textFill>
              </w:rPr>
              <w:t>a</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粉碎后原料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含水率约为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%，根据工艺要求，原料含水率需达到10%，因此需要对原料进行烘干处理。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烘干工序中设备主要由热风炉、</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气流式烘干机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、出料装置、引风机、除尘系统组成</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热风炉的热源为生物质颗粒燃烧的热量及</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炭化炉</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产生的可燃性气体燃烧的热量。</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项目粉碎后的粉料由皮带输送机送进气流式烘干机烘干，输送过程封闭，热风炉</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燃烧产生的高温气流与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一起进入烘干机内，为直接加热，在热量输送过程中，将</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的水分蒸发，得到干燥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生物质燃料燃烧后的灰渣和炭化灰渣委托周边村民定期清运用作农肥。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烘干过程及热风炉燃烧产生的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废气</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通过废气收集管道和</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风机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风量为20000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³/h</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引至</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2#布袋除尘器</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装置（粉尘去除效率为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94.8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处理，而</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后由1根15m排气筒（DA00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）呈有组织排放。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b</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、制棒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后的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投入制棒机中，制棒机由电机、壳体、压力轴承、螺旋推进器、成型筒、加热圈、折棒器、皮带轮等器件组成。在电机带动下，推进器高速旋转，用自身的螺旋将原料带入成型筒，成型筒通过加热圈加温，使原料中的木质素成分软化，黏合能力增强，再加之推进器头道螺旋的高强度挤压，最终得到高密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高硬度的成型棒，本项目生产过程中不采用黏合剂。</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压制过程主要是机械过程，能源采用电能，此过程中会产生噪声及少量颗粒物；项目设有4台制棒机，颗粒物通过每台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制棒机外整体收集罩收集到废气收集管道，统一引至2#布袋除尘器处理，而后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、炭化</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项目设有4台炭化炉，通过制棒机挤压成型的木棒</w:t>
            </w:r>
            <w:r>
              <w:rPr>
                <w:rFonts w:hint="default" w:ascii="Times New Roman" w:hAnsi="Times New Roman" w:eastAsia="宋体" w:cs="Times New Roman"/>
                <w:color w:val="000000" w:themeColor="text1"/>
                <w:sz w:val="24"/>
                <w14:textFill>
                  <w14:solidFill>
                    <w14:schemeClr w14:val="tx1"/>
                  </w14:solidFill>
                </w14:textFill>
              </w:rPr>
              <w:t>在</w:t>
            </w:r>
            <w:r>
              <w:rPr>
                <w:rFonts w:hint="eastAsia" w:ascii="Times New Roman" w:hAnsi="Times New Roman" w:eastAsia="宋体" w:cs="Times New Roman"/>
                <w:color w:val="000000" w:themeColor="text1"/>
                <w:sz w:val="24"/>
                <w:lang w:eastAsia="zh-CN"/>
                <w14:textFill>
                  <w14:solidFill>
                    <w14:schemeClr w14:val="tx1"/>
                  </w14:solidFill>
                </w14:textFill>
              </w:rPr>
              <w:t>炭化炉</w:t>
            </w:r>
            <w:r>
              <w:rPr>
                <w:rFonts w:hint="default" w:ascii="Times New Roman" w:hAnsi="Times New Roman" w:eastAsia="宋体" w:cs="Times New Roman"/>
                <w:color w:val="000000" w:themeColor="text1"/>
                <w:sz w:val="24"/>
                <w14:textFill>
                  <w14:solidFill>
                    <w14:schemeClr w14:val="tx1"/>
                  </w14:solidFill>
                </w14:textFill>
              </w:rPr>
              <w:t>中均匀装料</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炭化炉</w:t>
            </w:r>
            <w:r>
              <w:rPr>
                <w:rFonts w:hint="default" w:ascii="Times New Roman" w:hAnsi="Times New Roman" w:eastAsia="宋体" w:cs="Times New Roman"/>
                <w:color w:val="000000" w:themeColor="text1"/>
                <w:sz w:val="24"/>
                <w:lang w:val="en-US" w:eastAsia="zh-CN"/>
                <w14:textFill>
                  <w14:solidFill>
                    <w14:schemeClr w14:val="tx1"/>
                  </w14:solidFill>
                </w14:textFill>
              </w:rPr>
              <w:t>内部</w:t>
            </w:r>
            <w:r>
              <w:rPr>
                <w:rFonts w:hint="default" w:ascii="Times New Roman" w:hAnsi="Times New Roman" w:eastAsia="宋体" w:cs="Times New Roman"/>
                <w:color w:val="000000" w:themeColor="text1"/>
                <w:sz w:val="24"/>
                <w14:textFill>
                  <w14:solidFill>
                    <w14:schemeClr w14:val="tx1"/>
                  </w14:solidFill>
                </w14:textFill>
              </w:rPr>
              <w:t>铺上一层</w:t>
            </w:r>
            <w:r>
              <w:rPr>
                <w:rFonts w:hint="eastAsia" w:ascii="Times New Roman" w:hAnsi="Times New Roman" w:cs="Times New Roman"/>
                <w:color w:val="000000" w:themeColor="text1"/>
                <w:sz w:val="24"/>
                <w:lang w:val="en-US" w:eastAsia="zh-CN"/>
                <w14:textFill>
                  <w14:solidFill>
                    <w14:schemeClr w14:val="tx1"/>
                  </w14:solidFill>
                </w14:textFill>
              </w:rPr>
              <w:t>边角料</w:t>
            </w:r>
            <w:r>
              <w:rPr>
                <w:rFonts w:hint="default" w:ascii="Times New Roman" w:hAnsi="Times New Roman" w:eastAsia="宋体" w:cs="Times New Roman"/>
                <w:color w:val="000000" w:themeColor="text1"/>
                <w:sz w:val="24"/>
                <w14:textFill>
                  <w14:solidFill>
                    <w14:schemeClr w14:val="tx1"/>
                  </w14:solidFill>
                </w14:textFill>
              </w:rPr>
              <w:t>用于引火，关闭窑盖、窑门，但必须保持烟气出口的畅通。装窑完成</w:t>
            </w:r>
            <w:r>
              <w:rPr>
                <w:rFonts w:hint="default" w:ascii="Times New Roman" w:hAnsi="Times New Roman" w:eastAsia="宋体" w:cs="Times New Roman"/>
                <w:color w:val="000000" w:themeColor="text1"/>
                <w:sz w:val="24"/>
                <w:lang w:val="en-US" w:eastAsia="zh-CN"/>
                <w14:textFill>
                  <w14:solidFill>
                    <w14:schemeClr w14:val="tx1"/>
                  </w14:solidFill>
                </w14:textFill>
              </w:rPr>
              <w:t>后</w:t>
            </w:r>
            <w:r>
              <w:rPr>
                <w:rFonts w:hint="default" w:ascii="Times New Roman" w:hAnsi="Times New Roman" w:eastAsia="宋体" w:cs="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将</w:t>
            </w:r>
            <w:r>
              <w:rPr>
                <w:rFonts w:hint="eastAsia" w:ascii="Times New Roman" w:hAnsi="Times New Roman"/>
                <w:color w:val="000000" w:themeColor="text1"/>
                <w:sz w:val="24"/>
                <w:lang w:eastAsia="zh-CN"/>
                <w14:textFill>
                  <w14:solidFill>
                    <w14:schemeClr w14:val="tx1"/>
                  </w14:solidFill>
                </w14:textFill>
              </w:rPr>
              <w:t>炭化炉</w:t>
            </w:r>
            <w:r>
              <w:rPr>
                <w:rFonts w:ascii="Times New Roman" w:hAnsi="Times New Roman"/>
                <w:color w:val="000000" w:themeColor="text1"/>
                <w:sz w:val="24"/>
                <w14:textFill>
                  <w14:solidFill>
                    <w14:schemeClr w14:val="tx1"/>
                  </w14:solidFill>
                </w14:textFill>
              </w:rPr>
              <w:t>内</w:t>
            </w:r>
            <w:r>
              <w:rPr>
                <w:rFonts w:hint="default" w:ascii="Times New Roman" w:hAnsi="Times New Roman" w:eastAsia="宋体" w:cs="Times New Roman"/>
                <w:color w:val="000000" w:themeColor="text1"/>
                <w:sz w:val="24"/>
                <w14:textFill>
                  <w14:solidFill>
                    <w14:schemeClr w14:val="tx1"/>
                  </w14:solidFill>
                </w14:textFill>
              </w:rPr>
              <w:t>成型木棒</w:t>
            </w:r>
            <w:r>
              <w:rPr>
                <w:rFonts w:ascii="Times New Roman" w:hAnsi="Times New Roman"/>
                <w:color w:val="000000" w:themeColor="text1"/>
                <w:sz w:val="24"/>
                <w14:textFill>
                  <w14:solidFill>
                    <w14:schemeClr w14:val="tx1"/>
                  </w14:solidFill>
                </w14:textFill>
              </w:rPr>
              <w:t>引燃点火。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炭化是将半成品炭棒在缺氧的条件下干馏成木炭的过程，其工作原理是半成品炭棒在缺氧的条件下，燃烧而分解生成可燃气体、焦油和黑色物质木炭，炭化过程是机制炭生产中最重要的一个过程，可分为四个阶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ⅰ、</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干燥阶段：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此阶段为半成品炭棒在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内在120~150℃温度下逐渐干燥，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内会有白色水蒸气产生。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ⅱ、</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预炭化阶段：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在150~250℃温度范围内，不稳定组分半纤维素开始分解。</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内气体由白色变为棕褐色，产生的主要气体为木焦油。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ⅲ、</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炭化阶段：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在260~290℃温度范围内，纤维素、木质素等开始剧烈分解，</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内气体由棕褐色变为暗褐色，产生的主要气体为木焦油和木煤气</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；参考《民用木煤气的研究》（中国林科院林业化工研究所 金淳，应浩张进平，雷振天，郑文辉，陆宝瑛，黄丽娟），木煤气成分为氮气、氢气、一氧化碳等，燃烧后主要成分为水蒸气和二氧化碳，木煤气平均成分见表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表2-11 木煤气主要组分    单位：%</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24"/>
              <w:gridCol w:w="1125"/>
              <w:gridCol w:w="1125"/>
              <w:gridCol w:w="1127"/>
              <w:gridCol w:w="1127"/>
              <w:gridCol w:w="112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项目</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H</w:t>
                  </w:r>
                  <w:r>
                    <w:rPr>
                      <w:rFonts w:hint="eastAsia"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O</w:t>
                  </w:r>
                  <w:r>
                    <w:rPr>
                      <w:rFonts w:hint="eastAsia"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CO</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CH</w:t>
                  </w:r>
                  <w:r>
                    <w:rPr>
                      <w:rFonts w:hint="eastAsia"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4</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CO</w:t>
                  </w:r>
                  <w:r>
                    <w:rPr>
                      <w:rFonts w:hint="eastAsia"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CnHm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含量</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10.79</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0.75</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51.43</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20.4</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4.98</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11.1</w:t>
                  </w:r>
                </w:p>
              </w:tc>
              <w:tc>
                <w:tcPr>
                  <w:tcW w:w="6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0.55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ⅳ、</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煅烧阶段：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在450~1000℃温度范围内，热解过程基本结束，基本无气体生成，此阶段主要排出木炭表面残留挥发分，增加固定炭含量。炭化过程中产生的木焦油及烟气等经过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炉与炉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之间的火道加热提温到800～1000℃，使烟道内的木焦油、烟气等充分燃烧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此过程主要产生：可燃气体，主要成分为甲烷、一氧化碳、丁烷、二氧化碳等物质、SO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、烟尘。</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查询《木焦油及其馏分有机成分分析》（华中科技大学煤燃烧国家重点实验室隋海清，王贤华，邱敬爱，李允超，邹俊，杨海平）。木焦油、木醋液主要成分为烃类、酸类、酚类等有机化合物。木煤气、木焦油和木醋液等燃烧产物主要为二氧化碳和水蒸气，及少量无法完全燃烧的有机废气。</w:t>
            </w:r>
          </w:p>
          <w:p>
            <w:pPr>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项目设置4台连续式炭化炉，其由</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HYPERLINK "https://baike.so.com/doc/6000696-6213671.html" \t "https://baike.so.com/doc/_blank"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燃烧室</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、碳化室、型煤出入装置、煤气回收利用系统</w:t>
            </w:r>
            <w:r>
              <w:rPr>
                <w:rFonts w:hint="eastAsia" w:ascii="Times New Roman" w:hAnsi="Times New Roman" w:eastAsia="宋体" w:cs="Times New Roman"/>
                <w:color w:val="000000" w:themeColor="text1"/>
                <w:sz w:val="24"/>
                <w:lang w:val="en-US" w:eastAsia="zh-CN"/>
                <w14:textFill>
                  <w14:solidFill>
                    <w14:schemeClr w14:val="tx1"/>
                  </w14:solidFill>
                </w14:textFill>
              </w:rPr>
              <w:t>组成。</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其自带的烟气回收装置可将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炭化过程中产生的烟气通过管道引至烘干系统燃烧室进一步充分燃烧，为烘干系统提供热能</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，烟气最终</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通过</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烟道直接引至</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2#布袋除尘器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处理</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，而</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后</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由</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15m排气筒（DA00</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）排放。</w:t>
            </w:r>
          </w:p>
          <w:p>
            <w:pPr>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炭化过程中会产生</w:t>
            </w:r>
            <w:r>
              <w:rPr>
                <w:rFonts w:hint="eastAsia" w:ascii="Times New Roman" w:hAnsi="Times New Roman" w:eastAsia="宋体" w:cs="Times New Roman"/>
                <w:color w:val="000000" w:themeColor="text1"/>
                <w:szCs w:val="24"/>
                <w:lang w:val="en-US" w:eastAsia="zh-CN"/>
                <w14:textFill>
                  <w14:solidFill>
                    <w14:schemeClr w14:val="tx1"/>
                  </w14:solidFill>
                </w14:textFill>
              </w:rPr>
              <w:t>气态木焦油、木醋液，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热风炉和</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内温度较高，木焦油及木醋液大部分可燃烧分解，</w:t>
            </w:r>
            <w:r>
              <w:rPr>
                <w:rFonts w:hint="eastAsia" w:ascii="Times New Roman" w:hAnsi="Times New Roman" w:eastAsia="宋体" w:cs="Times New Roman"/>
                <w:color w:val="000000" w:themeColor="text1"/>
                <w:szCs w:val="24"/>
                <w:lang w:val="en-US" w:eastAsia="zh-CN"/>
                <w14:textFill>
                  <w14:solidFill>
                    <w14:schemeClr w14:val="tx1"/>
                  </w14:solidFill>
                </w14:textFill>
              </w:rPr>
              <w:t>但</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加热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结束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，烟气管道冷凝后会有少量的木焦油及木醋液存于管道中</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冷凝后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木焦油</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木醋液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使用专用收集桶集中收集后，暂存于危险废物暂存</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所，并设置危险废物识别标志，由具有《危险废物经营许可证》的单位定期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清运处置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inline distT="0" distB="0" distL="114300" distR="114300">
                  <wp:extent cx="4972685" cy="2712085"/>
                  <wp:effectExtent l="0" t="0" r="18415" b="12065"/>
                  <wp:docPr id="4" name="图片 4" descr="3ff9f6f0e2ccd077397cafd6860d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f9f6f0e2ccd077397cafd6860d7a0"/>
                          <pic:cNvPicPr>
                            <a:picLocks noChangeAspect="1"/>
                          </pic:cNvPicPr>
                        </pic:nvPicPr>
                        <pic:blipFill>
                          <a:blip r:embed="rId16"/>
                          <a:stretch>
                            <a:fillRect/>
                          </a:stretch>
                        </pic:blipFill>
                        <pic:spPr>
                          <a:xfrm>
                            <a:off x="0" y="0"/>
                            <a:ext cx="4972685" cy="2712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图2-4 炭化炉炉体结构</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d</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冷却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待</w:t>
            </w:r>
            <w:r>
              <w:rPr>
                <w:rFonts w:hint="eastAsia" w:ascii="Times New Roman" w:hAnsi="Times New Roman" w:eastAsia="宋体" w:cs="Times New Roman"/>
                <w:color w:val="000000" w:themeColor="text1"/>
                <w:sz w:val="24"/>
                <w:lang w:eastAsia="zh-CN"/>
                <w14:textFill>
                  <w14:solidFill>
                    <w14:schemeClr w14:val="tx1"/>
                  </w14:solidFill>
                </w14:textFill>
              </w:rPr>
              <w:t>炭化炉</w:t>
            </w:r>
            <w:r>
              <w:rPr>
                <w:rFonts w:hint="default" w:ascii="Times New Roman" w:hAnsi="Times New Roman" w:eastAsia="宋体" w:cs="Times New Roman"/>
                <w:color w:val="000000" w:themeColor="text1"/>
                <w:sz w:val="24"/>
                <w14:textFill>
                  <w14:solidFill>
                    <w14:schemeClr w14:val="tx1"/>
                  </w14:solidFill>
                </w14:textFill>
              </w:rPr>
              <w:t>中的原料全部炭化完毕后，关闭</w:t>
            </w:r>
            <w:r>
              <w:rPr>
                <w:rFonts w:hint="eastAsia" w:ascii="Times New Roman" w:hAnsi="Times New Roman" w:eastAsia="宋体" w:cs="Times New Roman"/>
                <w:color w:val="000000" w:themeColor="text1"/>
                <w:sz w:val="24"/>
                <w:lang w:eastAsia="zh-CN"/>
                <w14:textFill>
                  <w14:solidFill>
                    <w14:schemeClr w14:val="tx1"/>
                  </w14:solidFill>
                </w14:textFill>
              </w:rPr>
              <w:t>炭化炉</w:t>
            </w:r>
            <w:r>
              <w:rPr>
                <w:rFonts w:hint="default" w:ascii="Times New Roman" w:hAnsi="Times New Roman" w:eastAsia="宋体" w:cs="Times New Roman"/>
                <w:color w:val="000000" w:themeColor="text1"/>
                <w:sz w:val="24"/>
                <w14:textFill>
                  <w14:solidFill>
                    <w14:schemeClr w14:val="tx1"/>
                  </w14:solidFill>
                </w14:textFill>
              </w:rPr>
              <w:t>所有的炉门和烟气进出口通道，后在窑内进行冷却，冷却初期可能需要在木炭表面洒少量水扑灭火星。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e</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、成品包装、入库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冷却后得到机制炭成品，</w:t>
            </w:r>
            <w:r>
              <w:rPr>
                <w:rFonts w:hint="default" w:ascii="Times New Roman" w:hAnsi="Times New Roman" w:eastAsia="宋体" w:cs="Times New Roman"/>
                <w:color w:val="000000" w:themeColor="text1"/>
                <w:sz w:val="24"/>
                <w14:textFill>
                  <w14:solidFill>
                    <w14:schemeClr w14:val="tx1"/>
                  </w14:solidFill>
                </w14:textFill>
              </w:rPr>
              <w:t>将成品包装，进入成品仓库</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等待外售。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⑥生物质颗粒、生物质猫砂颗粒生产工艺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a、烘干</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：粉碎后物料通过皮带输送机送至烘干炉进行直接烘干，烘干过程会产生噪声、烘干废气，烘干废气经2#布袋除尘器处理后通过15m高排气筒（DA002）排放。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烘干热风由热风炉燃烧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生物质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（生物质颗粒）提供，热风炉燃烧生物质颗粒过程会产生燃烧废气、炉渣。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烘干前物料含水率为25%，烘干后物料含水率为4%~8%。</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b、制粒</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：烘干后物料由皮带输送机送至生物质颗粒制粒机或生物质猫砂颗粒制粒机进行挤压成型，挤压成型过程会产生噪声、粉尘，粉尘由集气罩收集到1#布袋除尘器处理，后通过</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15m</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排气筒（</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）呈有组织排放。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c、包装</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：挤压成型后物料送至包装机进行包装，包装过程会产生粉尘、噪声。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包装后成品部分暂存于成品堆场外售、部分用于本项目作燃料。</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（二）产排污环节</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1、施工期产污环节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根据现场踏勘，项目主要产生的污染环节为：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（1）废气：施工期产生的主要大气污染物主要为施工工地扬尘、道路运输扬尘、运输及动力设备运行时产生的燃油废气。项目工期短，各大气污染物排放量较少。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（2）废水：主要为施工人员产生的生活污水和建设施工产生的施工废水。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（3）噪声：施工机械噪声及车辆运输产生的噪声。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（4）固废：主要为废包装材料及施工人员产生的生活垃圾。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2、营运期产污环节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项目污染物产排环节如下表所示：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污染物产生点及处置措施一览表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46"/>
              <w:gridCol w:w="919"/>
              <w:gridCol w:w="1416"/>
              <w:gridCol w:w="4157"/>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类别</w:t>
                  </w: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产生节点</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处置措施</w:t>
                  </w:r>
                </w:p>
              </w:tc>
              <w:tc>
                <w:tcPr>
                  <w:tcW w:w="62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破碎、</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粉碎</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制粒</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集气罩收集到1#布袋除尘器处理，后通过</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排气筒（</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DA001</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）呈有组织排放。</w:t>
                  </w:r>
                </w:p>
              </w:tc>
              <w:tc>
                <w:tcPr>
                  <w:tcW w:w="62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环保机制炭生产线</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烘干、炭化、制棒</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颗粒物、SO</w:t>
                  </w:r>
                  <w:r>
                    <w:rPr>
                      <w:rFonts w:hint="default" w:ascii="Times New Roman" w:hAnsi="Times New Roman" w:eastAsia="宋体" w:cs="Times New Roman"/>
                      <w:b w:val="0"/>
                      <w:bCs/>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、NOx</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、非甲烷总烃</w:t>
                  </w:r>
                </w:p>
              </w:tc>
              <w:tc>
                <w:tcPr>
                  <w:tcW w:w="2307"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设置一套</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2#布袋除尘器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装置</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处理，而</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后</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由</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一根15m排气筒排放</w:t>
                  </w:r>
                </w:p>
              </w:tc>
              <w:tc>
                <w:tcPr>
                  <w:tcW w:w="622"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生物质颗粒生产线烘干</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颗粒物、SO</w:t>
                  </w:r>
                  <w:r>
                    <w:rPr>
                      <w:rFonts w:hint="default" w:ascii="Times New Roman" w:hAnsi="Times New Roman" w:eastAsia="宋体" w:cs="Times New Roman"/>
                      <w:b w:val="0"/>
                      <w:bCs/>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、NOx</w:t>
                  </w:r>
                </w:p>
              </w:tc>
              <w:tc>
                <w:tcPr>
                  <w:tcW w:w="2307"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食堂</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油烟</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1台小型油烟净化器（风量2000m³/h，净化效率60%）处理</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后由</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高于屋顶排气筒排放</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62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生活、办公</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、SS、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14:textFill>
                        <w14:solidFill>
                          <w14:schemeClr w14:val="tx1"/>
                        </w14:solidFill>
                      </w14:textFill>
                    </w:rPr>
                    <w:t>、总氮、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TP</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62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414"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w:t>
                  </w:r>
                </w:p>
              </w:tc>
              <w:tc>
                <w:tcPr>
                  <w:tcW w:w="510"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生活、办公</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设置垃圾回收桶，生活垃圾分类收集后，</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由当地环卫部门定期清运处置</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622"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4"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0"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化粪池污泥</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由当地环卫部门定期清运处置。</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4"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0"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食堂泔水、隔油池废油</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泔水桶收集后交由有资质单位处置。</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414"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510"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灰渣</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统一收集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后委托周边农户清运用作农肥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414"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510"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布袋除尘灰</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收集后作为原料回用于生产。</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14" w:type="pct"/>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w:t>
                  </w:r>
                </w:p>
              </w:tc>
              <w:tc>
                <w:tcPr>
                  <w:tcW w:w="510"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木焦油、木醋液</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专用容器收集后暂存于危废暂存间，而后委托有资质单位定期清运处置。</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4"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0"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设备维修润滑</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废机油</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专用容器收集后暂存于危废暂存间，而后委托有资质单位定期清运处置。</w:t>
                  </w:r>
                </w:p>
              </w:tc>
              <w:tc>
                <w:tcPr>
                  <w:tcW w:w="62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924" w:type="pct"/>
                  <w:gridSpan w:val="2"/>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生产设备</w:t>
                  </w:r>
                </w:p>
              </w:tc>
              <w:tc>
                <w:tcPr>
                  <w:tcW w:w="786"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等效声级</w:t>
                  </w:r>
                </w:p>
              </w:tc>
              <w:tc>
                <w:tcPr>
                  <w:tcW w:w="2307"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墙体隔声、安装减震垫、距离衰减等</w:t>
                  </w:r>
                </w:p>
              </w:tc>
              <w:tc>
                <w:tcPr>
                  <w:tcW w:w="622" w:type="pc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（三）物料平衡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根据计算，项目物料平衡如下：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项目物料平衡一览表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396"/>
              <w:gridCol w:w="1423"/>
              <w:gridCol w:w="1780"/>
              <w:gridCol w:w="152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进项</w:t>
                  </w:r>
                </w:p>
              </w:tc>
              <w:tc>
                <w:tcPr>
                  <w:tcW w:w="242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年</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消耗</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量（t）</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占比</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年</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产生</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量（t）</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木屑、锯末</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7000</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29.279%</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环保机制炭</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1500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14:textFill>
                        <w14:solidFill>
                          <w14:schemeClr w14:val="tx1"/>
                        </w14:solidFill>
                      </w14:textFill>
                    </w:rPr>
                    <w:t>木材边角料</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15807.8</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66.120%</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生物质颗粒</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6000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生物质颗粒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燃料</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1100</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4.601%</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生物质猫砂颗粒</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6000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62.885</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二氧化硫</w:t>
                  </w:r>
                </w:p>
              </w:tc>
              <w:tc>
                <w:tcPr>
                  <w:tcW w:w="844"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4.42</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氮氧化物</w:t>
                  </w:r>
                </w:p>
              </w:tc>
              <w:tc>
                <w:tcPr>
                  <w:tcW w:w="844"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2.652</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844" w:type="pct"/>
                  <w:noWrap w:val="0"/>
                  <w:vAlign w:val="center"/>
                </w:tcPr>
                <w:p>
                  <w:pPr>
                    <w:pStyle w:val="39"/>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1.275</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灰渣</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16.5</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木焦油、木醋液</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690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水蒸气</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9629.91</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23907.8</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23907.8</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000000" w:themeColor="text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5" w:type="dxa"/>
            <w:noWrap w:val="0"/>
            <w:vAlign w:val="center"/>
          </w:tcPr>
          <w:p>
            <w:pPr>
              <w:pStyle w:val="14"/>
              <w:adjustRightInd w:val="0"/>
              <w:snapToGrid w:val="0"/>
              <w:spacing w:before="0" w:beforeAutospacing="0" w:after="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与项目有关的原有环境污染问题</w:t>
            </w:r>
          </w:p>
        </w:tc>
        <w:tc>
          <w:tcPr>
            <w:tcW w:w="92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本项目为新建项目，根据现场踏勘，项目</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尚未建设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。周边主要是</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工业企业</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根据建设单位提供资料，项目</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占地原为石棉瓦厂，现该厂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生产设备及设施已完全拆除，场地平整裸露，</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无遗留环境问题</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本项目租赁场地不涉及原有环境污染问题。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000000" w:themeColor="text1"/>
          <w:sz w:val="32"/>
          <w:szCs w:val="32"/>
          <w14:textFill>
            <w14:solidFill>
              <w14:schemeClr w14:val="tx1"/>
            </w14:solidFill>
          </w14:textFill>
        </w:rPr>
      </w:pPr>
      <w:bookmarkStart w:id="10" w:name="_Toc19891"/>
      <w:r>
        <w:rPr>
          <w:rFonts w:hint="default" w:ascii="Times New Roman" w:hAnsi="Times New Roman" w:eastAsia="宋体" w:cs="Times New Roman"/>
          <w:b/>
          <w:bCs/>
          <w:snapToGrid w:val="0"/>
          <w:color w:val="000000" w:themeColor="text1"/>
          <w:sz w:val="32"/>
          <w:szCs w:val="32"/>
          <w14:textFill>
            <w14:solidFill>
              <w14:schemeClr w14:val="tx1"/>
            </w14:solidFill>
          </w14:textFill>
        </w:rPr>
        <w:t>三、区域环境质量现状、环境保护目标及评价标准</w:t>
      </w:r>
      <w:bookmarkEnd w:id="10"/>
    </w:p>
    <w:tbl>
      <w:tblPr>
        <w:tblStyle w:val="17"/>
        <w:tblW w:w="97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9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区域环境质量现状</w:t>
            </w:r>
          </w:p>
        </w:tc>
        <w:tc>
          <w:tcPr>
            <w:tcW w:w="9067" w:type="dxa"/>
            <w:noWrap w:val="0"/>
            <w:vAlign w:val="center"/>
          </w:tcPr>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1、地表水环境质量</w:t>
            </w:r>
            <w:r>
              <w:rPr>
                <w:rFonts w:hint="default" w:ascii="Times New Roman" w:hAnsi="Times New Roman" w:eastAsia="宋体" w:cs="Times New Roman"/>
                <w:b/>
                <w:color w:val="000000" w:themeColor="text1"/>
                <w:sz w:val="24"/>
                <w:szCs w:val="24"/>
                <w:highlight w:val="none"/>
                <w14:textFill>
                  <w14:solidFill>
                    <w14:schemeClr w14:val="tx1"/>
                  </w14:solidFill>
                </w14:textFill>
              </w:rPr>
              <w:t>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根据现场勘查，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离</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最近的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地表水</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为项目区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西北侧1255m处的听湖水库，本项目生产废水循环使用，生活污水排入市政管网，最终进入砚山县第一污水处理厂处理，不会对听湖水库造成影响。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根据《云南省水功能区划（2014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年修订</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听湖水库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全库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属于清水江砚山丘北保留区，起始为“砚山听湖水库库区起始～丘北坝达”，全长138.1km，2023年水环境质量目标为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《地表水环境质量标准》（GB3838-2002）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Ⅱ类</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水质，水域功能为饮用水源、农灌、景观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听湖水库水质现状引用砚山分局生态环境监测站2021年第三季度和2022年第三季度监测报告2021年和2022年第三季度监测结果听湖水库的综合水质并不能达到其水环境功能II类标准，主要超标因子为氨氮、总磷、总氮、BOD</w:t>
            </w:r>
            <w:r>
              <w:rPr>
                <w:rFonts w:hint="eastAsia"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、高锰酸盐指数。从指标来看，属于生活污染源对其影响。超标原因为听湖水库及其支流沿线部分居民区产生的生活污水未经处理直接排入听湖水库及其上游支流。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听湖水库引用《云南宏泰新型材料有限公司年产203万吨电解铝建设项目（一期）竣工环境保护验收监测报告》于2022年12月24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日</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至25日对听湖水库水质状况的监测数据，结果见表3-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听湖水库现状监测结果 单位：mg/L</w:t>
            </w:r>
          </w:p>
          <w:tbl>
            <w:tblPr>
              <w:tblStyle w:val="18"/>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1456"/>
              <w:gridCol w:w="1410"/>
              <w:gridCol w:w="1722"/>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监测日期</w:t>
                  </w:r>
                </w:p>
              </w:tc>
              <w:tc>
                <w:tcPr>
                  <w:tcW w:w="162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监测结果</w:t>
                  </w:r>
                </w:p>
              </w:tc>
              <w:tc>
                <w:tcPr>
                  <w:tcW w:w="97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Ⅱ类标准值</w:t>
                  </w:r>
                </w:p>
              </w:tc>
              <w:tc>
                <w:tcPr>
                  <w:tcW w:w="82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12月24日</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12月25日</w:t>
                  </w:r>
                </w:p>
              </w:tc>
              <w:tc>
                <w:tcPr>
                  <w:tcW w:w="97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pH值</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氟化物</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0.55</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0.63</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化学需氧量（COD）</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五日生化需氧量（BOD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24" w:type="pct"/>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797" w:type="pct"/>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974" w:type="pct"/>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25" w:type="pct"/>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硫化物</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0.01L</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0.01L</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w:t>
                  </w:r>
                </w:p>
              </w:tc>
              <w:tc>
                <w:tcPr>
                  <w:tcW w:w="8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备注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pH为无量纲，其余单位为mg/L</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检出限L</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表示监测结果低于分析方法检出限。</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根据监测结果综合评价，听湖水库水质不能满足《地表水环境质量标准》（GB3838-2002）Ⅱ类标准。根据监测结果，听湖水库主要超标因子为BOD</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，超过标准限值0.27倍，其余指标均达到《地表水环境质量标准》（GB3838-2002）Ⅱ类水质要求。BOD</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属于生活污染源对其影响，超标原因可能为听湖水库周边雨污管网建设不完善，导致听湖水库及其支流沿线部分居民区产生的生活污水未经处理直接排入听湖水库及其上游支流。</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2、环境空气质量现状</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区域达标性判断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建设项目环境影响报告表编制技术指南(污染影响类)(试行)》中常规污染物引用与建设项目距离近的有效数据，包括近3年的规划环境影响评价的监测数据，国家、地方环境空气质量监测网数据或生态环境主管部门公开发布的质量数据等。项目位于砚山县江那镇三星坝工业园区，根据环境空气质量功能区划分原则及项目周围环境情况，项目区属于《环境空气质量标准》（GB3095-2012）二类功能区，执行《环境空气质量标准》（GB3095-2012）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砚山县环境空气自动监测站建设于砚山县民族中学，项目位于砚山县民族中学环境空气自动监测站东南侧3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218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。2024年4月25日，</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文山州生态环境局砚山分局</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发布了《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砚山县2024年第一季度县城环境空气质量监测情况公示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根据监测结果显示，2024年第一季度总天数91天，空气自动监测站有效运行85天，其中优良天数83天，优良率97.6</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、二氧化硫、二氧化氮、一氧化碳、臭氧等6项指标均达到《环境空气质量标准》（GB3095-2012）二级标准。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按照《环境空气质量标准》（GB3095-2012）评价情况，</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项目区</w:t>
            </w:r>
            <w:r>
              <w:rPr>
                <w:rFonts w:hint="default"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t>达到二级标准</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现状监测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解项目区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大气</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环境质量状况，建设单位委托</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云南健牛环境监测有限公司</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对</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项目区非甲烷总烃、总悬浮颗粒物</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环境质量进行</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，具体</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监测及评价如下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autoSpaceDE w:val="0"/>
              <w:autoSpaceDN w:val="0"/>
              <w:adjustRightInd w:val="0"/>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①监测布点：</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环境空气监测点（</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项目区下风向设置1个监测点</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7"/>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482"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②</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监测因子：</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非甲烷总烃、总悬浮颗粒物。</w:t>
            </w:r>
          </w:p>
          <w:p>
            <w:pPr>
              <w:pStyle w:val="37"/>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③监测时间：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④监测频率：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总悬浮颗粒物每天监测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次，监测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天；非甲烷总烃每天监测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次，监测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天；总悬浮颗粒物等速采样；非甲烷总烃瞬时采样。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⑤</w:t>
            </w:r>
            <w:r>
              <w:rPr>
                <w:rFonts w:hint="eastAsia"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监测结果及评价见表3-2、表3-3、表3-4</w:t>
            </w: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napToGrid w:val="0"/>
                <w:color w:val="000000" w:themeColor="text1"/>
                <w:kern w:val="2"/>
                <w:sz w:val="24"/>
                <w:szCs w:val="24"/>
                <w:lang w:val="zh-CN"/>
                <w14:textFill>
                  <w14:solidFill>
                    <w14:schemeClr w14:val="tx1"/>
                  </w14:solidFill>
                </w14:textFill>
              </w:rPr>
            </w:pPr>
            <w:r>
              <w:rPr>
                <w:rFonts w:hint="eastAsia"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cs="宋体"/>
                <w:b/>
                <w:bCs/>
                <w:snapToGrid w:val="0"/>
                <w:color w:val="000000" w:themeColor="text1"/>
                <w:kern w:val="2"/>
                <w:sz w:val="24"/>
                <w:szCs w:val="24"/>
                <w:lang w:val="en-US" w:eastAsia="zh-CN"/>
                <w14:textFill>
                  <w14:solidFill>
                    <w14:schemeClr w14:val="tx1"/>
                  </w14:solidFill>
                </w14:textFill>
              </w:rPr>
              <w:t>2</w:t>
            </w:r>
            <w:r>
              <w:rPr>
                <w:rFonts w:hint="eastAsia" w:ascii="宋体" w:hAnsi="宋体" w:eastAsia="宋体" w:cs="宋体"/>
                <w:b/>
                <w:bCs/>
                <w:snapToGrid w:val="0"/>
                <w:color w:val="000000" w:themeColor="text1"/>
                <w:kern w:val="2"/>
                <w:sz w:val="24"/>
                <w:szCs w:val="24"/>
                <w:lang w:val="zh-CN"/>
                <w14:textFill>
                  <w14:solidFill>
                    <w14:schemeClr w14:val="tx1"/>
                  </w14:solidFill>
                </w14:textFill>
              </w:rPr>
              <w:t xml:space="preserve"> </w:t>
            </w:r>
            <w:r>
              <w:rPr>
                <w:rFonts w:hint="eastAsia" w:ascii="宋体" w:hAnsi="宋体" w:cs="宋体"/>
                <w:b/>
                <w:bCs/>
                <w:snapToGrid w:val="0"/>
                <w:color w:val="000000" w:themeColor="text1"/>
                <w:kern w:val="2"/>
                <w:sz w:val="24"/>
                <w:szCs w:val="24"/>
                <w:lang w:val="en-US" w:eastAsia="zh-CN"/>
                <w14:textFill>
                  <w14:solidFill>
                    <w14:schemeClr w14:val="tx1"/>
                  </w14:solidFill>
                </w14:textFill>
              </w:rPr>
              <w:t>补充监测点位基本信息</w:t>
            </w:r>
          </w:p>
          <w:tbl>
            <w:tblPr>
              <w:tblStyle w:val="18"/>
              <w:tblpPr w:leftFromText="181" w:rightFromText="181" w:bottomFromText="113" w:vertAnchor="text" w:tblpXSpec="lef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627"/>
              <w:gridCol w:w="1614"/>
              <w:gridCol w:w="1520"/>
              <w:gridCol w:w="705"/>
              <w:gridCol w:w="86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监测点名称</w:t>
                  </w:r>
                </w:p>
              </w:tc>
              <w:tc>
                <w:tcPr>
                  <w:tcW w:w="1833" w:type="pct"/>
                  <w:gridSpan w:val="2"/>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监测点坐标</w:t>
                  </w:r>
                </w:p>
              </w:tc>
              <w:tc>
                <w:tcPr>
                  <w:tcW w:w="860"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监测因子</w:t>
                  </w:r>
                </w:p>
              </w:tc>
              <w:tc>
                <w:tcPr>
                  <w:tcW w:w="399"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监测时段</w:t>
                  </w:r>
                </w:p>
              </w:tc>
              <w:tc>
                <w:tcPr>
                  <w:tcW w:w="487"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相对厂址方位</w:t>
                  </w:r>
                </w:p>
              </w:tc>
              <w:tc>
                <w:tcPr>
                  <w:tcW w:w="634"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92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E</w:t>
                  </w:r>
                </w:p>
              </w:tc>
              <w:tc>
                <w:tcPr>
                  <w:tcW w:w="913"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N</w:t>
                  </w:r>
                </w:p>
              </w:tc>
              <w:tc>
                <w:tcPr>
                  <w:tcW w:w="860"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399"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487"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634"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环境空气监测点</w:t>
                  </w:r>
                </w:p>
              </w:tc>
              <w:tc>
                <w:tcPr>
                  <w:tcW w:w="920"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104</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22</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22.139</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913"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23</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37</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16.928</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86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非甲烷总烃总</w:t>
                  </w:r>
                </w:p>
              </w:tc>
              <w:tc>
                <w:tcPr>
                  <w:tcW w:w="399"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24h</w:t>
                  </w:r>
                </w:p>
              </w:tc>
              <w:tc>
                <w:tcPr>
                  <w:tcW w:w="487"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东北</w:t>
                  </w:r>
                </w:p>
              </w:tc>
              <w:tc>
                <w:tcPr>
                  <w:tcW w:w="634"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920"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913"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86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悬浮颗粒物</w:t>
                  </w:r>
                </w:p>
              </w:tc>
              <w:tc>
                <w:tcPr>
                  <w:tcW w:w="399"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24h</w:t>
                  </w:r>
                </w:p>
              </w:tc>
              <w:tc>
                <w:tcPr>
                  <w:tcW w:w="487"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34"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napToGrid w:val="0"/>
                <w:color w:val="000000" w:themeColor="text1"/>
                <w:kern w:val="2"/>
                <w:sz w:val="24"/>
                <w:szCs w:val="24"/>
                <w:lang w:val="zh-CN"/>
                <w14:textFill>
                  <w14:solidFill>
                    <w14:schemeClr w14:val="tx1"/>
                  </w14:solidFill>
                </w14:textFill>
              </w:rPr>
            </w:pPr>
            <w:r>
              <w:rPr>
                <w:rFonts w:hint="eastAsia"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4</w:t>
            </w:r>
            <w:r>
              <w:rPr>
                <w:rFonts w:hint="eastAsia" w:ascii="宋体" w:hAnsi="宋体" w:eastAsia="宋体" w:cs="宋体"/>
                <w:b/>
                <w:bCs/>
                <w:snapToGrid w:val="0"/>
                <w:color w:val="000000" w:themeColor="text1"/>
                <w:kern w:val="2"/>
                <w:sz w:val="24"/>
                <w:szCs w:val="24"/>
                <w:lang w:val="zh-CN"/>
                <w14:textFill>
                  <w14:solidFill>
                    <w14:schemeClr w14:val="tx1"/>
                  </w14:solidFill>
                </w14:textFill>
              </w:rPr>
              <w:t xml:space="preserve"> </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环境质量现状监测结果表</w:t>
            </w:r>
          </w:p>
          <w:tbl>
            <w:tblPr>
              <w:tblStyle w:val="18"/>
              <w:tblpPr w:leftFromText="181" w:rightFromText="181" w:bottomFromText="113"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50"/>
              <w:gridCol w:w="3400"/>
              <w:gridCol w:w="1575"/>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序号</w:t>
                  </w:r>
                </w:p>
              </w:tc>
              <w:tc>
                <w:tcPr>
                  <w:tcW w:w="115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采样点位</w:t>
                  </w:r>
                </w:p>
              </w:tc>
              <w:tc>
                <w:tcPr>
                  <w:tcW w:w="340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采样时间</w:t>
                  </w:r>
                </w:p>
              </w:tc>
              <w:tc>
                <w:tcPr>
                  <w:tcW w:w="1575"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样品编号</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1575"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非甲烷总烃（mg/m³）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w:t>
                  </w:r>
                </w:p>
              </w:tc>
              <w:tc>
                <w:tcPr>
                  <w:tcW w:w="115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环境空气监测点</w:t>
                  </w:r>
                </w:p>
              </w:tc>
              <w:tc>
                <w:tcPr>
                  <w:tcW w:w="340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2024年8月3日</w:t>
                  </w: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08042-Q01-001</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08042-Q01-002</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08042-Q01-003</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08042-Q01-004</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975" w:type="dxa"/>
                  <w:gridSpan w:val="2"/>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平均值</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w:t>
                  </w: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2024年8月4日</w:t>
                  </w: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08042-Q01-005</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08042-Q01-006</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08042-Q01-007</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08042-Q01-008</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975" w:type="dxa"/>
                  <w:gridSpan w:val="2"/>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平均值</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w:t>
                  </w: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2024年8月5日</w:t>
                  </w: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08042-Q01-009</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08042-Q01-010</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08042-Q01-011</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575"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08042-Q01-012</w:t>
                  </w:r>
                </w:p>
              </w:tc>
              <w:tc>
                <w:tcPr>
                  <w:tcW w:w="2076" w:type="dxa"/>
                  <w:vAlign w:val="top"/>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975" w:type="dxa"/>
                  <w:gridSpan w:val="2"/>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平均值</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序号</w:t>
                  </w:r>
                </w:p>
              </w:tc>
              <w:tc>
                <w:tcPr>
                  <w:tcW w:w="115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采样点位</w:t>
                  </w:r>
                </w:p>
              </w:tc>
              <w:tc>
                <w:tcPr>
                  <w:tcW w:w="340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采样时间</w:t>
                  </w:r>
                </w:p>
              </w:tc>
              <w:tc>
                <w:tcPr>
                  <w:tcW w:w="1575"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样品编号</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340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1575"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color w:val="000000" w:themeColor="text1"/>
                      <w14:textFill>
                        <w14:solidFill>
                          <w14:schemeClr w14:val="tx1"/>
                        </w14:solidFill>
                      </w14:textFill>
                    </w:rPr>
                  </w:pP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TSP</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w:t>
                  </w:r>
                </w:p>
              </w:tc>
              <w:tc>
                <w:tcPr>
                  <w:tcW w:w="1150" w:type="dxa"/>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环境空气监测点</w:t>
                  </w:r>
                </w:p>
              </w:tc>
              <w:tc>
                <w:tcPr>
                  <w:tcW w:w="3400"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2024年8月3日</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2024年8月4日</w:t>
                  </w:r>
                </w:p>
              </w:tc>
              <w:tc>
                <w:tcPr>
                  <w:tcW w:w="1575"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08042-Q01-001</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3400"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2024年8月4日</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2024年8月5日</w:t>
                  </w:r>
                </w:p>
              </w:tc>
              <w:tc>
                <w:tcPr>
                  <w:tcW w:w="1575"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08042-001-005</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1150" w:type="dxa"/>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3400"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2024年8月5日</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2024年8月6日</w:t>
                  </w:r>
                </w:p>
              </w:tc>
              <w:tc>
                <w:tcPr>
                  <w:tcW w:w="1575"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08042-Q01-009</w:t>
                  </w:r>
                </w:p>
              </w:tc>
              <w:tc>
                <w:tcPr>
                  <w:tcW w:w="2076" w:type="dxa"/>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0.188</w:t>
                  </w:r>
                </w:p>
              </w:tc>
            </w:tr>
          </w:tbl>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pPr>
            <w:r>
              <w:rPr>
                <w:rFonts w:hint="eastAsia"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4</w:t>
            </w:r>
            <w:r>
              <w:rPr>
                <w:rFonts w:hint="eastAsia" w:ascii="宋体" w:hAnsi="宋体" w:eastAsia="宋体" w:cs="宋体"/>
                <w:b/>
                <w:bCs/>
                <w:snapToGrid w:val="0"/>
                <w:color w:val="000000" w:themeColor="text1"/>
                <w:kern w:val="2"/>
                <w:sz w:val="24"/>
                <w:szCs w:val="24"/>
                <w:lang w:val="zh-CN"/>
                <w14:textFill>
                  <w14:solidFill>
                    <w14:schemeClr w14:val="tx1"/>
                  </w14:solidFill>
                </w14:textFill>
              </w:rPr>
              <w:t xml:space="preserve"> </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环境质量现状表</w:t>
            </w:r>
          </w:p>
          <w:tbl>
            <w:tblPr>
              <w:tblStyle w:val="18"/>
              <w:tblpPr w:leftFromText="181" w:rightFromText="181" w:bottomFromText="113" w:vertAnchor="text" w:tblpXSpec="lef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933"/>
              <w:gridCol w:w="913"/>
              <w:gridCol w:w="1326"/>
              <w:gridCol w:w="692"/>
              <w:gridCol w:w="796"/>
              <w:gridCol w:w="946"/>
              <w:gridCol w:w="936"/>
              <w:gridCol w:w="71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监测点名称</w:t>
                  </w:r>
                </w:p>
              </w:tc>
              <w:tc>
                <w:tcPr>
                  <w:tcW w:w="1044" w:type="pct"/>
                  <w:gridSpan w:val="2"/>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监测点坐标</w:t>
                  </w:r>
                </w:p>
              </w:tc>
              <w:tc>
                <w:tcPr>
                  <w:tcW w:w="750"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污染物</w:t>
                  </w:r>
                </w:p>
              </w:tc>
              <w:tc>
                <w:tcPr>
                  <w:tcW w:w="391"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平均时间</w:t>
                  </w:r>
                </w:p>
              </w:tc>
              <w:tc>
                <w:tcPr>
                  <w:tcW w:w="450"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评价标准/μg/m³</w:t>
                  </w:r>
                </w:p>
              </w:tc>
              <w:tc>
                <w:tcPr>
                  <w:tcW w:w="535"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监测浓度范围/μg/m³</w:t>
                  </w:r>
                </w:p>
              </w:tc>
              <w:tc>
                <w:tcPr>
                  <w:tcW w:w="529"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最大浓度占标率/%</w:t>
                  </w:r>
                </w:p>
              </w:tc>
              <w:tc>
                <w:tcPr>
                  <w:tcW w:w="404"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超标率/%</w:t>
                  </w:r>
                </w:p>
              </w:tc>
              <w:tc>
                <w:tcPr>
                  <w:tcW w:w="386"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528"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E</w:t>
                  </w:r>
                </w:p>
              </w:tc>
              <w:tc>
                <w:tcPr>
                  <w:tcW w:w="516"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t>N</w:t>
                  </w:r>
                </w:p>
              </w:tc>
              <w:tc>
                <w:tcPr>
                  <w:tcW w:w="750"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391"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450"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535"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529"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404"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c>
                <w:tcPr>
                  <w:tcW w:w="386"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环境空气监测点</w:t>
                  </w:r>
                </w:p>
              </w:tc>
              <w:tc>
                <w:tcPr>
                  <w:tcW w:w="528"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104</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22</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22.139</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516" w:type="pct"/>
                  <w:vMerge w:val="restar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23</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37</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16.928</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75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总悬浮颗粒物</w:t>
                  </w:r>
                </w:p>
              </w:tc>
              <w:tc>
                <w:tcPr>
                  <w:tcW w:w="391"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24h</w:t>
                  </w:r>
                </w:p>
              </w:tc>
              <w:tc>
                <w:tcPr>
                  <w:tcW w:w="45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300</w:t>
                  </w:r>
                </w:p>
              </w:tc>
              <w:tc>
                <w:tcPr>
                  <w:tcW w:w="535"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180~</w:t>
                  </w:r>
                </w:p>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188</w:t>
                  </w:r>
                </w:p>
              </w:tc>
              <w:tc>
                <w:tcPr>
                  <w:tcW w:w="529"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63</w:t>
                  </w:r>
                </w:p>
              </w:tc>
              <w:tc>
                <w:tcPr>
                  <w:tcW w:w="404"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w:t>
                  </w:r>
                </w:p>
              </w:tc>
              <w:tc>
                <w:tcPr>
                  <w:tcW w:w="386"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528"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516" w:type="pct"/>
                  <w:vMerge w:val="continue"/>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c>
                <w:tcPr>
                  <w:tcW w:w="75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非甲烷总烃</w:t>
                  </w:r>
                </w:p>
              </w:tc>
              <w:tc>
                <w:tcPr>
                  <w:tcW w:w="391"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24</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h</w:t>
                  </w:r>
                </w:p>
              </w:tc>
              <w:tc>
                <w:tcPr>
                  <w:tcW w:w="450"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2000</w:t>
                  </w:r>
                </w:p>
              </w:tc>
              <w:tc>
                <w:tcPr>
                  <w:tcW w:w="535"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330~</w:t>
                  </w:r>
                </w:p>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500</w:t>
                  </w:r>
                </w:p>
              </w:tc>
              <w:tc>
                <w:tcPr>
                  <w:tcW w:w="529"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25</w:t>
                  </w:r>
                </w:p>
              </w:tc>
              <w:tc>
                <w:tcPr>
                  <w:tcW w:w="404"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w:t>
                  </w:r>
                </w:p>
              </w:tc>
              <w:tc>
                <w:tcPr>
                  <w:tcW w:w="386" w:type="pct"/>
                  <w:vAlign w:val="center"/>
                </w:tcPr>
                <w:p>
                  <w:pPr>
                    <w:pStyle w:val="35"/>
                    <w:keepNext w:val="0"/>
                    <w:keepLines w:val="0"/>
                    <w:pageBreakBefore w:val="0"/>
                    <w:widowControl w:val="0"/>
                    <w:kinsoku/>
                    <w:wordWrap/>
                    <w:overflowPunct w:val="0"/>
                    <w:topLinePunct w:val="0"/>
                    <w:autoSpaceDE/>
                    <w:autoSpaceDN/>
                    <w:bidi w:val="0"/>
                    <w:adjustRightInd/>
                    <w:snapToGrid/>
                    <w:spacing w:line="300" w:lineRule="atLeas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根据检测结果，项目区域TSP环境空气质量现状值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GB3095-2012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二级标准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环境空气质量现状值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可达《大气污染物综合排放标准详解》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综上，本项目所在区域环境空气质量现状较好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属于达标区。</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位于砚山县三星坝工业园区，根据《砚山工业园区总体规划【修编】（2019-2035）环境影响报告书》和《砚山县声环境功能区划分（2019-2029）》，项目所在地划分为3类区，执行《声环境质量标准》（GB3096-2008）3类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项目环境影响报告表编制技术指南（污染影响类）（试行）》，项目厂界外周边50米范围内均为工业企业，不存在声环境保护目标，无需进行声环境现状监测。根据现场踏勘，项目区周围均为工业企业，周边生产企业均采取了有效的降噪措施，项目所在区域声环境质量良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，总体上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满足《声环境质量标准》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GB3096-2008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类标准要求。</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4、生态环境质量现状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云南省文山壮族苗族自治州砚山县江那镇三星坝工业园区</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受人类开发利用较早，项目区内植被覆盖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少，项目区周边</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现状为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园区企业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、裸地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及绿化带</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，区域动物极少，经常出没的动物为常见的小型野生动物，主要有褐家鼠（Rattusnorvgicus）、小家鼠（Musmusculus）、树麻雀（Passermontanu）、家燕（Hirundorustica）等。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根据调查，项目</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用地范围内无国家级和省级保护物种、珍稀濒危物种和地方特有种，无国家级和省级规定保护的古树名木。工程区域内生物多样性单一，生物多样性较差，生态环境自身调控能力较低，受人为影响较大。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总体来说，评价区域植物类型较为单一，生态系统受人为控制，自身调节能力较弱。</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5、电磁辐射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项目不属于新建或改建、扩建广播电台、差转台、电视塔台、卫星地球上行站、雷达等电磁辐射类项目，无需对电磁辐射现状开展监测与评价。</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、土壤环境和地下水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本项目位于云南省文山壮族苗族自治州砚山县江那镇三星坝工业园区，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园区用地规划为二类工业用地，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周边区域内目前尚未发现土壤、地下水过度开采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受污染的现象，土壤、地下水环境状况总体良好。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根据《环境影响评价技术导则地下水环境》(HJ610-2016）附录A，本项目属于“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废旧资源（含生物质）加工、再生利用</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”，地下水环境影响评价项目类别为IV类。根据《环境影响评价技术导则地下水环境》(HJ610-2016）中4.1“IV类建设项目不开展地下水环境影响评价”。因此，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本次环评</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未开展地下水环境现状调查。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根据《环境影响评价技术导则-土壤环境（试行）》（HJ964-2018）中附录A表A.1土壤环境影响评价项目类别，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项目属于“其他行业”，</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属于IV类项目，可不开展土壤环境评价工作。因此，本次环评不对土壤环境质量现状进行评价</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环境保护目标</w:t>
            </w:r>
          </w:p>
        </w:tc>
        <w:tc>
          <w:tcPr>
            <w:tcW w:w="9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根据生态环境部办公厅印发的“《建设项目环境影响报告表》内容、格式及编制技术指南的通知”（环办环评</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〔2020〕33号</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），本项目环境保护目标如下所示。</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根据现场踏勘及调查，项目厂界外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m范围内无自然保护区、风景名胜区，项目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厂界外</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500m范围内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目标为罗锅寨散户</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2、地表水环境保护目标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地表水水质按《地表水环境质量标准》（GB3838-2002）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Ⅱ</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类标准进行控制，保护区域地表水保护目标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听湖水库</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水环境质量，不因本项目而降低区域水环境质量级别。</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3、声环境保护目标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根据现场踏勘及调查，项目厂界外50m范围内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无声环境敏感点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4、地下水环境保护目标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根据现场踏勘及调查，项目厂界外500m范围内无地下水集中式饮用水源点和热水、矿泉水、温泉等特殊地下水资源，本次评价不设地下水环境保护目标。</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5、生态环境保护目标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根据现场踏勘及调查，项目区周边不涉及自然保护区、风景名胜区等生态环境敏感点。本项目主要保护目标情况见下表。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5 </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项目主要</w:t>
            </w:r>
            <w:r>
              <w:rPr>
                <w:rFonts w:hint="default" w:ascii="宋体" w:hAnsi="宋体" w:eastAsia="宋体" w:cs="宋体"/>
                <w:b/>
                <w:bCs/>
                <w:snapToGrid w:val="0"/>
                <w:color w:val="000000" w:themeColor="text1"/>
                <w:kern w:val="2"/>
                <w:sz w:val="24"/>
                <w:szCs w:val="24"/>
                <w:lang w:val="zh-CN"/>
                <w14:textFill>
                  <w14:solidFill>
                    <w14:schemeClr w14:val="tx1"/>
                  </w14:solidFill>
                </w14:textFill>
              </w:rPr>
              <w:t>环境保护</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目标</w:t>
            </w:r>
            <w:r>
              <w:rPr>
                <w:rFonts w:hint="default" w:ascii="宋体" w:hAnsi="宋体" w:eastAsia="宋体" w:cs="宋体"/>
                <w:b/>
                <w:bCs/>
                <w:snapToGrid w:val="0"/>
                <w:color w:val="000000" w:themeColor="text1"/>
                <w:kern w:val="2"/>
                <w:sz w:val="24"/>
                <w:szCs w:val="24"/>
                <w:lang w:val="zh-CN"/>
                <w14:textFill>
                  <w14:solidFill>
                    <w14:schemeClr w14:val="tx1"/>
                  </w14:solidFill>
                </w14:textFill>
              </w:rPr>
              <w:t>一览表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813"/>
              <w:gridCol w:w="1437"/>
              <w:gridCol w:w="1363"/>
              <w:gridCol w:w="650"/>
              <w:gridCol w:w="725"/>
              <w:gridCol w:w="675"/>
              <w:gridCol w:w="815"/>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环境要素</w:t>
                  </w:r>
                </w:p>
              </w:tc>
              <w:tc>
                <w:tcPr>
                  <w:tcW w:w="459"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名称</w:t>
                  </w:r>
                </w:p>
              </w:tc>
              <w:tc>
                <w:tcPr>
                  <w:tcW w:w="1583" w:type="pct"/>
                  <w:gridSpan w:val="2"/>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经纬度</w:t>
                  </w:r>
                </w:p>
              </w:tc>
              <w:tc>
                <w:tcPr>
                  <w:tcW w:w="367"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高程</w:t>
                  </w:r>
                </w:p>
              </w:tc>
              <w:tc>
                <w:tcPr>
                  <w:tcW w:w="410"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保护</w:t>
                  </w:r>
                  <w:r>
                    <w:rPr>
                      <w:rFonts w:hint="eastAsia"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对象</w:t>
                  </w:r>
                </w:p>
              </w:tc>
              <w:tc>
                <w:tcPr>
                  <w:tcW w:w="381"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相对厂址方向</w:t>
                  </w:r>
                </w:p>
              </w:tc>
              <w:tc>
                <w:tcPr>
                  <w:tcW w:w="460"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相对厂界距离</w:t>
                  </w: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/m</w:t>
                  </w:r>
                </w:p>
              </w:tc>
              <w:tc>
                <w:tcPr>
                  <w:tcW w:w="826"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59"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812"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经度</w:t>
                  </w:r>
                </w:p>
              </w:tc>
              <w:tc>
                <w:tcPr>
                  <w:tcW w:w="77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zh-CN" w:eastAsia="zh-CN"/>
                      <w14:textFill>
                        <w14:solidFill>
                          <w14:schemeClr w14:val="tx1"/>
                        </w14:solidFill>
                      </w14:textFill>
                    </w:rPr>
                    <w:t>纬度</w:t>
                  </w:r>
                </w:p>
              </w:tc>
              <w:tc>
                <w:tcPr>
                  <w:tcW w:w="367"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10"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381"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460"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c>
                <w:tcPr>
                  <w:tcW w:w="826"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大气环境</w:t>
                  </w:r>
                </w:p>
              </w:tc>
              <w:tc>
                <w:tcPr>
                  <w:tcW w:w="45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t>罗锅寨散户</w:t>
                  </w:r>
                </w:p>
              </w:tc>
              <w:tc>
                <w:tcPr>
                  <w:tcW w:w="812"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104°22′18.83″</w:t>
                  </w:r>
                </w:p>
              </w:tc>
              <w:tc>
                <w:tcPr>
                  <w:tcW w:w="77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23°37′10.91″</w:t>
                  </w:r>
                </w:p>
              </w:tc>
              <w:tc>
                <w:tcPr>
                  <w:tcW w:w="36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1531</w:t>
                  </w:r>
                </w:p>
              </w:tc>
              <w:tc>
                <w:tcPr>
                  <w:tcW w:w="4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t>20户，66人</w:t>
                  </w:r>
                </w:p>
              </w:tc>
              <w:tc>
                <w:tcPr>
                  <w:tcW w:w="381"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西侧</w:t>
                  </w:r>
                </w:p>
              </w:tc>
              <w:tc>
                <w:tcPr>
                  <w:tcW w:w="46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260</w:t>
                  </w:r>
                </w:p>
              </w:tc>
              <w:tc>
                <w:tcPr>
                  <w:tcW w:w="826"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地表水环境</w:t>
                  </w:r>
                </w:p>
              </w:tc>
              <w:tc>
                <w:tcPr>
                  <w:tcW w:w="45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听湖水库</w:t>
                  </w:r>
                </w:p>
              </w:tc>
              <w:tc>
                <w:tcPr>
                  <w:tcW w:w="812"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77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36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w:t>
                  </w:r>
                </w:p>
              </w:tc>
              <w:tc>
                <w:tcPr>
                  <w:tcW w:w="4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水库</w:t>
                  </w:r>
                </w:p>
              </w:tc>
              <w:tc>
                <w:tcPr>
                  <w:tcW w:w="381"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西北侧</w:t>
                  </w:r>
                </w:p>
              </w:tc>
              <w:tc>
                <w:tcPr>
                  <w:tcW w:w="46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1255</w:t>
                  </w:r>
                </w:p>
              </w:tc>
              <w:tc>
                <w:tcPr>
                  <w:tcW w:w="826"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《地表水环境质量标准》（GB3838-2002）Ⅱ类标准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声环境</w:t>
                  </w:r>
                </w:p>
              </w:tc>
              <w:tc>
                <w:tcPr>
                  <w:tcW w:w="4489" w:type="pct"/>
                  <w:gridSpan w:val="8"/>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项目厂界外50m范围内</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地下水环境</w:t>
                  </w:r>
                </w:p>
              </w:tc>
              <w:tc>
                <w:tcPr>
                  <w:tcW w:w="4489" w:type="pct"/>
                  <w:gridSpan w:val="8"/>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项目厂界</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外</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生态环境</w:t>
                  </w:r>
                </w:p>
              </w:tc>
              <w:tc>
                <w:tcPr>
                  <w:tcW w:w="4489" w:type="pct"/>
                  <w:gridSpan w:val="8"/>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zh-CN" w:eastAsia="zh-CN"/>
                      <w14:textFill>
                        <w14:solidFill>
                          <w14:schemeClr w14:val="tx1"/>
                        </w14:solidFill>
                      </w14:textFill>
                    </w:rPr>
                    <w:t>项目区周边不涉及自然保护区、风景名胜区等生态环境保护目标</w:t>
                  </w:r>
                </w:p>
              </w:tc>
            </w:tr>
          </w:tbl>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1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污染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物排</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放控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制标</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准</w:t>
            </w:r>
          </w:p>
        </w:tc>
        <w:tc>
          <w:tcPr>
            <w:tcW w:w="9067" w:type="dxa"/>
            <w:noWrap w:val="0"/>
            <w:vAlign w:val="center"/>
          </w:tcPr>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1、废水排放标准</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（1）施工期废水排放标准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项目施工期不提供食宿，产生的施工废水和施工人员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设置临时沉淀池，经沉淀后回用于施工及场地洒水降尘，不外排，不设排放标准。</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（2）运营期废水排放标准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食堂废水经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项目主要污染物标准限值列于表3-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6</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 xml:space="preserve">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污水综合排放标准</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  单位：mg/L</w:t>
            </w:r>
          </w:p>
          <w:tbl>
            <w:tblPr>
              <w:tblStyle w:val="17"/>
              <w:tblpPr w:leftFromText="181" w:rightFromText="181" w:bottomFromText="17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448"/>
              <w:gridCol w:w="1393"/>
              <w:gridCol w:w="1342"/>
              <w:gridCol w:w="1465"/>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pH值（无量纲）</w:t>
                  </w:r>
                </w:p>
              </w:tc>
              <w:tc>
                <w:tcPr>
                  <w:tcW w:w="81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COD</w:t>
                  </w:r>
                </w:p>
              </w:tc>
              <w:tc>
                <w:tcPr>
                  <w:tcW w:w="788"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SS</w:t>
                  </w:r>
                </w:p>
              </w:tc>
              <w:tc>
                <w:tcPr>
                  <w:tcW w:w="75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BOD</w:t>
                  </w:r>
                  <w:r>
                    <w:rPr>
                      <w:rFonts w:hint="default" w:ascii="Times New Roman" w:hAnsi="Times New Roman" w:eastAsia="宋体" w:cs="Times New Roman"/>
                      <w:b/>
                      <w:bCs w:val="0"/>
                      <w:snapToGrid w:val="0"/>
                      <w:color w:val="000000" w:themeColor="text1"/>
                      <w:kern w:val="2"/>
                      <w:sz w:val="21"/>
                      <w:szCs w:val="21"/>
                      <w:vertAlign w:val="subscript"/>
                      <w:lang w:val="en-US" w:eastAsia="zh-CN"/>
                      <w14:textFill>
                        <w14:solidFill>
                          <w14:schemeClr w14:val="tx1"/>
                        </w14:solidFill>
                      </w14:textFill>
                    </w:rPr>
                    <w:t>5</w:t>
                  </w:r>
                </w:p>
              </w:tc>
              <w:tc>
                <w:tcPr>
                  <w:tcW w:w="828"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动植物油</w:t>
                  </w:r>
                </w:p>
              </w:tc>
              <w:tc>
                <w:tcPr>
                  <w:tcW w:w="853"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5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6-9</w:t>
                  </w:r>
                </w:p>
              </w:tc>
              <w:tc>
                <w:tcPr>
                  <w:tcW w:w="81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500</w:t>
                  </w:r>
                </w:p>
              </w:tc>
              <w:tc>
                <w:tcPr>
                  <w:tcW w:w="788"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400</w:t>
                  </w:r>
                </w:p>
              </w:tc>
              <w:tc>
                <w:tcPr>
                  <w:tcW w:w="75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300</w:t>
                  </w:r>
                </w:p>
              </w:tc>
              <w:tc>
                <w:tcPr>
                  <w:tcW w:w="828"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100</w:t>
                  </w:r>
                </w:p>
              </w:tc>
              <w:tc>
                <w:tcPr>
                  <w:tcW w:w="853"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30</w:t>
                  </w:r>
                </w:p>
              </w:tc>
            </w:tr>
          </w:tbl>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7</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 xml:space="preserve">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污水排入城镇下水道水质标准</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  单位：mg/L</w:t>
            </w:r>
          </w:p>
          <w:tbl>
            <w:tblPr>
              <w:tblStyle w:val="17"/>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973"/>
              <w:gridCol w:w="971"/>
              <w:gridCol w:w="989"/>
              <w:gridCol w:w="1513"/>
              <w:gridCol w:w="909"/>
              <w:gridCol w:w="909"/>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4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pH值（无量纲）</w:t>
                  </w:r>
                </w:p>
              </w:tc>
              <w:tc>
                <w:tcPr>
                  <w:tcW w:w="550"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COD</w:t>
                  </w:r>
                </w:p>
              </w:tc>
              <w:tc>
                <w:tcPr>
                  <w:tcW w:w="54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SS</w:t>
                  </w:r>
                </w:p>
              </w:tc>
              <w:tc>
                <w:tcPr>
                  <w:tcW w:w="55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BOD</w:t>
                  </w:r>
                  <w:r>
                    <w:rPr>
                      <w:rFonts w:hint="default" w:ascii="Times New Roman" w:hAnsi="Times New Roman" w:eastAsia="宋体" w:cs="Times New Roman"/>
                      <w:b/>
                      <w:bCs w:val="0"/>
                      <w:snapToGrid w:val="0"/>
                      <w:color w:val="000000" w:themeColor="text1"/>
                      <w:kern w:val="2"/>
                      <w:sz w:val="21"/>
                      <w:szCs w:val="21"/>
                      <w:vertAlign w:val="subscript"/>
                      <w:lang w:val="en-US" w:eastAsia="zh-CN"/>
                      <w14:textFill>
                        <w14:solidFill>
                          <w14:schemeClr w14:val="tx1"/>
                        </w14:solidFill>
                      </w14:textFill>
                    </w:rPr>
                    <w:t>5</w:t>
                  </w:r>
                </w:p>
              </w:tc>
              <w:tc>
                <w:tcPr>
                  <w:tcW w:w="855"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动植物油</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氨氮</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总氮</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0"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6.5-9.5</w:t>
                  </w:r>
                </w:p>
              </w:tc>
              <w:tc>
                <w:tcPr>
                  <w:tcW w:w="550"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500</w:t>
                  </w:r>
                </w:p>
              </w:tc>
              <w:tc>
                <w:tcPr>
                  <w:tcW w:w="54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400</w:t>
                  </w:r>
                </w:p>
              </w:tc>
              <w:tc>
                <w:tcPr>
                  <w:tcW w:w="559"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350</w:t>
                  </w:r>
                </w:p>
              </w:tc>
              <w:tc>
                <w:tcPr>
                  <w:tcW w:w="855"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100</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45</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70</w:t>
                  </w:r>
                </w:p>
              </w:tc>
              <w:tc>
                <w:tcPr>
                  <w:tcW w:w="514" w:type="pct"/>
                  <w:tcBorders>
                    <w:top w:val="single" w:color="auto" w:sz="4" w:space="0"/>
                    <w:left w:val="nil"/>
                    <w:bottom w:val="single" w:color="auto" w:sz="4" w:space="0"/>
                    <w:right w:val="single" w:color="auto" w:sz="4" w:space="0"/>
                  </w:tcBorders>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8</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2、废气排放标准</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（1）施工期大气污染物排放标准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本项目施工期扬尘执行《大气污染物综合排放标准》（GB16297-1996）表2无组织排放监控浓度限值，具体指标详见下表。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8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大气污染物综合排放标准单位：mg/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p>
          <w:tbl>
            <w:tblPr>
              <w:tblStyle w:val="17"/>
              <w:tblpPr w:leftFromText="181" w:rightFromText="181" w:bottomFromText="113"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2944"/>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665"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污染物</w:t>
                  </w:r>
                </w:p>
              </w:tc>
              <w:tc>
                <w:tcPr>
                  <w:tcW w:w="3334" w:type="pct"/>
                  <w:gridSpan w:val="2"/>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5"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1665"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监控点</w:t>
                  </w:r>
                </w:p>
              </w:tc>
              <w:tc>
                <w:tcPr>
                  <w:tcW w:w="166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5"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颗粒物</w:t>
                  </w:r>
                </w:p>
              </w:tc>
              <w:tc>
                <w:tcPr>
                  <w:tcW w:w="1665"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周界外浓度最高点</w:t>
                  </w:r>
                </w:p>
              </w:tc>
              <w:tc>
                <w:tcPr>
                  <w:tcW w:w="166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（2）运营期大气污染物排放标准</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①DA001排气筒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粉碎、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制粒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工序产生的粉尘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经1#布袋除尘器处理后，通过15m高排气筒（DA001）排放。粉尘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排放执行《大气污染物综合排放标准》（GB16297-1996）表2中二级排放标准限值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9</w:t>
            </w:r>
            <w:r>
              <w:rPr>
                <w:rFonts w:hint="default" w:ascii="宋体" w:hAnsi="宋体" w:eastAsia="宋体" w:cs="宋体"/>
                <w:b/>
                <w:bCs/>
                <w:snapToGrid w:val="0"/>
                <w:color w:val="000000" w:themeColor="text1"/>
                <w:kern w:val="2"/>
                <w:sz w:val="24"/>
                <w:szCs w:val="24"/>
                <w:lang w:val="zh-CN"/>
                <w14:textFill>
                  <w14:solidFill>
                    <w14:schemeClr w14:val="tx1"/>
                  </w14:solidFill>
                </w14:textFill>
              </w:rPr>
              <w:t xml:space="preserve">  </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大气污染物综合排放标准</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512"/>
              <w:gridCol w:w="1764"/>
              <w:gridCol w:w="762"/>
              <w:gridCol w:w="2134"/>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0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污染物</w:t>
                  </w:r>
                </w:p>
              </w:tc>
              <w:tc>
                <w:tcPr>
                  <w:tcW w:w="85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最高允许排放浓度（</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mg/m</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³</w:t>
                  </w: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w:t>
                  </w:r>
                </w:p>
              </w:tc>
              <w:tc>
                <w:tcPr>
                  <w:tcW w:w="142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最高允许排放速率，</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kg/h</w:t>
                  </w:r>
                </w:p>
              </w:tc>
              <w:tc>
                <w:tcPr>
                  <w:tcW w:w="220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p>
              </w:tc>
              <w:tc>
                <w:tcPr>
                  <w:tcW w:w="85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p>
              </w:tc>
              <w:tc>
                <w:tcPr>
                  <w:tcW w:w="9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排气筒高度，</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m</w:t>
                  </w:r>
                </w:p>
              </w:tc>
              <w:tc>
                <w:tcPr>
                  <w:tcW w:w="43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二级</w:t>
                  </w:r>
                </w:p>
              </w:tc>
              <w:tc>
                <w:tcPr>
                  <w:tcW w:w="120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监控点</w:t>
                  </w:r>
                </w:p>
              </w:tc>
              <w:tc>
                <w:tcPr>
                  <w:tcW w:w="99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000000" w:themeColor="text1"/>
                      <w:sz w:val="21"/>
                      <w:szCs w:val="21"/>
                      <w:vertAlign w:val="baseline"/>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浓度（</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mg/m</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³</w:t>
                  </w: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 w:val="21"/>
                      <w:szCs w:val="21"/>
                      <w:vertAlign w:val="baseline"/>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颗粒物</w:t>
                  </w:r>
                </w:p>
              </w:tc>
              <w:tc>
                <w:tcPr>
                  <w:tcW w:w="85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120</w:t>
                  </w:r>
                </w:p>
              </w:tc>
              <w:tc>
                <w:tcPr>
                  <w:tcW w:w="99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15</w:t>
                  </w:r>
                </w:p>
              </w:tc>
              <w:tc>
                <w:tcPr>
                  <w:tcW w:w="43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1.75</w:t>
                  </w:r>
                </w:p>
              </w:tc>
              <w:tc>
                <w:tcPr>
                  <w:tcW w:w="120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 w:val="21"/>
                      <w:szCs w:val="21"/>
                      <w:vertAlign w:val="baseline"/>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周界外浓度最高点</w:t>
                  </w:r>
                </w:p>
              </w:tc>
              <w:tc>
                <w:tcPr>
                  <w:tcW w:w="99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1.0</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②DA002排气筒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烘干过程产生的废气包含了燃烧废气以及炭化废气，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燃烧废气中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、颗粒物执行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《大气污染物综合排放标准》（GB16297-1996）表2中二级标准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废气中烟气黑度（林格曼级）执行《工业炉窑大气污染物排放标准》（GB9078-1996）“干燥炉、窑”表2中二级标准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炭化炉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废气中</w:t>
            </w:r>
            <w:r>
              <w:rPr>
                <w:rFonts w:hint="default" w:ascii="Times New Roman" w:hAnsi="Times New Roman" w:eastAsia="宋体" w:cs="Times New Roman"/>
                <w:color w:val="000000" w:themeColor="text1"/>
                <w:kern w:val="0"/>
                <w:sz w:val="24"/>
                <w:szCs w:val="24"/>
                <w14:textFill>
                  <w14:solidFill>
                    <w14:schemeClr w14:val="tx1"/>
                  </w14:solidFill>
                </w14:textFill>
              </w:rPr>
              <w:t>非甲烷总烃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执行《工业企业挥发性有机物排放标准》（DB35/1782-2018）表1中其他行业标准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；各标准标准值见下表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10</w:t>
            </w:r>
            <w:r>
              <w:rPr>
                <w:rFonts w:hint="default" w:ascii="宋体" w:hAnsi="宋体" w:eastAsia="宋体" w:cs="宋体"/>
                <w:b/>
                <w:bCs/>
                <w:snapToGrid w:val="0"/>
                <w:color w:val="000000" w:themeColor="text1"/>
                <w:kern w:val="2"/>
                <w:sz w:val="24"/>
                <w:szCs w:val="24"/>
                <w:lang w:val="zh-CN"/>
                <w14:textFill>
                  <w14:solidFill>
                    <w14:schemeClr w14:val="tx1"/>
                  </w14:solidFill>
                </w14:textFill>
              </w:rPr>
              <w:t xml:space="preserve"> </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烘干废气</w:t>
            </w:r>
            <w:r>
              <w:rPr>
                <w:rFonts w:hint="default" w:ascii="宋体" w:hAnsi="宋体" w:eastAsia="宋体" w:cs="宋体"/>
                <w:b/>
                <w:bCs/>
                <w:snapToGrid w:val="0"/>
                <w:color w:val="000000" w:themeColor="text1"/>
                <w:kern w:val="2"/>
                <w:sz w:val="24"/>
                <w:szCs w:val="24"/>
                <w:lang w:val="zh-CN" w:eastAsia="zh-CN"/>
                <w14:textFill>
                  <w14:solidFill>
                    <w14:schemeClr w14:val="tx1"/>
                  </w14:solidFill>
                </w14:textFill>
              </w:rPr>
              <w:t>废气</w:t>
            </w:r>
            <w:r>
              <w:rPr>
                <w:rFonts w:hint="default" w:ascii="宋体" w:hAnsi="宋体" w:eastAsia="宋体" w:cs="宋体"/>
                <w:b/>
                <w:bCs/>
                <w:snapToGrid w:val="0"/>
                <w:color w:val="000000" w:themeColor="text1"/>
                <w:kern w:val="2"/>
                <w:sz w:val="24"/>
                <w:szCs w:val="24"/>
                <w:lang w:val="zh-CN"/>
                <w14:textFill>
                  <w14:solidFill>
                    <w14:schemeClr w14:val="tx1"/>
                  </w14:solidFill>
                </w14:textFill>
              </w:rPr>
              <w:t>排放标准限值</w:t>
            </w:r>
          </w:p>
          <w:tbl>
            <w:tblPr>
              <w:tblStyle w:val="17"/>
              <w:tblpPr w:leftFromText="181" w:rightFromText="181" w:bottomFromText="113" w:vertAnchor="text" w:tblpXSpec="center" w:tblpY="1"/>
              <w:tblOverlap w:val="never"/>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41"/>
              <w:gridCol w:w="3531"/>
              <w:gridCol w:w="37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污染物</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限值</w:t>
                  </w:r>
                </w:p>
              </w:tc>
              <w:tc>
                <w:tcPr>
                  <w:tcW w:w="2129"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烟气黑度（林格曼黑度，级）</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w:t>
                  </w:r>
                </w:p>
              </w:tc>
              <w:tc>
                <w:tcPr>
                  <w:tcW w:w="2129"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《工业炉窑大气污染物排放标准》（GB9078-1996）“干燥炉、窑”表2中二级标准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二氧化硫</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550</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mg/m³（</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2.6</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kg/h，15m高排气筒）</w:t>
                  </w:r>
                </w:p>
              </w:tc>
              <w:tc>
                <w:tcPr>
                  <w:tcW w:w="2129" w:type="pct"/>
                  <w:vMerge w:val="restar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《大气污染物综合排放标准》（GB16297-1996）表2中二级标准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氮氧化物</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240mg/m³（0.77kg/h，15m高排气筒）</w:t>
                  </w:r>
                </w:p>
              </w:tc>
              <w:tc>
                <w:tcPr>
                  <w:tcW w:w="2129" w:type="pct"/>
                  <w:vMerge w:val="continue"/>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颗粒物</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120</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mg/m³（</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3.5</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kg/h，15m高排气筒）</w:t>
                  </w:r>
                </w:p>
              </w:tc>
              <w:tc>
                <w:tcPr>
                  <w:tcW w:w="2129" w:type="pct"/>
                  <w:vMerge w:val="continue"/>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872"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非甲烷总烃</w:t>
                  </w:r>
                </w:p>
              </w:tc>
              <w:tc>
                <w:tcPr>
                  <w:tcW w:w="1998"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0mg/m³（</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1.8</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kg/h，15m高排气筒）</w:t>
                  </w:r>
                </w:p>
              </w:tc>
              <w:tc>
                <w:tcPr>
                  <w:tcW w:w="2129" w:type="pct"/>
                  <w:noWrap w:val="0"/>
                  <w:tcMar>
                    <w:top w:w="0" w:type="dxa"/>
                    <w:left w:w="108" w:type="dxa"/>
                    <w:bottom w:w="0" w:type="dxa"/>
                    <w:right w:w="108" w:type="dxa"/>
                  </w:tcMar>
                  <w:vAlign w:val="center"/>
                </w:tcPr>
                <w:p>
                  <w:pPr>
                    <w:pStyle w:val="35"/>
                    <w:keepNext w:val="0"/>
                    <w:keepLines w:val="0"/>
                    <w:pageBreakBefore w:val="0"/>
                    <w:widowControl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《工业企业挥发性有机物排放标准》（DB35/1782-2018）表1中其他行业标准</w:t>
                  </w:r>
                </w:p>
              </w:tc>
            </w:tr>
          </w:tbl>
          <w:p>
            <w:pPr>
              <w:autoSpaceDE w:val="0"/>
              <w:autoSpaceDN w:val="0"/>
              <w:adjustRightInd w:val="0"/>
              <w:spacing w:line="360" w:lineRule="auto"/>
              <w:ind w:firstLine="482" w:firstLineChars="200"/>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zh-CN" w:eastAsia="zh-CN"/>
                <w14:textFill>
                  <w14:solidFill>
                    <w14:schemeClr w14:val="tx1"/>
                  </w14:solidFill>
                </w14:textFill>
              </w:rPr>
              <w:t>③</w:t>
            </w: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项目运营期产生的无组织粉尘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排放执行《大气污染物综合排放标准》（GB16297-1996）表2中的无组织排放监控浓度限值，标准限值见表3-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11</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 xml:space="preserve">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大气污染物综合排放标准限值</w:t>
            </w:r>
          </w:p>
          <w:tbl>
            <w:tblPr>
              <w:tblStyle w:val="18"/>
              <w:tblpPr w:leftFromText="181" w:rightFromText="181" w:bottomFromText="113"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2452"/>
              <w:gridCol w:w="3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718"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污染物</w:t>
                  </w:r>
                </w:p>
              </w:tc>
              <w:tc>
                <w:tcPr>
                  <w:tcW w:w="3281" w:type="pct"/>
                  <w:gridSpan w:val="2"/>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8"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138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监控点</w:t>
                  </w:r>
                </w:p>
              </w:tc>
              <w:tc>
                <w:tcPr>
                  <w:tcW w:w="1893"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8"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颗粒物</w:t>
                  </w:r>
                </w:p>
              </w:tc>
              <w:tc>
                <w:tcPr>
                  <w:tcW w:w="138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周界外浓度最高点</w:t>
                  </w:r>
                </w:p>
              </w:tc>
              <w:tc>
                <w:tcPr>
                  <w:tcW w:w="1893"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8"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非甲烷总烃</w:t>
                  </w:r>
                </w:p>
              </w:tc>
              <w:tc>
                <w:tcPr>
                  <w:tcW w:w="138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周界外浓度最高点</w:t>
                  </w:r>
                </w:p>
              </w:tc>
              <w:tc>
                <w:tcPr>
                  <w:tcW w:w="1893"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4.0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厂区内非甲烷总烃无组织排放限值执行《挥发性有机物无组织排放控制标准》（GB37822-2019）附录A限值要求，标准值见下表。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12</w:t>
            </w:r>
            <w:r>
              <w:rPr>
                <w:rFonts w:hint="default" w:ascii="宋体" w:hAnsi="宋体" w:eastAsia="宋体" w:cs="宋体"/>
                <w:b/>
                <w:bCs/>
                <w:snapToGrid w:val="0"/>
                <w:color w:val="000000" w:themeColor="text1"/>
                <w:kern w:val="2"/>
                <w:sz w:val="24"/>
                <w:szCs w:val="24"/>
                <w:lang w:val="zh-CN"/>
                <w14:textFill>
                  <w14:solidFill>
                    <w14:schemeClr w14:val="tx1"/>
                  </w14:solidFill>
                </w14:textFill>
              </w:rPr>
              <w:t xml:space="preserve"> 挥发性有机物无组织排放浓度限值</w:t>
            </w:r>
          </w:p>
          <w:tbl>
            <w:tblPr>
              <w:tblStyle w:val="17"/>
              <w:tblpPr w:leftFromText="181" w:rightFromText="181" w:bottomFromText="113"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574"/>
              <w:gridCol w:w="2361"/>
              <w:gridCol w:w="3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类型</w:t>
                  </w:r>
                </w:p>
              </w:tc>
              <w:tc>
                <w:tcPr>
                  <w:tcW w:w="8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污染物项目</w:t>
                  </w:r>
                </w:p>
              </w:tc>
              <w:tc>
                <w:tcPr>
                  <w:tcW w:w="13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排放限值</w:t>
                  </w:r>
                  <w:r>
                    <w:rPr>
                      <w:rFonts w:hint="default" w:ascii="Times New Roman" w:hAnsi="Times New Roman" w:eastAsia="宋体" w:cs="Times New Roman"/>
                      <w:b/>
                      <w:bCs/>
                      <w:color w:val="000000" w:themeColor="text1"/>
                      <w:sz w:val="21"/>
                      <w:szCs w:val="21"/>
                      <w14:textFill>
                        <w14:solidFill>
                          <w14:schemeClr w14:val="tx1"/>
                        </w14:solidFill>
                      </w14:textFill>
                    </w:rPr>
                    <w:t>（mg/m³）</w:t>
                  </w:r>
                </w:p>
              </w:tc>
              <w:tc>
                <w:tcPr>
                  <w:tcW w:w="18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限值含义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无组织废气</w:t>
                  </w:r>
                </w:p>
              </w:tc>
              <w:tc>
                <w:tcPr>
                  <w:tcW w:w="8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非甲烷总烃</w:t>
                  </w:r>
                </w:p>
              </w:tc>
              <w:tc>
                <w:tcPr>
                  <w:tcW w:w="13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8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监控点处1h平均浓度值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187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监控点处任意一次浓度值</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食堂为小型食堂，设置1个灶头，设置1套小型油烟净化装置处理后设置1根高度高于屋顶的排气筒排放，食堂油烟排放执行标准值见下表。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表3</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13</w:t>
            </w:r>
            <w:r>
              <w:rPr>
                <w:rFonts w:hint="default" w:ascii="宋体" w:hAnsi="宋体" w:eastAsia="宋体" w:cs="宋体"/>
                <w:b/>
                <w:bCs/>
                <w:snapToGrid w:val="0"/>
                <w:color w:val="000000" w:themeColor="text1"/>
                <w:kern w:val="2"/>
                <w:sz w:val="24"/>
                <w:szCs w:val="24"/>
                <w:lang w:val="zh-CN"/>
                <w14:textFill>
                  <w14:solidFill>
                    <w14:schemeClr w14:val="tx1"/>
                  </w14:solidFill>
                </w14:textFill>
              </w:rPr>
              <w:t xml:space="preserve"> 饮食业油烟排放标准</w:t>
            </w:r>
          </w:p>
          <w:tbl>
            <w:tblPr>
              <w:tblStyle w:val="17"/>
              <w:tblpPr w:leftFromText="181" w:rightFromText="181" w:bottomFromText="113" w:vertAnchor="text" w:tblpXSpec="center" w:tblpY="1"/>
              <w:tblOverlap w:val="never"/>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84"/>
              <w:gridCol w:w="56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03"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项目</w:t>
                  </w:r>
                </w:p>
              </w:tc>
              <w:tc>
                <w:tcPr>
                  <w:tcW w:w="3196"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小型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03"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基准灶头数</w:t>
                  </w:r>
                </w:p>
              </w:tc>
              <w:tc>
                <w:tcPr>
                  <w:tcW w:w="3196"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03"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最高允许排放浓度（mg/m³）</w:t>
                  </w:r>
                </w:p>
              </w:tc>
              <w:tc>
                <w:tcPr>
                  <w:tcW w:w="3196"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03"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净化设施最低去除效率（%）</w:t>
                  </w:r>
                </w:p>
              </w:tc>
              <w:tc>
                <w:tcPr>
                  <w:tcW w:w="3196" w:type="pct"/>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60</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3、噪声排放标准</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（1）施工期噪声排放标准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本项目施工期噪声排放执行《建筑施工场界环境噪声排放标准》（GB12523-2011），具体指标详见下表。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14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建筑施工场界环境噪声排放标准单位：dB(A)</w:t>
            </w:r>
          </w:p>
          <w:tbl>
            <w:tblPr>
              <w:tblStyle w:val="17"/>
              <w:tblpPr w:leftFromText="181" w:rightFromText="181" w:bottomFromText="113"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0"/>
              <w:gridCol w:w="4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昼间</w:t>
                  </w:r>
                </w:p>
              </w:tc>
              <w:tc>
                <w:tcPr>
                  <w:tcW w:w="249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70</w:t>
                  </w:r>
                </w:p>
              </w:tc>
              <w:tc>
                <w:tcPr>
                  <w:tcW w:w="2499"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55</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（2）运营期噪声排放标准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本项目运营期噪声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执行《工业企业厂界环境噪声排放标准》（GB12348-2008）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类标准，具体指标详见下表。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napToGrid w:val="0"/>
                <w:color w:val="000000" w:themeColor="text1"/>
                <w:kern w:val="2"/>
                <w:sz w:val="24"/>
                <w:szCs w:val="24"/>
                <w:lang w:val="zh-CN"/>
                <w14:textFill>
                  <w14:solidFill>
                    <w14:schemeClr w14:val="tx1"/>
                  </w14:solidFill>
                </w14:textFill>
              </w:rPr>
            </w:pPr>
            <w:r>
              <w:rPr>
                <w:rFonts w:hint="default" w:ascii="宋体" w:hAnsi="宋体" w:eastAsia="宋体" w:cs="宋体"/>
                <w:b/>
                <w:bCs/>
                <w:snapToGrid w:val="0"/>
                <w:color w:val="000000" w:themeColor="text1"/>
                <w:kern w:val="2"/>
                <w:sz w:val="24"/>
                <w:szCs w:val="24"/>
                <w:lang w:val="zh-CN"/>
                <w14:textFill>
                  <w14:solidFill>
                    <w14:schemeClr w14:val="tx1"/>
                  </w14:solidFill>
                </w14:textFill>
              </w:rPr>
              <w:t>表</w:t>
            </w:r>
            <w:r>
              <w:rPr>
                <w:rFonts w:hint="default" w:ascii="宋体" w:hAnsi="宋体" w:eastAsia="宋体" w:cs="宋体"/>
                <w:b/>
                <w:bCs/>
                <w:snapToGrid w:val="0"/>
                <w:color w:val="000000" w:themeColor="text1"/>
                <w:kern w:val="2"/>
                <w:sz w:val="24"/>
                <w:szCs w:val="24"/>
                <w:lang w:val="en-US" w:eastAsia="zh-CN"/>
                <w14:textFill>
                  <w14:solidFill>
                    <w14:schemeClr w14:val="tx1"/>
                  </w14:solidFill>
                </w14:textFill>
              </w:rPr>
              <w:t>3-</w:t>
            </w:r>
            <w:r>
              <w:rPr>
                <w:rFonts w:hint="eastAsia" w:ascii="宋体" w:hAnsi="宋体" w:eastAsia="宋体" w:cs="宋体"/>
                <w:b/>
                <w:bCs/>
                <w:snapToGrid w:val="0"/>
                <w:color w:val="000000" w:themeColor="text1"/>
                <w:kern w:val="2"/>
                <w:sz w:val="24"/>
                <w:szCs w:val="24"/>
                <w:lang w:val="en-US" w:eastAsia="zh-CN"/>
                <w14:textFill>
                  <w14:solidFill>
                    <w14:schemeClr w14:val="tx1"/>
                  </w14:solidFill>
                </w14:textFill>
              </w:rPr>
              <w:t xml:space="preserve">15 </w:t>
            </w:r>
            <w:r>
              <w:rPr>
                <w:rFonts w:hint="default" w:ascii="宋体" w:hAnsi="宋体" w:eastAsia="宋体" w:cs="宋体"/>
                <w:b/>
                <w:bCs/>
                <w:snapToGrid w:val="0"/>
                <w:color w:val="000000" w:themeColor="text1"/>
                <w:kern w:val="2"/>
                <w:sz w:val="24"/>
                <w:szCs w:val="24"/>
                <w:lang w:val="zh-CN"/>
                <w14:textFill>
                  <w14:solidFill>
                    <w14:schemeClr w14:val="tx1"/>
                  </w14:solidFill>
                </w14:textFill>
              </w:rPr>
              <w:t>工业企业厂界环境噪声排放标准单位：dB(A)</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2946"/>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vMerge w:val="restar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类别</w:t>
                  </w:r>
                </w:p>
              </w:tc>
              <w:tc>
                <w:tcPr>
                  <w:tcW w:w="3333" w:type="pct"/>
                  <w:gridSpan w:val="2"/>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vMerge w:val="continue"/>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p>
              </w:tc>
              <w:tc>
                <w:tcPr>
                  <w:tcW w:w="1666"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昼间</w:t>
                  </w:r>
                </w:p>
              </w:tc>
              <w:tc>
                <w:tcPr>
                  <w:tcW w:w="166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类</w:t>
                  </w:r>
                </w:p>
              </w:tc>
              <w:tc>
                <w:tcPr>
                  <w:tcW w:w="1666"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w:t>
                  </w:r>
                </w:p>
              </w:tc>
              <w:tc>
                <w:tcPr>
                  <w:tcW w:w="1667" w:type="pct"/>
                  <w:noWrap w:val="0"/>
                  <w:vAlign w:val="center"/>
                </w:tcPr>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5</w:t>
                  </w:r>
                </w:p>
              </w:tc>
            </w:tr>
          </w:tbl>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4、固体废物控制标准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按照《中华人民共和国固体废物污染环境防治法（2020年修订）》的要求，妥善处理，不得形成二次污染；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项目运营过程中所产生的一般固体废物执行《一般工业固体废物贮存和填埋污染控制标准》（GB18599-2020）。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《危险废物贮存污染控制标准》（GB18597-2023）中的有关规定；危险废物识别相关标志按照《危险废物识别标志设置技术规范》（HJ1276-2022）中相关要求进行设置。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总量控制指标</w:t>
            </w:r>
          </w:p>
        </w:tc>
        <w:tc>
          <w:tcPr>
            <w:tcW w:w="9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根据本项目的具体情况，结合国家污染物排放总量控制原则，提出本项目建议的污染物排放总量控制指标。</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项目由化粪池预处理后，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废水污染物总量控制由砚山县第一污水处理厂负责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项目运营期污染物主要包括无组织颗粒物、有组织颗粒物、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NOx</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废气污染物总量控制指标建议值为：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废气量4320万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m³</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2.002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 xml:space="preserve"> 4.42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t/a，NOx</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 2.652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t/a，非甲烷总烃</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 0.128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p>
            <w:pPr>
              <w:autoSpaceDE w:val="0"/>
              <w:autoSpaceDN w:val="0"/>
              <w:adjustRightInd w:val="0"/>
              <w:spacing w:line="360" w:lineRule="auto"/>
              <w:ind w:firstLine="482" w:firstLineChars="200"/>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3、固体废物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项目固体废物处置率达100%。排放量为0，不设总量控制指标。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000000" w:themeColor="text1"/>
          <w:sz w:val="32"/>
          <w:szCs w:val="32"/>
          <w:lang w:val="en-US" w:eastAsia="zh-CN"/>
          <w14:textFill>
            <w14:solidFill>
              <w14:schemeClr w14:val="tx1"/>
            </w14:solidFill>
          </w14:textFill>
        </w:rPr>
      </w:pPr>
      <w:bookmarkStart w:id="11" w:name="_Toc25392"/>
      <w:r>
        <w:rPr>
          <w:rFonts w:hint="eastAsia" w:ascii="Times New Roman" w:hAnsi="Times New Roman" w:eastAsia="宋体" w:cs="Times New Roman"/>
          <w:b/>
          <w:bCs/>
          <w:snapToGrid w:val="0"/>
          <w:color w:val="000000" w:themeColor="text1"/>
          <w:sz w:val="32"/>
          <w:szCs w:val="32"/>
          <w:lang w:val="en-US" w:eastAsia="zh-CN"/>
          <w14:textFill>
            <w14:solidFill>
              <w14:schemeClr w14:val="tx1"/>
            </w14:solidFill>
          </w14:textFill>
        </w:rPr>
        <w:t>四、</w:t>
      </w:r>
      <w:r>
        <w:rPr>
          <w:rFonts w:hint="default" w:ascii="Times New Roman" w:hAnsi="Times New Roman" w:eastAsia="宋体" w:cs="Times New Roman"/>
          <w:b/>
          <w:bCs/>
          <w:snapToGrid w:val="0"/>
          <w:color w:val="000000" w:themeColor="text1"/>
          <w:sz w:val="32"/>
          <w:szCs w:val="32"/>
          <w14:textFill>
            <w14:solidFill>
              <w14:schemeClr w14:val="tx1"/>
            </w14:solidFill>
          </w14:textFill>
        </w:rPr>
        <w:t>主要环境影响和保护措施</w:t>
      </w:r>
      <w:bookmarkEnd w:id="11"/>
    </w:p>
    <w:tbl>
      <w:tblPr>
        <w:tblStyle w:val="18"/>
        <w:tblpPr w:leftFromText="181" w:rightFromText="181" w:bottomFromText="57"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0"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right="0" w:rightChars="0"/>
              <w:jc w:val="center"/>
              <w:textAlignment w:val="auto"/>
              <w:rPr>
                <w:rFonts w:hint="eastAsia" w:ascii="宋体" w:hAnsi="宋体" w:eastAsia="宋体" w:cs="宋体"/>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施工期环境保护措施</w:t>
            </w:r>
          </w:p>
        </w:tc>
        <w:tc>
          <w:tcPr>
            <w:tcW w:w="915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租用闲置用地进行厂房的建设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厂房建设完成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后进行设备的安装和调试，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厂房为钢架棚结构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。施工期的主要污染源及采取的环境保护措施如下：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（一）施工期废气污染防治措施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1、施工过程中扬尘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项目施工扬尘主要来源于厂房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、材料装卸、堆放和运输、建筑垃圾堆放和运出、施工车辆和施工机械行驶等，属无组织排放。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在施工场地周围用彩钢板围挡；在施工频繁的道路上可适时进行现场洒水降尘，在干燥季节和夏季的中午时段应增加洒水的频率；禁止在大风天进行土地平整作业，风速过大时应停止施工，对裸露地面覆盖处理；在施工场地对施工车辆必须实施限速行驶；选择对周围环境影响较小的固定运输路线，定时对运输路线进行清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2、施工机械和运输车辆尾气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机械一般燃用柴油作动力，开动时会产生一些燃油废气；施工运输车辆一般是大型柴油车，产生机动车尾气。排放污染物主要为CO、NOx、HC，无组织排放。建设单位在施工期多加注意施工设备的维护，使其能够正常的运行，从而可以避免施工机械因病态而使产生的废气超标的现象发生。加之项目施工场地较为开阔，尾气经大气稀释扩散后，对周围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（二）施工期废水污染防治措施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设置1个2m³的临时沉淀池，施工过程中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产生的施工废水收集进临时沉淀池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沉淀处理，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而后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回用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施工过程或于施工场地洒水降尘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不直接排入周边地表水环境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对周围环境的影响很小。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（三）施工期固废污染防治措施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项目施工期固体废弃物主要为废包装材料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、建筑垃圾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废包装材料能够回收利用的进行回收利用，不能回收利用的运至指定地点妥善处置，对周围环境影响很小。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建筑垃圾不得乱堆乱放，固体废物产生后须及时收集清运至指定的建筑垃圾堆放场所进行处置。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施工期施工人员不在现场食宿，项目施工期短，生活垃圾的产生量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少。施工期生活垃圾集中收集后，由环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周边村民清运，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对周围环境影响很小。</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场地</w:t>
            </w:r>
            <w:r>
              <w:rPr>
                <w:rFonts w:hint="default" w:ascii="Times New Roman" w:hAnsi="Times New Roman" w:eastAsia="宋体" w:cs="Times New Roman"/>
                <w:color w:val="000000" w:themeColor="text1"/>
                <w:sz w:val="24"/>
                <w14:textFill>
                  <w14:solidFill>
                    <w14:schemeClr w14:val="tx1"/>
                  </w14:solidFill>
                </w14:textFill>
              </w:rPr>
              <w:t>基础开挖产生的土石方及时回填，场内无废弃土石方产生</w:t>
            </w:r>
            <w:r>
              <w:rPr>
                <w:rFonts w:hint="eastAsia"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（四）施工期噪声污染防治措施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项目施工主要为人力施工，施工机械使用较少，噪声为间歇性噪声。施工期间噪声多来源于自卸运输车辆等设备的发动机噪声以及设备安装产生的噪声。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为减小施工期间噪声对周围环境的影响，防止声污染事故的发生，环评要求工程施工时应采取以下措施：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施工单位应合理安排好施工时间，严禁在12:00~14:00、22:00~6:00期间施工；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材料采用定尺定料，减少现场切割；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加强机械设备的维护管理，保证其处于正常的工作状态；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加强对施工人员的管理，避免人为噪声的产生，做到文明施工；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合理布设施工场地，尽量使高噪声设备远离厂界。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只要施工单位在施工中加强管理、合理操作，同时合理安排作业时间，则施工噪声影响将得以减小；施工噪声对于区域噪声环境质量的影响是短暂的，其噪声影响随着施工期的结束而结束，影响较小。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综上，项目施工期产生的污染物都采取了合理可行的防治措施，对周围环境影响较小，措施可行。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right="0" w:rightChars="0"/>
              <w:jc w:val="center"/>
              <w:textAlignment w:val="auto"/>
              <w:rPr>
                <w:rFonts w:hint="eastAsia"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运营期环境影响和保护措施</w:t>
            </w:r>
          </w:p>
        </w:tc>
        <w:tc>
          <w:tcPr>
            <w:tcW w:w="915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（一）废气影响和保护措施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1、废气污染物产排核算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本项目运营期产生的废气主要为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原料破碎、粉碎、制粒粉尘，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制棒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废气，炭化废气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项目有组织废气主要为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烘干、炭化、制棒废气。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①破碎、粉碎粉尘（排气筒DA001废气）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项目废木材边角料、木屑等物料破碎、粉碎过程会产生粉尘，根据《空气污染物排放和控制手册（美国环保局）》，木材废料加工颗粒物排放因子为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0.91kg/t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，破碎、粉碎过程进料量为22807.8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，则粉碎、筛分过程粉尘产生量为20.75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，产生速率5.77kg/h；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项目破碎机、粉碎机、制粒机上方设置集气罩收集产生的粉尘，收集后的粉尘经废气收集管道引至1#布袋除尘器处理，后通过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高排气筒（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）外排。项目集气罩收集效率约为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，参考《生物质致密成型燃料加工行业系数手册》中粉碎、筛分、造粒阶段布袋除尘效率为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大气污染治理工程技术导则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HJ2000-2010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中5.3.5排气筒的出口直径应根据出口流速确定，流速宜取15m/s左右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，破碎、粉碎、制粒排气筒内径设计为0.3m，故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设置的风机风量应为15×3600×0.15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²π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=3817.04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，为保证废气处理设施不超负荷运行，本次风机风量取5000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项目破碎、粉碎工序年运行300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，每天12小时，则集气罩收集粉尘量为16.6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，收集速率为4.61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，产生浓度为922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，经1#布袋除尘处理后排气筒（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）排放粉尘量为1.696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，排放速率为0.47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，排放浓度为94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，达《大气污染物综合排放标准》（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），即排放浓度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≤120mg/m³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率≤3.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5kg/h。</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②排气筒DA002废气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a、环保机制炭生产线废气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项目每年的炭化原材料约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00t/a，炭化、制棒过程中会产生一定的少量的烟气，烟气的主要成分为烟尘、二氧化硫、氮氧化物、二氧化碳、一氧化碳、水蒸气、木焦油气、甲烷、乙烯、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木醋液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可燃、助燃气体，项目制棒废气统一经管道引入到热风炉的炉膛内燃烧，燃烧产生的热气经引入烘干机内进行烘干工序；根据建设单位提供资料，在烘干过程中仅靠炭化、制棒过程产生的可燃气体对原料烘干热量不能满足要求，在此过程还需要部分生物质作为燃料，生物质年用量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ⅰ.制棒废气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制棒成型废气制棒是利用原料在制棒机螺旋推进器与加热圈的作用下形成高温、高压区将松散的原材料加工成空心棒体。项目采用4台制棒机将粉料压制成型，该过程会产生少量粉尘，根据类比现有项目情况，制棒机粉尘产生量较小，按0.01kg/t-原料计，则制棒产生粉尘量约为0.025t/a，产生速率为0.007kg/h，制棒粉尘经制棒机外整体收集罩收集后，由管道引至2#布袋除尘器处理，而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ⅱ.炭化废气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炭化过程中会产生炭化废气，炭化废气主要包括一氧化碳、二氧化碳、甲烷、乙烯、氢气等）、气态木焦油和气态木醋液等，炭化废气进入烘干系统燃烧室作为燃料燃烧。木煤气主要成分为二氧化碳、一氧化碳、氢气、氮气等，木焦油、木醋液主要成分为烃类、酸类、酚类等有机化合物。炭化废气燃烧后产物主要二氧化碳、水蒸气和少量未燃烧的木焦油、木醋液（以非甲烷总烃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根据《生物质热解气化原理与技术》（化学工业出版社2013年4月出版）中典型的热解产物试验数据，木材热解产物的大致产率，其产物质量分数对应于绝干木材：木炭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33%~38%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，澄清木醋液和沉积木焦油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，木煤气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，另外损耗约为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。在澄清木醋液和木焦油中水分约占1/2。其中木焦油沸点为200-220℃，木醋液为低沸点物质，炭化热解过程温度一般为300-650℃，因此炭化过程木焦油、木醋液等以气态形式存在。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项目</w:t>
            </w:r>
            <w:r>
              <w:rPr>
                <w:rFonts w:ascii="Times New Roman" w:hAnsi="Times New Roman"/>
                <w:color w:val="000000" w:themeColor="text1"/>
                <w:sz w:val="24"/>
                <w:szCs w:val="24"/>
                <w14:textFill>
                  <w14:solidFill>
                    <w14:schemeClr w14:val="tx1"/>
                  </w14:solidFill>
                </w14:textFill>
              </w:rPr>
              <w:t>年产</w:t>
            </w:r>
            <w:r>
              <w:rPr>
                <w:rFonts w:hint="eastAsia" w:ascii="Times New Roman" w:hAnsi="Times New Roman"/>
                <w:color w:val="000000" w:themeColor="text1"/>
                <w:sz w:val="24"/>
                <w:szCs w:val="24"/>
                <w:lang w:val="en-US" w:eastAsia="zh-CN"/>
                <w14:textFill>
                  <w14:solidFill>
                    <w14:schemeClr w14:val="tx1"/>
                  </w14:solidFill>
                </w14:textFill>
              </w:rPr>
              <w:t>1500</w:t>
            </w:r>
            <w:r>
              <w:rPr>
                <w:rFonts w:ascii="Times New Roman" w:hAnsi="Times New Roman"/>
                <w:color w:val="000000" w:themeColor="text1"/>
                <w:sz w:val="24"/>
                <w:szCs w:val="24"/>
                <w14:textFill>
                  <w14:solidFill>
                    <w14:schemeClr w14:val="tx1"/>
                  </w14:solidFill>
                </w14:textFill>
              </w:rPr>
              <w:t>t</w:t>
            </w:r>
            <w:r>
              <w:rPr>
                <w:rFonts w:hint="eastAsia" w:ascii="Times New Roman" w:hAnsi="Times New Roman"/>
                <w:color w:val="000000" w:themeColor="text1"/>
                <w:sz w:val="24"/>
                <w:szCs w:val="24"/>
                <w:lang w:val="en-US" w:eastAsia="zh-CN"/>
                <w14:textFill>
                  <w14:solidFill>
                    <w14:schemeClr w14:val="tx1"/>
                  </w14:solidFill>
                </w14:textFill>
              </w:rPr>
              <w:t>机制炭</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炭化炉</w:t>
            </w:r>
            <w:r>
              <w:rPr>
                <w:rFonts w:ascii="Times New Roman" w:hAnsi="Times New Roman"/>
                <w:color w:val="000000" w:themeColor="text1"/>
                <w:sz w:val="24"/>
                <w:szCs w:val="24"/>
                <w14:textFill>
                  <w14:solidFill>
                    <w14:schemeClr w14:val="tx1"/>
                  </w14:solidFill>
                </w14:textFill>
              </w:rPr>
              <w:t>木炭产量约为绝对干料的33%，则</w:t>
            </w:r>
            <w:r>
              <w:rPr>
                <w:rFonts w:hint="eastAsia" w:ascii="Times New Roman" w:hAnsi="Times New Roman"/>
                <w:color w:val="000000" w:themeColor="text1"/>
                <w:sz w:val="24"/>
                <w:szCs w:val="24"/>
                <w:lang w:eastAsia="zh-CN"/>
                <w14:textFill>
                  <w14:solidFill>
                    <w14:schemeClr w14:val="tx1"/>
                  </w14:solidFill>
                </w14:textFill>
              </w:rPr>
              <w:t>炭化炉</w:t>
            </w:r>
            <w:r>
              <w:rPr>
                <w:rFonts w:ascii="Times New Roman" w:hAnsi="Times New Roman"/>
                <w:color w:val="000000" w:themeColor="text1"/>
                <w:sz w:val="24"/>
                <w:szCs w:val="24"/>
                <w14:textFill>
                  <w14:solidFill>
                    <w14:schemeClr w14:val="tx1"/>
                  </w14:solidFill>
                </w14:textFill>
              </w:rPr>
              <w:t>需使用成型木棒约</w:t>
            </w:r>
            <w:r>
              <w:rPr>
                <w:rFonts w:hint="eastAsia" w:ascii="Times New Roman" w:hAnsi="Times New Roman"/>
                <w:color w:val="000000" w:themeColor="text1"/>
                <w:sz w:val="24"/>
                <w:szCs w:val="24"/>
                <w:lang w:val="en-US" w:eastAsia="zh-CN"/>
                <w14:textFill>
                  <w14:solidFill>
                    <w14:schemeClr w14:val="tx1"/>
                  </w14:solidFill>
                </w14:textFill>
              </w:rPr>
              <w:t>4546</w:t>
            </w:r>
            <w:r>
              <w:rPr>
                <w:rFonts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木焦油、木醋液</w:t>
            </w:r>
          </w:p>
          <w:p>
            <w:pPr>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根据《木醋液的成分分析》（徐社阳，陈就记，曹德榕《广州化学》2006年），木焦油主要成分为烃类、酚类、酸类化合物</w:t>
            </w:r>
            <w:r>
              <w:rPr>
                <w:rFonts w:hint="eastAsia" w:ascii="Times New Roman" w:hAnsi="Times New Roman"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木醋液中主要成分为水、乙酸、酚类、酮类等化合物</w:t>
            </w:r>
            <w:r>
              <w:rPr>
                <w:rFonts w:hint="eastAsia" w:ascii="Times New Roman" w:hAnsi="Times New Roman" w:cs="Times New Roman"/>
                <w:color w:val="000000" w:themeColor="text1"/>
                <w:kern w:val="0"/>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木焦油沸点为200-220℃，木醋液为低沸点物质，炭化热解过程温度一般为300-650℃，因此炭化过程木焦油、木醋液等以气态形式存在</w:t>
            </w:r>
            <w:r>
              <w:rPr>
                <w:rFonts w:ascii="Times New Roman" w:hAnsi="Times New Roman" w:eastAsia="宋体" w:cs="Times New Roman"/>
                <w:color w:val="000000" w:themeColor="text1"/>
                <w:szCs w:val="24"/>
                <w14:textFill>
                  <w14:solidFill>
                    <w14:schemeClr w14:val="tx1"/>
                  </w14:solidFill>
                </w14:textFill>
              </w:rPr>
              <w:t>。</w:t>
            </w:r>
          </w:p>
          <w:p>
            <w:pPr>
              <w:ind w:firstLine="480" w:firstLineChars="2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本项目年产</w:t>
            </w:r>
            <w:r>
              <w:rPr>
                <w:rFonts w:hint="eastAsia" w:ascii="Times New Roman" w:hAnsi="Times New Roman" w:cs="Times New Roman"/>
                <w:color w:val="000000" w:themeColor="text1"/>
                <w:szCs w:val="24"/>
                <w14:textFill>
                  <w14:solidFill>
                    <w14:schemeClr w14:val="tx1"/>
                  </w14:solidFill>
                </w14:textFill>
              </w:rPr>
              <w:t>1500</w:t>
            </w:r>
            <w:r>
              <w:rPr>
                <w:rFonts w:ascii="Times New Roman" w:hAnsi="Times New Roman" w:cs="Times New Roman"/>
                <w:color w:val="000000" w:themeColor="text1"/>
                <w:szCs w:val="24"/>
                <w14:textFill>
                  <w14:solidFill>
                    <w14:schemeClr w14:val="tx1"/>
                  </w14:solidFill>
                </w14:textFill>
              </w:rPr>
              <w:t>t机制炭，澄清木醋液和沉积木焦油</w:t>
            </w:r>
            <w:r>
              <w:rPr>
                <w:rFonts w:ascii="Times New Roman" w:hAnsi="Times New Roman"/>
                <w:color w:val="000000" w:themeColor="text1"/>
                <w14:textFill>
                  <w14:solidFill>
                    <w14:schemeClr w14:val="tx1"/>
                  </w14:solidFill>
                </w14:textFill>
              </w:rPr>
              <w:t>的产生量约为绝对干料的</w:t>
            </w:r>
            <w:r>
              <w:rPr>
                <w:rFonts w:hint="eastAsia" w:ascii="Times New Roman" w:hAnsi="Times New Roman"/>
                <w:color w:val="000000" w:themeColor="text1"/>
                <w14:textFill>
                  <w14:solidFill>
                    <w14:schemeClr w14:val="tx1"/>
                  </w14:solidFill>
                </w14:textFill>
              </w:rPr>
              <w:t>45%~50%</w:t>
            </w:r>
            <w:r>
              <w:rPr>
                <w:rFonts w:ascii="Times New Roman" w:hAnsi="Times New Roman" w:cs="Times New Roman"/>
                <w:color w:val="000000" w:themeColor="text1"/>
                <w:szCs w:val="24"/>
                <w14:textFill>
                  <w14:solidFill>
                    <w14:schemeClr w14:val="tx1"/>
                  </w14:solidFill>
                </w14:textFill>
              </w:rPr>
              <w:t>，</w:t>
            </w:r>
            <w:r>
              <w:rPr>
                <w:rFonts w:ascii="Times New Roman" w:hAnsi="Times New Roman"/>
                <w:color w:val="000000" w:themeColor="text1"/>
                <w14:textFill>
                  <w14:solidFill>
                    <w14:schemeClr w14:val="tx1"/>
                  </w14:solidFill>
                </w14:textFill>
              </w:rPr>
              <w:t>按</w:t>
            </w:r>
            <w:r>
              <w:rPr>
                <w:rFonts w:hint="eastAsia" w:ascii="Times New Roman" w:hAnsi="Times New Roman"/>
                <w:color w:val="000000" w:themeColor="text1"/>
                <w14:textFill>
                  <w14:solidFill>
                    <w14:schemeClr w14:val="tx1"/>
                  </w14:solidFill>
                </w14:textFill>
              </w:rPr>
              <w:t>46</w:t>
            </w:r>
            <w:r>
              <w:rPr>
                <w:rFonts w:ascii="Times New Roman" w:hAnsi="Times New Roman"/>
                <w:color w:val="000000" w:themeColor="text1"/>
                <w14:textFill>
                  <w14:solidFill>
                    <w14:schemeClr w14:val="tx1"/>
                  </w14:solidFill>
                </w14:textFill>
              </w:rPr>
              <w:t>%计算，</w:t>
            </w:r>
            <w:r>
              <w:rPr>
                <w:rFonts w:ascii="Times New Roman" w:hAnsi="Times New Roman" w:cs="Times New Roman"/>
                <w:color w:val="000000" w:themeColor="text1"/>
                <w:szCs w:val="24"/>
                <w14:textFill>
                  <w14:solidFill>
                    <w14:schemeClr w14:val="tx1"/>
                  </w14:solidFill>
                </w14:textFill>
              </w:rPr>
              <w:t>因此</w:t>
            </w:r>
            <w:r>
              <w:rPr>
                <w:rFonts w:hint="eastAsia" w:ascii="Times New Roman" w:hAnsi="Times New Roman" w:cs="Times New Roman"/>
                <w:color w:val="000000" w:themeColor="text1"/>
                <w:szCs w:val="24"/>
                <w14:textFill>
                  <w14:solidFill>
                    <w14:schemeClr w14:val="tx1"/>
                  </w14:solidFill>
                </w14:textFill>
              </w:rPr>
              <w:t>绝对干料</w:t>
            </w:r>
            <w:r>
              <w:rPr>
                <w:rFonts w:ascii="Times New Roman" w:hAnsi="Times New Roman" w:cs="Times New Roman"/>
                <w:color w:val="000000" w:themeColor="text1"/>
                <w:szCs w:val="24"/>
                <w14:textFill>
                  <w14:solidFill>
                    <w14:schemeClr w14:val="tx1"/>
                  </w14:solidFill>
                </w14:textFill>
              </w:rPr>
              <w:t>炭化时产生的</w:t>
            </w:r>
            <w:r>
              <w:rPr>
                <w:rFonts w:ascii="Times New Roman" w:hAnsi="Times New Roman"/>
                <w:color w:val="000000" w:themeColor="text1"/>
                <w14:textFill>
                  <w14:solidFill>
                    <w14:schemeClr w14:val="tx1"/>
                  </w14:solidFill>
                </w14:textFill>
              </w:rPr>
              <w:t>气态木焦油、木醋液</w:t>
            </w:r>
            <w:r>
              <w:rPr>
                <w:rFonts w:ascii="Times New Roman" w:hAnsi="Times New Roman" w:cs="Times New Roman"/>
                <w:color w:val="000000" w:themeColor="text1"/>
                <w:szCs w:val="24"/>
                <w14:textFill>
                  <w14:solidFill>
                    <w14:schemeClr w14:val="tx1"/>
                  </w14:solidFill>
                </w14:textFill>
              </w:rPr>
              <w:t>量约为</w:t>
            </w:r>
            <w:r>
              <w:rPr>
                <w:rFonts w:hint="eastAsia" w:ascii="Times New Roman" w:hAnsi="Times New Roman" w:cs="Times New Roman"/>
                <w:color w:val="000000" w:themeColor="text1"/>
                <w:szCs w:val="24"/>
                <w14:textFill>
                  <w14:solidFill>
                    <w14:schemeClr w14:val="tx1"/>
                  </w14:solidFill>
                </w14:textFill>
              </w:rPr>
              <w:t>690t/a。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炭化过程中产生的</w:t>
            </w:r>
            <w:r>
              <w:rPr>
                <w:rFonts w:ascii="Times New Roman" w:hAnsi="Times New Roman"/>
                <w:color w:val="000000" w:themeColor="text1"/>
                <w14:textFill>
                  <w14:solidFill>
                    <w14:schemeClr w14:val="tx1"/>
                  </w14:solidFill>
                </w14:textFill>
              </w:rPr>
              <w:t>气态木焦油、木醋液</w:t>
            </w:r>
            <w:r>
              <w:rPr>
                <w:rFonts w:ascii="Times New Roman" w:hAnsi="Times New Roman" w:eastAsia="宋体" w:cs="Times New Roman"/>
                <w:color w:val="000000" w:themeColor="text1"/>
                <w:kern w:val="0"/>
                <w:szCs w:val="24"/>
                <w14:textFill>
                  <w14:solidFill>
                    <w14:schemeClr w14:val="tx1"/>
                  </w14:solidFill>
                </w14:textFill>
              </w:rPr>
              <w:t>及烟气等经过</w:t>
            </w:r>
            <w:r>
              <w:rPr>
                <w:rFonts w:hint="eastAsia" w:ascii="Times New Roman" w:hAnsi="Times New Roman" w:eastAsia="宋体" w:cs="Times New Roman"/>
                <w:color w:val="000000" w:themeColor="text1"/>
                <w:kern w:val="0"/>
                <w:szCs w:val="24"/>
                <w:lang w:eastAsia="zh-CN"/>
                <w14:textFill>
                  <w14:solidFill>
                    <w14:schemeClr w14:val="tx1"/>
                  </w14:solidFill>
                </w14:textFill>
              </w:rPr>
              <w:t>炉与炉</w:t>
            </w:r>
            <w:r>
              <w:rPr>
                <w:rFonts w:ascii="Times New Roman" w:hAnsi="Times New Roman" w:eastAsia="宋体" w:cs="Times New Roman"/>
                <w:color w:val="000000" w:themeColor="text1"/>
                <w:kern w:val="0"/>
                <w:szCs w:val="24"/>
                <w14:textFill>
                  <w14:solidFill>
                    <w14:schemeClr w14:val="tx1"/>
                  </w14:solidFill>
                </w14:textFill>
              </w:rPr>
              <w:t>之间的火道加热提温到800～1000℃温度，使烟道内的木焦油、木醋液等充分燃烧，</w:t>
            </w:r>
            <w:r>
              <w:rPr>
                <w:rFonts w:hint="eastAsia" w:ascii="Times New Roman" w:hAnsi="Times New Roman" w:cs="Times New Roman"/>
                <w:color w:val="000000" w:themeColor="text1"/>
                <w:kern w:val="0"/>
                <w:szCs w:val="24"/>
                <w14:textFill>
                  <w14:solidFill>
                    <w14:schemeClr w14:val="tx1"/>
                  </w14:solidFill>
                </w14:textFill>
              </w:rPr>
              <w:t>炭化工序产生的可燃气体引至</w:t>
            </w:r>
            <w:r>
              <w:rPr>
                <w:rFonts w:ascii="Times New Roman" w:hAnsi="Times New Roman" w:eastAsia="宋体" w:cs="Times New Roman"/>
                <w:color w:val="000000" w:themeColor="text1"/>
                <w:kern w:val="0"/>
                <w:szCs w:val="24"/>
                <w14:textFill>
                  <w14:solidFill>
                    <w14:schemeClr w14:val="tx1"/>
                  </w14:solidFill>
                </w14:textFill>
              </w:rPr>
              <w:t>烘干系统进行燃烧利用，多余烟气</w:t>
            </w:r>
            <w:r>
              <w:rPr>
                <w:rFonts w:hint="eastAsia" w:ascii="Times New Roman" w:hAnsi="Times New Roman" w:cs="Times New Roman"/>
                <w:color w:val="000000" w:themeColor="text1"/>
                <w:kern w:val="0"/>
                <w:szCs w:val="24"/>
                <w14:textFill>
                  <w14:solidFill>
                    <w14:schemeClr w14:val="tx1"/>
                  </w14:solidFill>
                </w14:textFill>
              </w:rPr>
              <w:t>经</w:t>
            </w:r>
            <w:r>
              <w:rPr>
                <w:rFonts w:hint="eastAsia" w:ascii="Times New Roman" w:hAnsi="Times New Roman" w:cs="Times New Roman"/>
                <w:color w:val="000000" w:themeColor="text1"/>
                <w:szCs w:val="24"/>
                <w:lang w:eastAsia="zh-CN"/>
                <w14:textFill>
                  <w14:solidFill>
                    <w14:schemeClr w14:val="tx1"/>
                  </w14:solidFill>
                </w14:textFill>
              </w:rPr>
              <w:t>2#布袋除尘器</w:t>
            </w:r>
            <w:r>
              <w:rPr>
                <w:rFonts w:ascii="Times New Roman" w:hAnsi="Times New Roman" w:eastAsia="宋体" w:cs="Times New Roman"/>
                <w:color w:val="000000" w:themeColor="text1"/>
                <w:szCs w:val="24"/>
                <w14:textFill>
                  <w14:solidFill>
                    <w14:schemeClr w14:val="tx1"/>
                  </w14:solidFill>
                </w14:textFill>
              </w:rPr>
              <w:t>处理后，经15m高排气筒（DA00</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）排放</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木焦油</w:t>
            </w:r>
            <w:r>
              <w:rPr>
                <w:rFonts w:hint="eastAsia" w:ascii="Times New Roman" w:hAnsi="Times New Roman"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木醋液经过燃烧后，产物为CO</w:t>
            </w:r>
            <w:r>
              <w:rPr>
                <w:rFonts w:ascii="Times New Roman" w:hAnsi="Times New Roman" w:eastAsia="宋体" w:cs="Times New Roman"/>
                <w:color w:val="000000" w:themeColor="text1"/>
                <w:kern w:val="0"/>
                <w:szCs w:val="24"/>
                <w:vertAlign w:val="subscript"/>
                <w14:textFill>
                  <w14:solidFill>
                    <w14:schemeClr w14:val="tx1"/>
                  </w14:solidFill>
                </w14:textFill>
              </w:rPr>
              <w:t>2</w:t>
            </w:r>
            <w:r>
              <w:rPr>
                <w:rFonts w:ascii="Times New Roman" w:hAnsi="Times New Roman" w:eastAsia="宋体" w:cs="Times New Roman"/>
                <w:color w:val="000000" w:themeColor="text1"/>
                <w:kern w:val="0"/>
                <w:szCs w:val="24"/>
                <w14:textFill>
                  <w14:solidFill>
                    <w14:schemeClr w14:val="tx1"/>
                  </w14:solidFill>
                </w14:textFill>
              </w:rPr>
              <w:t>和水。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木煤气</w:t>
            </w:r>
          </w:p>
          <w:p>
            <w:pPr>
              <w:ind w:firstLine="480" w:firstLineChars="2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木煤气中的可燃性组分有</w:t>
            </w:r>
            <w:r>
              <w:rPr>
                <w:rFonts w:ascii="Times New Roman" w:hAnsi="Times New Roman" w:eastAsia="宋体" w:cs="Times New Roman"/>
                <w:color w:val="000000" w:themeColor="text1"/>
                <w:szCs w:val="24"/>
                <w14:textFill>
                  <w14:solidFill>
                    <w14:schemeClr w14:val="tx1"/>
                  </w14:solidFill>
                </w14:textFill>
              </w:rPr>
              <w:t>一氧化碳、二氧化碳、甲烷、乙烯和氢气等，</w:t>
            </w:r>
            <w:r>
              <w:rPr>
                <w:rFonts w:ascii="Times New Roman" w:hAnsi="Times New Roman" w:cs="Times New Roman"/>
                <w:color w:val="000000" w:themeColor="text1"/>
                <w:szCs w:val="24"/>
                <w14:textFill>
                  <w14:solidFill>
                    <w14:schemeClr w14:val="tx1"/>
                  </w14:solidFill>
                </w14:textFill>
              </w:rPr>
              <w:t>可燃性组分占木煤气总质量数的</w:t>
            </w:r>
            <w:r>
              <w:rPr>
                <w:rFonts w:hint="eastAsia" w:ascii="Times New Roman" w:hAnsi="Times New Roman" w:cs="Times New Roman"/>
                <w:color w:val="000000" w:themeColor="text1"/>
                <w:szCs w:val="24"/>
                <w14:textFill>
                  <w14:solidFill>
                    <w14:schemeClr w14:val="tx1"/>
                  </w14:solidFill>
                </w14:textFill>
              </w:rPr>
              <w:t>34%~37%</w:t>
            </w:r>
            <w:r>
              <w:rPr>
                <w:rFonts w:ascii="Times New Roman" w:hAnsi="Times New Roman" w:cs="Times New Roman"/>
                <w:color w:val="000000" w:themeColor="text1"/>
                <w:szCs w:val="24"/>
                <w14:textFill>
                  <w14:solidFill>
                    <w14:schemeClr w14:val="tx1"/>
                  </w14:solidFill>
                </w14:textFill>
              </w:rPr>
              <w:t>，其中CO约占25%，CH</w:t>
            </w:r>
            <w:r>
              <w:rPr>
                <w:rFonts w:ascii="Times New Roman" w:hAnsi="Times New Roman" w:cs="Times New Roman"/>
                <w:color w:val="000000" w:themeColor="text1"/>
                <w:szCs w:val="24"/>
                <w:vertAlign w:val="subscript"/>
                <w14:textFill>
                  <w14:solidFill>
                    <w14:schemeClr w14:val="tx1"/>
                  </w14:solidFill>
                </w14:textFill>
              </w:rPr>
              <w:t>4</w:t>
            </w:r>
            <w:r>
              <w:rPr>
                <w:rFonts w:ascii="Times New Roman" w:hAnsi="Times New Roman" w:cs="Times New Roman"/>
                <w:color w:val="000000" w:themeColor="text1"/>
                <w:szCs w:val="24"/>
                <w14:textFill>
                  <w14:solidFill>
                    <w14:schemeClr w14:val="tx1"/>
                  </w14:solidFill>
                </w14:textFill>
              </w:rPr>
              <w:t>约占9%，C</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H</w:t>
            </w:r>
            <w:r>
              <w:rPr>
                <w:rFonts w:ascii="Times New Roman" w:hAnsi="Times New Roman" w:cs="Times New Roman"/>
                <w:color w:val="000000" w:themeColor="text1"/>
                <w:szCs w:val="24"/>
                <w:vertAlign w:val="subscript"/>
                <w14:textFill>
                  <w14:solidFill>
                    <w14:schemeClr w14:val="tx1"/>
                  </w14:solidFill>
                </w14:textFill>
              </w:rPr>
              <w:t>4</w:t>
            </w:r>
            <w:r>
              <w:rPr>
                <w:rFonts w:ascii="Times New Roman" w:hAnsi="Times New Roman" w:cs="Times New Roman"/>
                <w:color w:val="000000" w:themeColor="text1"/>
                <w:szCs w:val="24"/>
                <w14:textFill>
                  <w14:solidFill>
                    <w14:schemeClr w14:val="tx1"/>
                  </w14:solidFill>
                </w14:textFill>
              </w:rPr>
              <w:t>约占1.5%，H</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约占0.2%，其余大都是N</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和CO</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气体，占木煤气总质量数的60%以上</w:t>
            </w:r>
            <w:r>
              <w:rPr>
                <w:rFonts w:hint="eastAsia" w:ascii="Times New Roman" w:hAnsi="Times New Roman" w:cs="Times New Roman"/>
                <w:color w:val="000000" w:themeColor="text1"/>
                <w:szCs w:val="24"/>
                <w14:textFill>
                  <w14:solidFill>
                    <w14:schemeClr w14:val="tx1"/>
                  </w14:solidFill>
                </w14:textFill>
              </w:rPr>
              <w:t>。</w:t>
            </w:r>
          </w:p>
          <w:p>
            <w:pPr>
              <w:ind w:firstLine="480" w:firstLineChars="2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本项目年产</w:t>
            </w:r>
            <w:r>
              <w:rPr>
                <w:rFonts w:hint="eastAsia" w:ascii="Times New Roman" w:hAnsi="Times New Roman" w:cs="Times New Roman"/>
                <w:color w:val="000000" w:themeColor="text1"/>
                <w:szCs w:val="24"/>
                <w14:textFill>
                  <w14:solidFill>
                    <w14:schemeClr w14:val="tx1"/>
                  </w14:solidFill>
                </w14:textFill>
              </w:rPr>
              <w:t>1500</w:t>
            </w:r>
            <w:r>
              <w:rPr>
                <w:rFonts w:ascii="Times New Roman" w:hAnsi="Times New Roman" w:cs="Times New Roman"/>
                <w:color w:val="000000" w:themeColor="text1"/>
                <w:szCs w:val="24"/>
                <w14:textFill>
                  <w14:solidFill>
                    <w14:schemeClr w14:val="tx1"/>
                  </w14:solidFill>
                </w14:textFill>
              </w:rPr>
              <w:t>t机制炭，</w:t>
            </w:r>
            <w:r>
              <w:rPr>
                <w:rFonts w:ascii="Times New Roman" w:hAnsi="Times New Roman"/>
                <w:color w:val="000000" w:themeColor="text1"/>
                <w14:textFill>
                  <w14:solidFill>
                    <w14:schemeClr w14:val="tx1"/>
                  </w14:solidFill>
                </w14:textFill>
              </w:rPr>
              <w:t>木煤气的产生量约为绝对干料的16%</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18%，按17%计算，</w:t>
            </w:r>
            <w:r>
              <w:rPr>
                <w:rFonts w:ascii="Times New Roman" w:hAnsi="Times New Roman" w:cs="Times New Roman"/>
                <w:color w:val="000000" w:themeColor="text1"/>
                <w:szCs w:val="24"/>
                <w14:textFill>
                  <w14:solidFill>
                    <w14:schemeClr w14:val="tx1"/>
                  </w14:solidFill>
                </w14:textFill>
              </w:rPr>
              <w:t>因此</w:t>
            </w:r>
            <w:r>
              <w:rPr>
                <w:rFonts w:hint="eastAsia" w:ascii="Times New Roman" w:hAnsi="Times New Roman" w:cs="Times New Roman"/>
                <w:color w:val="000000" w:themeColor="text1"/>
                <w:szCs w:val="24"/>
                <w14:textFill>
                  <w14:solidFill>
                    <w14:schemeClr w14:val="tx1"/>
                  </w14:solidFill>
                </w14:textFill>
              </w:rPr>
              <w:t>绝对干料</w:t>
            </w:r>
            <w:r>
              <w:rPr>
                <w:rFonts w:ascii="Times New Roman" w:hAnsi="Times New Roman" w:cs="Times New Roman"/>
                <w:color w:val="000000" w:themeColor="text1"/>
                <w:szCs w:val="24"/>
                <w14:textFill>
                  <w14:solidFill>
                    <w14:schemeClr w14:val="tx1"/>
                  </w14:solidFill>
                </w14:textFill>
              </w:rPr>
              <w:t>炭化时产生的木煤气量约为</w:t>
            </w:r>
            <w:r>
              <w:rPr>
                <w:rFonts w:hint="eastAsia" w:ascii="Times New Roman" w:hAnsi="Times New Roman" w:cs="Times New Roman"/>
                <w:color w:val="000000" w:themeColor="text1"/>
                <w:szCs w:val="24"/>
                <w14:textFill>
                  <w14:solidFill>
                    <w14:schemeClr w14:val="tx1"/>
                  </w14:solidFill>
                </w14:textFill>
              </w:rPr>
              <w:t>255t/a</w:t>
            </w:r>
            <w:r>
              <w:rPr>
                <w:rFonts w:ascii="Times New Roman" w:hAnsi="Times New Roman" w:cs="Times New Roman"/>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木材在炭化过程中会产生有机废气，</w:t>
            </w:r>
            <w:r>
              <w:rPr>
                <w:rFonts w:ascii="Times New Roman" w:hAnsi="Times New Roman" w:eastAsia="宋体" w:cs="Times New Roman"/>
                <w:color w:val="000000" w:themeColor="text1"/>
                <w:kern w:val="0"/>
                <w:szCs w:val="24"/>
                <w14:textFill>
                  <w14:solidFill>
                    <w14:schemeClr w14:val="tx1"/>
                  </w14:solidFill>
                </w14:textFill>
              </w:rPr>
              <w:t>有机废气在燃烧过程中会存在不完全燃烧的情况。</w:t>
            </w:r>
            <w:r>
              <w:rPr>
                <w:rFonts w:ascii="Times New Roman" w:hAnsi="Times New Roman" w:cs="Times New Roman"/>
                <w:color w:val="000000" w:themeColor="text1"/>
                <w:szCs w:val="24"/>
                <w14:textFill>
                  <w14:solidFill>
                    <w14:schemeClr w14:val="tx1"/>
                  </w14:solidFill>
                </w14:textFill>
              </w:rPr>
              <w:t>根据《民用木煤气的研究》</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金淳，林产化工通讯，1995年第三期</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中研究结果，VOCs约占木煤气含量的0.5%，</w:t>
            </w:r>
            <w:r>
              <w:rPr>
                <w:rFonts w:hint="eastAsia" w:ascii="Times New Roman" w:hAnsi="Times New Roman" w:cs="Times New Roman"/>
                <w:color w:val="000000" w:themeColor="text1"/>
                <w:szCs w:val="24"/>
                <w14:textFill>
                  <w14:solidFill>
                    <w14:schemeClr w14:val="tx1"/>
                  </w14:solidFill>
                </w14:textFill>
              </w:rPr>
              <w:t>项目</w:t>
            </w:r>
            <w:r>
              <w:rPr>
                <w:rFonts w:ascii="Times New Roman" w:hAnsi="Times New Roman" w:eastAsia="宋体" w:cs="Times New Roman"/>
                <w:color w:val="000000" w:themeColor="text1"/>
                <w:kern w:val="0"/>
                <w:szCs w:val="24"/>
                <w14:textFill>
                  <w14:solidFill>
                    <w14:schemeClr w14:val="tx1"/>
                  </w14:solidFill>
                </w14:textFill>
              </w:rPr>
              <w:t>非甲烷总烃产生量约为</w:t>
            </w:r>
            <w:r>
              <w:rPr>
                <w:rFonts w:hint="eastAsia" w:ascii="Times New Roman" w:hAnsi="Times New Roman" w:cs="Times New Roman"/>
                <w:color w:val="000000" w:themeColor="text1"/>
                <w:kern w:val="0"/>
                <w:szCs w:val="24"/>
                <w14:textFill>
                  <w14:solidFill>
                    <w14:schemeClr w14:val="tx1"/>
                  </w14:solidFill>
                </w14:textFill>
              </w:rPr>
              <w:t>1.275</w:t>
            </w:r>
            <w:r>
              <w:rPr>
                <w:rFonts w:ascii="Times New Roman" w:hAnsi="Times New Roman" w:eastAsia="宋体" w:cs="Times New Roman"/>
                <w:color w:val="000000" w:themeColor="text1"/>
                <w:kern w:val="0"/>
                <w:szCs w:val="24"/>
                <w14:textFill>
                  <w14:solidFill>
                    <w14:schemeClr w14:val="tx1"/>
                  </w14:solidFill>
                </w14:textFill>
              </w:rPr>
              <w:t>t/a</w:t>
            </w:r>
            <w:r>
              <w:rPr>
                <w:rFonts w:hint="eastAsia" w:ascii="Times New Roman" w:hAnsi="Times New Roman" w:cs="Times New Roman"/>
                <w:color w:val="000000" w:themeColor="text1"/>
                <w:kern w:val="0"/>
                <w:szCs w:val="24"/>
                <w14:textFill>
                  <w14:solidFill>
                    <w14:schemeClr w14:val="tx1"/>
                  </w14:solidFill>
                </w14:textFill>
              </w:rPr>
              <w:t>，</w:t>
            </w:r>
            <w:r>
              <w:rPr>
                <w:rFonts w:hint="eastAsia" w:ascii="Times New Roman" w:hAnsi="Times New Roman"/>
                <w:color w:val="000000" w:themeColor="text1"/>
                <w14:textFill>
                  <w14:solidFill>
                    <w14:schemeClr w14:val="tx1"/>
                  </w14:solidFill>
                </w14:textFill>
              </w:rPr>
              <w:t>在密闭环境下，成型木棒需燃烧8~12h后可转为木炭（按12h计），该生产线年运行300d，</w:t>
            </w:r>
            <w:r>
              <w:rPr>
                <w:rFonts w:hint="eastAsia" w:ascii="Times New Roman" w:hAnsi="Times New Roman" w:cs="Times New Roman"/>
                <w:color w:val="000000" w:themeColor="text1"/>
                <w:szCs w:val="24"/>
                <w14:textFill>
                  <w14:solidFill>
                    <w14:schemeClr w14:val="tx1"/>
                  </w14:solidFill>
                </w14:textFill>
              </w:rPr>
              <w:t>产生</w:t>
            </w:r>
            <w:r>
              <w:rPr>
                <w:rFonts w:ascii="Times New Roman" w:hAnsi="Times New Roman" w:cs="Times New Roman"/>
                <w:color w:val="000000" w:themeColor="text1"/>
                <w:szCs w:val="24"/>
                <w14:textFill>
                  <w14:solidFill>
                    <w14:schemeClr w14:val="tx1"/>
                  </w14:solidFill>
                </w14:textFill>
              </w:rPr>
              <w:t>速率为</w:t>
            </w:r>
            <w:r>
              <w:rPr>
                <w:rFonts w:hint="eastAsia" w:ascii="Times New Roman" w:hAnsi="Times New Roman" w:cs="Times New Roman"/>
                <w:color w:val="000000" w:themeColor="text1"/>
                <w:szCs w:val="24"/>
                <w14:textFill>
                  <w14:solidFill>
                    <w14:schemeClr w14:val="tx1"/>
                  </w14:solidFill>
                </w14:textFill>
              </w:rPr>
              <w:t>0.35</w:t>
            </w:r>
            <w:r>
              <w:rPr>
                <w:rFonts w:ascii="Times New Roman" w:hAnsi="Times New Roman" w:cs="Times New Roman"/>
                <w:color w:val="000000" w:themeColor="text1"/>
                <w:szCs w:val="24"/>
                <w14:textFill>
                  <w14:solidFill>
                    <w14:schemeClr w14:val="tx1"/>
                  </w14:solidFill>
                </w14:textFill>
              </w:rPr>
              <w:t>kg/h。</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b/>
                <w:bCs/>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、NOx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项目年炭化木炭1500t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在密闭环境下，成型木棒需燃烧8~12h后可转为木炭（按12h计），</w:t>
            </w:r>
            <w:r>
              <w:rPr>
                <w:rFonts w:hint="eastAsia" w:ascii="Times New Roman" w:hAnsi="Times New Roman"/>
                <w:color w:val="000000" w:themeColor="text1"/>
                <w:sz w:val="24"/>
                <w:lang w:val="en-US" w:eastAsia="zh-CN"/>
                <w14:textFill>
                  <w14:solidFill>
                    <w14:schemeClr w14:val="tx1"/>
                  </w14:solidFill>
                </w14:textFill>
              </w:rPr>
              <w:t>该生产线年运行300d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炭化过程中产生的烟气通过管道引至烘干系统燃烧室进一步充分燃烧，为烘干系统提供热能，经过烘干系统的烟气最终经过烟道直接引至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2#布袋除尘器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参考第二次全国污染源普查《工业源产排污核算方法和系数手册》中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4430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工业锅炉（热力生产和供应行业）行业系数手册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生物质燃料，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炭化废气中颗粒物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、NOx产排污情况见表4-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表4-1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炭化废气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污染物</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产生情况一览表</w:t>
            </w:r>
          </w:p>
          <w:tbl>
            <w:tblPr>
              <w:tblStyle w:val="17"/>
              <w:tblpPr w:leftFromText="181" w:rightFromText="181" w:bottomFromText="113"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798"/>
              <w:gridCol w:w="1409"/>
              <w:gridCol w:w="1900"/>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1007" w:type="pct"/>
                  <w:tcBorders>
                    <w:top w:val="single" w:color="auto" w:sz="4" w:space="0"/>
                    <w:left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产污系数</w:t>
                  </w:r>
                </w:p>
              </w:tc>
              <w:tc>
                <w:tcPr>
                  <w:tcW w:w="789" w:type="pct"/>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系数单位</w:t>
                  </w:r>
                </w:p>
              </w:tc>
              <w:tc>
                <w:tcPr>
                  <w:tcW w:w="1065" w:type="pct"/>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产生速率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1327" w:type="pct"/>
                  <w:tcBorders>
                    <w:top w:val="single" w:color="auto" w:sz="4" w:space="0"/>
                    <w:left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0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17S</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10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0.708</w:t>
                  </w:r>
                </w:p>
              </w:tc>
              <w:tc>
                <w:tcPr>
                  <w:tcW w:w="1327"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0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1.02</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10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0.425</w:t>
                  </w:r>
                </w:p>
              </w:tc>
              <w:tc>
                <w:tcPr>
                  <w:tcW w:w="1327"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0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kg/t-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10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0.208</w:t>
                  </w:r>
                </w:p>
              </w:tc>
              <w:tc>
                <w:tcPr>
                  <w:tcW w:w="1327"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注：产排系数表中二氧化硫的产排系数是以含硫量（S%）的形式表示的，其中含硫量（S%）是指收到基硫分含量，以质量百分数的形式表示。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生物质木材含硫量（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）约为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，本项目取含硫量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S%=0.1%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ⅲ</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.热风炉燃烧废气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生物质燃料在热风炉炉内燃料燃烧时将产生一定量的烟尘（颗粒物）、SO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、NOx。根据建设单位提供资料，项目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生物质颗粒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为热风炉燃料，年用量约为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热风炉烘干时间为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h/d，年工作300d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生物质颗粒燃烧过程中将会产生二氧化硫、氮氧化物、颗粒物等污染物，项目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热风炉燃烧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废气经管道连接，由风机引至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2#布袋除尘器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处理后，经15m高排气筒（DA00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参照《排放源统计调查产排污核算方法和系数手册》中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“4430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工业锅炉（热力生产和供应行业）产污系数表 生物质工业锅炉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，则烘干炉燃料燃烧污染物产生系数如下。</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环保机制炭生产线热风炉燃烧</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废气产生情况一览表</w:t>
            </w:r>
          </w:p>
          <w:tbl>
            <w:tblPr>
              <w:tblStyle w:val="18"/>
              <w:tblpPr w:leftFromText="181" w:rightFromText="181" w:bottomFromText="113" w:vertAnchor="text" w:tblpXSpec="lef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06"/>
              <w:gridCol w:w="1049"/>
              <w:gridCol w:w="1754"/>
              <w:gridCol w:w="1211"/>
              <w:gridCol w:w="1222"/>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原料名称</w:t>
                  </w:r>
                </w:p>
              </w:tc>
              <w:tc>
                <w:tcPr>
                  <w:tcW w:w="62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工艺名称</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98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系数</w:t>
                  </w: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6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w:t>
                  </w:r>
                  <w:r>
                    <w:rPr>
                      <w:rFonts w:hint="default" w:ascii="Times New Roman" w:hAnsi="Times New Roman" w:eastAsia="宋体" w:cs="Times New Roman"/>
                      <w:b/>
                      <w:bCs/>
                      <w:color w:val="000000" w:themeColor="text1"/>
                      <w:sz w:val="21"/>
                      <w:szCs w:val="21"/>
                      <w14:textFill>
                        <w14:solidFill>
                          <w14:schemeClr w14:val="tx1"/>
                        </w14:solidFill>
                      </w14:textFill>
                    </w:rPr>
                    <w:t>系数</w:t>
                  </w:r>
                </w:p>
              </w:tc>
              <w:tc>
                <w:tcPr>
                  <w:tcW w:w="6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产生速率</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kg/h</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p>
              </w:tc>
              <w:tc>
                <w:tcPr>
                  <w:tcW w:w="8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生物质燃料</w:t>
                  </w:r>
                </w:p>
              </w:tc>
              <w:tc>
                <w:tcPr>
                  <w:tcW w:w="620"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层燃炉</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-生物燃烧</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废气量</w:t>
                  </w:r>
                </w:p>
              </w:tc>
              <w:tc>
                <w:tcPr>
                  <w:tcW w:w="983"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Nm³/t-原料</w:t>
                  </w:r>
                </w:p>
              </w:tc>
              <w:tc>
                <w:tcPr>
                  <w:tcW w:w="6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6240</w:t>
                  </w:r>
                </w:p>
              </w:tc>
              <w:tc>
                <w:tcPr>
                  <w:tcW w:w="68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62万</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2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烟尘</w:t>
                  </w:r>
                </w:p>
              </w:tc>
              <w:tc>
                <w:tcPr>
                  <w:tcW w:w="983"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6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w:t>
                  </w:r>
                </w:p>
              </w:tc>
              <w:tc>
                <w:tcPr>
                  <w:tcW w:w="68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1.044</w:t>
                  </w:r>
                </w:p>
              </w:tc>
              <w:tc>
                <w:tcPr>
                  <w:tcW w:w="8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2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98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6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17S</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①</w:t>
                  </w:r>
                </w:p>
              </w:tc>
              <w:tc>
                <w:tcPr>
                  <w:tcW w:w="68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0.047</w:t>
                  </w:r>
                </w:p>
              </w:tc>
              <w:tc>
                <w:tcPr>
                  <w:tcW w:w="8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2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w:t>
                  </w:r>
                </w:p>
              </w:tc>
              <w:tc>
                <w:tcPr>
                  <w:tcW w:w="983"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6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68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0.028</w:t>
                  </w:r>
                </w:p>
              </w:tc>
              <w:tc>
                <w:tcPr>
                  <w:tcW w:w="8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7"/>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注：①二氧化硫的产污系数是以含硫量（S％）的形式表示的，其中含硫量（S％）是指生物质收到基硫分含量，以质量百分数的形式表示。例如生物质中含硫量（S％）为0.1％，则S=0.1，本项目S=0.1。</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b、生物质颗粒及生物质猫砂颗粒生产线有组织废气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根据业主提供资料，本项目生物质颗粒及生物质猫砂颗粒生产线热风炉每年燃烧生物质燃料1000吨，年运行300d，12h/d；参照《排放源统计调查产排污核算方法和系数手册》中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“4430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工业锅炉（热力生产和供应行业）产污系数表 生物质工业锅炉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，则烘干炉燃料燃烧污染物产生系数如下表所示。</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生物质颗粒及生物质猫砂颗粒生产线热风炉燃烧</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废气产生情况一览表</w:t>
            </w:r>
          </w:p>
          <w:tbl>
            <w:tblPr>
              <w:tblStyle w:val="18"/>
              <w:tblpPr w:leftFromText="181" w:rightFromText="181" w:bottomFromText="113" w:vertAnchor="text" w:tblpXSpec="lef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06"/>
              <w:gridCol w:w="1049"/>
              <w:gridCol w:w="1754"/>
              <w:gridCol w:w="1258"/>
              <w:gridCol w:w="1163"/>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noWrap w:val="0"/>
                  <w:vAlign w:val="center"/>
                </w:tcPr>
                <w:p>
                  <w:pPr>
                    <w:pStyle w:val="39"/>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原料名称</w:t>
                  </w:r>
                </w:p>
              </w:tc>
              <w:tc>
                <w:tcPr>
                  <w:tcW w:w="620"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工艺名称</w:t>
                  </w:r>
                </w:p>
              </w:tc>
              <w:tc>
                <w:tcPr>
                  <w:tcW w:w="588" w:type="pct"/>
                  <w:noWrap w:val="0"/>
                  <w:vAlign w:val="center"/>
                </w:tcPr>
                <w:p>
                  <w:pPr>
                    <w:pStyle w:val="39"/>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983" w:type="pct"/>
                  <w:noWrap w:val="0"/>
                  <w:vAlign w:val="center"/>
                </w:tcPr>
                <w:p>
                  <w:pPr>
                    <w:pStyle w:val="39"/>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系数</w:t>
                  </w: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705" w:type="pct"/>
                  <w:noWrap w:val="0"/>
                  <w:vAlign w:val="center"/>
                </w:tcPr>
                <w:p>
                  <w:pPr>
                    <w:pStyle w:val="39"/>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w:t>
                  </w:r>
                  <w:r>
                    <w:rPr>
                      <w:rFonts w:hint="default" w:ascii="Times New Roman" w:hAnsi="Times New Roman" w:eastAsia="宋体" w:cs="Times New Roman"/>
                      <w:b/>
                      <w:bCs/>
                      <w:color w:val="000000" w:themeColor="text1"/>
                      <w:sz w:val="21"/>
                      <w:szCs w:val="21"/>
                      <w14:textFill>
                        <w14:solidFill>
                          <w14:schemeClr w14:val="tx1"/>
                        </w14:solidFill>
                      </w14:textFill>
                    </w:rPr>
                    <w:t>系数</w:t>
                  </w:r>
                </w:p>
              </w:tc>
              <w:tc>
                <w:tcPr>
                  <w:tcW w:w="65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产生速率</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kg/h</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p>
              </w:tc>
              <w:tc>
                <w:tcPr>
                  <w:tcW w:w="8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restar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生物质燃料</w:t>
                  </w:r>
                </w:p>
              </w:tc>
              <w:tc>
                <w:tcPr>
                  <w:tcW w:w="620" w:type="pct"/>
                  <w:vMerge w:val="restar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层燃炉</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-生物燃烧</w:t>
                  </w:r>
                </w:p>
              </w:tc>
              <w:tc>
                <w:tcPr>
                  <w:tcW w:w="588"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废气量</w:t>
                  </w:r>
                </w:p>
              </w:tc>
              <w:tc>
                <w:tcPr>
                  <w:tcW w:w="983" w:type="pct"/>
                  <w:noWrap w:val="0"/>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Nm³/t-原料</w:t>
                  </w:r>
                </w:p>
              </w:tc>
              <w:tc>
                <w:tcPr>
                  <w:tcW w:w="705"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6240</w:t>
                  </w:r>
                </w:p>
              </w:tc>
              <w:tc>
                <w:tcPr>
                  <w:tcW w:w="652"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21"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624万</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20"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烟尘</w:t>
                  </w:r>
                </w:p>
              </w:tc>
              <w:tc>
                <w:tcPr>
                  <w:tcW w:w="983" w:type="pct"/>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705"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w:t>
                  </w:r>
                </w:p>
              </w:tc>
              <w:tc>
                <w:tcPr>
                  <w:tcW w:w="652"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10.44</w:t>
                  </w:r>
                </w:p>
              </w:tc>
              <w:tc>
                <w:tcPr>
                  <w:tcW w:w="821"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20"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983"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705" w:type="pct"/>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17S</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①</w:t>
                  </w:r>
                </w:p>
              </w:tc>
              <w:tc>
                <w:tcPr>
                  <w:tcW w:w="652" w:type="pct"/>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0.472</w:t>
                  </w:r>
                </w:p>
              </w:tc>
              <w:tc>
                <w:tcPr>
                  <w:tcW w:w="821" w:type="pct"/>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0" w:type="pct"/>
                  <w:vMerge w:val="continue"/>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88"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w:t>
                  </w:r>
                </w:p>
              </w:tc>
              <w:tc>
                <w:tcPr>
                  <w:tcW w:w="983" w:type="pct"/>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p>
              </w:tc>
              <w:tc>
                <w:tcPr>
                  <w:tcW w:w="705"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652"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0.283</w:t>
                  </w:r>
                </w:p>
              </w:tc>
              <w:tc>
                <w:tcPr>
                  <w:tcW w:w="821" w:type="pct"/>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7"/>
                  <w:noWrap w:val="0"/>
                  <w:vAlign w:val="center"/>
                </w:tcPr>
                <w:p>
                  <w:pPr>
                    <w:pStyle w:val="39"/>
                    <w:spacing w:line="240" w:lineRule="auto"/>
                    <w:ind w:firstLine="0" w:firstLineChars="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注：①二氧化硫的产污系数是以含硫量（S％）的形式表示的，其中含硫量（S％）是指生物质收到基硫分含量，以质量百分数的形式表示。例如生物质中含硫量（S％）为0.1％，则S=0.1，本项目S=0.1。</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c、烘干水蒸气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烘干燃烧室燃烧后的尾气由引风机引入烘干机对物料进行烘干烘干尾气包括两部分，一部分是经过热交换后的火炉尾气（污染物为：烟尘、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、气态木焦油及木醋液（以非甲烷总烃表征））；一部分是原料烘干产生的废气，项目烘干温度为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140°C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，未达到着火点，故产生污染物为水蒸气。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22807.8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t/a）初始含水率约为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%，根据工艺要求，原料含水率需达到10%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，故烘干过程产生的水蒸气为9629.9t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d、有组织废气产生量汇总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大气污染治理工程技术导则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HJ2000-2010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中5.3.5排气筒的出口直径应根据出口流速确定，流速宜取15m/s左右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，破碎、粉碎、制粒排气筒内径设计为0.4m，故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设置的风机风量应为15×3600×0.2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²π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=6785.84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，为保证废气处理设施不超负荷运行，本次风机风量取7000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综上，本项目有组织</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产生情况详见下表。</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项目有组织</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产生情况一览表</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1288"/>
              <w:gridCol w:w="1963"/>
              <w:gridCol w:w="1788"/>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工序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产生浓度</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（mg/</w:t>
                  </w:r>
                  <w:r>
                    <w:rPr>
                      <w:rFonts w:hint="eastAsia"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m³</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w:t>
                  </w:r>
                </w:p>
              </w:tc>
              <w:tc>
                <w:tcPr>
                  <w:tcW w:w="10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产生速率（kg/h）</w:t>
                  </w:r>
                </w:p>
              </w:tc>
              <w:tc>
                <w:tcPr>
                  <w:tcW w:w="89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破碎、粉碎、制粒工序</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922</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4.61</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79"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环保机制炭生产线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烘干、炭化、制棒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工序</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179.86</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1.259</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107.86</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0.755</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64.71</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0.453</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35.71</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生物质颗粒及生物质猫砂颗粒生产线烘干工序</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1491.43</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10.44</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67.43</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0.472</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40.43</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0.283</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烘干、炭化、制棒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工序合计</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1671.29</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11.699</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175.29</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1.227</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105.14</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0.736</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1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35.71</w:t>
                  </w:r>
                </w:p>
              </w:tc>
              <w:tc>
                <w:tcPr>
                  <w:tcW w:w="100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89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处置措施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破碎、粉碎、制粒工序：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破碎、粉碎、制粒个设置一个集气罩，废气由风机（风量5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）抽到1#布袋除尘器处理后，由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一根15m高排气筒（DA00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）呈有组织排放。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集气罩收集效率约为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，参考《生物质致密成型燃料加工 行业系数手册》中粉碎、筛分、造粒阶段布袋除尘效率为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环保机制炭生产线</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烘干、炭化、制棒</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工序，生物质颗粒及生物质猫砂颗粒生产线烘干工序：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为减少烘干、炭化、制棒过程废气污染物的排放，项目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2#布袋除尘器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炭化过程中，炭化废气主要污染物为木煤气、</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木焦油木醋液、烟尘</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4"/>
                <w:vertAlign w:val="baseline"/>
                <w:lang w:val="en-US" w:eastAsia="zh-CN"/>
                <w14:textFill>
                  <w14:solidFill>
                    <w14:schemeClr w14:val="tx1"/>
                  </w14:solidFill>
                </w14:textFill>
              </w:rPr>
              <w:t>和NOx，</w:t>
            </w:r>
            <w:r>
              <w:rPr>
                <w:rFonts w:hint="default" w:ascii="Times New Roman" w:hAnsi="Times New Roman" w:eastAsia="宋体" w:cs="Times New Roman"/>
                <w:color w:val="000000" w:themeColor="text1"/>
                <w:sz w:val="24"/>
                <w14:textFill>
                  <w14:solidFill>
                    <w14:schemeClr w14:val="tx1"/>
                  </w14:solidFill>
                </w14:textFill>
              </w:rPr>
              <w:t>目前国内炭化尾气处理主要采用冷凝法、燃烧法。</w:t>
            </w:r>
          </w:p>
          <w:p>
            <w:pPr>
              <w:spacing w:line="360" w:lineRule="auto"/>
              <w:ind w:firstLine="494" w:firstLineChars="205"/>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燃烧法：</w:t>
            </w:r>
            <w:r>
              <w:rPr>
                <w:rFonts w:hint="default" w:ascii="Times New Roman" w:hAnsi="Times New Roman" w:eastAsia="宋体" w:cs="Times New Roman"/>
                <w:color w:val="000000" w:themeColor="text1"/>
                <w:sz w:val="24"/>
                <w14:textFill>
                  <w14:solidFill>
                    <w14:schemeClr w14:val="tx1"/>
                  </w14:solidFill>
                </w14:textFill>
              </w:rPr>
              <w:t>燃烧法就是将炭化窑尾气中的可燃物气态木焦油及木醋液、木煤气通过燃烧装置高温分解进行无害化焚烧处理，在吸气充分的条件下高温燃烧后生成CO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和</w:t>
            </w:r>
            <w:r>
              <w:rPr>
                <w:rFonts w:hint="eastAsia"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冷凝法：</w:t>
            </w:r>
            <w:r>
              <w:rPr>
                <w:rFonts w:hint="default" w:ascii="Times New Roman" w:hAnsi="Times New Roman" w:eastAsia="宋体" w:cs="Times New Roman"/>
                <w:color w:val="000000" w:themeColor="text1"/>
                <w:sz w:val="24"/>
                <w14:textFill>
                  <w14:solidFill>
                    <w14:schemeClr w14:val="tx1"/>
                  </w14:solidFill>
                </w14:textFill>
              </w:rPr>
              <w:t>冷凝法是利用低温将蒸汽状态的污染物冷凝分离的过程，将炭化窑尾气导入冷凝池，部分沸点较高的木焦油、木醋液冷凝成液体，留在池底，经收集管收集流入桶内，木煤气等气体从池底向上经管道排出。</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本项目采用燃烧法，将</w:t>
            </w:r>
            <w:r>
              <w:rPr>
                <w:rFonts w:hint="eastAsia" w:ascii="Times New Roman" w:hAnsi="Times New Roman" w:cs="Times New Roman"/>
                <w:color w:val="000000" w:themeColor="text1"/>
                <w:sz w:val="24"/>
                <w:lang w:val="en-US" w:eastAsia="zh-CN"/>
                <w14:textFill>
                  <w14:solidFill>
                    <w14:schemeClr w14:val="tx1"/>
                  </w14:solidFill>
                </w14:textFill>
              </w:rPr>
              <w:t>炭化工序</w:t>
            </w:r>
            <w:r>
              <w:rPr>
                <w:rFonts w:hint="default" w:ascii="Times New Roman" w:hAnsi="Times New Roman" w:eastAsia="宋体" w:cs="Times New Roman"/>
                <w:color w:val="000000" w:themeColor="text1"/>
                <w:sz w:val="24"/>
                <w14:textFill>
                  <w14:solidFill>
                    <w14:schemeClr w14:val="tx1"/>
                  </w14:solidFill>
                </w14:textFill>
              </w:rPr>
              <w:t>产生的气态木焦油和木醋液、木煤气通过炭化窑烟气回收装置收集后进入热风炉点燃供热，由于木煤气中可燃气体所占比例较高，可引入热风炉内点燃，为木屑和锯末烘干提供热源，此工艺较为成熟，国内较多机制木炭厂均采用炭化窑废气回收供热的处置方式，既可回收利用能源，减少污染物排放，又可有效处理炭化产生的木焦油和木醋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炭化过程中产生的烟气通过管道引至烘干系统燃烧室进一步充分燃烧，为烘干系统提供热能，经过烘干系统的烟气最终经过烟道直接引至</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2#布袋除尘器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处理</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，而后由</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15m排气筒（DA00</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生物质颗粒燃烧过程中将会产生二氧化硫、氮氧化物、颗粒物等污染物</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燃烧</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14:textFill>
                  <w14:solidFill>
                    <w14:schemeClr w14:val="tx1"/>
                  </w14:solidFill>
                </w14:textFill>
              </w:rPr>
              <w:t>管道连接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由风机引至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2#布袋除尘器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w:t>
            </w:r>
            <w:r>
              <w:rPr>
                <w:rFonts w:hint="default" w:ascii="Times New Roman" w:hAnsi="Times New Roman" w:eastAsia="宋体" w:cs="Times New Roman"/>
                <w:color w:val="000000" w:themeColor="text1"/>
                <w:sz w:val="24"/>
                <w:szCs w:val="24"/>
                <w:highlight w:val="none"/>
                <w14:textFill>
                  <w14:solidFill>
                    <w14:schemeClr w14:val="tx1"/>
                  </w14:solidFill>
                </w14:textFill>
              </w:rPr>
              <w:t>15m高排气筒（DA00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）排放</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2#布袋除尘器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工作原理：使含尘气流作旋转运动，借助于离心力将尘粒从气流中分离并捕集于器壁，再借助重力作用使尘粒落入灰斗。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环保机制炭生产线废气、生物质颗粒及生物质猫砂颗粒生产线废气由风机（风量7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）抽到一套2#布袋除尘器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一根15m高排气筒（DA00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）呈有组织排放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参照</w:t>
            </w:r>
            <w:r>
              <w:rPr>
                <w:rFonts w:hint="default" w:ascii="Times New Roman" w:hAnsi="Times New Roman" w:eastAsia="宋体" w:cs="Times New Roman"/>
                <w:b w:val="0"/>
                <w:bCs w:val="0"/>
                <w:color w:val="000000" w:themeColor="text1"/>
                <w:sz w:val="24"/>
                <w14:textFill>
                  <w14:solidFill>
                    <w14:schemeClr w14:val="tx1"/>
                  </w14:solidFill>
                </w14:textFill>
              </w:rPr>
              <w:t>《排放源统计调查产排污核算方法和系数手册》中的4430《工业锅炉（热力供应）行业系数手册》，生物质锅炉使用</w:t>
            </w:r>
            <w:r>
              <w:rPr>
                <w:rFonts w:hint="eastAsia" w:ascii="宋体" w:hAnsi="宋体" w:eastAsia="宋体" w:cs="宋体"/>
                <w:color w:val="000000" w:themeColor="text1"/>
                <w:sz w:val="24"/>
                <w:szCs w:val="24"/>
                <w:lang w:val="en-US" w:eastAsia="zh-CN"/>
                <w14:textFill>
                  <w14:solidFill>
                    <w14:schemeClr w14:val="tx1"/>
                  </w14:solidFill>
                </w14:textFill>
              </w:rPr>
              <w:t>袋式</w:t>
            </w:r>
            <w:r>
              <w:rPr>
                <w:rFonts w:hint="eastAsia" w:ascii="宋体" w:hAnsi="宋体" w:eastAsia="宋体" w:cs="宋体"/>
                <w:color w:val="000000" w:themeColor="text1"/>
                <w:sz w:val="24"/>
                <w:szCs w:val="24"/>
                <w:lang w:eastAsia="zh-CN"/>
                <w14:textFill>
                  <w14:solidFill>
                    <w14:schemeClr w14:val="tx1"/>
                  </w14:solidFill>
                </w14:textFill>
              </w:rPr>
              <w:t>除尘器</w:t>
            </w:r>
            <w:r>
              <w:rPr>
                <w:rFonts w:hint="default" w:ascii="Times New Roman" w:hAnsi="Times New Roman" w:eastAsia="宋体" w:cs="Times New Roman"/>
                <w:b w:val="0"/>
                <w:bCs w:val="0"/>
                <w:color w:val="000000" w:themeColor="text1"/>
                <w:sz w:val="24"/>
                <w14:textFill>
                  <w14:solidFill>
                    <w14:schemeClr w14:val="tx1"/>
                  </w14:solidFill>
                </w14:textFill>
              </w:rPr>
              <w:t>对颗粒物去除率</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98.4</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去除效率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、NOx去除效率0，炭化产生的非甲烷总烃进入热风炉燃烧处理后约有90%完全燃烧，最终转化为水蒸气排放至大气环境中。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经采取上述措施，项目有组织废气排放情况如下：</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项目有组织</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排放情况一览表</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1287"/>
              <w:gridCol w:w="937"/>
              <w:gridCol w:w="1154"/>
              <w:gridCol w:w="1165"/>
              <w:gridCol w:w="109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工序名称</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排气筒名称</w:t>
                  </w: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64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废气排放量</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m³/h</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w:t>
                  </w:r>
                </w:p>
              </w:tc>
              <w:tc>
                <w:tcPr>
                  <w:tcW w:w="65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排放浓度（mg/m³）</w:t>
                  </w:r>
                </w:p>
              </w:tc>
              <w:tc>
                <w:tcPr>
                  <w:tcW w:w="6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排放速率（kg/h）</w:t>
                  </w:r>
                </w:p>
              </w:tc>
              <w:tc>
                <w:tcPr>
                  <w:tcW w:w="47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破碎、粉碎、制粒工序</w:t>
                  </w:r>
                </w:p>
              </w:tc>
              <w:tc>
                <w:tcPr>
                  <w:tcW w:w="7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破碎、粉碎、制粒排气筒（DA001）</w:t>
                  </w: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64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5000</w:t>
                  </w:r>
                </w:p>
              </w:tc>
              <w:tc>
                <w:tcPr>
                  <w:tcW w:w="65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73.8</w:t>
                  </w:r>
                </w:p>
              </w:tc>
              <w:tc>
                <w:tcPr>
                  <w:tcW w:w="6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0.369</w:t>
                  </w:r>
                </w:p>
              </w:tc>
              <w:tc>
                <w:tcPr>
                  <w:tcW w:w="47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环保机制炭生产线烘干、炭化、制棒工序，生物质颗粒及生物质猫砂颗粒生产线烘干工序</w:t>
                  </w:r>
                </w:p>
              </w:tc>
              <w:tc>
                <w:tcPr>
                  <w:tcW w:w="721"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烘干、炭化排气筒（DA002）</w:t>
                  </w: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64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7000</w:t>
                  </w:r>
                </w:p>
              </w:tc>
              <w:tc>
                <w:tcPr>
                  <w:tcW w:w="65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26.72</w:t>
                  </w:r>
                </w:p>
              </w:tc>
              <w:tc>
                <w:tcPr>
                  <w:tcW w:w="6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0.187</w:t>
                  </w:r>
                </w:p>
              </w:tc>
              <w:tc>
                <w:tcPr>
                  <w:tcW w:w="47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646"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175.29</w:t>
                  </w:r>
                </w:p>
              </w:tc>
              <w:tc>
                <w:tcPr>
                  <w:tcW w:w="6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1.227</w:t>
                  </w:r>
                </w:p>
              </w:tc>
              <w:tc>
                <w:tcPr>
                  <w:tcW w:w="47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646"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105.14</w:t>
                  </w:r>
                </w:p>
              </w:tc>
              <w:tc>
                <w:tcPr>
                  <w:tcW w:w="6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0.736</w:t>
                  </w:r>
                </w:p>
              </w:tc>
              <w:tc>
                <w:tcPr>
                  <w:tcW w:w="47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646"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3.57</w:t>
                  </w:r>
                </w:p>
              </w:tc>
              <w:tc>
                <w:tcPr>
                  <w:tcW w:w="61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0.025</w:t>
                  </w:r>
                </w:p>
              </w:tc>
              <w:tc>
                <w:tcPr>
                  <w:tcW w:w="475"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0.128</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（2）无组织废气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①原料堆存粉尘</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暂存</w:t>
            </w:r>
            <w:r>
              <w:rPr>
                <w:rFonts w:hint="default" w:ascii="Times New Roman" w:hAnsi="Times New Roman" w:eastAsia="宋体" w:cs="Times New Roman"/>
                <w:color w:val="000000" w:themeColor="text1"/>
                <w:sz w:val="24"/>
                <w:szCs w:val="24"/>
                <w14:textFill>
                  <w14:solidFill>
                    <w14:schemeClr w14:val="tx1"/>
                  </w14:solidFill>
                </w14:textFill>
              </w:rPr>
              <w:t>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设置在封闭生产厂房内</w:t>
            </w:r>
            <w:r>
              <w:rPr>
                <w:rFonts w:hint="default" w:ascii="Times New Roman" w:hAnsi="Times New Roman" w:eastAsia="宋体" w:cs="Times New Roman"/>
                <w:color w:val="000000" w:themeColor="text1"/>
                <w:sz w:val="24"/>
                <w:szCs w:val="24"/>
                <w14:textFill>
                  <w14:solidFill>
                    <w14:schemeClr w14:val="tx1"/>
                  </w14:solidFill>
                </w14:textFill>
              </w:rPr>
              <w:t>，用于堆存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木屑、锯末、</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木材边角料</w:t>
            </w:r>
            <w:r>
              <w:rPr>
                <w:rFonts w:hint="default" w:ascii="Times New Roman" w:hAnsi="Times New Roman" w:eastAsia="宋体" w:cs="Times New Roman"/>
                <w:color w:val="000000" w:themeColor="text1"/>
                <w:sz w:val="24"/>
                <w:szCs w:val="24"/>
                <w14:textFill>
                  <w14:solidFill>
                    <w14:schemeClr w14:val="tx1"/>
                  </w14:solidFill>
                </w14:textFill>
              </w:rPr>
              <w:t>等原材料，原材料湿度较大</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根据建设单位提供资料，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参考《逸散性工业粉尘控制技术》中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第十七章 木材加工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：木屑储存逸散损失粉尘产生量为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0.5kg/t-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贮存废木屑，项目木屑量为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7000t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，故粉尘产生量为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，产生速率为0.486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原料暂存区</w:t>
            </w:r>
            <w:r>
              <w:rPr>
                <w:rFonts w:hint="default" w:ascii="Times New Roman" w:hAnsi="Times New Roman" w:eastAsia="宋体" w:cs="Times New Roman"/>
                <w:color w:val="000000" w:themeColor="text1"/>
                <w:sz w:val="24"/>
                <w:szCs w:val="24"/>
                <w14:textFill>
                  <w14:solidFill>
                    <w14:schemeClr w14:val="tx1"/>
                  </w14:solidFill>
                </w14:textFill>
              </w:rPr>
              <w:t>建设为封闭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szCs w:val="24"/>
                <w14:textFill>
                  <w14:solidFill>
                    <w14:schemeClr w14:val="tx1"/>
                  </w14:solidFill>
                </w14:textFill>
              </w:rPr>
              <w:t>，粉尘经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szCs w:val="24"/>
                <w14:textFill>
                  <w14:solidFill>
                    <w14:schemeClr w14:val="tx1"/>
                  </w14:solidFill>
                </w14:textFill>
              </w:rPr>
              <w:t>阻隔后向外排放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，参考《第二次全国污染源普查工业污染源产排污系数手册》“工业源固体物料堆场颗粒物核算系数手册”，半敞开式堆场颗粒物控制效率为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，故粉尘排放量为1.4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，0.194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在厂房内沉降，清扫收集后返回制粒工段，用于生产产品，剩余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0%进入大气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环境中</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②破碎、粉碎、制粒工序未收集粉尘</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项目粉碎机、造粒机上方设置集气罩收集产生的颗粒物，集气罩收集效率约为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的颗粒物无法收集，有组织颗粒物产生量为16.6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，则无组织颗粒物产生量为4.15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设置在封闭生产厂房内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，参考《第二次全国污染源普查工业污染源产排污系数手册》“工业源固体物料堆场颗粒物核算系数手册”，半敞开式堆场颗粒物控制效率为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，则无组织颗粒物排放量为1.66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，0.461kg/h。</w:t>
            </w:r>
          </w:p>
          <w:p>
            <w:pPr>
              <w:pStyle w:val="39"/>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在厂房内沉降，清扫收集后返回制粒工段，用于生产产品，剩余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0%进入大气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环境中</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39"/>
              <w:spacing w:line="360" w:lineRule="auto"/>
              <w:ind w:firstLine="482" w:firstLineChars="200"/>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环保机制炭生产线无组织废气</w:t>
            </w:r>
          </w:p>
          <w:p>
            <w:pPr>
              <w:pStyle w:val="39"/>
              <w:spacing w:line="360" w:lineRule="auto"/>
              <w:ind w:firstLine="482" w:firstLineChars="200"/>
              <w:rPr>
                <w:rFonts w:hint="eastAsia"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皮带输送粉尘</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项目生产工序均设置于厂房内，厂房</w:t>
            </w:r>
            <w:r>
              <w:rPr>
                <w:rFonts w:hint="default" w:ascii="Times New Roman" w:hAnsi="Times New Roman" w:eastAsia="宋体" w:cs="Times New Roman"/>
                <w:color w:val="000000" w:themeColor="text1"/>
                <w:sz w:val="24"/>
                <w:szCs w:val="24"/>
                <w14:textFill>
                  <w14:solidFill>
                    <w14:schemeClr w14:val="tx1"/>
                  </w14:solidFill>
                </w14:textFill>
              </w:rPr>
              <w:t>设置为封闭式，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环保机制炭生产线皮带输送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过程设置密闭皮带运输，此过程产生的粉尘量极少，基本在厂房内完全沉降。</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b、炭化</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无组织非甲烷总烃</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项目炭化工序会产生有机废气，生产过程中会有少量有机废气外逸呈无组织排放，该部分废气量较小，无法定量核算。</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④生物质颗粒及生物质猫砂颗粒生产线无组织废气</w:t>
            </w:r>
          </w:p>
          <w:p>
            <w:pPr>
              <w:pStyle w:val="39"/>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a、包装粉尘</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生物质颗粒包装过程会产生粉尘，包装袋直接连接包装机出口，包装物料为颗粒状，粉尘产生量少，包装过程设置在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封闭厂房内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，包装粉尘经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阻隔后向外排放，粉尘排放量少，呈无组织形式排放。</w:t>
            </w:r>
          </w:p>
          <w:p>
            <w:pPr>
              <w:pStyle w:val="39"/>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b、皮带输送粉尘</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设置皮带输送机用于输送物料，物料输送过程上下料口会产生粉尘，皮带输送机设置在封闭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内，受风力起尘影响小，其粉尘产生和排放量少，呈无组织形式排放。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（3）食堂油烟</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①产生源强</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项目设有1个食堂，共计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人就餐，年工作3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0d，根据《中国居民平衡膳食宝塔》按每人每天食用30g食用油计算，则食堂用油量为0.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kg/d。据类比调查，不同的烧炸工况，油烟气中烟气浓度及挥发量均有所不同，油的平均挥发量为总耗油量的2.83%，经计算，本项目食堂产生油烟量约为0.0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t/a，高峰时段以4小时计，则食堂产生油烟量约为0.00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②处置措施</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项目设置一个灶台，在灶台上方设置一台小型油烟净化器（风量为2000m³/h，净化效率60%）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油烟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经净化器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处理后高于屋顶排放。</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③排放量</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采取小型油烟净化器处置后，食堂油烟排放量为0.00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kg/h），排放浓度为0.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mg/m³。能满足GB18483-2001《饮食业油烟排放标准》油烟最高允许排放浓度2mg/m³。</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（4）汽车尾气</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进出车辆因燃烧燃油会产生车辆尾气，其中含有THC、CO和NOx等污染物，均为间歇性无组织排放，项目所在区域地势较为空旷，车辆产生的尾气主要靠自然通风扩散，对周围环境影响很小，不作定量核算。</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auto"/>
        <w:rPr>
          <w:rFonts w:hint="eastAsia" w:ascii="宋体" w:hAnsi="宋体" w:eastAsia="宋体" w:cs="宋体"/>
          <w:color w:val="000000" w:themeColor="text1"/>
          <w:sz w:val="24"/>
          <w:szCs w:val="24"/>
          <w14:textFill>
            <w14:solidFill>
              <w14:schemeClr w14:val="tx1"/>
            </w14:solidFill>
          </w14:textFill>
        </w:rPr>
        <w:sectPr>
          <w:footerReference r:id="rId6" w:type="default"/>
          <w:pgSz w:w="11906" w:h="16838"/>
          <w:pgMar w:top="1440" w:right="1080" w:bottom="1440" w:left="1080" w:header="851" w:footer="992" w:gutter="0"/>
          <w:pgNumType w:fmt="decimal" w:start="1"/>
          <w:cols w:space="425" w:num="1"/>
          <w:docGrid w:type="lines" w:linePitch="312" w:charSpace="0"/>
        </w:sectPr>
      </w:pPr>
    </w:p>
    <w:tbl>
      <w:tblPr>
        <w:tblStyle w:val="17"/>
        <w:tblpPr w:leftFromText="181" w:rightFromText="181" w:bottomFromText="113" w:vertAnchor="text" w:tblpXSpec="center" w:tblpY="1"/>
        <w:tblOverlap w:val="never"/>
        <w:tblW w:w="50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 w:type="pct"/>
            <w:noWrap w:val="0"/>
            <w:tcMar>
              <w:left w:w="108" w:type="dxa"/>
              <w:right w:w="108" w:type="dxa"/>
            </w:tcMar>
            <w:vAlign w:val="center"/>
          </w:tcPr>
          <w:p>
            <w:pPr>
              <w:adjustRightInd w:val="0"/>
              <w:snapToGrid w:val="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运营期环境影响和保护措施</w:t>
            </w:r>
          </w:p>
        </w:tc>
        <w:tc>
          <w:tcPr>
            <w:tcW w:w="4849" w:type="pct"/>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2、废气产排核算汇总</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本项目废气污染源源强核算结果汇总如下表所示。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本项目废气污染源源强核算结果汇总表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18"/>
              <w:gridCol w:w="795"/>
              <w:gridCol w:w="664"/>
              <w:gridCol w:w="708"/>
              <w:gridCol w:w="727"/>
              <w:gridCol w:w="704"/>
              <w:gridCol w:w="704"/>
              <w:gridCol w:w="1275"/>
              <w:gridCol w:w="607"/>
              <w:gridCol w:w="667"/>
              <w:gridCol w:w="819"/>
              <w:gridCol w:w="819"/>
              <w:gridCol w:w="693"/>
              <w:gridCol w:w="789"/>
              <w:gridCol w:w="723"/>
              <w:gridCol w:w="739"/>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工序/生产线</w:t>
                  </w:r>
                </w:p>
              </w:tc>
              <w:tc>
                <w:tcPr>
                  <w:tcW w:w="26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292"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24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核算方法</w:t>
                  </w:r>
                </w:p>
              </w:tc>
              <w:tc>
                <w:tcPr>
                  <w:tcW w:w="786" w:type="pct"/>
                  <w:gridSpan w:val="3"/>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污染物产生情况</w:t>
                  </w:r>
                </w:p>
              </w:tc>
              <w:tc>
                <w:tcPr>
                  <w:tcW w:w="1196" w:type="pct"/>
                  <w:gridSpan w:val="4"/>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治理措施</w:t>
                  </w:r>
                </w:p>
              </w:tc>
              <w:tc>
                <w:tcPr>
                  <w:tcW w:w="1963" w:type="pct"/>
                  <w:gridSpan w:val="7"/>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92"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60"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废气产生量</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m³/a</w:t>
                  </w:r>
                </w:p>
              </w:tc>
              <w:tc>
                <w:tcPr>
                  <w:tcW w:w="267"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产生速率</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25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t/a</w:t>
                  </w:r>
                </w:p>
              </w:tc>
              <w:tc>
                <w:tcPr>
                  <w:tcW w:w="25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收集效率</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46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工艺</w:t>
                  </w:r>
                </w:p>
              </w:tc>
              <w:tc>
                <w:tcPr>
                  <w:tcW w:w="223"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去除效率</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245"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是否为可行技术</w:t>
                  </w:r>
                </w:p>
              </w:tc>
              <w:tc>
                <w:tcPr>
                  <w:tcW w:w="1147" w:type="pct"/>
                  <w:gridSpan w:val="4"/>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有组织</w:t>
                  </w:r>
                </w:p>
              </w:tc>
              <w:tc>
                <w:tcPr>
                  <w:tcW w:w="537" w:type="pct"/>
                  <w:gridSpan w:val="2"/>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无组织</w:t>
                  </w:r>
                </w:p>
              </w:tc>
              <w:tc>
                <w:tcPr>
                  <w:tcW w:w="27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92"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7"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1"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废气排放量m³/a</w:t>
                  </w:r>
                </w:p>
              </w:tc>
              <w:tc>
                <w:tcPr>
                  <w:tcW w:w="301"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排放浓度</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mg/m³</w:t>
                  </w:r>
                </w:p>
              </w:tc>
              <w:tc>
                <w:tcPr>
                  <w:tcW w:w="545" w:type="pct"/>
                  <w:gridSpan w:val="2"/>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排放量</w:t>
                  </w:r>
                </w:p>
              </w:tc>
              <w:tc>
                <w:tcPr>
                  <w:tcW w:w="537" w:type="pct"/>
                  <w:gridSpan w:val="2"/>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排放量</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92"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7"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t/a</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t/a</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原料暂存区</w:t>
                  </w:r>
                </w:p>
              </w:tc>
              <w:tc>
                <w:tcPr>
                  <w:tcW w:w="26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堆存</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产污系数法</w:t>
                  </w:r>
                </w:p>
              </w:tc>
              <w:tc>
                <w:tcPr>
                  <w:tcW w:w="26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7"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0.486</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6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原料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暂存于封闭厂房</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245"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90"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0.194</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w:t>
                  </w:r>
                </w:p>
              </w:tc>
              <w:tc>
                <w:tcPr>
                  <w:tcW w:w="27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53"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破碎粉碎制粒</w:t>
                  </w:r>
                </w:p>
              </w:tc>
              <w:tc>
                <w:tcPr>
                  <w:tcW w:w="26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制粒</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产污系数法</w:t>
                  </w:r>
                </w:p>
              </w:tc>
              <w:tc>
                <w:tcPr>
                  <w:tcW w:w="260"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1800万</w:t>
                  </w:r>
                </w:p>
              </w:tc>
              <w:tc>
                <w:tcPr>
                  <w:tcW w:w="267"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5.76</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20.75</w:t>
                  </w:r>
                </w:p>
              </w:tc>
              <w:tc>
                <w:tcPr>
                  <w:tcW w:w="25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w:t>
                  </w:r>
                </w:p>
              </w:tc>
              <w:tc>
                <w:tcPr>
                  <w:tcW w:w="46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集气罩+1#布袋除尘器</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92</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1800万</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73.8</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0.369</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1.328</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0.461</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1.66</w:t>
                  </w:r>
                </w:p>
              </w:tc>
              <w:tc>
                <w:tcPr>
                  <w:tcW w:w="27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环保</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机制炭生产线</w:t>
                  </w:r>
                </w:p>
              </w:tc>
              <w:tc>
                <w:tcPr>
                  <w:tcW w:w="26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皮带输送</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7"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6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皮带输送过程设置密闭皮带运输</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烘干、炭化、制棒</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产污系数法</w:t>
                  </w:r>
                </w:p>
              </w:tc>
              <w:tc>
                <w:tcPr>
                  <w:tcW w:w="260"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万</w:t>
                  </w: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1.259</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4.535</w:t>
                  </w:r>
                </w:p>
              </w:tc>
              <w:tc>
                <w:tcPr>
                  <w:tcW w:w="25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46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2#布袋除尘器</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98.4</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是</w:t>
                  </w:r>
                </w:p>
              </w:tc>
              <w:tc>
                <w:tcPr>
                  <w:tcW w:w="301"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万</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2.87</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0.02</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0.073</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0.755</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2.72</w:t>
                  </w: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107.86</w:t>
                  </w:r>
                </w:p>
              </w:tc>
              <w:tc>
                <w:tcPr>
                  <w:tcW w:w="693"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0.755</w:t>
                  </w:r>
                </w:p>
              </w:tc>
              <w:tc>
                <w:tcPr>
                  <w:tcW w:w="78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2.72</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0.453</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1.632</w:t>
                  </w: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64.71</w:t>
                  </w:r>
                </w:p>
              </w:tc>
              <w:tc>
                <w:tcPr>
                  <w:tcW w:w="693"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0.453</w:t>
                  </w:r>
                </w:p>
              </w:tc>
              <w:tc>
                <w:tcPr>
                  <w:tcW w:w="78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1.632</w:t>
                  </w:r>
                </w:p>
              </w:tc>
              <w:tc>
                <w:tcPr>
                  <w:tcW w:w="265"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1.275</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6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进入热风炉燃烧处理</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90</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3.57</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0.025</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1.28</w:t>
                  </w:r>
                </w:p>
              </w:tc>
              <w:tc>
                <w:tcPr>
                  <w:tcW w:w="265"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生物质颗粒及生物质猫砂颗粒生产线</w:t>
                  </w:r>
                </w:p>
              </w:tc>
              <w:tc>
                <w:tcPr>
                  <w:tcW w:w="26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烘干</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产污系数法</w:t>
                  </w: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10.44</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37.6</w:t>
                  </w:r>
                </w:p>
              </w:tc>
              <w:tc>
                <w:tcPr>
                  <w:tcW w:w="25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468" w:type="pct"/>
                  <w:vMerge w:val="restar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2#布袋除尘器</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98</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是</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23.85</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0.167</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0.601</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0.472</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67.43</w:t>
                  </w:r>
                </w:p>
              </w:tc>
              <w:tc>
                <w:tcPr>
                  <w:tcW w:w="693"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0.472</w:t>
                  </w:r>
                </w:p>
              </w:tc>
              <w:tc>
                <w:tcPr>
                  <w:tcW w:w="78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244"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0"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7"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0.283</w:t>
                  </w:r>
                </w:p>
              </w:tc>
              <w:tc>
                <w:tcPr>
                  <w:tcW w:w="704"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25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6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1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40.43</w:t>
                  </w:r>
                </w:p>
              </w:tc>
              <w:tc>
                <w:tcPr>
                  <w:tcW w:w="693"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0.283</w:t>
                  </w:r>
                </w:p>
              </w:tc>
              <w:tc>
                <w:tcPr>
                  <w:tcW w:w="789" w:type="dxa"/>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265"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包装</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7"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6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包装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过程设置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于封闭厂房</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53"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p>
              </w:tc>
              <w:tc>
                <w:tcPr>
                  <w:tcW w:w="26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皮带输送</w:t>
                  </w:r>
                </w:p>
              </w:tc>
              <w:tc>
                <w:tcPr>
                  <w:tcW w:w="292"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4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7"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5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68"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皮带输送过程密闭</w:t>
                  </w:r>
                </w:p>
              </w:tc>
              <w:tc>
                <w:tcPr>
                  <w:tcW w:w="223"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4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0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54"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90"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65"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1" w:type="pct"/>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c>
                <w:tcPr>
                  <w:tcW w:w="278" w:type="pct"/>
                  <w:vMerge w:val="continue"/>
                  <w:tcBorders>
                    <w:tl2br w:val="nil"/>
                    <w:tr2bl w:val="nil"/>
                  </w:tcBorders>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本项目各污染物排气筒信息及排放标准汇总如下表所示。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本项目各污染物排气筒信息及排放标准汇总表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08"/>
              <w:gridCol w:w="900"/>
              <w:gridCol w:w="720"/>
              <w:gridCol w:w="677"/>
              <w:gridCol w:w="677"/>
              <w:gridCol w:w="976"/>
              <w:gridCol w:w="1289"/>
              <w:gridCol w:w="957"/>
              <w:gridCol w:w="1016"/>
              <w:gridCol w:w="858"/>
              <w:gridCol w:w="870"/>
              <w:gridCol w:w="816"/>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工序</w:t>
                  </w:r>
                </w:p>
              </w:tc>
              <w:tc>
                <w:tcPr>
                  <w:tcW w:w="297"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331"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2638" w:type="pct"/>
                  <w:gridSpan w:val="8"/>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排气筒</w:t>
                  </w:r>
                </w:p>
              </w:tc>
              <w:tc>
                <w:tcPr>
                  <w:tcW w:w="1357" w:type="pct"/>
                  <w:gridSpan w:val="3"/>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排放情况及执行标准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97"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31"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64"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高度</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c>
                <w:tcPr>
                  <w:tcW w:w="24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直径</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c>
                <w:tcPr>
                  <w:tcW w:w="24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温度</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35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编号</w:t>
                  </w:r>
                </w:p>
              </w:tc>
              <w:tc>
                <w:tcPr>
                  <w:tcW w:w="474"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726" w:type="pct"/>
                  <w:gridSpan w:val="2"/>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地理坐标</w:t>
                  </w:r>
                </w:p>
              </w:tc>
              <w:tc>
                <w:tcPr>
                  <w:tcW w:w="315"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排放口类型</w:t>
                  </w:r>
                </w:p>
              </w:tc>
              <w:tc>
                <w:tcPr>
                  <w:tcW w:w="320"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m³</w:t>
                  </w:r>
                </w:p>
              </w:tc>
              <w:tc>
                <w:tcPr>
                  <w:tcW w:w="300"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速率</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737"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7"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1"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2"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经度</w:t>
                  </w:r>
                </w:p>
              </w:tc>
              <w:tc>
                <w:tcPr>
                  <w:tcW w:w="373"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纬度</w:t>
                  </w:r>
                </w:p>
              </w:tc>
              <w:tc>
                <w:tcPr>
                  <w:tcW w:w="31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20"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00"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37"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5"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破碎粉碎制粒</w:t>
                  </w:r>
                </w:p>
              </w:tc>
              <w:tc>
                <w:tcPr>
                  <w:tcW w:w="297"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破碎、粉碎、制粒</w:t>
                  </w:r>
                </w:p>
              </w:tc>
              <w:tc>
                <w:tcPr>
                  <w:tcW w:w="33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64"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24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0.3</w:t>
                  </w:r>
                </w:p>
              </w:tc>
              <w:tc>
                <w:tcPr>
                  <w:tcW w:w="24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35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DA001</w:t>
                  </w:r>
                </w:p>
              </w:tc>
              <w:tc>
                <w:tcPr>
                  <w:tcW w:w="474"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破碎、粉碎、制粒废气排气筒</w:t>
                  </w:r>
                </w:p>
              </w:tc>
              <w:tc>
                <w:tcPr>
                  <w:tcW w:w="352"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18.812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73"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17.547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15"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一般排放口</w:t>
                  </w:r>
                </w:p>
              </w:tc>
              <w:tc>
                <w:tcPr>
                  <w:tcW w:w="870" w:type="dxa"/>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73.8</w:t>
                  </w:r>
                </w:p>
              </w:tc>
              <w:tc>
                <w:tcPr>
                  <w:tcW w:w="816" w:type="dxa"/>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0.369</w:t>
                  </w:r>
                </w:p>
              </w:tc>
              <w:tc>
                <w:tcPr>
                  <w:tcW w:w="737" w:type="pct"/>
                  <w:tcBorders>
                    <w:tl2br w:val="nil"/>
                    <w:tr2bl w:val="nil"/>
                  </w:tcBorders>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《大气污染物综合排放标准》（GB16297-1996）表2中二级排放标准限值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5"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环保</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机制炭生产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、生物质颗粒及生物质猫砂颗粒生产</w:t>
                  </w:r>
                </w:p>
              </w:tc>
              <w:tc>
                <w:tcPr>
                  <w:tcW w:w="297"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烘干、炭化、制棒</w:t>
                  </w:r>
                </w:p>
              </w:tc>
              <w:tc>
                <w:tcPr>
                  <w:tcW w:w="33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64"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24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0.4</w:t>
                  </w:r>
                </w:p>
              </w:tc>
              <w:tc>
                <w:tcPr>
                  <w:tcW w:w="24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35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DA00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474"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烘干、炭化、制棒废气排气筒</w:t>
                  </w:r>
                </w:p>
              </w:tc>
              <w:tc>
                <w:tcPr>
                  <w:tcW w:w="352"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18.465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73"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16.896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15"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一般排放口</w:t>
                  </w:r>
                </w:p>
              </w:tc>
              <w:tc>
                <w:tcPr>
                  <w:tcW w:w="870" w:type="dxa"/>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26.72</w:t>
                  </w:r>
                </w:p>
              </w:tc>
              <w:tc>
                <w:tcPr>
                  <w:tcW w:w="816" w:type="dxa"/>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0.187</w:t>
                  </w:r>
                </w:p>
              </w:tc>
              <w:tc>
                <w:tcPr>
                  <w:tcW w:w="737" w:type="pct"/>
                  <w:vMerge w:val="restart"/>
                  <w:tcBorders>
                    <w:tl2br w:val="nil"/>
                    <w:tr2bl w:val="nil"/>
                  </w:tcBorders>
                  <w:noWrap w:val="0"/>
                  <w:vAlign w:val="center"/>
                </w:tcPr>
                <w:p>
                  <w:pPr>
                    <w:pStyle w:val="35"/>
                    <w:keepNext w:val="0"/>
                    <w:keepLines w:val="0"/>
                    <w:pageBreakBefore w:val="0"/>
                    <w:widowControl w:val="0"/>
                    <w:kinsoku/>
                    <w:wordWrap w:val="0"/>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《大气污染物综合排放标准》（GB16297-1996）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表2中二级排放标准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7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7"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26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2"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3"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70" w:type="dxa"/>
                  <w:tcBorders>
                    <w:tl2br w:val="nil"/>
                    <w:tr2bl w:val="nil"/>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175.29</w:t>
                  </w:r>
                </w:p>
              </w:tc>
              <w:tc>
                <w:tcPr>
                  <w:tcW w:w="816" w:type="dxa"/>
                  <w:tcBorders>
                    <w:tl2br w:val="nil"/>
                    <w:tr2bl w:val="nil"/>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1.227</w:t>
                  </w:r>
                </w:p>
              </w:tc>
              <w:tc>
                <w:tcPr>
                  <w:tcW w:w="737" w:type="pct"/>
                  <w:vMerge w:val="continue"/>
                  <w:tcBorders>
                    <w:tl2br w:val="nil"/>
                    <w:tr2bl w:val="nil"/>
                  </w:tcBorders>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7"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26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4"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2"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3"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70" w:type="dxa"/>
                  <w:tcBorders>
                    <w:tl2br w:val="nil"/>
                    <w:tr2bl w:val="nil"/>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105.14</w:t>
                  </w:r>
                </w:p>
              </w:tc>
              <w:tc>
                <w:tcPr>
                  <w:tcW w:w="816" w:type="dxa"/>
                  <w:tcBorders>
                    <w:tl2br w:val="nil"/>
                    <w:tr2bl w:val="nil"/>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0.736</w:t>
                  </w:r>
                </w:p>
              </w:tc>
              <w:tc>
                <w:tcPr>
                  <w:tcW w:w="737" w:type="pct"/>
                  <w:vMerge w:val="continue"/>
                  <w:tcBorders>
                    <w:tl2br w:val="nil"/>
                    <w:tr2bl w:val="nil"/>
                  </w:tcBorders>
                  <w:noWrap w:val="0"/>
                  <w:vAlign w:val="center"/>
                </w:tcPr>
                <w:p>
                  <w:pPr>
                    <w:pStyle w:val="35"/>
                    <w:keepNext w:val="0"/>
                    <w:keepLines w:val="0"/>
                    <w:pageBreakBefore w:val="0"/>
                    <w:widowControl w:val="0"/>
                    <w:kinsoku/>
                    <w:wordWrap w:val="0"/>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7"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3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264"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4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4"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2"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7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5"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70" w:type="dxa"/>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3.57</w:t>
                  </w:r>
                </w:p>
              </w:tc>
              <w:tc>
                <w:tcPr>
                  <w:tcW w:w="816" w:type="dxa"/>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0.025</w:t>
                  </w:r>
                </w:p>
              </w:tc>
              <w:tc>
                <w:tcPr>
                  <w:tcW w:w="73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《工业企业挥发性有机物排放标准》（DB35/1782-2018）表1中其他行业标准</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本项目各污染物年排放量汇总如下表所示。</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大气污染物年排放量核算表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2"/>
              <w:gridCol w:w="2782"/>
              <w:gridCol w:w="8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295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restart"/>
                  <w:tcBorders>
                    <w:top w:val="single" w:color="auto" w:sz="4" w:space="0"/>
                    <w:left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有组织</w:t>
                  </w: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8031"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tcBorders>
                    <w:left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803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tcBorders>
                    <w:left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803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tcBorders>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803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restart"/>
                  <w:tcBorders>
                    <w:top w:val="single" w:color="auto" w:sz="4" w:space="0"/>
                    <w:left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w:t>
                  </w: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295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tcBorders>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2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295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pct"/>
                  <w:gridSpan w:val="2"/>
                  <w:tcBorders>
                    <w:top w:val="single" w:color="auto" w:sz="4" w:space="0"/>
                    <w:left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油烟</w:t>
                  </w:r>
                </w:p>
              </w:tc>
              <w:tc>
                <w:tcPr>
                  <w:tcW w:w="2953" w:type="pct"/>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0.0016</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color w:val="000000" w:themeColor="text1"/>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auto"/>
        <w:rPr>
          <w:rFonts w:hint="eastAsia" w:ascii="宋体" w:hAnsi="宋体" w:eastAsia="宋体" w:cs="宋体"/>
          <w:color w:val="000000" w:themeColor="text1"/>
          <w:sz w:val="24"/>
          <w:szCs w:val="24"/>
          <w14:textFill>
            <w14:solidFill>
              <w14:schemeClr w14:val="tx1"/>
            </w14:solidFill>
          </w14:textFill>
        </w:rPr>
        <w:sectPr>
          <w:pgSz w:w="16838" w:h="11906" w:orient="landscape"/>
          <w:pgMar w:top="1080" w:right="1440" w:bottom="1080" w:left="144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Align w:val="center"/>
          </w:tcPr>
          <w:p>
            <w:pPr>
              <w:adjustRightInd w:val="0"/>
              <w:snapToGrid w:val="0"/>
              <w:jc w:val="center"/>
              <w:rPr>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运营期环境影响和保护措施</w:t>
            </w:r>
          </w:p>
        </w:tc>
        <w:tc>
          <w:tcPr>
            <w:tcW w:w="9233"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3、大气影响分析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（1）有组织废气环境影响分析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炭化炉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烟筒串联起来，并将制棒废气经集气罩收集后，统一经管道引入到热风炉的炉膛内燃烧，燃烧产生的热气经引风机引入烘干机内进行烘干工序，与被物料直接接触，达到烘干水分的目的。</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破碎、粉碎、制粒产生的颗粒物收集后的粉尘经管道引至1#布袋除尘器处理，后通过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高排气筒（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环保机制炭生产线、生物质颗粒及生物质猫砂颗粒生产线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热风炉燃烧产生的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污染物通过管道引至2#布袋除尘器装置处理，而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1根15排气筒（DA00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根据污染核算分析，项目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破碎、粉碎、制粒工序颗粒物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73.8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、排放速率为0.369kg/h，达到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《大气污染物综合排放标准》（GB16297-1996）表2中二级排放标准限值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颗粒物排放浓度≤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kg/h，15m高排气筒）</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烘干、炭化、制棒工序颗粒物排放浓度为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、排放速率为0.0374kg/h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175.29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、排放速率为1.227kg/h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105.14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、排放速率为0.736kg/h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中表2二级标准要求，即颗粒物排放浓度≤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kg/h，15m高排气筒），SO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排放浓度≤850mg/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kg/h，15m高排气筒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kg/h，15m高排气筒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、排放速率为0.025kg/h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达到</w:t>
            </w:r>
            <w:r>
              <w:rPr>
                <w:rFonts w:hint="default" w:ascii="Times New Roman" w:hAnsi="Times New Roman" w:eastAsia="宋体" w:cs="Times New Roman"/>
                <w:b w:val="0"/>
                <w:bCs/>
                <w:snapToGrid w:val="0"/>
                <w:color w:val="000000" w:themeColor="text1"/>
                <w:kern w:val="2"/>
                <w:sz w:val="24"/>
                <w:szCs w:val="24"/>
                <w:lang w:val="en-US" w:eastAsia="zh-CN"/>
                <w14:textFill>
                  <w14:solidFill>
                    <w14:schemeClr w14:val="tx1"/>
                  </w14:solidFill>
                </w14:textFill>
              </w:rPr>
              <w:t>《工业企业挥发性有机物排放标准》（DB35/1782-2018）表1中其他行业标准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，即非甲烷总烃排放浓度≤1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kg/h，15m高排气筒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根据分析，项目各类污染物均能达标排放，对周围的环境影响较小。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（2）无组织废气环境影响分析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项目无组织排放的废气主要有原料暂存产生的粉尘，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制棒环节产生的非甲烷总烃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、皮带运输过程产生的粉尘，生物质颗粒及生物质猫砂颗粒生产线包装、皮带输送过程产生的粉尘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项目原料暂存、生产工序均设置于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封闭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内，产生的粉尘不容易逸散到厂外，环评要求建设单位及时对自然沉降的粉尘进行清扫收集回用于生产过程，防止人员走动、空气流通形成的二次起尘，通过及时清扫地面沉降粉尘后，逸散至项目区厂房外的粉尘较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环保机制炭生产线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制棒环节产生的非甲烷总烃经集气罩收集后经引入热风炉燃烧后排放量较少，未收集部分呈无组织排放，经自然稀释后对周围环境影响较小。</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（3）最大落地浓度预测分析</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本评价采用《环境影响评价技术导则 大气环境》（HJ2.2-2018）推荐的“AERSCREEN”估算模式对项目运营后排放大气污染物浓度分布进行计算。本项目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排放源相对分散，计算时对项目无组织废气简化，将整个生产车间污染源统一视为整体面源，对颗粒物进行预测，排放源高度按厂房高度考虑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；有组织废气排放源为排气筒，直径为0.4m，高度为15m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估算模型参数见表4-9，主要污染源估算模型计算结果见表4-10。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表4-9 估算模型参数表</w:t>
            </w:r>
          </w:p>
          <w:tbl>
            <w:tblPr>
              <w:tblStyle w:val="18"/>
              <w:tblpPr w:leftFromText="181" w:rightFromText="181" w:bottomFromText="113" w:vertAnchor="text" w:tblpXSpec="center" w:tblpY="1"/>
              <w:tblOverlap w:val="never"/>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3006"/>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11" w:type="dxa"/>
                  <w:gridSpan w:val="2"/>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参数</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restar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城市/农村选项</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城市/农村</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continue"/>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人口数（城市选项时）</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11.9万人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1" w:type="dxa"/>
                  <w:gridSpan w:val="2"/>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最高环境温度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1" w:type="dxa"/>
                  <w:gridSpan w:val="2"/>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最低环境温度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1" w:type="dxa"/>
                  <w:gridSpan w:val="2"/>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土地利用类型</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1" w:type="dxa"/>
                  <w:gridSpan w:val="2"/>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区域湿度条件</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中等湿度气候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restar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是否考虑地形</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考虑地形</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continue"/>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地形数据分辨率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restar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是否考虑岸线熏烟</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考虑岸线熏烟</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continue"/>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岸线距离</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/km</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vMerge w:val="continue"/>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岸线方向</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30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主要污染源估算模型计算结果表</w:t>
            </w:r>
          </w:p>
          <w:tbl>
            <w:tblPr>
              <w:tblStyle w:val="18"/>
              <w:tblpPr w:leftFromText="181" w:rightFromText="181" w:bottomFromText="113" w:vertAnchor="text" w:tblpXSpec="center" w:tblpY="1"/>
              <w:tblOverlap w:val="never"/>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612"/>
              <w:gridCol w:w="975"/>
              <w:gridCol w:w="863"/>
              <w:gridCol w:w="1300"/>
              <w:gridCol w:w="1375"/>
              <w:gridCol w:w="87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1612"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污染源类型</w:t>
                  </w: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排放源强t/a</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离源距离m</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最大落地浓度μg/m³</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1小时浓度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μg/m³</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占标率</w:t>
                  </w:r>
                </w:p>
              </w:tc>
              <w:tc>
                <w:tcPr>
                  <w:tcW w:w="68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612" w:type="dxa"/>
                  <w:vMerge w:val="restar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点源：直径0.4m，高度15m</w:t>
                  </w: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2.002</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5.43</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300</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1.81%</w:t>
                  </w:r>
                </w:p>
              </w:tc>
              <w:tc>
                <w:tcPr>
                  <w:tcW w:w="68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612" w:type="dxa"/>
                  <w:vMerge w:val="continue"/>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4.42</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12.1</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150</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8.07%</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612" w:type="dxa"/>
                  <w:vMerge w:val="continue"/>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2.652</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7.24</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7.24%</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612" w:type="dxa"/>
                  <w:vMerge w:val="continue"/>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0.128</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0.35</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2000</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0.02%</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8"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612"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面源165.8m×51.6m×10m</w:t>
                  </w:r>
                </w:p>
              </w:tc>
              <w:tc>
                <w:tcPr>
                  <w:tcW w:w="9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3.06</w:t>
                  </w:r>
                </w:p>
              </w:tc>
              <w:tc>
                <w:tcPr>
                  <w:tcW w:w="863"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111</w:t>
                  </w:r>
                </w:p>
              </w:tc>
              <w:tc>
                <w:tcPr>
                  <w:tcW w:w="1300"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97.3</w:t>
                  </w:r>
                </w:p>
              </w:tc>
              <w:tc>
                <w:tcPr>
                  <w:tcW w:w="13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300</w:t>
                  </w:r>
                </w:p>
              </w:tc>
              <w:tc>
                <w:tcPr>
                  <w:tcW w:w="875"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32.43%</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由上表预测结果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可知，项目有组织废气最大落地浓度出现在离源距离27m处，1小时浓度值达到《</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环境空气质量标准》（GB3095-2012）二级标准</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，对周围大气环境影响小；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无组织颗粒物最大落地浓度出现在离源距离111m处，1小时浓度值达到《</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环境空气质量标准》（GB3095-2012）二级标准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，对周围大气环境影响较小。</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对周围大气环境影响较小。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（3）敏感点环境影响分析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项目内产生废气污染物的各个节点均采用有效的污染防治措施，有组织排放污染物均能做到达标排放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无组织排放的粉尘主要在厂房内沉降，通过及时清扫后进行密封收集可有效降低粉尘逸散至厂房外，无组织非甲烷总烃排放量较少，经自然稀释后对周围环境影响较小。</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距离项目较近的大气环境敏感点主要为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锣锅寨散户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（西侧约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“AERSCREEN”估算模式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估算，项目有组织废气最大落地浓度出现在离源距离27m处，无组织废气最大落地浓度出现在离源距离111m处；锣锅寨散户位于项目侧上风向且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有厂房、林木形成天然屏障，项目产生的污染物通过大气稀释、扩散后对其影响较小。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4、污染治理设施及可行性分析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（1）污染治理设施可行性分析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本项目破碎、粉碎、制粒采用集气罩分别收集粉尘，后用1#布袋除尘器处理，而后通过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高排气筒（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）排放。颗粒物排放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达到《大气污染物综合排放标准》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中表2二级标准要求，因此，项目选择治理措施有效可行。</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烘干、炭化、制棒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采用一套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2#布袋除尘器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装置，根据去除效率核算，项目颗粒物、SO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NOx排放浓度能达到《大气污染物综合排放标准》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中表2二级标准要求，非甲烷总烃排放浓度能达到</w:t>
            </w:r>
            <w:r>
              <w:rPr>
                <w:rFonts w:hint="default" w:ascii="Times New Roman" w:hAnsi="Times New Roman" w:eastAsia="宋体" w:cs="Times New Roman"/>
                <w:b w:val="0"/>
                <w:bCs/>
                <w:snapToGrid w:val="0"/>
                <w:color w:val="000000" w:themeColor="text1"/>
                <w:kern w:val="2"/>
                <w:sz w:val="24"/>
                <w:szCs w:val="24"/>
                <w:lang w:val="en-US" w:eastAsia="zh-CN"/>
                <w14:textFill>
                  <w14:solidFill>
                    <w14:schemeClr w14:val="tx1"/>
                  </w14:solidFill>
                </w14:textFill>
              </w:rPr>
              <w:t>《工业企业挥发性有机物排放标准》（DB35/1782-2018）表1中其他行业标准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，因此，项目选择治理措施有效可行。</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项目无组织排废气主要为大颗粒粉尘，针对无组织颗粒物采取的措施为将厂房设置为封闭式，粉尘主要沉降于室内，可有效减少无组织颗粒物的排放，使无组织颗粒物做到达标排放，因此采取的措施有效可行。</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项目食堂油烟中主要含有食用油及食材烹制过程中挥发的油污及挥发性有机物质，通过专门的油烟净化器进行净化处理后对周围环境影响不大。</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综上所述，项目设置的废气污染治理设施有效可行。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（2）项目有组织排气筒设置合理性分析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根据《大气污染物综合排放标准》（GB16297-1996）中的要求，排气筒高度应高于周围200m范围内建筑物高度5m以上。根据现场调查，本项目周边无高楼建筑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项目区高程相对较高，项目区生产厂房高度约为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m，因此环评要求本项目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设置15m高排气筒，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、炭化、制棒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工序配套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排气筒高度需设置为15m。项目排气筒位于厂房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侧空旷顶部，离项目厂房及附近村庄等建筑较远，排气筒高度均高于项目厂房及附近村庄居民楼，因此，项目排气筒高度设置合理。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非正常工况源强</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非正常排放是指生产过程中开停车（工、炉）、设备检修、工艺设备运转异常等非正常工况下的污染物排放，以及污染物排放控制措施达不到应有效率等情况下的排放。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环评考虑建设项目污染物排放控制措施达不到应有效率情况下造成大量未处理废气直接进入大气环境，故障抢修至恢复正常运转时间约30分钟。本项目非正常工况考虑最不利情况，处理效率为零，处理装置失效（失效时间按30min计）的情况分析。非正常及事故状态下的大气污染物排放源强情况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项目大气污染物非正常排放量核算表</w:t>
            </w:r>
          </w:p>
          <w:tbl>
            <w:tblPr>
              <w:tblStyle w:val="17"/>
              <w:tblpPr w:leftFromText="181" w:rightFromText="181" w:bottomFromText="113"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477"/>
              <w:gridCol w:w="1396"/>
              <w:gridCol w:w="1084"/>
              <w:gridCol w:w="1027"/>
              <w:gridCol w:w="947"/>
              <w:gridCol w:w="90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1477"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非正常排放原因</w:t>
                  </w:r>
                </w:p>
              </w:tc>
              <w:tc>
                <w:tcPr>
                  <w:tcW w:w="1396"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1084"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浓度</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mg/m³</w:t>
                  </w:r>
                </w:p>
              </w:tc>
              <w:tc>
                <w:tcPr>
                  <w:tcW w:w="1027"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速率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947"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持续时间</w:t>
                  </w:r>
                </w:p>
              </w:tc>
              <w:tc>
                <w:tcPr>
                  <w:tcW w:w="900"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年发生频次</w:t>
                  </w:r>
                </w:p>
              </w:tc>
              <w:tc>
                <w:tcPr>
                  <w:tcW w:w="759"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破碎机、粉碎机、制粒机</w:t>
                  </w:r>
                </w:p>
              </w:tc>
              <w:tc>
                <w:tcPr>
                  <w:tcW w:w="1477"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集气罩+1#布袋除尘器处理效率为0</w:t>
                  </w:r>
                </w:p>
              </w:tc>
              <w:tc>
                <w:tcPr>
                  <w:tcW w:w="1396"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084" w:type="dxa"/>
                  <w:shd w:val="clear" w:color="auto" w:fill="auto"/>
                  <w:noWrap w:val="0"/>
                  <w:vAlign w:val="center"/>
                </w:tcPr>
                <w:p>
                  <w:pPr>
                    <w:pStyle w:val="39"/>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922</w:t>
                  </w:r>
                </w:p>
              </w:tc>
              <w:tc>
                <w:tcPr>
                  <w:tcW w:w="1027" w:type="dxa"/>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4.61</w:t>
                  </w:r>
                </w:p>
              </w:tc>
              <w:tc>
                <w:tcPr>
                  <w:tcW w:w="947"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30min</w:t>
                  </w:r>
                </w:p>
              </w:tc>
              <w:tc>
                <w:tcPr>
                  <w:tcW w:w="900"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w:t>
                  </w:r>
                </w:p>
              </w:tc>
              <w:tc>
                <w:tcPr>
                  <w:tcW w:w="759"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立即停产检修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热风炉</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、炭化炉</w:t>
                  </w:r>
                </w:p>
              </w:tc>
              <w:tc>
                <w:tcPr>
                  <w:tcW w:w="1477" w:type="dxa"/>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2#布袋除尘器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处理效率为0</w:t>
                  </w:r>
                </w:p>
              </w:tc>
              <w:tc>
                <w:tcPr>
                  <w:tcW w:w="1396"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084" w:type="dxa"/>
                  <w:shd w:val="clear" w:color="auto" w:fill="auto"/>
                  <w:noWrap w:val="0"/>
                  <w:vAlign w:val="center"/>
                </w:tcPr>
                <w:p>
                  <w:pPr>
                    <w:pStyle w:val="39"/>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584.95</w:t>
                  </w:r>
                </w:p>
              </w:tc>
              <w:tc>
                <w:tcPr>
                  <w:tcW w:w="1027" w:type="dxa"/>
                  <w:noWrap w:val="0"/>
                  <w:vAlign w:val="center"/>
                </w:tcPr>
                <w:p>
                  <w:pPr>
                    <w:pStyle w:val="39"/>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11.699</w:t>
                  </w:r>
                </w:p>
              </w:tc>
              <w:tc>
                <w:tcPr>
                  <w:tcW w:w="947" w:type="dxa"/>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30min</w:t>
                  </w:r>
                </w:p>
              </w:tc>
              <w:tc>
                <w:tcPr>
                  <w:tcW w:w="900" w:type="dxa"/>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w:t>
                  </w:r>
                </w:p>
              </w:tc>
              <w:tc>
                <w:tcPr>
                  <w:tcW w:w="759" w:type="dxa"/>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立即停产检修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p>
              </w:tc>
              <w:tc>
                <w:tcPr>
                  <w:tcW w:w="147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p>
              </w:tc>
              <w:tc>
                <w:tcPr>
                  <w:tcW w:w="1396"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1084" w:type="dxa"/>
                  <w:shd w:val="clear" w:color="auto" w:fill="auto"/>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61.35</w:t>
                  </w:r>
                </w:p>
              </w:tc>
              <w:tc>
                <w:tcPr>
                  <w:tcW w:w="1027"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1.227</w:t>
                  </w:r>
                </w:p>
              </w:tc>
              <w:tc>
                <w:tcPr>
                  <w:tcW w:w="94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00"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9"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7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96"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p>
              </w:tc>
              <w:tc>
                <w:tcPr>
                  <w:tcW w:w="1084" w:type="dxa"/>
                  <w:shd w:val="clear" w:color="auto" w:fill="auto"/>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36.8</w:t>
                  </w:r>
                </w:p>
              </w:tc>
              <w:tc>
                <w:tcPr>
                  <w:tcW w:w="1027"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0.736</w:t>
                  </w:r>
                </w:p>
              </w:tc>
              <w:tc>
                <w:tcPr>
                  <w:tcW w:w="94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00"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9"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1"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7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96"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084" w:type="dxa"/>
                  <w:shd w:val="clear" w:color="auto" w:fill="auto"/>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12.5</w:t>
                  </w:r>
                </w:p>
              </w:tc>
              <w:tc>
                <w:tcPr>
                  <w:tcW w:w="1027" w:type="dxa"/>
                  <w:noWrap w:val="0"/>
                  <w:vAlign w:val="center"/>
                </w:tcPr>
                <w:p>
                  <w:pPr>
                    <w:pStyle w:val="39"/>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947"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00"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59" w:type="dxa"/>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根据表4-9分析结果，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运营期废气非正常工况下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，破碎机、粉碎机、制粒机产生的颗粒物超标排放；热风炉排放废气中颗粒物超标，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达标排放。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减小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运营期废气污染物对大气环境的影响，本次评价要求建设单位应加强设备运行管理，合理安排环保设施的检修时间，加强环保设施的日常维护保养，一旦环保设施出现报警等情况，应立即停产检修，最大限度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降低对周围环境的影响。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6、评价结论</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项目选址位于</w:t>
            </w:r>
            <w:r>
              <w:rPr>
                <w:rFonts w:hint="eastAsia" w:ascii="Times New Roman" w:hAnsi="Times New Roman" w:eastAsia="宋体" w:cs="Times New Roman"/>
                <w:color w:val="000000" w:themeColor="text1"/>
                <w:sz w:val="24"/>
                <w:lang w:val="en-US" w:eastAsia="zh-CN"/>
                <w14:textFill>
                  <w14:solidFill>
                    <w14:schemeClr w14:val="tx1"/>
                  </w14:solidFill>
                </w14:textFill>
              </w:rPr>
              <w:t>云南省文山州砚山县江那镇三星坝工业园区内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在区域环境空气质量属于达标区。项目排放废气主要为原料堆放、预处理及后续加工过程产生的粉尘、非甲烷总烃以及热风炉燃烧生物质燃料产生的燃烧烟尘，不属于有毒有害废气。同时针对产生废气采取了封闭厂房、设置相应的除尘设施及排气筒等，减少了无组织粉尘及有组织粉尘的排放。根据核算分析，项目有组织、无组织废气均能达标排放，因此项目的运营过程排放的各污染物在通过采取相应环保措施后对里帖村散户的影响可接受，对周围环境影响也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7、监测计划</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根据《排污单位自行监测技术指南 总则》（HJ819-2017）表1的废气监测指标要求，同时参照了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《排污许可证申请与核发技术规范工业炉窑》（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HJ1121-2020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排污许可证申请与核发技术规范 专用化学产品制造工业》（HJ 1103-2020）表20的废气监测要求，制定了项目废气监测计划，具体内容如下：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本项目废气例行监测要求汇总表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59"/>
              <w:gridCol w:w="1321"/>
              <w:gridCol w:w="1494"/>
              <w:gridCol w:w="1060"/>
              <w:gridCol w:w="1065"/>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监测时段</w:t>
                  </w:r>
                </w:p>
              </w:tc>
              <w:tc>
                <w:tcPr>
                  <w:tcW w:w="4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监测对象</w:t>
                  </w:r>
                </w:p>
              </w:tc>
              <w:tc>
                <w:tcPr>
                  <w:tcW w:w="73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监测项目</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监测方式</w:t>
                  </w:r>
                </w:p>
              </w:tc>
              <w:tc>
                <w:tcPr>
                  <w:tcW w:w="59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监测频率</w:t>
                  </w:r>
                </w:p>
              </w:tc>
              <w:tc>
                <w:tcPr>
                  <w:tcW w:w="145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运营期</w:t>
                  </w:r>
                </w:p>
              </w:tc>
              <w:tc>
                <w:tcPr>
                  <w:tcW w:w="421"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有组织废气</w:t>
                  </w:r>
                </w:p>
              </w:tc>
              <w:tc>
                <w:tcPr>
                  <w:tcW w:w="73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破碎、粉碎、制粒排气筒（DA001）</w:t>
                  </w: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手动监测</w:t>
                  </w:r>
                </w:p>
              </w:tc>
              <w:tc>
                <w:tcPr>
                  <w:tcW w:w="59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1次/季度</w:t>
                  </w:r>
                </w:p>
              </w:tc>
              <w:tc>
                <w:tcPr>
                  <w:tcW w:w="1453" w:type="pct"/>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《大气污染物综合排放标准》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GB16297-1996</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中表2二级标准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33"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烘干、炭化、制棒废气排气筒</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（DA00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废气量、SO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179" w:type="pct"/>
                  <w:gridSpan w:val="2"/>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在线监测</w:t>
                  </w:r>
                </w:p>
              </w:tc>
              <w:tc>
                <w:tcPr>
                  <w:tcW w:w="1453" w:type="pct"/>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《大气污染物综合排放标准》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GB16297-1996</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中表2二级标准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3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手动监测</w:t>
                  </w:r>
                </w:p>
              </w:tc>
              <w:tc>
                <w:tcPr>
                  <w:tcW w:w="59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1次/季度</w:t>
                  </w:r>
                </w:p>
              </w:tc>
              <w:tc>
                <w:tcPr>
                  <w:tcW w:w="1453" w:type="pct"/>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《工业企业挥发性有机物排放标准》（DB35/1782-2018）表1中其他行业标准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3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烟气黑度</w:t>
                  </w:r>
                </w:p>
              </w:tc>
              <w:tc>
                <w:tcPr>
                  <w:tcW w:w="1060" w:type="dxa"/>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手动监测</w:t>
                  </w:r>
                </w:p>
              </w:tc>
              <w:tc>
                <w:tcPr>
                  <w:tcW w:w="106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1次/季度</w:t>
                  </w:r>
                </w:p>
              </w:tc>
              <w:tc>
                <w:tcPr>
                  <w:tcW w:w="1453" w:type="pct"/>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《工业炉窑大气污染物排放标准》（GB9078-1996）“干燥炉、窑”表2中二级标准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2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无组织废气</w:t>
                  </w:r>
                </w:p>
              </w:tc>
              <w:tc>
                <w:tcPr>
                  <w:tcW w:w="73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周界外浓度最高点</w:t>
                  </w:r>
                </w:p>
              </w:tc>
              <w:tc>
                <w:tcPr>
                  <w:tcW w:w="82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颗粒物、非甲烷总烃</w:t>
                  </w:r>
                </w:p>
              </w:tc>
              <w:tc>
                <w:tcPr>
                  <w:tcW w:w="588"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手动监测</w:t>
                  </w:r>
                </w:p>
              </w:tc>
              <w:tc>
                <w:tcPr>
                  <w:tcW w:w="59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1453" w:type="pct"/>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《大气污染物综合排放标准》（GB16297-1996）表2中的无组织排放监控浓度限值</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（二）废水影响和保护措施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1、废水产排核算</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设置食堂、宿舍，提供食宿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，运营期生产过程不涉及用排水，废水主要为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，生活污水主要为员工生活、办公废水及食堂废水。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（1）食堂废水</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项目职工定员为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人，均在食堂餐饮，每天两餐，用水参照《云南省地方标准用水定额》（DB53/T168-2019）并结合项目实际情况，按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L/（d·人）计，用水量为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m³/a。排污系数取0.8，污水产生量为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m³/a。</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食堂用水为自来水，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新建1个</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m³的隔油池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，食堂废水经隔油池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处理后与员工生活、办公废水一同进入化粪池处理。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（2）员工生活、办公废水</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项目员工生活、办公废水为盥洗废水。项目职工定员为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人，均在项目区住宿。用水参照《云南省地方标准用水定额》（DB53/T168-2019）并结合项目实际情况，按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核算，则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区员工用水量为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m³/a。排污系数取0.8，污水产生量为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m³/a。</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员工生活、办公用水为自来水，食堂废水经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综上，本项目用排水情况表见下表：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表4-1</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项目给排水情况一览表  单位：</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/d</w:t>
            </w:r>
          </w:p>
          <w:tbl>
            <w:tblPr>
              <w:tblStyle w:val="18"/>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636"/>
              <w:gridCol w:w="1009"/>
              <w:gridCol w:w="1250"/>
              <w:gridCol w:w="877"/>
              <w:gridCol w:w="1302"/>
              <w:gridCol w:w="1092"/>
              <w:gridCol w:w="109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913" w:type="pct"/>
                  <w:gridSpan w:val="2"/>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用水对象</w:t>
                  </w:r>
                </w:p>
              </w:tc>
              <w:tc>
                <w:tcPr>
                  <w:tcW w:w="69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用水情况</w:t>
                  </w:r>
                </w:p>
              </w:tc>
              <w:tc>
                <w:tcPr>
                  <w:tcW w:w="48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单位用水指标</w:t>
                  </w:r>
                </w:p>
              </w:tc>
              <w:tc>
                <w:tcPr>
                  <w:tcW w:w="72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新鲜水用量</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60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废水量</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回用水量</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排水量</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353"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员工生活</w:t>
                  </w:r>
                </w:p>
              </w:tc>
              <w:tc>
                <w:tcPr>
                  <w:tcW w:w="56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食堂</w:t>
                  </w:r>
                </w:p>
              </w:tc>
              <w:tc>
                <w:tcPr>
                  <w:tcW w:w="69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L/人·d</w:t>
                  </w:r>
                </w:p>
              </w:tc>
              <w:tc>
                <w:tcPr>
                  <w:tcW w:w="48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人</w:t>
                  </w:r>
                </w:p>
              </w:tc>
              <w:tc>
                <w:tcPr>
                  <w:tcW w:w="72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0.45</w:t>
                  </w:r>
                </w:p>
              </w:tc>
              <w:tc>
                <w:tcPr>
                  <w:tcW w:w="60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0.36</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6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员工生活、办公</w:t>
                  </w:r>
                </w:p>
              </w:tc>
              <w:tc>
                <w:tcPr>
                  <w:tcW w:w="69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L/人·d</w:t>
                  </w:r>
                </w:p>
              </w:tc>
              <w:tc>
                <w:tcPr>
                  <w:tcW w:w="48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人</w:t>
                  </w:r>
                </w:p>
              </w:tc>
              <w:tc>
                <w:tcPr>
                  <w:tcW w:w="72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w:t>
                  </w:r>
                </w:p>
              </w:tc>
              <w:tc>
                <w:tcPr>
                  <w:tcW w:w="60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0.96</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gridSpan w:val="3"/>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总计</w:t>
                  </w:r>
                </w:p>
              </w:tc>
              <w:tc>
                <w:tcPr>
                  <w:tcW w:w="69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8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2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60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1.74</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607"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项目给排水水量平衡见下图：</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object>
                <v:shape id="_x0000_i1028" o:spt="75" type="#_x0000_t75" style="height:137.05pt;width:335.2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本项目水量平衡图  单位：m³/d</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tc>
      </w:tr>
    </w:tbl>
    <w:p>
      <w:pPr>
        <w:pStyle w:val="8"/>
        <w:rPr>
          <w:rFonts w:hint="eastAsia"/>
          <w:color w:val="000000" w:themeColor="text1"/>
          <w14:textFill>
            <w14:solidFill>
              <w14:schemeClr w14:val="tx1"/>
            </w14:solidFill>
          </w14:textFill>
        </w:rPr>
        <w:sectPr>
          <w:pgSz w:w="11906" w:h="16838"/>
          <w:pgMar w:top="1440" w:right="1080" w:bottom="1440" w:left="1080" w:header="851" w:footer="992" w:gutter="0"/>
          <w:pgNumType w:fmt="decimal"/>
          <w:cols w:space="425" w:num="1"/>
          <w:docGrid w:type="lines" w:linePitch="312" w:charSpace="0"/>
        </w:sectPr>
      </w:pPr>
    </w:p>
    <w:tbl>
      <w:tblPr>
        <w:tblStyle w:val="17"/>
        <w:tblpPr w:leftFromText="181" w:rightFromText="181" w:bottomFromText="57" w:vertAnchor="text" w:tblpXSpec="center" w:tblpY="1"/>
        <w:tblOverlap w:val="never"/>
        <w:tblW w:w="50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 w:type="pct"/>
            <w:noWrap w:val="0"/>
            <w:tcMar>
              <w:left w:w="108" w:type="dxa"/>
              <w:right w:w="108" w:type="dxa"/>
            </w:tcMar>
            <w:vAlign w:val="center"/>
          </w:tcPr>
          <w:p>
            <w:pPr>
              <w:adjustRightInd w:val="0"/>
              <w:snapToGrid w:val="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运营期环境影响和保护措施</w:t>
            </w:r>
          </w:p>
        </w:tc>
        <w:tc>
          <w:tcPr>
            <w:tcW w:w="4849" w:type="pct"/>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2、废水产排核算汇总</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根据《排放源统计调查产排污核算方法和系数手册》（环境部公告2021年第24号）中“生活污染源产排系数手册”中表1-1（六区）及综合相关经验系数中生活污水水质结果，生活污水中各污染物产生浓度为：COD</w:t>
            </w:r>
            <w:r>
              <w:rPr>
                <w:rFonts w:hint="default" w:ascii="Times New Roman" w:hAnsi="Times New Roman" w:eastAsia="宋体" w:cs="Times New Roman"/>
                <w:bCs/>
                <w:color w:val="000000" w:themeColor="text1"/>
                <w:sz w:val="24"/>
                <w:szCs w:val="24"/>
                <w:highlight w:val="none"/>
                <w:vertAlign w:val="subscript"/>
                <w14:textFill>
                  <w14:solidFill>
                    <w14:schemeClr w14:val="tx1"/>
                  </w14:solidFill>
                </w14:textFill>
              </w:rPr>
              <w:t>Cr</w:t>
            </w:r>
            <w:r>
              <w:rPr>
                <w:rFonts w:hint="default" w:ascii="Times New Roman" w:hAnsi="Times New Roman" w:eastAsia="宋体" w:cs="Times New Roman"/>
                <w:bCs/>
                <w:color w:val="000000" w:themeColor="text1"/>
                <w:sz w:val="24"/>
                <w:szCs w:val="24"/>
                <w:highlight w:val="none"/>
                <w14:textFill>
                  <w14:solidFill>
                    <w14:schemeClr w14:val="tx1"/>
                  </w14:solidFill>
                </w14:textFill>
              </w:rPr>
              <w:t>325mg/L、BOD</w:t>
            </w:r>
            <w:r>
              <w:rPr>
                <w:rFonts w:hint="default" w:ascii="Times New Roman" w:hAnsi="Times New Roman" w:eastAsia="宋体" w:cs="Times New Roman"/>
                <w:bCs/>
                <w:color w:val="000000" w:themeColor="text1"/>
                <w:sz w:val="24"/>
                <w:szCs w:val="24"/>
                <w:highlight w:val="none"/>
                <w:vertAlign w:val="subscript"/>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14:textFill>
                  <w14:solidFill>
                    <w14:schemeClr w14:val="tx1"/>
                  </w14:solidFill>
                </w14:textFill>
              </w:rPr>
              <w:t>160mg/L、悬浮物220mg/L、</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NH</w:t>
            </w:r>
            <w:r>
              <w:rPr>
                <w:rFonts w:hint="default" w:ascii="Times New Roman" w:hAnsi="Times New Roman" w:eastAsia="宋体" w:cs="Times New Roman"/>
                <w:b w:val="0"/>
                <w:bCs/>
                <w:color w:val="000000" w:themeColor="text1"/>
                <w:kern w:val="0"/>
                <w:sz w:val="24"/>
                <w:szCs w:val="24"/>
                <w:highlight w:val="none"/>
                <w:vertAlign w:val="sub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-N</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7.7mg/L、总磷4.28mg/L</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动植物油20</w:t>
            </w:r>
            <w:r>
              <w:rPr>
                <w:rFonts w:hint="default" w:ascii="Times New Roman" w:hAnsi="Times New Roman" w:eastAsia="宋体" w:cs="Times New Roman"/>
                <w:bCs/>
                <w:color w:val="000000" w:themeColor="text1"/>
                <w:sz w:val="24"/>
                <w:szCs w:val="24"/>
                <w:highlight w:val="none"/>
                <w14:textFill>
                  <w14:solidFill>
                    <w14:schemeClr w14:val="tx1"/>
                  </w14:solidFill>
                </w14:textFill>
              </w:rPr>
              <w:t>mg/L</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化粪池对污染物去除效率按20%计，则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废水污染源源强核算结果汇总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表4-1</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本项目废水污染源源强核算结果汇总表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00"/>
              <w:gridCol w:w="1100"/>
              <w:gridCol w:w="762"/>
              <w:gridCol w:w="1100"/>
              <w:gridCol w:w="950"/>
              <w:gridCol w:w="888"/>
              <w:gridCol w:w="845"/>
              <w:gridCol w:w="1005"/>
              <w:gridCol w:w="850"/>
              <w:gridCol w:w="1075"/>
              <w:gridCol w:w="1112"/>
              <w:gridCol w:w="860"/>
              <w:gridCol w:w="794"/>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294"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404"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280"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核算方法</w:t>
                  </w:r>
                </w:p>
              </w:tc>
              <w:tc>
                <w:tcPr>
                  <w:tcW w:w="1081" w:type="pct"/>
                  <w:gridSpan w:val="3"/>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污染物产生情况</w:t>
                  </w:r>
                </w:p>
              </w:tc>
              <w:tc>
                <w:tcPr>
                  <w:tcW w:w="1389" w:type="pct"/>
                  <w:gridSpan w:val="4"/>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治理措施</w:t>
                  </w:r>
                </w:p>
              </w:tc>
              <w:tc>
                <w:tcPr>
                  <w:tcW w:w="1308" w:type="pct"/>
                  <w:gridSpan w:val="4"/>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废水产生量m³/a</w:t>
                  </w: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产生浓度mg/L</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产生量t/a</w:t>
                  </w:r>
                </w:p>
              </w:tc>
              <w:tc>
                <w:tcPr>
                  <w:tcW w:w="310"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治理工艺</w:t>
                  </w:r>
                </w:p>
              </w:tc>
              <w:tc>
                <w:tcPr>
                  <w:tcW w:w="36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治理能力m³/h</w:t>
                  </w: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治理效率%</w:t>
                  </w:r>
                </w:p>
              </w:tc>
              <w:tc>
                <w:tcPr>
                  <w:tcW w:w="395"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是否为可行技术</w:t>
                  </w:r>
                </w:p>
              </w:tc>
              <w:tc>
                <w:tcPr>
                  <w:tcW w:w="40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废水排放量m³/a</w:t>
                  </w: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排放浓度mg/L</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排放量t/a</w:t>
                  </w:r>
                </w:p>
              </w:tc>
              <w:tc>
                <w:tcPr>
                  <w:tcW w:w="290"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年排放时间/d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w:t>
                  </w:r>
                </w:p>
              </w:tc>
              <w:tc>
                <w:tcPr>
                  <w:tcW w:w="294"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w:t>
                  </w: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CODcr</w:t>
                  </w:r>
                </w:p>
              </w:tc>
              <w:tc>
                <w:tcPr>
                  <w:tcW w:w="280"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产污系数法</w:t>
                  </w:r>
                </w:p>
              </w:tc>
              <w:tc>
                <w:tcPr>
                  <w:tcW w:w="404"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396</w:t>
                  </w: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325</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0.1287</w:t>
                  </w:r>
                </w:p>
              </w:tc>
              <w:tc>
                <w:tcPr>
                  <w:tcW w:w="310"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隔油池+化粪池</w:t>
                  </w:r>
                </w:p>
              </w:tc>
              <w:tc>
                <w:tcPr>
                  <w:tcW w:w="369"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隔油池容积0.2m³，化粪池容积10m³</w:t>
                  </w: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409"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396</w:t>
                  </w: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260</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0.1030</w:t>
                  </w:r>
                </w:p>
              </w:tc>
              <w:tc>
                <w:tcPr>
                  <w:tcW w:w="290" w:type="pct"/>
                  <w:vMerge w:val="restar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5</w:t>
                  </w: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160</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0.0634</w:t>
                  </w:r>
                </w:p>
              </w:tc>
              <w:tc>
                <w:tcPr>
                  <w:tcW w:w="31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128</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0.0509</w:t>
                  </w:r>
                </w:p>
              </w:tc>
              <w:tc>
                <w:tcPr>
                  <w:tcW w:w="29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SS</w:t>
                  </w: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220</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0.0871</w:t>
                  </w:r>
                </w:p>
              </w:tc>
              <w:tc>
                <w:tcPr>
                  <w:tcW w:w="31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176</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.0697</w:t>
                  </w:r>
                </w:p>
              </w:tc>
              <w:tc>
                <w:tcPr>
                  <w:tcW w:w="29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37.7</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0.0149</w:t>
                  </w:r>
                </w:p>
              </w:tc>
              <w:tc>
                <w:tcPr>
                  <w:tcW w:w="31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30.16</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0.0119</w:t>
                  </w:r>
                </w:p>
              </w:tc>
              <w:tc>
                <w:tcPr>
                  <w:tcW w:w="29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总磷</w:t>
                  </w: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4.28</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0.0017</w:t>
                  </w:r>
                </w:p>
              </w:tc>
              <w:tc>
                <w:tcPr>
                  <w:tcW w:w="31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3.42</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0.0014</w:t>
                  </w:r>
                </w:p>
              </w:tc>
              <w:tc>
                <w:tcPr>
                  <w:tcW w:w="29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动植物油</w:t>
                  </w:r>
                </w:p>
              </w:tc>
              <w:tc>
                <w:tcPr>
                  <w:tcW w:w="28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4"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49"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32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0.0079</w:t>
                  </w:r>
                </w:p>
              </w:tc>
              <w:tc>
                <w:tcPr>
                  <w:tcW w:w="31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6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95"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09"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16"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w:t>
                  </w:r>
                </w:p>
              </w:tc>
              <w:tc>
                <w:tcPr>
                  <w:tcW w:w="292" w:type="pct"/>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0.0063</w:t>
                  </w:r>
                </w:p>
              </w:tc>
              <w:tc>
                <w:tcPr>
                  <w:tcW w:w="290" w:type="pct"/>
                  <w:vMerge w:val="continue"/>
                  <w:tcBorders>
                    <w:tl2br w:val="nil"/>
                    <w:tr2bl w:val="nil"/>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本项目废水排放信息汇总如下表所示。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表4-1</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本项目废水排放信息汇总表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62"/>
              <w:gridCol w:w="1548"/>
              <w:gridCol w:w="825"/>
              <w:gridCol w:w="900"/>
              <w:gridCol w:w="738"/>
              <w:gridCol w:w="950"/>
              <w:gridCol w:w="912"/>
              <w:gridCol w:w="788"/>
              <w:gridCol w:w="937"/>
              <w:gridCol w:w="875"/>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317"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56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303"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排放方式</w:t>
                  </w:r>
                </w:p>
              </w:tc>
              <w:tc>
                <w:tcPr>
                  <w:tcW w:w="331"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去向</w:t>
                  </w:r>
                </w:p>
              </w:tc>
              <w:tc>
                <w:tcPr>
                  <w:tcW w:w="271"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排放规律</w:t>
                  </w:r>
                </w:p>
              </w:tc>
              <w:tc>
                <w:tcPr>
                  <w:tcW w:w="1642" w:type="pct"/>
                  <w:gridSpan w:val="5"/>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排放口基本情况</w:t>
                  </w:r>
                </w:p>
              </w:tc>
              <w:tc>
                <w:tcPr>
                  <w:tcW w:w="1294"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7"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9"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3"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1"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71"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编号</w:t>
                  </w:r>
                </w:p>
              </w:tc>
              <w:tc>
                <w:tcPr>
                  <w:tcW w:w="335"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289" w:type="pct"/>
                  <w:vMerge w:val="restar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类型</w:t>
                  </w:r>
                </w:p>
              </w:tc>
              <w:tc>
                <w:tcPr>
                  <w:tcW w:w="666" w:type="pct"/>
                  <w:gridSpan w:val="2"/>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地理坐标</w:t>
                  </w:r>
                </w:p>
              </w:tc>
              <w:tc>
                <w:tcPr>
                  <w:tcW w:w="1294"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317"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569"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303"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331"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271"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c>
                <w:tcPr>
                  <w:tcW w:w="34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35"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89" w:type="pct"/>
                  <w:vMerge w:val="continue"/>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44"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经度</w:t>
                  </w:r>
                </w:p>
              </w:tc>
              <w:tc>
                <w:tcPr>
                  <w:tcW w:w="32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纬度</w:t>
                  </w:r>
                </w:p>
              </w:tc>
              <w:tc>
                <w:tcPr>
                  <w:tcW w:w="1294" w:type="pct"/>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w:t>
                  </w:r>
                </w:p>
              </w:tc>
              <w:tc>
                <w:tcPr>
                  <w:tcW w:w="317"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w:t>
                  </w:r>
                </w:p>
              </w:tc>
              <w:tc>
                <w:tcPr>
                  <w:tcW w:w="56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CODcr、BOD</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、SS、氨氮、总磷、动植物油</w:t>
                  </w:r>
                </w:p>
              </w:tc>
              <w:tc>
                <w:tcPr>
                  <w:tcW w:w="303"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间接排放</w:t>
                  </w:r>
                </w:p>
              </w:tc>
              <w:tc>
                <w:tcPr>
                  <w:tcW w:w="33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市政污水管网</w:t>
                  </w:r>
                </w:p>
              </w:tc>
              <w:tc>
                <w:tcPr>
                  <w:tcW w:w="27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34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DW001</w:t>
                  </w:r>
                </w:p>
              </w:tc>
              <w:tc>
                <w:tcPr>
                  <w:tcW w:w="335"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生活污水排放口</w:t>
                  </w:r>
                </w:p>
              </w:tc>
              <w:tc>
                <w:tcPr>
                  <w:tcW w:w="289"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间接排放口</w:t>
                  </w:r>
                </w:p>
              </w:tc>
              <w:tc>
                <w:tcPr>
                  <w:tcW w:w="344"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104°22′21.470″</w:t>
                  </w:r>
                </w:p>
              </w:tc>
              <w:tc>
                <w:tcPr>
                  <w:tcW w:w="321" w:type="pct"/>
                  <w:tcBorders>
                    <w:tl2br w:val="nil"/>
                    <w:tr2bl w:val="nil"/>
                  </w:tcBorders>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15.378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294" w:type="pct"/>
                  <w:tcBorders>
                    <w:tl2br w:val="nil"/>
                    <w:tr2bl w:val="nil"/>
                  </w:tcBorders>
                  <w:noWrap w:val="0"/>
                  <w:vAlign w:val="center"/>
                </w:tcPr>
                <w:p>
                  <w:pPr>
                    <w:pStyle w:val="3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《污水综合排放标准》（GB8978-1996）三级标准及《污水排入城镇下水道水质标准》（GB/T31962-2015）中B等级标准</w:t>
                  </w:r>
                </w:p>
              </w:tc>
            </w:tr>
          </w:tbl>
          <w:p>
            <w:pPr>
              <w:pStyle w:val="39"/>
              <w:spacing w:line="360" w:lineRule="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p>
        </w:tc>
      </w:tr>
    </w:tbl>
    <w:p>
      <w:pPr>
        <w:pStyle w:val="39"/>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6838" w:h="11906" w:orient="landscape"/>
          <w:pgMar w:top="1080" w:right="1440" w:bottom="1080" w:left="144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9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6" w:type="dxa"/>
            <w:vAlign w:val="center"/>
          </w:tcPr>
          <w:p>
            <w:pPr>
              <w:pStyle w:val="39"/>
              <w:spacing w:line="360" w:lineRule="auto"/>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运营期环境影响和保护措施</w:t>
            </w:r>
          </w:p>
        </w:tc>
        <w:tc>
          <w:tcPr>
            <w:tcW w:w="9256"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废水影响分析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（1）项目排水方案</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项目采取“雨污分流”；食堂废水经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（2）影响分析</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根据废水污染物浓度分析，项目通过市政管网排入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《污水综合排放标准》（GB8978-1996）三级标准及《污水排入城镇下水道水质标准》（GB/T31962-2015）中B等级标准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，对环境影响小。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（3）敏感点环境影响分析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根据现场勘查，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离</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最近的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地表水</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为项目区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西北侧1255m处的听湖水库，本项目生产废水循环使用，生活污水排入市政管网，最终进入砚山县第一污水处理厂处理，不会对听湖水库造成影响。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项目废水</w:t>
            </w:r>
            <w:r>
              <w:rPr>
                <w:rFonts w:hint="default" w:ascii="Times New Roman" w:hAnsi="Times New Roman" w:eastAsia="宋体" w:cs="Times New Roman"/>
                <w:b/>
                <w:bCs/>
                <w:color w:val="000000" w:themeColor="text1"/>
                <w:sz w:val="24"/>
                <w:lang w:val="en-US" w:eastAsia="zh-CN"/>
                <w14:textFill>
                  <w14:solidFill>
                    <w14:schemeClr w14:val="tx1"/>
                  </w14:solidFill>
                </w14:textFill>
              </w:rPr>
              <w:t>处置</w:t>
            </w:r>
            <w:r>
              <w:rPr>
                <w:rFonts w:hint="default" w:ascii="Times New Roman" w:hAnsi="Times New Roman" w:eastAsia="宋体" w:cs="Times New Roman"/>
                <w:b/>
                <w:bCs/>
                <w:color w:val="000000" w:themeColor="text1"/>
                <w:sz w:val="24"/>
                <w:lang w:eastAsia="zh-CN"/>
                <w14:textFill>
                  <w14:solidFill>
                    <w14:schemeClr w14:val="tx1"/>
                  </w14:solidFill>
                </w14:textFill>
              </w:rPr>
              <w:t>措施</w:t>
            </w:r>
            <w:r>
              <w:rPr>
                <w:rFonts w:hint="default" w:ascii="Times New Roman" w:hAnsi="Times New Roman" w:eastAsia="宋体" w:cs="Times New Roman"/>
                <w:b/>
                <w:bCs/>
                <w:color w:val="000000" w:themeColor="text1"/>
                <w:sz w:val="24"/>
                <w14:textFill>
                  <w14:solidFill>
                    <w14:schemeClr w14:val="tx1"/>
                  </w14:solidFill>
                </w14:textFill>
              </w:rPr>
              <w:t>及其可行性分析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防治措施及其可行性分析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根据工程分析，本项目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/d，食堂废水经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①隔油池容积合理性分析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lang w:val="zh-CN"/>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drawing>
                <wp:inline distT="0" distB="0" distL="114300" distR="114300">
                  <wp:extent cx="2908935" cy="1750060"/>
                  <wp:effectExtent l="0" t="0" r="5715" b="2540"/>
                  <wp:docPr id="2" name="图片 4" descr="QQ截图201310281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QQ截图20131028143326"/>
                          <pic:cNvPicPr>
                            <a:picLocks noChangeAspect="1"/>
                          </pic:cNvPicPr>
                        </pic:nvPicPr>
                        <pic:blipFill>
                          <a:blip r:embed="rId19"/>
                          <a:stretch>
                            <a:fillRect/>
                          </a:stretch>
                        </pic:blipFill>
                        <pic:spPr>
                          <a:xfrm>
                            <a:off x="0" y="0"/>
                            <a:ext cx="2908935" cy="1750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w:t>
            </w: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sz w:val="24"/>
                <w14:textFill>
                  <w14:solidFill>
                    <w14:schemeClr w14:val="tx1"/>
                  </w14:solidFill>
                </w14:textFill>
              </w:rPr>
              <w:t>项目隔油池示意图</w:t>
            </w:r>
          </w:p>
          <w:p>
            <w:pPr>
              <w:pStyle w:val="39"/>
              <w:spacing w:line="360" w:lineRule="auto"/>
              <w:ind w:firstLine="482" w:firstLineChars="200"/>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隔油池原理：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流沿进水区进入斜管沉淀墙，水中的颗粒悬浮物下沉到斜管下壁后滑落到进水区下部的集泥区，水中的油上浮进入集油区，后一级斜管沉淀墙主要是除油，水流沿斜管向下流的同时，水中的油会上浮，聚集到中间的集油区，最后经过沉淀除油的水进入项目区的隔油池。</w:t>
            </w:r>
          </w:p>
          <w:p>
            <w:pPr>
              <w:pStyle w:val="39"/>
              <w:spacing w:line="360" w:lineRule="auto"/>
              <w:ind w:firstLine="482" w:firstLineChars="200"/>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隔油池规模：</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产排分析”章节可知</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，食堂废水量为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0.36</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根据中华人民共和国国家环境保护标准HJ554-2010《饮食业环境保护技术规范》，隔油池设计符合下列规定：</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含油污水的水力停留时间不宜小于0.5h；</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14:textFill>
                  <w14:solidFill>
                    <w14:schemeClr w14:val="tx1"/>
                  </w14:solidFill>
                </w14:textFill>
              </w:rPr>
              <w:t>池内水流流速不宜大于0.005m/s；</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14:textFill>
                  <w14:solidFill>
                    <w14:schemeClr w14:val="tx1"/>
                  </w14:solidFill>
                </w14:textFill>
              </w:rPr>
              <w:t>池内分格宜取两档三格；</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人工除油的隔油池内存油部分的容积不得小于该池有效容积的25％，隔油池出水管管底至池底的深度，不得小于0.6m。</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项目食堂废水产生量为0.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6m³/d，食堂废水按每日产生时间2小时计，含油污水在池内的停留时间均为30min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预留25%的存油空间，则隔油池理论容积应不小于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³隔油池，满足项目营运需求。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化粪池容积合理性分析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1.32</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/d，为满足</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24h的熟化时间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且保证废水不外溢，安全系数取1.2</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且</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根据建设方相关资料，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天左右</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清掏一次，因此本环评要求设置容积不小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7.92</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的化粪池，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新建10</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³化粪池，满足项目营运需求。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③项目生活污水进入砚山县第</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污水处理厂的可行性分析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《云南砚山产业园区总体规划</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修编</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2021</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2035</w:t>
            </w:r>
            <w:r>
              <w:rPr>
                <w:rFonts w:hint="default" w:ascii="Times New Roman" w:hAnsi="Times New Roman" w:eastAsia="宋体" w:cs="Times New Roman"/>
                <w:color w:val="000000" w:themeColor="text1"/>
                <w:spacing w:val="-7"/>
                <w:sz w:val="24"/>
                <w:szCs w:val="24"/>
                <w14:textFill>
                  <w14:solidFill>
                    <w14:schemeClr w14:val="tx1"/>
                  </w14:solidFill>
                </w14:textFill>
              </w:rPr>
              <w:t>年</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环境影响报告书</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，三星坝片区生活废水经预处理达到《污水排入城市下水道水质标准》后可排入市政污水管网，进入市政污水管网统一排至砚山县城污水处理厂；</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本项目经化粪池预处理后生活污水中污染物浓度可达</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《污水排入城市下水道水质标准》，</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满足要求。</w:t>
            </w:r>
          </w:p>
          <w:p>
            <w:pPr>
              <w:pStyle w:val="39"/>
              <w:spacing w:line="360" w:lineRule="auto"/>
              <w:ind w:firstLine="480" w:firstLineChars="200"/>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砚山县第一污水处理厂于2013年开工建设，位于砚山县</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县城东北角，七乡大道旁，占地16亩。2013年1月，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砚山县人民政府投资2998.52万元对砚山县第一污水处理厂进行改扩建，处理规模由</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5000m³/d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扩大至1</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5000m³/d，污水处理采用“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出水执行《城镇污水处理厂污染物排放标准》（GB18918-2002）一级A标准。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污水处理站改扩建后，污水收集处理服务范围扩大至14km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于201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12月</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竣工并投入运行。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本项目位于三星坝工业园区内，园区内已建成污水收集管网且项目属于砚山县第一污水处理厂</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的收集处理范围内。</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根据工程分析，</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项目外排废水量为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1.32</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m³/d，占污水处理厂处理能力的比例很小，外排的废水主要为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常规</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生活污水，无特殊有毒有害物质。本项目排放的生活污水经化粪池处理后可满足《污水综合排放标准》（GB8978-1996）三级标准及《污水排入城镇下水道水质标准》（GB/T31962-2015）中B等级标准，满足砚山县第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污水处理厂的进水水质要求，不会对污水处理厂的正常运行造成影响。</w:t>
            </w:r>
          </w:p>
          <w:p>
            <w:pPr>
              <w:pStyle w:val="39"/>
              <w:spacing w:line="360" w:lineRule="auto"/>
              <w:ind w:firstLine="480" w:firstLineChars="200"/>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因此，项目生活污水进入砚山县第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污水处理厂具有可行性。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（2）事故废水</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根据《事故状态下水体污染的预防与控制技术要求》（QSY1190-2009）的规定，事故缓冲设施总有效容积的计算公式为：</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max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max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是指对收集系统范围内不同罐组或装置分别计算V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取其中最大值；</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—收集系统范围内发生事故的一个罐组或一套装置的物料量，项目生产过程中不涉及液体物料，取0m³。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—发生事故的储罐或装置的消防水量，m³</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消</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—发生事故时消防设施给水流量，室内给水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引起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火灾灭火用水量取20L/s，《建筑设计防火规范》（GB50016-2014）；</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—消防设施对应的设计消防历时，2h；</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则一次性火灾消防用水量约144m³，消防废水量按用水量的80%计，则一次火灾事故废水排放量约115.2m³；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—发生事故时可以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传输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到其他储存或处理设施的物料量，m³，本项目计为0m³；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—发生事故时仍必须进入该收集系统的生产废水量，m³；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建设单位运营期，项目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生产废水，本项目V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计为0m³；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—发生事故时可能进入该收集系统的降雨量，m³；</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=10×q×F</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q——降雨强度，mm；按平均日降雨量；q=qa/n</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qa——年平均降雨量，mm；</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n——年平均降雨日数。</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F——必须进入事故废水收集系统的雨水汇水面积，ha；</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项目场地雨水汇水面积为0.1ha；根据砚山县近2年主要气候统计结果，多年平均降雨量为1453mm，降雨日数142.6d计，则q≈10.2mm。由上述公式计算可知，本项目V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≈10.2m³。</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则V</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=(0+115.2-0)</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max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+0+10.2=125.4m³</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以上公式计算，当项目厂区内发生事故时，产生的事故废水仅为消防废水和部分雨水收集，无生产废水。本项目位于三星坝工业园区内，园区内已建成污水收集管网且项目属于砚山县第一污水处理厂的收集处理范围内。因此，当发生事故时，事故废水可排至园区污水收集管网，由砚山县第一污水处理厂的收集处理，项目事故废水可得到有效收集处置，不对外界产生明显影响，项目不再单独建设事故应急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、废水评价总结</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综上所述，本项目采用雨污分流制；食堂废水经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达《污水综合排放标准》（GB8978-1996）三级标准及《污水排入城镇下水道水质标准》（GB/T31962-2015）中B等级标准后排入市政污水管网，最终进入砚山县第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对周围水环境影响较小。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（三）噪声影响和保护措施</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项目运营期间噪声来源主要为生产设备运行产生的噪声，其次为车辆产生的噪声。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、车辆噪声源强及措施</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在正常营运时车辆进出厂区会产生噪声。经类比调查可知，车辆进出厂区噪声值一般在65～80dB（A）。会对周围环境造成一定影响。因车辆在厂区内为低速行驶状态，并通过加强管理、禁止厂区鸣笛，则车辆进出场区产生的噪声对周围环境的影响是可以接受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2、固定噪声源强及措施</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项目主要噪声源为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粉碎机、烘干机、制棒机、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制粒机、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风机等机械设备运行产生噪声，源强为75～85dB(A)。项目通过采取选用低噪声设备，布置于厂房内、设置减振垫，加强设备维修与保养等措施来控制噪声排放。本项目主要设备噪声值见下表。</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tc>
      </w:tr>
    </w:tbl>
    <w:p>
      <w:pPr>
        <w:pStyle w:val="39"/>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1906" w:h="16838"/>
          <w:pgMar w:top="1440" w:right="1080" w:bottom="1440" w:left="1080" w:header="851" w:footer="992" w:gutter="0"/>
          <w:pgNumType w:fmt="decimal"/>
          <w:cols w:space="425" w:num="1"/>
          <w:docGrid w:type="lines" w:linePitch="312" w:charSpace="0"/>
        </w:sectPr>
      </w:pPr>
    </w:p>
    <w:tbl>
      <w:tblPr>
        <w:tblStyle w:val="18"/>
        <w:tblpPr w:leftFromText="181" w:rightFromText="181"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6"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运营期环境影响和保护措施</w:t>
            </w:r>
          </w:p>
        </w:tc>
        <w:tc>
          <w:tcPr>
            <w:tcW w:w="14147"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16 项目</w:t>
            </w:r>
            <w:r>
              <w:rPr>
                <w:rFonts w:hint="default" w:ascii="Times New Roman" w:hAnsi="Times New Roman" w:eastAsia="宋体" w:cs="Times New Roman"/>
                <w:b/>
                <w:color w:val="000000" w:themeColor="text1"/>
                <w:sz w:val="24"/>
                <w:szCs w:val="24"/>
                <w14:textFill>
                  <w14:solidFill>
                    <w14:schemeClr w14:val="tx1"/>
                  </w14:solidFill>
                </w14:textFill>
              </w:rPr>
              <w:t>主要设备噪声源强调查清单（室内声源）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05"/>
              <w:gridCol w:w="981"/>
              <w:gridCol w:w="888"/>
              <w:gridCol w:w="600"/>
              <w:gridCol w:w="704"/>
              <w:gridCol w:w="681"/>
              <w:gridCol w:w="450"/>
              <w:gridCol w:w="588"/>
              <w:gridCol w:w="589"/>
              <w:gridCol w:w="588"/>
              <w:gridCol w:w="612"/>
              <w:gridCol w:w="600"/>
              <w:gridCol w:w="531"/>
              <w:gridCol w:w="507"/>
              <w:gridCol w:w="496"/>
              <w:gridCol w:w="612"/>
              <w:gridCol w:w="658"/>
              <w:gridCol w:w="519"/>
              <w:gridCol w:w="496"/>
              <w:gridCol w:w="519"/>
              <w:gridCol w:w="496"/>
              <w:gridCol w:w="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r>
                    <w:rPr>
                      <w:rFonts w:ascii="Times New Roman" w:hAnsi="Times New Roman" w:eastAsia="宋体" w:cs="Times New Roman"/>
                      <w:b/>
                      <w:caps w:val="0"/>
                      <w:color w:val="000000" w:themeColor="text1"/>
                      <w:sz w:val="15"/>
                      <w:szCs w:val="15"/>
                      <w14:textFill>
                        <w14:solidFill>
                          <w14:schemeClr w14:val="tx1"/>
                        </w14:solidFill>
                      </w14:textFill>
                    </w:rPr>
                    <w:t>序号</w:t>
                  </w:r>
                </w:p>
              </w:tc>
              <w:tc>
                <w:tcPr>
                  <w:tcW w:w="289"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建筑物名称</w:t>
                  </w:r>
                </w:p>
              </w:tc>
              <w:tc>
                <w:tcPr>
                  <w:tcW w:w="352"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r>
                    <w:rPr>
                      <w:rFonts w:ascii="Times New Roman" w:hAnsi="Times New Roman" w:eastAsia="宋体" w:cs="Times New Roman"/>
                      <w:b/>
                      <w:caps w:val="0"/>
                      <w:color w:val="000000" w:themeColor="text1"/>
                      <w:sz w:val="15"/>
                      <w:szCs w:val="15"/>
                      <w14:textFill>
                        <w14:solidFill>
                          <w14:schemeClr w14:val="tx1"/>
                        </w14:solidFill>
                      </w14:textFill>
                    </w:rPr>
                    <w:t>声源名称</w:t>
                  </w:r>
                </w:p>
              </w:tc>
              <w:tc>
                <w:tcPr>
                  <w:tcW w:w="318" w:type="pc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lang w:eastAsia="zh-CN"/>
                      <w14:textFill>
                        <w14:solidFill>
                          <w14:schemeClr w14:val="tx1"/>
                        </w14:solidFill>
                      </w14:textFill>
                    </w:rPr>
                  </w:pPr>
                  <w:r>
                    <w:rPr>
                      <w:rFonts w:ascii="Times New Roman" w:hAnsi="Times New Roman" w:eastAsia="宋体" w:cs="Times New Roman"/>
                      <w:b/>
                      <w:caps w:val="0"/>
                      <w:color w:val="000000" w:themeColor="text1"/>
                      <w:sz w:val="15"/>
                      <w:szCs w:val="15"/>
                      <w:lang w:eastAsia="zh-CN"/>
                      <w14:textFill>
                        <w14:solidFill>
                          <w14:schemeClr w14:val="tx1"/>
                        </w14:solidFill>
                      </w14:textFill>
                    </w:rPr>
                    <w:t>声源源强</w:t>
                  </w:r>
                </w:p>
              </w:tc>
              <w:tc>
                <w:tcPr>
                  <w:tcW w:w="215"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r>
                    <w:rPr>
                      <w:rFonts w:ascii="Times New Roman" w:hAnsi="Times New Roman" w:eastAsia="宋体" w:cs="Times New Roman"/>
                      <w:b/>
                      <w:caps w:val="0"/>
                      <w:color w:val="000000" w:themeColor="text1"/>
                      <w:sz w:val="15"/>
                      <w:szCs w:val="15"/>
                      <w14:textFill>
                        <w14:solidFill>
                          <w14:schemeClr w14:val="tx1"/>
                        </w14:solidFill>
                      </w14:textFill>
                    </w:rPr>
                    <w:t>声源控制措施</w:t>
                  </w:r>
                </w:p>
              </w:tc>
              <w:tc>
                <w:tcPr>
                  <w:tcW w:w="659" w:type="pct"/>
                  <w:gridSpan w:val="3"/>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ascii="Times New Roman" w:hAnsi="Times New Roman" w:eastAsia="宋体" w:cs="Times New Roman"/>
                      <w:b/>
                      <w:caps w:val="0"/>
                      <w:color w:val="000000" w:themeColor="text1"/>
                      <w:sz w:val="15"/>
                      <w:szCs w:val="15"/>
                      <w14:textFill>
                        <w14:solidFill>
                          <w14:schemeClr w14:val="tx1"/>
                        </w14:solidFill>
                      </w14:textFill>
                    </w:rPr>
                    <w:t>空间相对位置/m</w:t>
                  </w:r>
                </w:p>
              </w:tc>
              <w:tc>
                <w:tcPr>
                  <w:tcW w:w="853" w:type="pct"/>
                  <w:gridSpan w:val="4"/>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距离室内边界距离/m</w:t>
                  </w:r>
                </w:p>
              </w:tc>
              <w:tc>
                <w:tcPr>
                  <w:tcW w:w="766" w:type="pct"/>
                  <w:gridSpan w:val="4"/>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室内边界声级</w:t>
                  </w:r>
                </w:p>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b/>
                      <w:caps w:val="0"/>
                      <w:color w:val="000000" w:themeColor="text1"/>
                      <w:sz w:val="15"/>
                      <w:szCs w:val="15"/>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/dB(A)</w:t>
                  </w:r>
                </w:p>
              </w:tc>
              <w:tc>
                <w:tcPr>
                  <w:tcW w:w="219"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运行时段</w:t>
                  </w:r>
                </w:p>
              </w:tc>
              <w:tc>
                <w:tcPr>
                  <w:tcW w:w="236" w:type="pct"/>
                  <w:vMerge w:val="restart"/>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建筑物插入损失/dB(A)</w:t>
                  </w:r>
                </w:p>
              </w:tc>
              <w:tc>
                <w:tcPr>
                  <w:tcW w:w="916" w:type="pct"/>
                  <w:gridSpan w:val="5"/>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建筑物外噪声声压级</w:t>
                  </w:r>
                </w:p>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r>
                    <w:rPr>
                      <w:rFonts w:hint="eastAsia" w:ascii="Times New Roman" w:hAnsi="Times New Roman" w:eastAsia="宋体" w:cs="Times New Roman"/>
                      <w:b/>
                      <w:caps w:val="0"/>
                      <w:color w:val="000000" w:themeColor="text1"/>
                      <w:sz w:val="15"/>
                      <w:szCs w:val="15"/>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p>
              </w:tc>
              <w:tc>
                <w:tcPr>
                  <w:tcW w:w="352"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p>
              </w:tc>
              <w:tc>
                <w:tcPr>
                  <w:tcW w:w="318"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r>
                    <w:rPr>
                      <w:rFonts w:hint="eastAsia" w:ascii="Times New Roman" w:hAnsi="Times New Roman" w:eastAsia="宋体" w:cs="Times New Roman"/>
                      <w:b/>
                      <w:bCs/>
                      <w:caps w:val="0"/>
                      <w:color w:val="000000" w:themeColor="text1"/>
                      <w:sz w:val="15"/>
                      <w:szCs w:val="15"/>
                      <w14:textFill>
                        <w14:solidFill>
                          <w14:schemeClr w14:val="tx1"/>
                        </w14:solidFill>
                      </w14:textFill>
                    </w:rPr>
                    <w:t>声功率级/dB(A)</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ascii="Times New Roman" w:hAnsi="Times New Roman" w:eastAsia="宋体" w:cs="Times New Roman"/>
                      <w:b/>
                      <w:bCs/>
                      <w:caps w:val="0"/>
                      <w:color w:val="000000" w:themeColor="text1"/>
                      <w:sz w:val="15"/>
                      <w:szCs w:val="15"/>
                      <w14:textFill>
                        <w14:solidFill>
                          <w14:schemeClr w14:val="tx1"/>
                        </w14:solidFill>
                      </w14:textFill>
                    </w:rPr>
                    <w:t>X</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ascii="Times New Roman" w:hAnsi="Times New Roman" w:eastAsia="宋体" w:cs="Times New Roman"/>
                      <w:b/>
                      <w:bCs/>
                      <w:caps w:val="0"/>
                      <w:color w:val="000000" w:themeColor="text1"/>
                      <w:sz w:val="15"/>
                      <w:szCs w:val="15"/>
                      <w14:textFill>
                        <w14:solidFill>
                          <w14:schemeClr w14:val="tx1"/>
                        </w14:solidFill>
                      </w14:textFill>
                    </w:rPr>
                    <w:t>Y</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ascii="Times New Roman" w:hAnsi="Times New Roman" w:eastAsia="宋体" w:cs="Times New Roman"/>
                      <w:b/>
                      <w:bCs/>
                      <w:caps w:val="0"/>
                      <w:color w:val="000000" w:themeColor="text1"/>
                      <w:sz w:val="15"/>
                      <w:szCs w:val="15"/>
                      <w14:textFill>
                        <w14:solidFill>
                          <w14:schemeClr w14:val="tx1"/>
                        </w14:solidFill>
                      </w14:textFill>
                    </w:rPr>
                    <w:t>Z</w:t>
                  </w:r>
                </w:p>
              </w:tc>
              <w:tc>
                <w:tcPr>
                  <w:tcW w:w="21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bCs/>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东</w:t>
                  </w:r>
                </w:p>
              </w:tc>
              <w:tc>
                <w:tcPr>
                  <w:tcW w:w="21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bCs/>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南</w:t>
                  </w:r>
                </w:p>
              </w:tc>
              <w:tc>
                <w:tcPr>
                  <w:tcW w:w="21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西</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北</w:t>
                  </w:r>
                </w:p>
              </w:tc>
              <w:tc>
                <w:tcPr>
                  <w:tcW w:w="215"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东</w:t>
                  </w:r>
                </w:p>
              </w:tc>
              <w:tc>
                <w:tcPr>
                  <w:tcW w:w="190"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西</w:t>
                  </w:r>
                </w:p>
              </w:tc>
              <w:tc>
                <w:tcPr>
                  <w:tcW w:w="18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南</w:t>
                  </w:r>
                </w:p>
              </w:tc>
              <w:tc>
                <w:tcPr>
                  <w:tcW w:w="178"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北</w:t>
                  </w:r>
                </w:p>
              </w:tc>
              <w:tc>
                <w:tcPr>
                  <w:tcW w:w="21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pP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p>
              </w:tc>
              <w:tc>
                <w:tcPr>
                  <w:tcW w:w="186"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东</w:t>
                  </w:r>
                </w:p>
              </w:tc>
              <w:tc>
                <w:tcPr>
                  <w:tcW w:w="178"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西</w:t>
                  </w:r>
                </w:p>
              </w:tc>
              <w:tc>
                <w:tcPr>
                  <w:tcW w:w="186"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南</w:t>
                  </w:r>
                </w:p>
              </w:tc>
              <w:tc>
                <w:tcPr>
                  <w:tcW w:w="178"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bCs/>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b/>
                      <w:bCs/>
                      <w:caps w:val="0"/>
                      <w:color w:val="000000" w:themeColor="text1"/>
                      <w:sz w:val="15"/>
                      <w:szCs w:val="15"/>
                      <w:lang w:val="en-US" w:eastAsia="zh-CN"/>
                      <w14:textFill>
                        <w14:solidFill>
                          <w14:schemeClr w14:val="tx1"/>
                        </w14:solidFill>
                      </w14:textFill>
                    </w:rPr>
                    <w:t>北</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s="Times New Roman"/>
                      <w:b/>
                      <w:bCs/>
                      <w:caps w:val="0"/>
                      <w:color w:val="000000" w:themeColor="text1"/>
                      <w:sz w:val="15"/>
                      <w:szCs w:val="15"/>
                      <w14:textFill>
                        <w14:solidFill>
                          <w14:schemeClr w14:val="tx1"/>
                        </w14:solidFill>
                      </w14:textFill>
                    </w:rPr>
                  </w:pPr>
                  <w:r>
                    <w:rPr>
                      <w:rFonts w:hint="eastAsia" w:ascii="Times New Roman" w:hAnsi="Times New Roman" w:eastAsia="宋体" w:cs="Times New Roman"/>
                      <w:b/>
                      <w:bCs/>
                      <w:caps w:val="0"/>
                      <w:color w:val="000000" w:themeColor="text1"/>
                      <w:sz w:val="15"/>
                      <w:szCs w:val="15"/>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r>
                    <w:rPr>
                      <w:rFonts w:ascii="Times New Roman" w:hAnsi="Times New Roman" w:eastAsia="宋体" w:cs="Arial"/>
                      <w:caps w:val="0"/>
                      <w:color w:val="000000" w:themeColor="text1"/>
                      <w:sz w:val="15"/>
                      <w:szCs w:val="15"/>
                      <w14:textFill>
                        <w14:solidFill>
                          <w14:schemeClr w14:val="tx1"/>
                        </w14:solidFill>
                      </w14:textFill>
                    </w:rPr>
                    <w:t>1</w:t>
                  </w:r>
                </w:p>
              </w:tc>
              <w:tc>
                <w:tcPr>
                  <w:tcW w:w="289"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封闭厂房</w:t>
                  </w: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破碎机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85</w:t>
                  </w:r>
                </w:p>
              </w:tc>
              <w:tc>
                <w:tcPr>
                  <w:tcW w:w="215"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基础</w:t>
                  </w:r>
                  <w:r>
                    <w:rPr>
                      <w:rFonts w:hint="eastAsia" w:ascii="Times New Roman" w:hAnsi="Times New Roman" w:eastAsia="宋体"/>
                      <w:caps w:val="0"/>
                      <w:color w:val="000000" w:themeColor="text1"/>
                      <w:sz w:val="15"/>
                      <w:szCs w:val="15"/>
                      <w:lang w:val="en-US" w:eastAsia="zh-CN"/>
                      <w14:textFill>
                        <w14:solidFill>
                          <w14:schemeClr w14:val="tx1"/>
                        </w14:solidFill>
                      </w14:textFill>
                    </w:rPr>
                    <w:t>减震</w:t>
                  </w:r>
                  <w:r>
                    <w:rPr>
                      <w:rFonts w:hint="default" w:ascii="Times New Roman" w:hAnsi="Times New Roman" w:eastAsia="宋体"/>
                      <w:caps w:val="0"/>
                      <w:color w:val="000000" w:themeColor="text1"/>
                      <w:sz w:val="15"/>
                      <w:szCs w:val="15"/>
                      <w:lang w:val="en-US" w:eastAsia="zh-CN"/>
                      <w14:textFill>
                        <w14:solidFill>
                          <w14:schemeClr w14:val="tx1"/>
                        </w14:solidFill>
                      </w14:textFill>
                    </w:rPr>
                    <w:t>、距离衰减</w:t>
                  </w: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-20.26</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-11.02</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5.81</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25.44</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84.05</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20.83</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61.5</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58.5</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58.6</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restar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26.5</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35</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32.1</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2</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粉碎机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t>85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-25.12</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-9.08</w:t>
                  </w:r>
                </w:p>
              </w:tc>
              <w:tc>
                <w:tcPr>
                  <w:tcW w:w="161"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bottom"/>
                    <w:rPr>
                      <w:rFonts w:hint="default" w:ascii="Times New Roman" w:hAnsi="Times New Roman" w:eastAsia="宋体"/>
                      <w:b w:val="0"/>
                      <w:bCs/>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b w:val="0"/>
                      <w:bCs/>
                      <w:caps w:val="0"/>
                      <w:color w:val="000000" w:themeColor="text1"/>
                      <w:kern w:val="2"/>
                      <w:sz w:val="15"/>
                      <w:szCs w:val="15"/>
                      <w:lang w:val="en-US" w:eastAsia="zh-CN" w:bidi="ar-SA"/>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11.04</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25.09</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78.83</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20.78</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59.4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58.5</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58.6</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32.1</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3</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olor w:val="000000" w:themeColor="text1"/>
                      <w:sz w:val="15"/>
                      <w:szCs w:val="15"/>
                      <w:lang w:val="en-US" w:eastAsia="zh-CN"/>
                      <w14:textFill>
                        <w14:solidFill>
                          <w14:schemeClr w14:val="tx1"/>
                        </w14:solidFill>
                      </w14:textFill>
                    </w:rPr>
                    <w:t>1#气流式烘干机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-33.22</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13.29</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26.24</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41.75</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62.03</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2.87</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48.5</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48.3</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55.7</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29.2</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eastAsia="zh-CN"/>
                      <w14:textFill>
                        <w14:solidFill>
                          <w14:schemeClr w14:val="tx1"/>
                        </w14:solidFill>
                      </w14:textFill>
                    </w:rPr>
                  </w:pPr>
                  <w:r>
                    <w:rPr>
                      <w:rFonts w:hint="eastAsia" w:ascii="Times New Roman" w:hAnsi="Times New Roman" w:eastAsia="宋体" w:cs="Arial"/>
                      <w:caps w:val="0"/>
                      <w:color w:val="000000" w:themeColor="text1"/>
                      <w:sz w:val="15"/>
                      <w:szCs w:val="15"/>
                      <w:lang w:eastAsia="zh-CN"/>
                      <w14:textFill>
                        <w14:solidFill>
                          <w14:schemeClr w14:val="tx1"/>
                        </w14:solidFill>
                      </w14:textFill>
                    </w:rPr>
                    <w:t>4</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14:textFill>
                        <w14:solidFill>
                          <w14:schemeClr w14:val="tx1"/>
                        </w14:solidFill>
                      </w14:textFill>
                    </w:rPr>
                  </w:pPr>
                  <w: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t>生物质颗粒制粒机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-58.18</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20.91</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52.31</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37.83</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36.19</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48.3</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52.5</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26</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5</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t>生物质猫砂颗粒制粒机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-58.99</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18.48</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52.25</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35.29</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36.48</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7.36</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48.3</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50.5</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24</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t>2#气流式烘干机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-41.17</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-12.97</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24.82</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14.64</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65.93</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30.22</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48.5</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49.0</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22.5</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7</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1#制棒机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-50.57</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-4.21</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36.63</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18.47</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53.71</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25.46</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48.7</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48.5</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22.2</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8</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2#制棒机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-52.67</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-6.65</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37.78</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15.36</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52.83</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28.5</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48.9</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22.4</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9</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3#制棒机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-53.48</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-9.24</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37.67</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12.68</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53.2</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31.21</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49.2</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22.7</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10</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4#制棒机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75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-54.94</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-11.83</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38.16</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9.71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52.97</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34.15</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49.7</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48.4</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23.2</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21.9</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11</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1#风机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85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-35.33</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14.1</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28.5</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41.57</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59.78</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2.88</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58.4</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58.3</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65.7</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31.9</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31.8</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39.2</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pStyle w:val="8"/>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olor w:val="000000" w:themeColor="text1"/>
                      <w:sz w:val="15"/>
                      <w:szCs w:val="15"/>
                      <w:lang w:val="en-US" w:eastAsia="zh-CN"/>
                      <w14:textFill>
                        <w14:solidFill>
                          <w14:schemeClr w14:val="tx1"/>
                        </w14:solidFill>
                      </w14:textFill>
                    </w:rPr>
                  </w:pPr>
                  <w:r>
                    <w:rPr>
                      <w:rFonts w:hint="eastAsia" w:ascii="Times New Roman" w:hAnsi="Times New Roman" w:eastAsia="宋体"/>
                      <w:color w:val="000000" w:themeColor="text1"/>
                      <w:sz w:val="15"/>
                      <w:szCs w:val="15"/>
                      <w:lang w:val="en-US" w:eastAsia="zh-CN"/>
                      <w14:textFill>
                        <w14:solidFill>
                          <w14:schemeClr w14:val="tx1"/>
                        </w14:solidFill>
                      </w14:textFill>
                    </w:rPr>
                    <w:t>12</w:t>
                  </w:r>
                </w:p>
              </w:tc>
              <w:tc>
                <w:tcPr>
                  <w:tcW w:w="289"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Arial"/>
                      <w:caps w:val="0"/>
                      <w:color w:val="000000" w:themeColor="text1"/>
                      <w:sz w:val="15"/>
                      <w:szCs w:val="15"/>
                      <w:lang w:val="en-US" w:eastAsia="zh-CN"/>
                      <w14:textFill>
                        <w14:solidFill>
                          <w14:schemeClr w14:val="tx1"/>
                        </w14:solidFill>
                      </w14:textFill>
                    </w:rPr>
                  </w:pP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2#风机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85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-43.43</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-12.32</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27.17</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14.25</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63.61</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30.44</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58.5</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59.0</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58.4</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32.5</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31.9</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17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13</w:t>
                  </w:r>
                </w:p>
              </w:tc>
              <w:tc>
                <w:tcPr>
                  <w:tcW w:w="28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Arial"/>
                      <w:caps w:val="0"/>
                      <w:color w:val="000000" w:themeColor="text1"/>
                      <w:sz w:val="15"/>
                      <w:szCs w:val="15"/>
                      <w:lang w:val="en-US" w:eastAsia="zh-CN"/>
                      <w14:textFill>
                        <w14:solidFill>
                          <w14:schemeClr w14:val="tx1"/>
                        </w14:solidFill>
                      </w14:textFill>
                    </w:rPr>
                  </w:pPr>
                  <w:r>
                    <w:rPr>
                      <w:rFonts w:hint="eastAsia" w:ascii="Times New Roman" w:hAnsi="Times New Roman" w:eastAsia="宋体" w:cs="Arial"/>
                      <w:caps w:val="0"/>
                      <w:color w:val="000000" w:themeColor="text1"/>
                      <w:sz w:val="15"/>
                      <w:szCs w:val="15"/>
                      <w:lang w:val="en-US" w:eastAsia="zh-CN"/>
                      <w14:textFill>
                        <w14:solidFill>
                          <w14:schemeClr w14:val="tx1"/>
                        </w14:solidFill>
                      </w14:textFill>
                    </w:rPr>
                    <w:t>办公生活楼</w:t>
                  </w:r>
                </w:p>
              </w:tc>
              <w:tc>
                <w:tcPr>
                  <w:tcW w:w="35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aps w:val="0"/>
                      <w:color w:val="000000" w:themeColor="text1"/>
                      <w:kern w:val="2"/>
                      <w:sz w:val="15"/>
                      <w:szCs w:val="15"/>
                      <w:lang w:val="en-US" w:eastAsia="zh-CN" w:bidi="ar-SA"/>
                      <w14:textFill>
                        <w14:solidFill>
                          <w14:schemeClr w14:val="tx1"/>
                        </w14:solidFill>
                      </w14:textFill>
                    </w:rPr>
                    <w:t>3#风机</w:t>
                  </w:r>
                </w:p>
              </w:tc>
              <w:tc>
                <w:tcPr>
                  <w:tcW w:w="31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宋体"/>
                      <w:i w:val="0"/>
                      <w:iCs w:val="0"/>
                      <w:caps w:val="0"/>
                      <w:color w:val="000000" w:themeColor="text1"/>
                      <w:kern w:val="0"/>
                      <w:sz w:val="15"/>
                      <w:szCs w:val="15"/>
                      <w:u w:val="none"/>
                      <w:lang w:val="en-US" w:eastAsia="zh-CN" w:bidi="ar"/>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85</w:t>
                  </w:r>
                </w:p>
              </w:tc>
              <w:tc>
                <w:tcPr>
                  <w:tcW w:w="215"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ascii="Times New Roman" w:hAnsi="Times New Roman" w:eastAsia="宋体"/>
                      <w:caps w:val="0"/>
                      <w:color w:val="000000" w:themeColor="text1"/>
                      <w:sz w:val="15"/>
                      <w:szCs w:val="15"/>
                      <w14:textFill>
                        <w14:solidFill>
                          <w14:schemeClr w14:val="tx1"/>
                        </w14:solidFill>
                      </w14:textFill>
                    </w:rPr>
                  </w:pPr>
                </w:p>
              </w:tc>
              <w:tc>
                <w:tcPr>
                  <w:tcW w:w="252"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-13.61</w:t>
                  </w:r>
                </w:p>
              </w:tc>
              <w:tc>
                <w:tcPr>
                  <w:tcW w:w="244"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-28.2</w:t>
                  </w:r>
                </w:p>
              </w:tc>
              <w:tc>
                <w:tcPr>
                  <w:tcW w:w="161"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5.39</w:t>
                  </w:r>
                </w:p>
              </w:tc>
              <w:tc>
                <w:tcPr>
                  <w:tcW w:w="58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12.06</w:t>
                  </w:r>
                </w:p>
              </w:tc>
              <w:tc>
                <w:tcPr>
                  <w:tcW w:w="588"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4.5</w:t>
                  </w:r>
                </w:p>
              </w:tc>
              <w:tc>
                <w:tcPr>
                  <w:tcW w:w="612"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9.8</w:t>
                  </w:r>
                </w:p>
              </w:tc>
              <w:tc>
                <w:tcPr>
                  <w:tcW w:w="600"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68.6</w:t>
                  </w:r>
                </w:p>
              </w:tc>
              <w:tc>
                <w:tcPr>
                  <w:tcW w:w="531"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68.2</w:t>
                  </w:r>
                </w:p>
              </w:tc>
              <w:tc>
                <w:tcPr>
                  <w:tcW w:w="507"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68.8</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68.2</w:t>
                  </w:r>
                </w:p>
              </w:tc>
              <w:tc>
                <w:tcPr>
                  <w:tcW w:w="219"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t>昼间</w:t>
                  </w:r>
                </w:p>
              </w:tc>
              <w:tc>
                <w:tcPr>
                  <w:tcW w:w="236" w:type="pct"/>
                  <w:vMerge w:val="continue"/>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caps w:val="0"/>
                      <w:color w:val="000000" w:themeColor="text1"/>
                      <w:kern w:val="2"/>
                      <w:sz w:val="15"/>
                      <w:szCs w:val="15"/>
                      <w:lang w:val="en-US" w:eastAsia="zh-CN" w:bidi="ar-SA"/>
                      <w14:textFill>
                        <w14:solidFill>
                          <w14:schemeClr w14:val="tx1"/>
                        </w14:solidFill>
                      </w14:textFill>
                    </w:rPr>
                  </w:pP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42.1</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41.7</w:t>
                  </w:r>
                </w:p>
              </w:tc>
              <w:tc>
                <w:tcPr>
                  <w:tcW w:w="519"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42.3</w:t>
                  </w:r>
                </w:p>
              </w:tc>
              <w:tc>
                <w:tcPr>
                  <w:tcW w:w="496" w:type="dxa"/>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default" w:ascii="Times New Roman" w:hAnsi="Times New Roman" w:eastAsia="宋体"/>
                      <w:caps w:val="0"/>
                      <w:color w:val="000000" w:themeColor="text1"/>
                      <w:sz w:val="15"/>
                      <w:szCs w:val="15"/>
                      <w:lang w:val="en-US" w:eastAsia="zh-CN"/>
                      <w14:textFill>
                        <w14:solidFill>
                          <w14:schemeClr w14:val="tx1"/>
                        </w14:solidFill>
                      </w14:textFill>
                    </w:rPr>
                    <w:t>41.7</w:t>
                  </w:r>
                </w:p>
              </w:tc>
              <w:tc>
                <w:tcPr>
                  <w:tcW w:w="187" w:type="pct"/>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5000" w:type="pct"/>
                  <w:gridSpan w:val="23"/>
                  <w:shd w:val="clear" w:color="auto" w:fill="FFFFFF"/>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aps w:val="0"/>
                      <w:color w:val="000000" w:themeColor="text1"/>
                      <w:sz w:val="15"/>
                      <w:szCs w:val="15"/>
                      <w:lang w:val="en-US" w:eastAsia="zh-CN"/>
                      <w14:textFill>
                        <w14:solidFill>
                          <w14:schemeClr w14:val="tx1"/>
                        </w14:solidFill>
                      </w14:textFill>
                    </w:rPr>
                  </w:pPr>
                  <w:r>
                    <w:rPr>
                      <w:rFonts w:hint="eastAsia" w:ascii="Times New Roman" w:hAnsi="Times New Roman" w:eastAsia="宋体"/>
                      <w:caps w:val="0"/>
                      <w:color w:val="000000" w:themeColor="text1"/>
                      <w:sz w:val="15"/>
                      <w:szCs w:val="15"/>
                      <w:lang w:val="en-US" w:eastAsia="zh-CN"/>
                      <w14:textFill>
                        <w14:solidFill>
                          <w14:schemeClr w14:val="tx1"/>
                        </w14:solidFill>
                      </w14:textFill>
                    </w:rPr>
                    <w:t>表中坐标以入厂口（</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104</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°2</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2</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22.140</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″，2</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3</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37</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15"/>
                      <w:szCs w:val="15"/>
                      <w:lang w:val="en-US" w:eastAsia="zh-CN"/>
                      <w14:textFill>
                        <w14:solidFill>
                          <w14:schemeClr w14:val="tx1"/>
                        </w14:solidFill>
                      </w14:textFill>
                    </w:rPr>
                    <w:t>16.630</w:t>
                  </w:r>
                  <w:r>
                    <w:rPr>
                      <w:rFonts w:hint="default" w:ascii="Times New Roman" w:hAnsi="Times New Roman" w:eastAsia="宋体" w:cs="Times New Roman"/>
                      <w:caps w:val="0"/>
                      <w:color w:val="000000" w:themeColor="text1"/>
                      <w:sz w:val="15"/>
                      <w:szCs w:val="15"/>
                      <w:lang w:val="en-US" w:eastAsia="zh-CN"/>
                      <w14:textFill>
                        <w14:solidFill>
                          <w14:schemeClr w14:val="tx1"/>
                        </w14:solidFill>
                      </w14:textFill>
                    </w:rPr>
                    <w:t>″</w:t>
                  </w:r>
                  <w:r>
                    <w:rPr>
                      <w:rFonts w:hint="eastAsia" w:ascii="Times New Roman" w:hAnsi="Times New Roman" w:eastAsia="宋体"/>
                      <w:caps w:val="0"/>
                      <w:color w:val="000000" w:themeColor="text1"/>
                      <w:sz w:val="15"/>
                      <w:szCs w:val="15"/>
                      <w:lang w:val="en-US" w:eastAsia="zh-CN"/>
                      <w14:textFill>
                        <w14:solidFill>
                          <w14:schemeClr w14:val="tx1"/>
                        </w14:solidFill>
                      </w14:textFill>
                    </w:rPr>
                    <w:t>）为坐标原点，正东向为X轴正方向，正北向为Y轴正方向</w:t>
                  </w:r>
                </w:p>
              </w:tc>
            </w:tr>
          </w:tbl>
          <w:p>
            <w:pPr>
              <w:pStyle w:val="8"/>
              <w:rPr>
                <w:rFonts w:hint="default"/>
                <w:color w:val="000000" w:themeColor="text1"/>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bl>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6838" w:h="11906" w:orient="landscape"/>
          <w:pgMar w:top="1080" w:right="1083" w:bottom="1080" w:left="1083" w:header="851" w:footer="992" w:gutter="0"/>
          <w:pgNumType w:fmt="decimal"/>
          <w:cols w:space="425" w:num="1"/>
          <w:docGrid w:type="lines" w:linePitch="312" w:charSpace="0"/>
        </w:sectPr>
      </w:pPr>
    </w:p>
    <w:tbl>
      <w:tblPr>
        <w:tblStyle w:val="18"/>
        <w:tblpPr w:leftFromText="181" w:rightFromText="181"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2" w:type="dxa"/>
            <w:vAlign w:val="center"/>
          </w:tcPr>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运营期环境影响和保护措施</w:t>
            </w:r>
          </w:p>
        </w:tc>
        <w:tc>
          <w:tcPr>
            <w:tcW w:w="9210"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3、评价等级和评价范围</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（1）评价等级</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本项目所处的声环境功能区为《声环境质量标准》（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 3096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-2008）规定的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类地区，根据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《环境影响评价技术导则 声环境》（HJ2.4-2021）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，建设项目所处的声环境功能区为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GB3096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规定的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类地区，或建设项目建设前后评价范围内声环境保护目标噪声级增量在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3dB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（A）以下（不含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3dB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（A））且受影响人口数量变化不大时，按三级评价。</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故本项目声环境评价等级为三级评价。</w:t>
            </w:r>
          </w:p>
          <w:p>
            <w:pPr>
              <w:pStyle w:val="39"/>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（2）评价范围</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《环境影响评价技术导则 声环境》（HJ2.4-2021）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二级、三级评价范围可根据建设项目所在区域和相邻区域的声环境功能区类别及声环境保护目标等实际情况适当缩小，本项目位于三星坝工业园区内且厂界外50m内无声环境保护目标，故本次评级范围确定为厂界外50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、预测、分析方法</w:t>
            </w:r>
          </w:p>
          <w:p>
            <w:pPr>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建筑物插入损失</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计算</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根据《环境影响评价技术导则 声环境》（HJ2.4-2021）附录B可知，室内声源可采用等效室外声源声功率级法进行计算。设靠近开口处（或窗户）室内、室外某倍频带的声压级分别为LP1和LP2。若声源所在室内声场为近似扩散声场，则室外的倍频带声压级可按以下公式近似求出：</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0"/>
                <w:sz w:val="24"/>
                <w:szCs w:val="24"/>
                <w:lang w:val="en-US" w:eastAsia="zh-CN"/>
                <w14:textFill>
                  <w14:solidFill>
                    <w14:schemeClr w14:val="tx1"/>
                  </w14:solidFill>
                </w14:textFill>
              </w:rPr>
              <w:object>
                <v:shape id="_x0000_i1029" o:spt="75" type="#_x0000_t75" style="height:25.1pt;width:143.1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式中：TL—隔墙（或窗户）倍频带的隔声量，dB。</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综上可知，建筑物插入损失等于建筑物隔音量+6。根据《环境工程手册 环境噪声控制卷》表4-14可知，单层板平均隔声量为20.5dB（A），本项目设备设置减振装置，生产车间为钢架结构厂房，综合考虑，本项目建筑物隔音量保守选取20.5dB（A），则建筑物插入损失即为26.5dB（A）。</w:t>
            </w:r>
          </w:p>
          <w:p>
            <w:pPr>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（2）噪声预测模式及方法</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根据《环境影响评价技术导则 声环境》（HJ2.4-2021）中规定，本项目选用导则中附录A、B中给定的噪声预测模型，在不能取得声源倍频带声功率级或倍频带声压级，只能获得A声功率级或某点的A声级时，可用A声功率级或某点的A声级计算。</w:t>
            </w:r>
          </w:p>
          <w:p>
            <w:pPr>
              <w:pStyle w:val="39"/>
              <w:spacing w:line="360" w:lineRule="auto"/>
              <w:ind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①基本公式</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0"/>
                <w:sz w:val="24"/>
                <w:szCs w:val="24"/>
                <w:lang w:val="en-US" w:eastAsia="zh-CN"/>
                <w14:textFill>
                  <w14:solidFill>
                    <w14:schemeClr w14:val="tx1"/>
                  </w14:solidFill>
                </w14:textFill>
              </w:rPr>
              <w:object>
                <v:shape id="_x0000_i1030" o:spt="75" type="#_x0000_t75" style="height:22.2pt;width:381.5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Lp(r)——预测点处声压级，dB；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Lw——由点声源产生的声功率级（A计权或倍频带），dB；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DC——指向性校正，它描述点声源的等效连续声压级与产生声功率级Lw的全向点声源在规定方向的声级的偏差程度，dB；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Adiv——几何发散引起的衰减，dB；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Aatm——大气吸收引起的衰减，dB；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Agr——地面效应引起的衰减，dB；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Abar——障碍物屏蔽引起的衰减，dB；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Amisc——其他多方面效应引起的衰减，dB。</w:t>
            </w:r>
          </w:p>
          <w:p>
            <w:pPr>
              <w:pStyle w:val="39"/>
              <w:spacing w:line="360" w:lineRule="auto"/>
              <w:ind w:firstLine="482" w:firstLineChars="2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default" w:ascii="宋体" w:hAnsi="宋体" w:eastAsia="宋体" w:cs="宋体"/>
                <w:b/>
                <w:bCs/>
                <w:color w:val="000000" w:themeColor="text1"/>
                <w:sz w:val="24"/>
                <w:szCs w:val="24"/>
                <w:lang w:val="en-US" w:eastAsia="zh-CN"/>
                <w14:textFill>
                  <w14:solidFill>
                    <w14:schemeClr w14:val="tx1"/>
                  </w14:solidFill>
                </w14:textFill>
              </w:rPr>
              <w:t>②预测条件假设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所有产噪设备均在正常工况条件下运行；</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考虑室内声源所在厂房围护结构的隔声、吸声作用；</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衰减仅考虑几何发散衰减。</w:t>
            </w:r>
          </w:p>
          <w:p>
            <w:pPr>
              <w:pStyle w:val="39"/>
              <w:spacing w:line="360" w:lineRule="auto"/>
              <w:ind w:firstLine="482" w:firstLineChars="2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③</w:t>
            </w:r>
            <w:r>
              <w:rPr>
                <w:rFonts w:hint="default" w:ascii="宋体" w:hAnsi="宋体" w:eastAsia="宋体" w:cs="宋体"/>
                <w:b/>
                <w:bCs/>
                <w:color w:val="000000" w:themeColor="text1"/>
                <w:sz w:val="24"/>
                <w:szCs w:val="24"/>
                <w:lang w:val="en-US" w:eastAsia="zh-CN"/>
                <w14:textFill>
                  <w14:solidFill>
                    <w14:schemeClr w14:val="tx1"/>
                  </w14:solidFill>
                </w14:textFill>
              </w:rPr>
              <w:t>室内声源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室内声源由室内向室外传播示意图见下图。</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3663950" cy="1697355"/>
                  <wp:effectExtent l="0" t="0" r="12700" b="1714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4"/>
                          <a:stretch>
                            <a:fillRect/>
                          </a:stretch>
                        </pic:blipFill>
                        <pic:spPr>
                          <a:xfrm>
                            <a:off x="0" y="0"/>
                            <a:ext cx="3663950" cy="1697355"/>
                          </a:xfrm>
                          <a:prstGeom prst="rect">
                            <a:avLst/>
                          </a:prstGeom>
                          <a:noFill/>
                          <a:ln>
                            <a:noFill/>
                          </a:ln>
                        </pic:spPr>
                      </pic:pic>
                    </a:graphicData>
                  </a:graphic>
                </wp:inline>
              </w:drawing>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如果已知声源的声压级L(r0)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声源位于地面上，则</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0"/>
                <w:sz w:val="24"/>
                <w:szCs w:val="24"/>
                <w:lang w:val="en-US" w:eastAsia="zh-CN"/>
                <w14:textFill>
                  <w14:solidFill>
                    <w14:schemeClr w14:val="tx1"/>
                  </w14:solidFill>
                </w14:textFill>
              </w:rPr>
              <w:object>
                <v:shape id="_x0000_i1031" o:spt="75" type="#_x0000_t75" style="height:24.1pt;width:173.1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首先计算出某个室内声源靠近围护结构处的声压级：</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2160270" cy="581025"/>
                  <wp:effectExtent l="0" t="0" r="11430"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2160270" cy="581025"/>
                          </a:xfrm>
                          <a:prstGeom prst="rect">
                            <a:avLst/>
                          </a:prstGeom>
                          <a:noFill/>
                          <a:ln>
                            <a:noFill/>
                          </a:ln>
                        </pic:spPr>
                      </pic:pic>
                    </a:graphicData>
                  </a:graphic>
                </wp:inline>
              </w:drawing>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式中：Lp</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——某个室内声源靠近围护结构处的声压级。</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Lw——某个室内声源靠近围护结构处产生的声功率级。</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Q——指向性因数；通常对无指向性声源，当声源放在房间中心时，Q=1；当放在一面墙的中心时，Q=2；当放在两面墙夹角处时，Q=4；当放在三面墙夹角处时，Q=8。</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R——房间常数；R=Sa/(1-a)，S为房间内表面面积，m²；a为平均吸声系数，本评价a取0.15。</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r——声源到靠近围护结构某点处的距离，m。</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计算出所有室内声源在围护结构处产生的总声压级：</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2464435" cy="702945"/>
                  <wp:effectExtent l="0" t="0" r="12065" b="190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8"/>
                          <a:stretch>
                            <a:fillRect/>
                          </a:stretch>
                        </pic:blipFill>
                        <pic:spPr>
                          <a:xfrm>
                            <a:off x="0" y="0"/>
                            <a:ext cx="2464435" cy="702945"/>
                          </a:xfrm>
                          <a:prstGeom prst="rect">
                            <a:avLst/>
                          </a:prstGeom>
                          <a:noFill/>
                          <a:ln>
                            <a:noFill/>
                          </a:ln>
                        </pic:spPr>
                      </pic:pic>
                    </a:graphicData>
                  </a:graphic>
                </wp:inline>
              </w:drawing>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式中：L1pi（T）——靠近围护结构处室内N个声源i倍频带的叠加声压级，dB；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Lplij——室内j声源i倍频带的声压级，dB；</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N——室内声源总数。</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计算出室外靠近围护结构处的声压级：</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0"/>
                <w:sz w:val="24"/>
                <w:szCs w:val="24"/>
                <w:lang w:val="en-US" w:eastAsia="zh-CN"/>
                <w14:textFill>
                  <w14:solidFill>
                    <w14:schemeClr w14:val="tx1"/>
                  </w14:solidFill>
                </w14:textFill>
              </w:rPr>
              <w:object>
                <v:shape id="_x0000_i1032" o:spt="75" type="#_x0000_t75" style="height:25.1pt;width:143.1pt;" o:ole="t" filled="f" o:preferrelative="t" stroked="f" coordsize="21600,21600">
                  <v:path/>
                  <v:fill on="f" focussize="0,0"/>
                  <v:stroke on="f"/>
                  <v:imagedata r:id="rId21" o:title=""/>
                  <o:lock v:ext="edit" aspectratio="t"/>
                  <w10:wrap type="none"/>
                  <w10:anchorlock/>
                </v:shape>
                <o:OLEObject Type="Embed" ProgID="Equation.KSEE3" ShapeID="_x0000_i1032" DrawAspect="Content" ObjectID="_1468075732" r:id="rId29">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式中：Lp</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——靠近开口处（或窗户）室内某倍频带的声压级或 A 声级，dB；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Lp</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——靠近开口处（或窗户）室外某倍频带的声压级或 A 声级，dB；</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TL——隔墙（或窗户）倍频带或 A 声级的隔声量，dB。</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e、</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将室外声级Lp</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（T）和透声面积换算成等效的室外声源，计算出等效声源的声功率级Lw；</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0"/>
                <w:sz w:val="24"/>
                <w:szCs w:val="24"/>
                <w:lang w:val="en-US" w:eastAsia="zh-CN"/>
                <w14:textFill>
                  <w14:solidFill>
                    <w14:schemeClr w14:val="tx1"/>
                  </w14:solidFill>
                </w14:textFill>
              </w:rPr>
              <w:object>
                <v:shape id="_x0000_i1033" o:spt="75" type="#_x0000_t75" style="height:26.95pt;width:153.65pt;" o:ole="t" filled="f" o:preferrelative="t" stroked="f" coordsize="21600,21600">
                  <v:path/>
                  <v:fill on="f" focussize="0,0"/>
                  <v:stroke on="f"/>
                  <v:imagedata r:id="rId31" o:title=""/>
                  <o:lock v:ext="edit" aspectratio="t"/>
                  <w10:wrap type="none"/>
                  <w10:anchorlock/>
                </v:shape>
                <o:OLEObject Type="Embed" ProgID="Equation.KSEE3" ShapeID="_x0000_i1033" DrawAspect="Content" ObjectID="_1468075733" r:id="rId30">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式中：S为透声面积，m²。</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等效室外声源的位置为围护结构的位置，其声功率级为Lw，由此按室外声源方法计算等效室外声源在预测点产生的A声级。</w:t>
            </w:r>
          </w:p>
          <w:p>
            <w:pPr>
              <w:pStyle w:val="39"/>
              <w:spacing w:line="360" w:lineRule="auto"/>
              <w:ind w:firstLine="482" w:firstLineChars="2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④总声压级</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i</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个室外声源在预测点产生的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声级为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Ai</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时间内该声源工作时间为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j</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个等效室外声源在预测点产生的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声级为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Aj</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时间内该声源工作时间为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j</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，则拟建工程声源对预测点产生的贡献值（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Leqg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p>
          <w:p>
            <w:pPr>
              <w:pStyle w:val="35"/>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position w:val="-34"/>
                <w:sz w:val="24"/>
                <w:lang w:val="en-US" w:eastAsia="zh-CN"/>
                <w14:textFill>
                  <w14:solidFill>
                    <w14:schemeClr w14:val="tx1"/>
                  </w14:solidFill>
                </w14:textFill>
              </w:rPr>
              <w:object>
                <v:shape id="_x0000_i1034" o:spt="75" type="#_x0000_t75" style="height:40pt;width:207pt;" o:ole="t" filled="f" o:preferrelative="t" stroked="f" coordsize="21600,21600">
                  <v:path/>
                  <v:fill on="f" focussize="0,0"/>
                  <v:stroke on="f"/>
                  <v:imagedata r:id="rId33" o:title=""/>
                  <o:lock v:ext="edit" aspectratio="t"/>
                  <w10:wrap type="none"/>
                  <w10:anchorlock/>
                </v:shape>
                <o:OLEObject Type="Embed" ProgID="Equation.KSEE3" ShapeID="_x0000_i1034" DrawAspect="Content" ObjectID="_1468075734" r:id="rId32">
                  <o:LockedField>false</o:LockedField>
                </o:OLEObject>
              </w:object>
            </w:r>
            <w:r>
              <w:rPr>
                <w:rFonts w:hint="eastAsia" w:ascii="Times New Roman" w:hAnsi="Times New Roman" w:cs="Times New Roman"/>
                <w:b w:val="0"/>
                <w:bCs w:val="0"/>
                <w:color w:val="000000" w:themeColor="text1"/>
                <w:sz w:val="24"/>
                <w:lang w:val="en-US" w:eastAsia="zh-CN"/>
                <w14:textFill>
                  <w14:solidFill>
                    <w14:schemeClr w14:val="tx1"/>
                  </w14:solidFill>
                </w14:textFill>
              </w:rPr>
              <w:t>……式1</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eqg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——建设项目声源在预测点产生的噪声贡献值，dB；</w:t>
            </w:r>
          </w:p>
          <w:p>
            <w:pPr>
              <w:pStyle w:val="39"/>
              <w:spacing w:line="360" w:lineRule="auto"/>
              <w:ind w:firstLine="1200" w:firstLineChars="5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T——用于计算等效声级的时间，s；N——室外声源个数；</w:t>
            </w:r>
          </w:p>
          <w:p>
            <w:pPr>
              <w:pStyle w:val="39"/>
              <w:spacing w:line="360" w:lineRule="auto"/>
              <w:ind w:firstLine="1200" w:firstLineChars="5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——在T时间内i声源工作时间，s；M——等效室外声源个数；</w:t>
            </w:r>
          </w:p>
          <w:p>
            <w:pPr>
              <w:pStyle w:val="39"/>
              <w:spacing w:line="360" w:lineRule="auto"/>
              <w:ind w:firstLine="1200" w:firstLineChars="5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j</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——在T时间内j声源工作时间，s。</w:t>
            </w:r>
          </w:p>
          <w:p>
            <w:pPr>
              <w:pStyle w:val="35"/>
              <w:keepNext w:val="0"/>
              <w:keepLines w:val="0"/>
              <w:pageBreakBefore w:val="0"/>
              <w:widowControl w:val="0"/>
              <w:kinsoku/>
              <w:wordWrap/>
              <w:overflowPunct w:val="0"/>
              <w:topLinePunct w:val="0"/>
              <w:autoSpaceDE/>
              <w:autoSpaceDN/>
              <w:bidi w:val="0"/>
              <w:adjustRightInd/>
              <w:snapToGrid/>
              <w:spacing w:line="360" w:lineRule="auto"/>
              <w:ind w:left="0" w:leftChars="0" w:firstLine="1200" w:firstLineChars="500"/>
              <w:jc w:val="left"/>
              <w:textAlignment w:val="auto"/>
              <w:rPr>
                <w:rFonts w:hint="eastAsia" w:ascii="Times New Roman" w:hAnsi="Times New Roman" w:cs="Times New Roman"/>
                <w:b w:val="0"/>
                <w:bCs w:val="0"/>
                <w:color w:val="000000" w:themeColor="text1"/>
                <w:sz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本项目噪声源全部设置于封闭厂房内，主要产噪声源有13个，运营时间为白昼（12h），因此式1可简化为：</w:t>
            </w:r>
          </w:p>
          <w:p>
            <w:pPr>
              <w:pStyle w:val="35"/>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position w:val="-30"/>
                <w:sz w:val="24"/>
                <w:lang w:val="en-US" w:eastAsia="zh-CN"/>
                <w14:textFill>
                  <w14:solidFill>
                    <w14:schemeClr w14:val="tx1"/>
                  </w14:solidFill>
                </w14:textFill>
              </w:rPr>
              <w:object>
                <v:shape id="_x0000_i1035" o:spt="75" type="#_x0000_t75" style="height:35pt;width:102pt;" o:ole="t" filled="f" o:preferrelative="t" stroked="f" coordsize="21600,21600">
                  <v:path/>
                  <v:fill on="f" focussize="0,0"/>
                  <v:stroke on="f"/>
                  <v:imagedata r:id="rId35" o:title=""/>
                  <o:lock v:ext="edit" aspectratio="t"/>
                  <w10:wrap type="none"/>
                  <w10:anchorlock/>
                </v:shape>
                <o:OLEObject Type="Embed" ProgID="Equation.KSEE3" ShapeID="_x0000_i1035" DrawAspect="Content" ObjectID="_1468075735" r:id="rId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）预测</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结果</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厂界噪声预测点根据各噪声源的位置情况，共设4个预测点，分别位于厂界东、南、西、北面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运营期主要设备噪声厂界贡献值预测结果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表4-1</w:t>
            </w:r>
            <w:r>
              <w:rPr>
                <w:rFonts w:hint="eastAsia" w:ascii="Times New Roman" w:hAnsi="Times New Roman" w:cs="Times New Roman"/>
                <w:b/>
                <w:bCs w:val="0"/>
                <w:color w:val="000000" w:themeColor="text1"/>
                <w:sz w:val="24"/>
                <w:lang w:val="en-US" w:eastAsia="zh-CN"/>
                <w14:textFill>
                  <w14:solidFill>
                    <w14:schemeClr w14:val="tx1"/>
                  </w14:solidFill>
                </w14:textFill>
              </w:rPr>
              <w:t>7</w:t>
            </w:r>
            <w:r>
              <w:rPr>
                <w:rFonts w:hint="default" w:ascii="Times New Roman" w:hAnsi="Times New Roman" w:cs="Times New Roman"/>
                <w:b/>
                <w:bCs w:val="0"/>
                <w:color w:val="000000" w:themeColor="text1"/>
                <w:sz w:val="24"/>
                <w:lang w:val="en-US" w:eastAsia="zh-CN"/>
                <w14:textFill>
                  <w14:solidFill>
                    <w14:schemeClr w14:val="tx1"/>
                  </w14:solidFill>
                </w14:textFill>
              </w:rPr>
              <w:t xml:space="preserve"> 项目运营期噪声预测结果表（单位：dB（A））</w:t>
            </w:r>
          </w:p>
          <w:tbl>
            <w:tblPr>
              <w:tblStyle w:val="17"/>
              <w:tblpPr w:leftFromText="181" w:rightFromText="181" w:bottomFromText="113" w:vertAnchor="text" w:tblpXSpec="center" w:tblpY="1"/>
              <w:tblOverlap w:val="never"/>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60"/>
              <w:gridCol w:w="39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281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预测点</w:t>
                  </w:r>
                </w:p>
              </w:tc>
              <w:tc>
                <w:tcPr>
                  <w:tcW w:w="218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贡献值（dB（A））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1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东厂界</w:t>
                  </w:r>
                </w:p>
              </w:tc>
              <w:tc>
                <w:tcPr>
                  <w:tcW w:w="218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1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南厂界</w:t>
                  </w:r>
                </w:p>
              </w:tc>
              <w:tc>
                <w:tcPr>
                  <w:tcW w:w="218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1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西厂界</w:t>
                  </w:r>
                </w:p>
              </w:tc>
              <w:tc>
                <w:tcPr>
                  <w:tcW w:w="218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1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北厂界</w:t>
                  </w:r>
                </w:p>
              </w:tc>
              <w:tc>
                <w:tcPr>
                  <w:tcW w:w="218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44.8</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噪声环境影响分析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项目区厂界外50m范围内无声环境敏感点，项目最近的环境保护目标为项目区西侧约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m处的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锣锅寨散户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，距离较远且有闲置厂房、林地形成天然屏障，项目噪声排放对其声环境影响较小。</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综上，在选用低噪声设备，布置于厂房内、设置减振垫，加强设备维修与保养措施下，项目运营期噪声厂界排放满足《工业企业厂界环境噪声排放标准》（GB12348-2008）中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类标准要求，对附近保护目标的影响较小，措施可行。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3、监测计划</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根据《排污单位自行监测技术指南 总则》（HJ 819-2017），项目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境监测见下表。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表4-1</w:t>
            </w:r>
            <w:r>
              <w:rPr>
                <w:rFonts w:hint="eastAsia" w:ascii="Times New Roman" w:hAnsi="Times New Roman" w:cs="Times New Roman"/>
                <w:b/>
                <w:bCs w:val="0"/>
                <w:color w:val="000000" w:themeColor="text1"/>
                <w:sz w:val="24"/>
                <w:lang w:val="en-US" w:eastAsia="zh-CN"/>
                <w14:textFill>
                  <w14:solidFill>
                    <w14:schemeClr w14:val="tx1"/>
                  </w14:solidFill>
                </w14:textFill>
              </w:rPr>
              <w:t>8</w:t>
            </w:r>
            <w:r>
              <w:rPr>
                <w:rFonts w:hint="default" w:ascii="Times New Roman" w:hAnsi="Times New Roman" w:cs="Times New Roman"/>
                <w:b/>
                <w:bCs w:val="0"/>
                <w:color w:val="000000" w:themeColor="text1"/>
                <w:sz w:val="24"/>
                <w:lang w:val="en-US" w:eastAsia="zh-CN"/>
                <w14:textFill>
                  <w14:solidFill>
                    <w14:schemeClr w14:val="tx1"/>
                  </w14:solidFill>
                </w14:textFill>
              </w:rPr>
              <w:t xml:space="preserve"> 项目运营期厂界噪声监测要求一览表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006"/>
              <w:gridCol w:w="1293"/>
              <w:gridCol w:w="1830"/>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8"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监测对象</w:t>
                  </w:r>
                </w:p>
              </w:tc>
              <w:tc>
                <w:tcPr>
                  <w:tcW w:w="1117"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720"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监测指标</w:t>
                  </w:r>
                </w:p>
              </w:tc>
              <w:tc>
                <w:tcPr>
                  <w:tcW w:w="1019"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监测频率</w:t>
                  </w:r>
                </w:p>
              </w:tc>
              <w:tc>
                <w:tcPr>
                  <w:tcW w:w="1545"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98"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1117"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项目东、南、西、北厂界外1m处</w:t>
                  </w:r>
                </w:p>
              </w:tc>
              <w:tc>
                <w:tcPr>
                  <w:tcW w:w="720"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等效声级</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LegdB(A)</w:t>
                  </w:r>
                </w:p>
              </w:tc>
              <w:tc>
                <w:tcPr>
                  <w:tcW w:w="1019"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1次/年，连续监测2天，每天昼、夜各1次。</w:t>
                  </w:r>
                </w:p>
              </w:tc>
              <w:tc>
                <w:tcPr>
                  <w:tcW w:w="1545" w:type="pct"/>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GB12348-2008《工业企业厂界噪声排放标准》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类标准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（四）固体废物影响和保护措施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1、固废产生及处置情况</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本项目产生的固体废弃物主要为生活垃圾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，化粪池污泥，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食堂泔水、隔油池废油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灰渣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，布袋除尘灰，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木焦油、木醋液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。具体产生情况如下。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生活固废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生活垃圾</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项目劳动定员1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人，年工作3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0天。员工产生垃圾按0.5kg/（人·d）计算，则每天产生垃圾量为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kg/d，年产生垃圾量为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t/a。环评要求设置垃圾回收桶，生活垃圾分类收集后，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由当地环卫部门定期清运处置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化粪池污泥</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根据用排水核算，污泥按SS产生量计，污泥产生量约为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由当地环卫部门定期清运处置。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食堂泔水</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本项目职工1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人，员工食堂泔水产生量按0.2kg/人.d计，泔水产生量约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6t/a。设1个泔水桶收集，定期委托有资质的单位进行处置。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隔油池废油</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名员工均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在项目内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食堂就餐，根据废气油烟核算，食用油量为30g/（人·d）人，则食堂用油量为0.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t/a。隔油池产生的废油按用油量的20%计，为0.0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t/a，设1个泔水桶收集，定期委托有资质的单位进行处置。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一般固废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灰渣</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本项目年使用生物质燃料（残次木料）约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根据查阅“中国生物质热风炉网”相关文献，热风炉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灰渣</w:t>
            </w:r>
            <w:r>
              <w:rPr>
                <w:rFonts w:hint="default" w:ascii="Times New Roman" w:hAnsi="Times New Roman" w:eastAsia="宋体" w:cs="Times New Roman"/>
                <w:color w:val="000000" w:themeColor="text1"/>
                <w:sz w:val="24"/>
                <w:szCs w:val="24"/>
                <w14:textFill>
                  <w14:solidFill>
                    <w14:schemeClr w14:val="tx1"/>
                  </w14:solidFill>
                </w14:textFill>
              </w:rPr>
              <w:t>产生量按燃料用量的1.5％进行核算，参照以上数据，则产生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灰渣</w:t>
            </w:r>
            <w:r>
              <w:rPr>
                <w:rFonts w:hint="default" w:ascii="Times New Roman" w:hAnsi="Times New Roman" w:eastAsia="宋体" w:cs="Times New Roman"/>
                <w:color w:val="000000" w:themeColor="text1"/>
                <w:sz w:val="24"/>
                <w:szCs w:val="24"/>
                <w14:textFill>
                  <w14:solidFill>
                    <w14:schemeClr w14:val="tx1"/>
                  </w14:solidFill>
                </w14:textFill>
              </w:rPr>
              <w:t>的量为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16.5</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，生物质燃烧产生的炉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灰</w:t>
            </w:r>
            <w:r>
              <w:rPr>
                <w:rFonts w:hint="default" w:ascii="Times New Roman" w:hAnsi="Times New Roman" w:eastAsia="宋体" w:cs="Times New Roman"/>
                <w:color w:val="000000" w:themeColor="text1"/>
                <w:sz w:val="24"/>
                <w:szCs w:val="24"/>
                <w14:textFill>
                  <w14:solidFill>
                    <w14:schemeClr w14:val="tx1"/>
                  </w14:solidFill>
                </w14:textFill>
              </w:rPr>
              <w:t>含有K、Ca等元素，可用作肥料，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灰渣</w:t>
            </w:r>
            <w:r>
              <w:rPr>
                <w:rFonts w:hint="default" w:ascii="Times New Roman" w:hAnsi="Times New Roman" w:eastAsia="宋体" w:cs="Times New Roman"/>
                <w:color w:val="000000" w:themeColor="text1"/>
                <w:sz w:val="24"/>
                <w:szCs w:val="24"/>
                <w14:textFill>
                  <w14:solidFill>
                    <w14:schemeClr w14:val="tx1"/>
                  </w14:solidFill>
                </w14:textFill>
              </w:rPr>
              <w:t>收集后委托周边农户清运用作农肥。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②布袋除尘灰</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项目设置封闭厂房，根据废气章节核算，收集的残渣量约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15.272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t/a，经收集后作为原料回用于生产。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危险废物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①废机油、废油桶</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项目运营期</w:t>
            </w:r>
            <w:r>
              <w:rPr>
                <w:rFonts w:hint="default" w:ascii="Times New Roman" w:hAnsi="Times New Roman" w:eastAsia="宋体" w:cs="Times New Roman"/>
                <w:color w:val="000000" w:themeColor="text1"/>
                <w:kern w:val="0"/>
                <w:sz w:val="24"/>
                <w14:textFill>
                  <w14:solidFill>
                    <w14:schemeClr w14:val="tx1"/>
                  </w14:solidFill>
                </w14:textFill>
              </w:rPr>
              <w:t>设备在维修过程中会产生维修废机油，产生量约为0.1t/a。</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根据《国家危险废物名录》（2021年版），废机油属于“HW08 废矿物油与含矿物油废油”中的“非特定行业 900-249-08 中其他生产、销售、使用过程中产生的废矿物油及含矿物油废物”，产生的废机油</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废油桶统一收集后暂存于危废暂存间（5m²），而后交由有资质单位处置</w:t>
            </w:r>
            <w:r>
              <w:rPr>
                <w:rFonts w:hint="default" w:ascii="Times New Roman" w:hAnsi="Times New Roman" w:eastAsia="宋体" w:cs="Times New Roman"/>
                <w:color w:val="000000" w:themeColor="text1"/>
                <w:kern w:val="0"/>
                <w:sz w:val="24"/>
                <w14:textFill>
                  <w14:solidFill>
                    <w14:schemeClr w14:val="tx1"/>
                  </w14:solidFill>
                </w14:textFill>
              </w:rPr>
              <w:t>。</w:t>
            </w:r>
          </w:p>
          <w:p>
            <w:pPr>
              <w:pStyle w:val="39"/>
              <w:numPr>
                <w:ilvl w:val="0"/>
                <w:numId w:val="0"/>
              </w:num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②木焦油、木醋液</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根据工程分析，绝对干料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炭化时产生的</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气态木焦油、木醋液</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量约为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690t/a，</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热风炉和</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炭化炉</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内温度较高，木焦油及木醋液大部分可燃烧分解，但</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加热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结束，烟气管道冷凝后可能会有少量的木焦油及木醋液存于管道中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冷凝后木焦油及木醋液</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产生量约为总量的0.5%，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项目烟气管道中木焦油及木醋液产生量约为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3.45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根据《国家危险废物名录（2021年版）》，木焦油废物类别为WH001精（蒸）馏残渣，废物代码为900-013-11。由于木焦油及木醋液两者</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粘附</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在一起，因此，木焦油及木醋液使用专用收集桶集中收集后，暂存于场区危险废物暂存场所，并设置危险废物识别标志，定期由具有《危险废物经营许可证》的单位通过专业运输车辆集中运送到处置单位进行处理。</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综上所述，项目运营期产生的所有固体废物均得到妥善处置，去向明确，处置率达100%，对周围环境的影响较小，措施可行</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本项目固体废物产生及处理方式详见下表。</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表4-</w:t>
            </w:r>
            <w:r>
              <w:rPr>
                <w:rFonts w:hint="eastAsia" w:ascii="Times New Roman" w:hAnsi="Times New Roman" w:cs="Times New Roman"/>
                <w:b/>
                <w:bCs w:val="0"/>
                <w:color w:val="000000" w:themeColor="text1"/>
                <w:sz w:val="24"/>
                <w:lang w:val="en-US" w:eastAsia="zh-CN"/>
                <w14:textFill>
                  <w14:solidFill>
                    <w14:schemeClr w14:val="tx1"/>
                  </w14:solidFill>
                </w14:textFill>
              </w:rPr>
              <w:t>19</w:t>
            </w:r>
            <w:r>
              <w:rPr>
                <w:rFonts w:hint="default" w:ascii="Times New Roman" w:hAnsi="Times New Roman" w:cs="Times New Roman"/>
                <w:b/>
                <w:bCs w:val="0"/>
                <w:color w:val="000000" w:themeColor="text1"/>
                <w:sz w:val="24"/>
                <w:lang w:val="en-US" w:eastAsia="zh-CN"/>
                <w14:textFill>
                  <w14:solidFill>
                    <w14:schemeClr w14:val="tx1"/>
                  </w14:solidFill>
                </w14:textFill>
              </w:rPr>
              <w:t xml:space="preserve"> 固体废物产生及处理情况一览表</w:t>
            </w:r>
          </w:p>
          <w:tbl>
            <w:tblPr>
              <w:tblStyle w:val="17"/>
              <w:tblpPr w:leftFromText="181" w:rightFromText="181" w:bottomFromText="113"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078"/>
              <w:gridCol w:w="1058"/>
              <w:gridCol w:w="1098"/>
              <w:gridCol w:w="1125"/>
              <w:gridCol w:w="1355"/>
              <w:gridCol w:w="1004"/>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产污环节</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固废名称</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物理性状</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固废属性</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类别及代码</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w:t>
                  </w:r>
                </w:p>
              </w:tc>
              <w:tc>
                <w:tcPr>
                  <w:tcW w:w="91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员工办公、生活</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SW64</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900-099-S64</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设置垃圾回收桶，生活垃圾分类收集后，</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由当地环卫部门定期清运处置</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化粪池</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化粪池污泥</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SW64</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900-002-S64</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当地环卫部门定期清运处置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食堂</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食堂泔水</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液态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SW61</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900-002-S61</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0.968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设置1只泔水桶，收集后交由有资质单位处置。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隔油池</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隔油池废油</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液态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SW61</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900-002-S61</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600"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生产过程</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灰渣</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一般固废</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SW03</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900-099-S03</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收集后委托周边农户清运用作农肥。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60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布袋除尘灰</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一般固废</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SW16</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254-001-S16</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15.272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收集后用作原料。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600"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设备维修</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废机油</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液态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HW49</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900-041-49</w:t>
                  </w:r>
                </w:p>
              </w:tc>
              <w:tc>
                <w:tcPr>
                  <w:tcW w:w="559"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913" w:type="pct"/>
                  <w:vMerge w:val="restar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专用容器收集，暂存于危废暂存间，定期交由有资质单位清运处置。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600"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废油桶</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HW08</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900-249-08</w:t>
                  </w:r>
                </w:p>
              </w:tc>
              <w:tc>
                <w:tcPr>
                  <w:tcW w:w="559"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1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600"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炭化</w:t>
                  </w:r>
                </w:p>
              </w:tc>
              <w:tc>
                <w:tcPr>
                  <w:tcW w:w="58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木焦油、木醋液</w:t>
                  </w:r>
                </w:p>
              </w:tc>
              <w:tc>
                <w:tcPr>
                  <w:tcW w:w="611"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液态</w:t>
                  </w:r>
                </w:p>
              </w:tc>
              <w:tc>
                <w:tcPr>
                  <w:tcW w:w="626"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w:t>
                  </w:r>
                </w:p>
              </w:tc>
              <w:tc>
                <w:tcPr>
                  <w:tcW w:w="754"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WH001</w:t>
                  </w:r>
                </w:p>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900-013-11</w:t>
                  </w:r>
                </w:p>
              </w:tc>
              <w:tc>
                <w:tcPr>
                  <w:tcW w:w="559" w:type="pct"/>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3.45</w:t>
                  </w:r>
                </w:p>
              </w:tc>
              <w:tc>
                <w:tcPr>
                  <w:tcW w:w="913" w:type="pct"/>
                  <w:vMerge w:val="continue"/>
                  <w:noWrap w:val="0"/>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、固体废物环境影响分析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一般固体废物影响分析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项目产生的固废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、一般工业固废和危险废物。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固废</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产生的生活垃圾主要为生活垃圾、化粪池污泥、食堂泔水、隔油池废油。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生活垃圾分类收集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到垃圾回收桶后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由当地环卫部门定期清运处置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；化粪池污泥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由当地环卫部门定期清运处置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，综合利用；食堂泔水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隔油池废油经泔水桶统一收集后，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交由有资质单位清运处置。</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项目运营期产生的生活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可得到较为妥善的处置，不会对周围环境产生大的不利影响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一般工业固废</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项目一般工业固废主要为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生产过程中产生的灰渣、布袋除尘灰、木焦油、木醋液。灰渣</w:t>
            </w:r>
            <w:r>
              <w:rPr>
                <w:rFonts w:hint="default" w:ascii="Times New Roman" w:hAnsi="Times New Roman" w:eastAsia="宋体" w:cs="Times New Roman"/>
                <w:color w:val="000000" w:themeColor="text1"/>
                <w:sz w:val="24"/>
                <w:szCs w:val="24"/>
                <w14:textFill>
                  <w14:solidFill>
                    <w14:schemeClr w14:val="tx1"/>
                  </w14:solidFill>
                </w14:textFill>
              </w:rPr>
              <w:t>收集后委托周边农户清运用作农肥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布袋除尘灰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收集后作为原料回用于生产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；木焦油、木醋液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收集后用于热风炉燃烧供热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处置率达100%。</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后续运行过程中应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③危险废物</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项目危险废物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为废机油、废油桶，在项目区内设置1座5m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的危险废物暂存间，废机油专用容器收集后暂存于危废暂存间，而后委托有资质单位定期清运处置。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处置率达100%。</w:t>
            </w:r>
          </w:p>
          <w:p>
            <w:pPr>
              <w:pStyle w:val="39"/>
              <w:spacing w:line="360" w:lineRule="auto"/>
              <w:ind w:firstLine="480" w:firstLineChars="200"/>
              <w:rPr>
                <w:rFonts w:hint="eastAsia"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危废暂存间属于《危险废物贮存污染控制标准》（GB18597-2023）贮存设施类型中的贮存库，贮存库内不同贮存分区之间应采取隔离措施。隔离措施可根据危险废物特性采用过道、隔板或隔墙等方式。危废暂存间须严格按照《危险废物贮存污染控制标准》（GB18597-2023）中要求建设，须进行重点防渗，防渗层为至少1m厚黏土层（渗透系数不大于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cm/s），或至少2mm高密度聚乙烯膜等人工防渗材料（渗透系数不大于10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或其他防渗性能等效的材料。盛装危险废物的容器上必须粘贴符合《危险废物识别标志设置技术规范》（HJ1276-2022）中要求的标签；定期对所贮存的危险废物包装容器及贮存设施进行检查，发现破损，应及时采取措施清理更换。</w:t>
            </w:r>
          </w:p>
          <w:p>
            <w:pPr>
              <w:pStyle w:val="35"/>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表4-20 项目危废暂存间建设环保要求一览表</w:t>
            </w:r>
          </w:p>
          <w:tbl>
            <w:tblPr>
              <w:tblStyle w:val="17"/>
              <w:tblpPr w:leftFromText="181" w:rightFromText="181" w:bottomFromText="113" w:vertAnchor="text" w:tblpXSpec="center" w:tblpY="1"/>
              <w:tblOverlap w:val="never"/>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 w:type="dxa"/>
                <w:bottom w:w="0" w:type="dxa"/>
                <w:right w:w="6" w:type="dxa"/>
              </w:tblCellMar>
            </w:tblPr>
            <w:tblGrid>
              <w:gridCol w:w="598"/>
              <w:gridCol w:w="4965"/>
              <w:gridCol w:w="3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标准要求</w:t>
                  </w:r>
                </w:p>
              </w:tc>
              <w:tc>
                <w:tcPr>
                  <w:tcW w:w="190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标识牌及其要求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根据危险废物的形态、物理化学性质、包装形式和污染物迁移途径，采取必要的防风、防晒、防雨、防漏、防渗、防腐以及其他环境污染防治措施，不应露天堆放危险废物。</w:t>
                  </w:r>
                </w:p>
              </w:tc>
              <w:tc>
                <w:tcPr>
                  <w:tcW w:w="1902" w:type="pct"/>
                  <w:vMerge w:val="restart"/>
                  <w:noWrap w:val="0"/>
                  <w:tcMar>
                    <w:top w:w="0" w:type="dxa"/>
                    <w:left w:w="108" w:type="dxa"/>
                    <w:bottom w:w="0" w:type="dxa"/>
                    <w:right w:w="108"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120" w:leftChars="50" w:right="120" w:rightChars="5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drawing>
                      <wp:inline distT="0" distB="0" distL="114300" distR="114300">
                        <wp:extent cx="1934210" cy="1203325"/>
                        <wp:effectExtent l="0" t="0" r="8890" b="15875"/>
                        <wp:docPr id="17" name="图片 18" descr="ccb89f71090579cc945842697130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cb89f71090579cc945842697130d0e"/>
                                <pic:cNvPicPr>
                                  <a:picLocks noChangeAspect="1"/>
                                </pic:cNvPicPr>
                              </pic:nvPicPr>
                              <pic:blipFill>
                                <a:blip r:embed="rId36"/>
                                <a:stretch>
                                  <a:fillRect/>
                                </a:stretch>
                              </pic:blipFill>
                              <pic:spPr>
                                <a:xfrm>
                                  <a:off x="0" y="0"/>
                                  <a:ext cx="1934210" cy="1203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采用坚固耐用的材料（如1.5mm～2mm冷轧钢板），并做搪瓷处理或贴膜处理。一般不宜使用遇水变形、变质或易燃的材料。柱式标志牌的立柱可采用38×4无缝钢管或其他坚固耐用的材料，并经过防腐处理。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根据危险废物的类别、数量、形态、物理化学性质和污染防治等要求设置必要的贮存分区，避免不相容的危险废物接触、混合。</w:t>
                  </w:r>
                </w:p>
              </w:tc>
              <w:tc>
                <w:tcPr>
                  <w:tcW w:w="190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地面、墙面裙脚、堵截泄漏的围堰、接触危险废物的隔板和墙体等应采用坚固的材料建造，表面无裂缝。</w:t>
                  </w:r>
                </w:p>
              </w:tc>
              <w:tc>
                <w:tcPr>
                  <w:tcW w:w="190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w:t>
                  </w:r>
                </w:p>
              </w:tc>
              <w:tc>
                <w:tcPr>
                  <w:tcW w:w="190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0" w:hRule="atLeast"/>
                <w:jc w:val="center"/>
              </w:trPr>
              <w:tc>
                <w:tcPr>
                  <w:tcW w:w="332"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2764" w:type="pct"/>
                  <w:noWrap w:val="0"/>
                  <w:tcMar>
                    <w:top w:w="0" w:type="dxa"/>
                    <w:left w:w="108" w:type="dxa"/>
                    <w:bottom w:w="0" w:type="dxa"/>
                    <w:right w:w="108" w:type="dxa"/>
                  </w:tcMar>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危废间防止无关人员进入。</w:t>
                  </w:r>
                </w:p>
              </w:tc>
              <w:tc>
                <w:tcPr>
                  <w:tcW w:w="1902" w:type="pct"/>
                  <w:vMerge w:val="continue"/>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（五）土壤环境、地下水环境</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土壤环境、地下水环境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土壤环境</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根据《环境影响评价技术导则-土壤环境（试行）》（HJ964-2018）中附录A表A.1土壤环境影响评价项目类别，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项目属于“其他行业”，</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属于IV类项目，可不开展土壤环境评价工作。因此，本次环评不对土壤环境质量现状进行评价</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地下水环境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根据《环境影响评价技术导则地下水环境》(HJ610-2016）附录A，本项目属于“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废旧资源（含生物质）加工、再生利用</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”，地下水环境影响评价项目类别为IV类。根据《环境影响评价技术导则地下水环境》(HJ610-2016）中4.1“IV类建设项目不开展地下水环境影响评价”。因此，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本次环评</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未开展地下水环境现状调查。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土壤环境、地下水环境</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保护措施</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为保护区域地下水、土壤安全，项目采取分区防渗，生产车间内防渗技术要求为一般地面硬化；化粪池、隔油池各池体采取一般防渗，防渗技术要求：渗透系数为≤10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cm/s，施工时采用防渗混凝土浇筑，可满足一般防渗要求；危废暂存间进行重点防渗处理，防渗层为至少1m厚黏土层（渗透系数不大于10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cm/s），或至少2mm高密度聚乙烯膜等人工防渗材料（渗透系数不大于10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cm/s），或其他防渗性能等效的材料。</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所有生产活动均在厂房内进行，厂房地面均为混凝土硬化地面，污染物泄漏直接渗透到地面的可能性较小且标准厂房外均为水泥硬化地面，进行雨污分流。因此，项目日常运营中需加强物料及危废的管理，可有效防止污染物进入地下水及土壤，对项目区地下水环境和土壤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（六）生态</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w:t>
            </w:r>
            <w:r>
              <w:rPr>
                <w:rFonts w:hint="eastAsia" w:ascii="Times New Roman" w:hAnsi="Times New Roman" w:eastAsia="宋体" w:cs="Times New Roman"/>
                <w:color w:val="000000" w:themeColor="text1"/>
                <w:sz w:val="24"/>
                <w:lang w:val="en-US" w:eastAsia="zh-CN"/>
                <w14:textFill>
                  <w14:solidFill>
                    <w14:schemeClr w14:val="tx1"/>
                  </w14:solidFill>
                </w14:textFill>
              </w:rPr>
              <w:t>云南省文山州砚山县江那镇三星坝工业园区内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项目用地及周边200m范围内没有发现有受国家和云南省重点保护及关注的野生动、植物物种，也无古树名木，不涉及自然保护区、森林公园、湿地公园及风景名胜区。因此，本项目建设不涉及生态环境保护目标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项目严格在征地红线内生产运营，严禁越界生产；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增强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员工环保意识，保护生态环境。本项目的建设运营，不会降低当地生态环境质量和功能，对生态环境的影响处于可接受范围。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（七）环境风险</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环境风险是指突发性灾难事故造成重大环境污染的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事件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它具有危害性大、影响范围广等特点，同时风险发生的概率又有很大的不确定性，倘若一旦发生，其破坏性极强，污染损失惨重，不仅会打乱该区域内人群正常的生活、生产秩序，还会造成人员伤亡，国家财产和巨大损失以及环境生态的严重破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物质风险识别</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根据项目运营过程中涉及的主要原材料及辅助材料、燃料、最终产品以及生产过程排放的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污染物等的危险性分别进行识别，依据《企业突发环境事件风险分级方法》（HJ941-2018）、《建设项目环境风险评价技术导则》（HJ/T169-2018）、《企业突发环境事件风险评估指南（试行）》（环办</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34号）等法律法规、技术规范的要求。对项目可能涉及的风险物质情况进行调查，对项目区内各环节涉及的主要物质进行识别，识别过程及结果见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21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环境风险物质识别表</w:t>
            </w:r>
          </w:p>
          <w:tbl>
            <w:tblPr>
              <w:tblStyle w:val="18"/>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882"/>
              <w:gridCol w:w="3651"/>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物质名称</w:t>
                  </w:r>
                </w:p>
              </w:tc>
              <w:tc>
                <w:tcPr>
                  <w:tcW w:w="16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物化特性</w:t>
                  </w:r>
                </w:p>
              </w:tc>
              <w:tc>
                <w:tcPr>
                  <w:tcW w:w="203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危险特性</w:t>
                  </w:r>
                </w:p>
              </w:tc>
              <w:tc>
                <w:tcPr>
                  <w:tcW w:w="72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是否为环境风险物质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木煤气</w:t>
                  </w:r>
                </w:p>
              </w:tc>
              <w:tc>
                <w:tcPr>
                  <w:tcW w:w="16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气体，一氧化碳、二氧化碳、甲烷、乙烯、氢气等混合气，危险货物编号</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23030</w:t>
                  </w:r>
                </w:p>
              </w:tc>
              <w:tc>
                <w:tcPr>
                  <w:tcW w:w="203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易燃易爆；健康危害：在血液中与血红蛋白结合，俗称煤气中毒。急性中毒：轻度中毒者出现头痛、头晕、耳鸣、心悸、恶心、无力，血液碳氧血红蛋白浓度可高于</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 xml:space="preserve">；中度中毒者除上述症状外，还有皮肤黏膜呈樱红色、脉快、烦躁、步态不稳、浅至中度昏迷，血液碳氧血红蛋白浓度可高于 </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30%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 xml:space="preserve">；重度患者深度昏迷、瞳孔缩小、肌张力增强、频繁抽搐、大小便失禁、休克、肺水肿、严重心肌损害等，血液碳氧血红蛋白可高于 </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p>
              </w:tc>
              <w:tc>
                <w:tcPr>
                  <w:tcW w:w="72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木焦油</w:t>
                  </w:r>
                </w:p>
              </w:tc>
              <w:tc>
                <w:tcPr>
                  <w:tcW w:w="16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木焦油主要成分为烃类、酚类、酸类等化合物。为无色至红棕色液体，微溶于水，能溶于乙醇、乙醚、氯仿；相对密度（水</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0.862~0.872</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，沸点</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203~220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℃，燃点</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84~86</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℃，木杂酚油是木焦油的主要成分，有烟味和腐蚀性。</w:t>
                  </w:r>
                </w:p>
              </w:tc>
              <w:tc>
                <w:tcPr>
                  <w:tcW w:w="203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木焦油毒性：大鼠急性口服</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LD50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及兔子急性皮肤</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LD50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均＞</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5g</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，危险特性：受热、遇硝酸等强氧化剂有燃烧危险，健康危害：有腐蚀性，对身体有害。</w:t>
                  </w:r>
                </w:p>
              </w:tc>
              <w:tc>
                <w:tcPr>
                  <w:tcW w:w="72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木醋液</w:t>
                  </w:r>
                </w:p>
              </w:tc>
              <w:tc>
                <w:tcPr>
                  <w:tcW w:w="16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液体，主要成分为水、乙酸、酚类、酮类等化合物。其中水分含量</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90%</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左右。</w:t>
                  </w:r>
                </w:p>
              </w:tc>
              <w:tc>
                <w:tcPr>
                  <w:tcW w:w="203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无相关危险性资料，由于其中含乙酸、酚类、酮类等化合物，使其具有一定的腐蚀性和毒性。</w:t>
                  </w:r>
                </w:p>
              </w:tc>
              <w:tc>
                <w:tcPr>
                  <w:tcW w:w="72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废机油</w:t>
                  </w:r>
                </w:p>
              </w:tc>
              <w:tc>
                <w:tcPr>
                  <w:tcW w:w="16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油状液体，淡黄色至褐色，无气味或略带气味，遇明火、高热可燃。</w:t>
                  </w:r>
                </w:p>
              </w:tc>
              <w:tc>
                <w:tcPr>
                  <w:tcW w:w="203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浸入途径：吸、食入急性吸入，可出现乏力、头晕、头痛、恶心，严重者可以引起油脂性肺炎。慢接触者，暴露部位可发生油性痤疮和接触性皮炎。可引起神经衰弱综合征，呼吸道和眼刺激症状及慢性油脂性肺炎。</w:t>
                  </w:r>
                </w:p>
              </w:tc>
              <w:tc>
                <w:tcPr>
                  <w:tcW w:w="72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是</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2、环境风险潜势初判及评价等级</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根据《建设项目环境风险评价技术导则》（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GB169-2018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）附录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，项目危险物质及工艺系统危险性（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P</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）由危险物质数量与临界量比值（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）及行业生产工艺（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）确定。根据《建设项目环境风险评价技术导则》（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GB169-2018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）附录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，当存在多种危险物质时，按式（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）计算物质总量与其临界量比值，建设项目危险物质数量与临界量比值（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）按下式计算：</w:t>
            </w:r>
          </w:p>
          <w:p>
            <w:pPr>
              <w:pStyle w:val="3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object>
                <v:shape id="_x0000_i1036" o:spt="75" type="#_x0000_t75" style="height:33.75pt;width:122.2pt;" o:ole="t" filled="f" o:preferrelative="t" stroked="f" coordsize="21600,21600">
                  <v:path/>
                  <v:fill on="f" focussize="0,0"/>
                  <v:stroke on="f"/>
                  <v:imagedata r:id="rId38" o:title=""/>
                  <o:lock v:ext="edit" aspectratio="t"/>
                  <w10:wrap type="none"/>
                  <w10:anchorlock/>
                </v:shape>
                <o:OLEObject Type="Embed" ProgID="Equation.KSEE3" ShapeID="_x0000_i1036" DrawAspect="Content" ObjectID="_1468075736" r:id="rId37">
                  <o:LockedField>false</o:LockedField>
                </o:OLEObject>
              </w:objec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——每种危险物质的最大存在量；</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——每种危险物质的临界量；</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当Q&lt;1时，该项目环境风险潜势为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1 \* ROMAN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当Q≥1时，将Q值划分为：1≤Q&lt;10；10≤Q&lt;100；Q≥100。</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本项目危险物质为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废机油、木煤气、木焦油、木醋液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，危险物质Q值如下：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22 </w:t>
            </w:r>
            <w:r>
              <w:rPr>
                <w:rFonts w:hint="default" w:ascii="Times New Roman" w:hAnsi="Times New Roman" w:eastAsia="宋体" w:cs="Times New Roman"/>
                <w:b/>
                <w:color w:val="000000" w:themeColor="text1"/>
                <w:sz w:val="24"/>
                <w:szCs w:val="24"/>
                <w14:textFill>
                  <w14:solidFill>
                    <w14:schemeClr w14:val="tx1"/>
                  </w14:solidFill>
                </w14:textFill>
              </w:rPr>
              <w:t>建设项目Q值确定表</w:t>
            </w:r>
          </w:p>
          <w:tbl>
            <w:tblPr>
              <w:tblStyle w:val="17"/>
              <w:tblpPr w:leftFromText="181" w:rightFromText="181" w:bottomFromText="113"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491"/>
              <w:gridCol w:w="2511"/>
              <w:gridCol w:w="137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危险物质名称</w:t>
                  </w:r>
                </w:p>
              </w:tc>
              <w:tc>
                <w:tcPr>
                  <w:tcW w:w="1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项目内</w:t>
                  </w:r>
                  <w:r>
                    <w:rPr>
                      <w:rFonts w:hint="default" w:ascii="Times New Roman" w:hAnsi="Times New Roman" w:eastAsia="宋体" w:cs="Times New Roman"/>
                      <w:b/>
                      <w:bCs/>
                      <w:color w:val="000000" w:themeColor="text1"/>
                      <w:sz w:val="21"/>
                      <w:szCs w:val="21"/>
                      <w14:textFill>
                        <w14:solidFill>
                          <w14:schemeClr w14:val="tx1"/>
                        </w14:solidFill>
                      </w14:textFill>
                    </w:rPr>
                    <w:t>最大存在总量q</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n</w:t>
                  </w:r>
                  <w:r>
                    <w:rPr>
                      <w:rFonts w:hint="default" w:ascii="Times New Roman" w:hAnsi="Times New Roman" w:eastAsia="宋体" w:cs="Times New Roman"/>
                      <w:b/>
                      <w:bCs/>
                      <w:color w:val="000000" w:themeColor="text1"/>
                      <w:sz w:val="21"/>
                      <w:szCs w:val="21"/>
                      <w14:textFill>
                        <w14:solidFill>
                          <w14:schemeClr w14:val="tx1"/>
                        </w14:solidFill>
                      </w14:textFill>
                    </w:rPr>
                    <w:t>/t</w:t>
                  </w:r>
                </w:p>
              </w:tc>
              <w:tc>
                <w:tcPr>
                  <w:tcW w:w="7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临界量Q</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n</w:t>
                  </w:r>
                  <w:r>
                    <w:rPr>
                      <w:rFonts w:hint="default" w:ascii="Times New Roman" w:hAnsi="Times New Roman" w:eastAsia="宋体" w:cs="Times New Roman"/>
                      <w:b/>
                      <w:bCs/>
                      <w:color w:val="000000" w:themeColor="text1"/>
                      <w:sz w:val="21"/>
                      <w:szCs w:val="21"/>
                      <w14:textFill>
                        <w14:solidFill>
                          <w14:schemeClr w14:val="tx1"/>
                        </w14:solidFill>
                      </w14:textFill>
                    </w:rPr>
                    <w:t>/t</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木煤气、木焦油、木醋液</w:t>
                  </w:r>
                </w:p>
              </w:tc>
              <w:tc>
                <w:tcPr>
                  <w:tcW w:w="1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0.345</w:t>
                  </w:r>
                </w:p>
              </w:tc>
              <w:tc>
                <w:tcPr>
                  <w:tcW w:w="7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废机油</w:t>
                  </w:r>
                </w:p>
              </w:tc>
              <w:tc>
                <w:tcPr>
                  <w:tcW w:w="1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7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2500t</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40"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项目Q值∑</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0.04604</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由上表可知，本项目Q&lt;1，环境风险潜势为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1 \* ROMAN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根据《建设项目环境风险评价技术导则》（HJ169-2018），环境风险评价工作等级根据项目涉及的物质及工艺系统危害性和所在地的环境敏感性确定环境风险潜势，按下表确定评价工作等级。</w:t>
            </w:r>
          </w:p>
          <w:p>
            <w:pPr>
              <w:adjustRightInd w:val="0"/>
              <w:snapToGrid w:val="0"/>
              <w:spacing w:line="240" w:lineRule="auto"/>
              <w:ind w:firstLine="482" w:firstLineChars="20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23 </w:t>
            </w:r>
            <w:r>
              <w:rPr>
                <w:rFonts w:hint="default" w:ascii="Times New Roman" w:hAnsi="Times New Roman" w:eastAsia="宋体" w:cs="Times New Roman"/>
                <w:b/>
                <w:color w:val="000000" w:themeColor="text1"/>
                <w:sz w:val="24"/>
                <w:szCs w:val="24"/>
                <w14:textFill>
                  <w14:solidFill>
                    <w14:schemeClr w14:val="tx1"/>
                  </w14:solidFill>
                </w14:textFill>
              </w:rPr>
              <w:t>环境风险评价工作等级划分</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42"/>
              <w:gridCol w:w="1555"/>
              <w:gridCol w:w="1683"/>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环境风险潜势</w:t>
                  </w:r>
                </w:p>
              </w:tc>
              <w:tc>
                <w:tcPr>
                  <w:tcW w:w="11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4 \* ROMAN \* MERGEFORMAT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IV</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4 \* ROMAN \* MERGEFORMAT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IV</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w:t>
                  </w:r>
                </w:p>
              </w:tc>
              <w:tc>
                <w:tcPr>
                  <w:tcW w:w="8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3 \* ROMAN \* MERGEFORMAT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III</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2 \* ROMAN \* MERGEFORMAT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II</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c>
                <w:tcPr>
                  <w:tcW w:w="8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评价工作等级</w:t>
                  </w:r>
                </w:p>
              </w:tc>
              <w:tc>
                <w:tcPr>
                  <w:tcW w:w="11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8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w:t>
                  </w:r>
                </w:p>
              </w:tc>
              <w:tc>
                <w:tcPr>
                  <w:tcW w:w="9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三</w:t>
                  </w:r>
                </w:p>
              </w:tc>
              <w:tc>
                <w:tcPr>
                  <w:tcW w:w="8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简单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分析</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a是相对于详细评价工作内容而言，在描述危险物质、环境影响途径、环境危害后果、风险防范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措施等方面给出定性的说明。</w:t>
                  </w:r>
                </w:p>
              </w:tc>
            </w:tr>
          </w:tbl>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综上分析，本项目环境风险评价工作等级为简单分析。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、环境风险分析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大气环境风险分析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根据《建设项目环境风险评价技术导则》（HJ169-2018）中要求，大气环境风险简单分析应定性分析说明大气环境影响后果。因此，本次评价仅定性分析，不作预测分析。</w:t>
            </w:r>
          </w:p>
          <w:p>
            <w:pPr>
              <w:pStyle w:val="39"/>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炭化炉产生的木煤气、木焦油、木醋液在非正常工况下（事故性），工程存在的一氧化碳排放事故主要指木煤气输送设备发生泄漏，这些设备是通过管道连接、阀门控制来完成整个过程，若某设备或配件产品质量出现问题，将造成烟气“跑、冒、泄漏”事件，导致车间内及周围空气环境污染，危害人体健康。若管理不善，操作人员违反操作规程，违反安全规定导致泄漏；若维护不善，设备失修，仪表失灵，也可能导致污染事故。在生产中存在的危害因素为炭化炉及其供气管道等系统木煤气、木焦油、木醋液泄漏可能发生爆炸引发火灾，或者可能造成人员中毒。由于本项目木煤气产生、输送、使用均集中在厂内，木煤气、木焦油、木醋液发生火灾、爆炸事故主要波及厂内生产、生活设施和厂内人员。当木煤气、木焦油、木醋液泄漏引发火灾事故时，火灾事故对环境的影响主要表现在两个方面，一是火灾燃烧分解产物进入大气对大气环境的影响。</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机修产生的废机油采用桶装暂存，最大储存量约0.1t，暂存量较少，桶装后暂存至危废暂存间。当废机油泄漏时，将会挥发少量有机气体，逸散到空气中对大气环境造成影响。当泄漏后的废机油有机气体遇明火源会发生火灾，将对大气环境造成影响。同时本项目生产过程中堆放有很多可燃物，加工过程中的原料、半成品和成品。如营运期安全措施不到位，极易引发火灾事故。一般火灾事故会造成较大的人身财产安全，在物料燃烧过程中会造成大气环境污染。燃烧过程中会产生如CO、烟尘等有毒有害气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运营过程中在认真落实风险防范措施，通过设置禁止吸烟、禁止明火等标志，加强员工安全防火意识，按照消防要求设置灭火器等相应防火应急措施后，发生风险概率很小，项目大气环境风险可控，对大气环境影响是可以接受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（2）地表水环境风险分析</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根据《建设项目环境风险评价技术导则》（HJ169-2018）中要求，本次地表水环境风险评价仅定性分析，不作预测分析。</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当木煤气、木焦油、木醋液泄漏引发火灾事故时，事故消防废水进入水体对水环境的影响。当发生火灾事故时，消防废水若直接进入水体，将会对水环境造成一定的影响，按照环境风险管理的要求，消防废水不能直接进入水体，需进行处理。</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危废暂存间内暂存的废机油一旦发生泄漏进入水体，将会对水质造成一定的影响，浓度较高时会导致水体中动植物死亡，造成地表水体污染。项目周边最近的地表水体为项目西侧的听湖水库，但项目废机油储存量不大，采用专用桶收集存放，不易发生泄漏且其暂存于危废暂存间内，危废暂存间根据相关要求进行防渗、防雨等。因此，项目地表水环境风险是可控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（3）地下水及土壤环境风险分析</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废机油一旦发生泄漏事故，若防渗措施不到位，有可能渗入土壤，最终会引起地下水污染。根据前文可知，危废暂存间按《危险废物贮存污染控制标准》（GB18597-2023）相关要求进行建设，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cm/s），或至少2mm厚高密度聚乙烯膜等人工防渗材料（渗透系数不大于10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或其他防渗性能等效的材料。因此，项目危废暂存间发生污染物下渗的可能性小，并且在运营过程中定时进行巡检自查，杜绝设备跑冒滴漏发生，因此，从源头控制跑冒滴漏的风险影响。发生泄漏后若立即采取有效措施，影响是短时间的，环境风险是可控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4、环境风险防范控制措施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（1）废气收集处理系统防范措施</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为了防范事故和减少灾害，木煤气管道及其他设施的设计、制造、施工、运行、管理和维修等，应参照执行《工业企业煤气安全规程》（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GB6222-86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）的要求。在对木煤气设施运行及停气检修时必须严格按照有关安全生产的规定进行。收集管道及木煤气燃烧设备的设计和施工中，应参照《工业企业煤气安全规程》（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 6222-86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）等安全生产的有关规定进行。</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修复设施并故障排除后方可开机继续生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（2）火灾爆炸事故防范措施</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认真做好安全检查记录，对发现的异常情况、安全隐患必须及时报告并在符合安全条件的情况下立即整改。在车间内设置“严禁烟火”的警示牌，尤其是在可燃物堆放的位置；灭火器应布置在明显便于取用的地方，并定期维护检查，确保能正常使用。制定和落实防火安全责任制及消防安全规章制度，加强对员工的消防知识培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（3）危险废物泄漏防范措施</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暂存间及储存容器应严格按照《危险废物贮存污染控制标准》（GB18597-2023）要求设置。盛装废机油容器上必须贴相应的危险废物标志。危险废物贮存设施都必须按环境保护图形《固体废物贮存（处置）场》（GB15562.2-1995）的规定设置警示标志。设置危险固废管理台账，如实记载废机油、木焦油、木醋液的来源、数量、特性、包装容器类别、入库日期、存放库位。贮存期间，定期对存储容器进行检查，及时更换破损容器。</w:t>
            </w:r>
          </w:p>
          <w:p>
            <w:pPr>
              <w:pStyle w:val="39"/>
              <w:numPr>
                <w:ilvl w:val="0"/>
                <w:numId w:val="0"/>
              </w:num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加强员工的思想、道德教育，提高员工的责任心和主观能动性：完善并严格遵守相关的操作规程，加强岗位培训，落实岗位责任制；加强设备管理，特别是对易产生有毒物质泄漏的部位加强检查。</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建立事故预防、监测、检验、报警系统，设置厂内医疗急救站；采取技术、工艺、设备、管理等综合预防措施，避免木煤气、木焦油、木醋液意外泄漏事故发生；在易产生泄漏的位置设置检测仪和自动报警器，当发生泄漏事故时能及时报警，使事故能够得到及时扼杀；生产场所应设置相应的通风设施，确保工作人员不受有害气体的危害；对输送管道、管件等以及与之相关的设备进行重点安全监督。</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（6）加强事故管理，在生产过程中注意对其他单位相关事故的研究，充分吸取经验和教训。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5、突发环境事件应急预案</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预防事故发生，规范项目应急管理和应急响应程序，迅速有效地控制和处置可能发生的事故，降低事故造成人员伤亡和财产损失，根据国家有关规定，工程运行前，建设单位应编制环境风险的应急预案，并报文山州生态环境局砚山分局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6、小结</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本项目可能发生的风险事件主要有废机油发生泄漏，木煤气、木焦油、木醋液、废机油发生火灾、爆炸风险事故以及厂区储存易燃原料、生物质颗粒等发生火灾风险事故。</w:t>
            </w: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分析，项目废机油、木煤气、木焦油、木醋液的储存量较小，项目环境风险趋势为Ⅰ。为防止风险事故的发生，造成严重的社会影响和经济损失，建议日常生产过程中必须加强风险防范措施的管理，建立完善的风险防范应急预案，并保证其有效运行，将环境风险事故危害降低到最低程度。针对存在的火灾风险事故，在事故灾害发生前建立完善的应急救援系统，制定周密的救援计划，而在灾害发生的时候采取及时有效的应急救援行动，以及系统的恢复和善后处理，可以有效降低火灾事故对环境造成的影响。综上，通过采取本评价提出的风险防范措施后，可降低各种事故的发生概率，降低对周围环境的影响，环境风险在可接受范围内。</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 xml:space="preserve">24 </w:t>
            </w:r>
            <w:r>
              <w:rPr>
                <w:rFonts w:hint="default" w:ascii="Times New Roman" w:hAnsi="Times New Roman" w:eastAsia="宋体" w:cs="Times New Roman"/>
                <w:b/>
                <w:color w:val="000000" w:themeColor="text1"/>
                <w:sz w:val="24"/>
                <w14:textFill>
                  <w14:solidFill>
                    <w14:schemeClr w14:val="tx1"/>
                  </w14:solidFill>
                </w14:textFill>
              </w:rPr>
              <w:t>建设项目环境风险简单分析内容表</w:t>
            </w:r>
          </w:p>
          <w:tbl>
            <w:tblPr>
              <w:tblStyle w:val="17"/>
              <w:tblpPr w:leftFromText="181" w:rightFromText="181" w:bottomFromText="113"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57"/>
              <w:gridCol w:w="1310"/>
              <w:gridCol w:w="2045"/>
              <w:gridCol w:w="1499"/>
              <w:gridCol w:w="197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建设项目名称</w:t>
                  </w:r>
                </w:p>
              </w:tc>
              <w:tc>
                <w:tcPr>
                  <w:tcW w:w="37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合创机制炭及生物质颗粒及生物质猫砂颗粒生产线项目</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建设地点</w:t>
                  </w:r>
                </w:p>
              </w:tc>
              <w:tc>
                <w:tcPr>
                  <w:tcW w:w="37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云南省文山州砚山县江那镇三星坝工业园区内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地理坐标</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经度</w:t>
                  </w:r>
                </w:p>
              </w:tc>
              <w:tc>
                <w:tcPr>
                  <w:tcW w:w="11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104°22′20.218″</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纬度</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23°37′16.671″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主要危险物质及分布</w:t>
                  </w:r>
                </w:p>
              </w:tc>
              <w:tc>
                <w:tcPr>
                  <w:tcW w:w="37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环境影响途径及危害后果（大气、地表水、地下水等）</w:t>
                  </w:r>
                </w:p>
              </w:tc>
              <w:tc>
                <w:tcPr>
                  <w:tcW w:w="3798" w:type="pct"/>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（1）大气环境风险分析</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根据《建设项目环境风险评价技术导则》（HJ169-2018）中要求，大气环境风险简单分析应定性分析说明大气环境影响后果。因此，本次评价仅定性分析，不作预测分析。</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炭化炉产生的木煤气、木焦油、木醋液在非正常工况下（事故性），工程存在的一氧化碳排放事故主要指木煤气输送设备发生泄漏，这些设备是通过管道连接、阀门控制来完成整个过程，若某设备或配件产品质量出现问题，将造成烟气“跑、冒、泄漏”事件，导致车间内及周围空气环境污染，危害人体健康。若管理不善，操作人员违反操作规程，违反安全规定导致泄漏；若维护不善，设备失修，仪表失灵，也可能导致污染事故。在生产中存在的危害因素为炭化炉及其供气管道等系统木煤气、木焦油、木醋液泄漏可能发生爆炸引发火灾，或者可能造成人员中毒。由于本项目木煤气产生、输送、使用均集中在厂内，木煤气、木焦油、木醋液发生火灾、爆炸事故主要波及厂内生产、生活设施和厂内人员。当木煤气、木焦油、木醋液泄漏引发火灾事故时，火灾事故对环境的影响主要表现在两个方面，一是火灾燃烧分解产物进入大气对大气环境的影响，</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机修产生的废机油采用桶装暂存，最大储存量约0.1t，暂存量较少，桶装后暂存至危废暂存间。当废机油泄漏时，将会挥发少量有机气体，逸散到空气中对大气环境造成影响。当泄漏后的废机油有机气体遇明火源会发生火灾，将对大气环境造成影响。同时本项目生产过程中堆放有很多可燃物，加工过程中的原料、半成品和成品。如营运期安全措施不到位，极易引发火灾事故。一般火灾事故会造成较大的人身财产安全，在物料燃烧过程中会造成大气环境污染。燃烧过程中会产生如CO、烟尘等有毒有害气体。</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过程中在认真落实风险防范措施，通过设置禁止吸烟、禁止明火等标志，加强员工安全防火意识，按照消防要求设置灭火器等相应防火应急措施后，发生风险概率很小，项目大气环境风险可控，对大气环境影响是可以接受的。</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（2）地表水环境风险分析</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根据《建设项目环境风险评价技术导则》（HJ169-2018）中要求，本次地表水环境风险评价仅定性分析，不作预测分析。</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当木煤气、木焦油、木醋液泄漏引发火灾事故时，事故消防废水进入水体对水环境的影响。当发生火灾事故时，消防废水若直接进入水体，将会对水环境造成一定的影响，按照环境风险管理的要求，消防废水不能直接进入水体，需进行处理。</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危废暂存间内暂存的废机油一旦发生泄漏进入水体，将会对水质造成一定的影响，浓度较高时会导致水体中动植物死亡，造成地表水体污染。项目周边最近的地表水体为项目西侧的听湖水库，但项目废机油储存量不大，采用专用桶收集存放，不易发生泄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其暂存于危废暂存间内，危废暂存间根据相关要求进行防渗、防雨等。因此，项目地表水环境风险是可控的。</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（3）地下水及土壤环境风险分析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废机油一旦发生泄漏事故，若防渗措施不到位，有可能渗入土壤，最终会引起地下水污染。根据前文可知，危废暂存间按《危险废物贮存污染控制标准》（GB18597-2023）相关要求进行建设，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m/s），或其他防渗性能等效的材料。因此，项目危废暂存间发生污染物下渗的可能性小，并且在运营过程中定时进行巡检自查，杜绝设备跑冒滴漏发生，因此，从源头控制跑冒滴漏的风险影响。发生泄漏后若立即采取有效措施，影响是短时间的，环境风险是可控的。</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风险防范措施要求</w:t>
                  </w:r>
                </w:p>
              </w:tc>
              <w:tc>
                <w:tcPr>
                  <w:tcW w:w="37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（1）废气收集处理系统防范措施</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为了防范事故和减少灾害，木煤气管道及其他设施的设计、制造、施工、运行、管理和维修等，应参照执行《工业企业煤气安全规程》（GB6222-86）的要求。在对木煤气设施运行及停气检修时必须严格按照有关安全生产的规定进行。收集管道及木煤气燃烧设备的设计和施工中，应参照《工业企业煤气安全规程》（GB 6222-86）等安全生产的有关规定进行。</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修复设施并故障排除后方可开机继续生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（2）火灾爆炸事故防范措施</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认真做好安全检查记录，对发现的异常情况、安全隐患必须及时报告并在符合安全条件的情况下立即整改。在车间内设置“严禁烟火”的警示牌，尤其是在可燃物堆放的位置；灭火器应布置在明显便于取用的地方，并定期维护检查，确保能正常使用。制定和落实防火安全责任制及消防安全规章制度，加强对员工的消防知识培训。</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（3）危险废物泄漏防范措施</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暂存间及储存容器应严格按照《危险废物贮存污染控制标准》（GB18597-2023）要求设置。盛装废机油容器上必须贴相应的危险废物标志。危险废物贮存设施都必须按环境保护图形《固体废物贮存（处置）场》（GB15562.2-1995）的规定设置警示标志。设置危险固废管理台账，如实记载废机油的来源、数量、特性、包装容器类别、入库日期、存放库位。贮存期间，定期对存储容器进行检查，及时更换破损容器。</w:t>
                  </w:r>
                </w:p>
                <w:p>
                  <w:pPr>
                    <w:pStyle w:val="3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加强员工的思想、道德教育，提高员工的责任心和主观能动性：完善并严格遵守相关的操作规程，加强岗位培训，落实岗位责任制；加强设备管理，特别是对易产生有毒物质泄漏的部位加强检查。</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建立事故预防、监测、检验、报警系统，设置厂内医疗急救站；采取技术、工艺、设备、管理等综合预防措施，避免木煤气、木焦油、木醋液意外泄漏事故发生；在易产生泄漏的位置设置检测仪和自动报警器，当发生泄漏事故时能及时报警，使事故能够得到及时扼杀；生产场所应设置相应的通风设施，确保工作人员不受有害气体的危害；对输送管道、管件等以及与之相关的设备进行重点安全监督。</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（6）加强事故管理，在生产过程中注意对其他单位相关事故的研究，充分吸取经验和教训。</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（7）本项目应纳入企业的应急预案，并上报当地主管部门进行备案。</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填表说明（列出项目相关信息及评价说明）：</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危险物质识别根据《建设项目环境风险评价技术导则》（HJ169-2018）及其附录本项目风险物质主要为废机油、木煤气、木焦油、木醋液，风险潜势为Ⅰ，评价工作等级为简单分析。</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（八）固定污染源排污许可</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对污染物产生量、排放量或者对环境的影响程度较大的排污单位，实行排污许可重点管理；对污染物产生量、排放量和对环境的影响程度较小的排污单位，实行排污许可简化管理。对污染物产生量、排放量和对环境的影响程度很小的排污单位，实行排污登记管理。</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根据《固定污染源排污许可分类管理名录（2019年版）》，本项目为利用废木屑、锯末等生产机制炭</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、生物质颗粒、生物质猫砂颗粒</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，参照“二十一、化学原料和化学制品制造业 26—50、专用化学产品制造 266-林产化学产品制造 2663（无热解或者水解工艺的）”</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和“二十、石油、煤炭及其他燃料加工业 25</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44、生物质燃料加工 254</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涉及通用工序简化管理的”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，需进行简化管理。因此，建设单位应根据《排污许可证申请与核发技术规范 总则》（HJ942-2018）、《排污许可证申请与核发技术规范 专用化学产品制造工业》（HJ 1103-2020）到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文山州</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生态环境局或到全国排污许可证管理信息平台－公开端办理相关排污许可材料。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（九）环境管理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（1）建设单位环境管理体系及管理计划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企业环境管理机构</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本项目属于</w:t>
            </w:r>
            <w:r>
              <w:rPr>
                <w:rFonts w:hint="eastAsia" w:ascii="Times New Roman" w:hAnsi="Times New Roman" w:cs="Times New Roman"/>
                <w:color w:val="000000" w:themeColor="text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投入运营时</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建设单位</w:t>
            </w:r>
            <w:r>
              <w:rPr>
                <w:rFonts w:hint="default" w:ascii="Times New Roman" w:hAnsi="Times New Roman" w:eastAsia="宋体" w:cs="Times New Roman"/>
                <w:color w:val="000000" w:themeColor="text1"/>
                <w:highlight w:val="none"/>
                <w14:textFill>
                  <w14:solidFill>
                    <w14:schemeClr w14:val="tx1"/>
                  </w14:solidFill>
                </w14:textFill>
              </w:rPr>
              <w:t>应设立环保专员，负责整个</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highlight w:val="none"/>
                <w14:textFill>
                  <w14:solidFill>
                    <w14:schemeClr w14:val="tx1"/>
                  </w14:solidFill>
                </w14:textFill>
              </w:rPr>
              <w:t>的环境保护管理工作。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环境管理机构职责</w:t>
            </w:r>
          </w:p>
          <w:p>
            <w:pPr>
              <w:pStyle w:val="28"/>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项目必须有专门的环境保护机构，负责全</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w:t>
            </w:r>
            <w:r>
              <w:rPr>
                <w:rFonts w:hint="default" w:ascii="Times New Roman" w:hAnsi="Times New Roman" w:eastAsia="宋体" w:cs="Times New Roman"/>
                <w:color w:val="000000" w:themeColor="text1"/>
                <w:highlight w:val="none"/>
                <w14:textFill>
                  <w14:solidFill>
                    <w14:schemeClr w14:val="tx1"/>
                  </w14:solidFill>
                </w14:textFill>
              </w:rPr>
              <w:t>的环保安全工作。并建立环保安全管理网络，负责组织、落实、监督全</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w:t>
            </w:r>
            <w:r>
              <w:rPr>
                <w:rFonts w:hint="default" w:ascii="Times New Roman" w:hAnsi="Times New Roman" w:eastAsia="宋体" w:cs="Times New Roman"/>
                <w:color w:val="000000" w:themeColor="text1"/>
                <w:highlight w:val="none"/>
                <w14:textFill>
                  <w14:solidFill>
                    <w14:schemeClr w14:val="tx1"/>
                  </w14:solidFill>
                </w14:textFill>
              </w:rPr>
              <w:t>的环保安全工作。环境管理机构主要职责是</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根据国家环境保护有关政策、法规的要求，建立健全</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highlight w:val="none"/>
                <w14:textFill>
                  <w14:solidFill>
                    <w14:schemeClr w14:val="tx1"/>
                  </w14:solidFill>
                </w14:textFill>
              </w:rPr>
              <w:t>环保工作规章制度。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积极组织贯彻执行国家有关环保法规、政策与制度。如“三同时”制度、环保设施竣工验收、排污申报与许可证制度，污染物达标与总量控制制度等。</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编制</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highlight w:val="none"/>
                <w14:textFill>
                  <w14:solidFill>
                    <w14:schemeClr w14:val="tx1"/>
                  </w14:solidFill>
                </w14:textFill>
              </w:rPr>
              <w:t>的环境保护规划与环境保护目标。</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制定便于考核的污染物排放控制指标，废气、废水等环保设施运行效果考核指标，保证环保设备的完好率、运行率。</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标志企业年度环境监测计划，并组织实施。对本</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w:t>
            </w:r>
            <w:r>
              <w:rPr>
                <w:rFonts w:hint="default" w:ascii="Times New Roman" w:hAnsi="Times New Roman" w:eastAsia="宋体" w:cs="Times New Roman"/>
                <w:color w:val="000000" w:themeColor="text1"/>
                <w:highlight w:val="none"/>
                <w14:textFill>
                  <w14:solidFill>
                    <w14:schemeClr w14:val="tx1"/>
                  </w14:solidFill>
                </w14:textFill>
              </w:rPr>
              <w:t>废气排放情况进行日常分析监测。分析监测结果及变化规律。确保污染物排放达标。</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宣传环保法规，开展环保教育与培训工作。</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g</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负责组织突发性环境事故应急处理及善后事宜，及时报告上级环境保护管理部门。</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按规定在规定的时间内向上级环保管理部门申报环境各类报表。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环境管理措施</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按时完成规定的环境保护工作任务；</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项目环境保护设施的竣工验收；</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环境保护设施的维护和保养，确保环境保护设施的正常排放；</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对工艺设备及时进行维护管理，避免跑、冒、滴、漏产生的非正常排放。</w:t>
            </w:r>
          </w:p>
          <w:p>
            <w:pPr>
              <w:pStyle w:val="28"/>
              <w:spacing w:line="360" w:lineRule="auto"/>
              <w:ind w:firstLine="482" w:firstLineChars="20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14:textFill>
                  <w14:solidFill>
                    <w14:schemeClr w14:val="tx1"/>
                  </w14:solidFill>
                </w14:textFill>
              </w:rPr>
              <w:t>企业环境管理制度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highlight w:val="none"/>
                <w14:textFill>
                  <w14:solidFill>
                    <w14:schemeClr w14:val="tx1"/>
                  </w14:solidFill>
                </w14:textFill>
              </w:rPr>
              <w:t>建立环境管理体系</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项目建成后，建立环境管理体系，以便全面系统地对污染物进行控制，进一步提高能源资源利用率，及时了解有关环保法律法规及其他要求，更好地遵守法律法规及各项制度。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14:textFill>
                  <w14:solidFill>
                    <w14:schemeClr w14:val="tx1"/>
                  </w14:solidFill>
                </w14:textFill>
              </w:rPr>
              <w:t>排污定期报告制度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定期向当地环保部门报告污染治理设施运行情况、污染物排放情况以及污染事故、污染纠纷等情况。</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highlight w:val="none"/>
                <w14:textFill>
                  <w14:solidFill>
                    <w14:schemeClr w14:val="tx1"/>
                  </w14:solidFill>
                </w14:textFill>
              </w:rPr>
              <w:t>环保设施的管理制度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对各环保设施的管理必须与生产经营活动一起纳入企业的日常管理中，建立岗位责任制，制定操作规程，建立管理</w:t>
            </w:r>
            <w:r>
              <w:rPr>
                <w:rFonts w:hint="eastAsia" w:ascii="Times New Roman" w:hAnsi="Times New Roman" w:cs="Times New Roman"/>
                <w:color w:val="000000" w:themeColor="text1"/>
                <w:highlight w:val="none"/>
                <w:lang w:eastAsia="zh-CN"/>
                <w14:textFill>
                  <w14:solidFill>
                    <w14:schemeClr w14:val="tx1"/>
                  </w14:solidFill>
                </w14:textFill>
              </w:rPr>
              <w:t>台账</w:t>
            </w:r>
            <w:r>
              <w:rPr>
                <w:rFonts w:hint="default" w:ascii="Times New Roman" w:hAnsi="Times New Roman" w:eastAsia="宋体" w:cs="Times New Roman"/>
                <w:color w:val="000000" w:themeColor="text1"/>
                <w:highlight w:val="none"/>
                <w14:textFill>
                  <w14:solidFill>
                    <w14:schemeClr w14:val="tx1"/>
                  </w14:solidFill>
                </w14:textFill>
              </w:rPr>
              <w:t>。</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highlight w:val="none"/>
                <w14:textFill>
                  <w14:solidFill>
                    <w14:schemeClr w14:val="tx1"/>
                  </w14:solidFill>
                </w14:textFill>
              </w:rPr>
              <w:t>奖惩制度</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企业应设置环境保护奖惩制度，对爱护环保设施，节能降耗，改善环境者实行奖励；对不按环保要求管理，造成环保设施损坏、环境污染和资源、能源浪费者予以处罚。</w:t>
            </w:r>
          </w:p>
          <w:p>
            <w:pPr>
              <w:pStyle w:val="28"/>
              <w:spacing w:line="360" w:lineRule="auto"/>
              <w:ind w:firstLine="482" w:firstLineChars="20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环境管理计划</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为了对项目环保措施的实施进行有效的监督管理，必须明确该项目环境保护各相关机构的具体职责和分工。</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文山州</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生态环境局芒市分局</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负责本项目营运阶段的环境保护监督工作，检查施工期及运营期环保措施的落实情况；检查环境敏感区的环境质量是否满足其相应质量标准要求。</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14:textFill>
                  <w14:solidFill>
                    <w14:schemeClr w14:val="tx1"/>
                  </w14:solidFill>
                </w14:textFill>
              </w:rPr>
              <w:t>建设单位</w:t>
            </w:r>
          </w:p>
          <w:p>
            <w:pPr>
              <w:pStyle w:val="28"/>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根据国务院令第682号《国务院关于修改&lt;建设项目环境保护管理条例&gt;》规定，编制环境影响报告书、环境影响报告表的建设项目竣工后，建设单位应当按照国务院</w:t>
            </w:r>
            <w:r>
              <w:rPr>
                <w:rFonts w:hint="eastAsia" w:ascii="Times New Roman" w:hAnsi="Times New Roman" w:cs="Times New Roman"/>
                <w:color w:val="000000" w:themeColor="text1"/>
                <w:highlight w:val="none"/>
                <w:lang w:eastAsia="zh-CN"/>
                <w14:textFill>
                  <w14:solidFill>
                    <w14:schemeClr w14:val="tx1"/>
                  </w14:solidFill>
                </w14:textFill>
              </w:rPr>
              <w:t>环境保护</w:t>
            </w:r>
            <w:r>
              <w:rPr>
                <w:rFonts w:hint="default" w:ascii="Times New Roman" w:hAnsi="Times New Roman" w:eastAsia="宋体" w:cs="Times New Roman"/>
                <w:color w:val="000000" w:themeColor="text1"/>
                <w:highlight w:val="none"/>
                <w14:textFill>
                  <w14:solidFill>
                    <w14:schemeClr w14:val="tx1"/>
                  </w14:solidFill>
                </w14:textFill>
              </w:rPr>
              <w:t>行政主管部门规定的标准和程序，对配套建设的环境保护设施进行验收，编制验收报告。</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遵循国家及当地政府关于环境保护的方针、政策、法令、法规，应将项目的环境管理纳入项目日常管理之中。本项目制定了环境管理计划如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25</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环境管理计划</w:t>
            </w:r>
          </w:p>
          <w:tbl>
            <w:tblPr>
              <w:tblStyle w:val="18"/>
              <w:tblpPr w:leftFromText="181" w:rightFromText="181" w:bottomFromText="113"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7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阶段</w:t>
                  </w:r>
                </w:p>
              </w:tc>
              <w:tc>
                <w:tcPr>
                  <w:tcW w:w="4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管理机构职能</w:t>
                  </w:r>
                </w:p>
              </w:tc>
              <w:tc>
                <w:tcPr>
                  <w:tcW w:w="4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生产运行期</w:t>
                  </w:r>
                </w:p>
              </w:tc>
              <w:tc>
                <w:tcPr>
                  <w:tcW w:w="40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（1）严格执行各项生产及环境管理制度，保证生产的正常运行；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（2）设立环保设施运行卡，对环保设施定期进行检查、维护，做到勤查、勤记、勤养护，按照监测计划定期组织进行项目区内的污染源监测，对不达标的环保设施应立即进行查找原因，及时处理；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（3）不断加强技术培训，组织企业内部之间进行技术交流，提高业务水平，保持企业内部职工素质稳定；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（4）重视群众监督作用，提高企业职工环保意识，鼓励职工及外部人员对生产状况提出意见，并通过积极吸收宝贵意见来提高企业环境管理水平；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（5）积极配合环保部门的检查。</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（十）环境监测</w:t>
            </w:r>
          </w:p>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1、竣工环保验收监测计划</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建设项目竣工环境保护验收监测是在建设项目建设完成后，依据环境保护主管部门的计划安排，由建设单位委托有资质的单位对建设项目设计、施工、投产各阶段环境保护工作开展监测，并依据环境影响评价文件及其批复提出的具体要求进行分析、评价并得出结论，为建设项目竣工环境保护验收提供技术依据。具体监测计划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26</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项目竣工验收监测计划一览表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517"/>
              <w:gridCol w:w="1631"/>
              <w:gridCol w:w="1112"/>
              <w:gridCol w:w="1389"/>
              <w:gridCol w:w="2737"/>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gridSpan w:val="2"/>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90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w:t>
                  </w:r>
                </w:p>
              </w:tc>
              <w:tc>
                <w:tcPr>
                  <w:tcW w:w="619"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监测因子</w:t>
                  </w:r>
                </w:p>
              </w:tc>
              <w:tc>
                <w:tcPr>
                  <w:tcW w:w="773"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1523" w:type="pc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执行标准</w:t>
                  </w:r>
                </w:p>
              </w:tc>
              <w:tc>
                <w:tcPr>
                  <w:tcW w:w="614" w:type="pc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 w:type="pct"/>
                  <w:vMerge w:val="restar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287" w:type="pct"/>
                  <w:vMerge w:val="restar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w:t>
                  </w:r>
                </w:p>
              </w:tc>
              <w:tc>
                <w:tcPr>
                  <w:tcW w:w="908" w:type="pct"/>
                  <w:shd w:val="clear" w:color="auto" w:fill="auto"/>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DA001排气筒进气口、出气口</w:t>
                  </w:r>
                </w:p>
              </w:tc>
              <w:tc>
                <w:tcPr>
                  <w:tcW w:w="619"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连续监测2天每天3次。</w:t>
                  </w:r>
                </w:p>
              </w:tc>
              <w:tc>
                <w:tcPr>
                  <w:tcW w:w="152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《大气污染物综合排放标准》（GB16297-1996）表2中二级排放标准</w:t>
                  </w:r>
                </w:p>
              </w:tc>
              <w:tc>
                <w:tcPr>
                  <w:tcW w:w="614" w:type="pct"/>
                  <w:vMerge w:val="restar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有资质监测单位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87"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DA002排气筒进气口、出气口</w:t>
                  </w:r>
                </w:p>
              </w:tc>
              <w:tc>
                <w:tcPr>
                  <w:tcW w:w="619"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eastAsia" w:ascii="宋体" w:hAnsi="宋体" w:eastAsia="宋体" w:cs="宋体"/>
                      <w:color w:val="000000" w:themeColor="text1"/>
                      <w:kern w:val="0"/>
                      <w:sz w:val="21"/>
                      <w:szCs w:val="21"/>
                      <w:lang w:val="en-US" w:eastAsia="zh-CN" w:bidi="ar"/>
                      <w14:textFill>
                        <w14:solidFill>
                          <w14:schemeClr w14:val="tx1"/>
                        </w14:solidFill>
                      </w14:textFill>
                    </w:rPr>
                    <w:t>烟气黑度（林格曼级）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连续监测2天每天3次。</w:t>
                  </w:r>
                </w:p>
              </w:tc>
              <w:tc>
                <w:tcPr>
                  <w:tcW w:w="152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NOx</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、颗粒物执行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《大气污染物综合排放标准》（GB16297-1996）表2中二级标准，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炭化炉</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废气中烟气黑度（林格曼级）执行《工业炉窑大气污染物排放标准》（GB9078-1996）“干燥炉、窑”表2中二级标准，非甲烷总烃执行《工业企业挥发性有机物排放标准》（DB35/1782-2018）表1中其他行业标准</w:t>
                  </w:r>
                </w:p>
              </w:tc>
              <w:tc>
                <w:tcPr>
                  <w:tcW w:w="614"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2"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87" w:type="pct"/>
                  <w:vMerge w:val="restart"/>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厂界上风向设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1个参照点，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厂界下风向设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3个监测点</w:t>
                  </w:r>
                </w:p>
              </w:tc>
              <w:tc>
                <w:tcPr>
                  <w:tcW w:w="619"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连续监测2天每天3次。</w:t>
                  </w:r>
                </w:p>
              </w:tc>
              <w:tc>
                <w:tcPr>
                  <w:tcW w:w="152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《大气污染物综合排放标准》（GB16297-1996）表2中的无组织排放监控浓度限值</w:t>
                  </w:r>
                </w:p>
              </w:tc>
              <w:tc>
                <w:tcPr>
                  <w:tcW w:w="614"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28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厂房外</w:t>
                  </w:r>
                </w:p>
              </w:tc>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连续监测2天每天3次。</w:t>
                  </w:r>
                </w:p>
              </w:tc>
              <w:tc>
                <w:tcPr>
                  <w:tcW w:w="152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《挥发性有机物无组织排放控制标准》（GB37822-2019）附录A限值要求</w:t>
                  </w: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gridSpan w:val="2"/>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90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四周</w:t>
                  </w:r>
                </w:p>
              </w:tc>
              <w:tc>
                <w:tcPr>
                  <w:tcW w:w="619"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等效A声级</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连续监测2天，昼、夜各监测一次</w:t>
                  </w:r>
                </w:p>
              </w:tc>
              <w:tc>
                <w:tcPr>
                  <w:tcW w:w="152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类标准</w:t>
                  </w:r>
                </w:p>
              </w:tc>
              <w:tc>
                <w:tcPr>
                  <w:tcW w:w="614" w:type="pct"/>
                  <w:vMerge w:val="continue"/>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2、运营期监测计划</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根据《排污单位自行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技术指南总则》（HJ819-2017）、《固定源废气监测技术规范》（HJ/T397-2007）、《大气污染物无组织排放监测技术导则》（HJ/T55-2000）、《排污许可证申请与核发技术规范 工业炉窑》（HJ1121-2020）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排</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污许可证申请与核发技术规范专用化学产品制造工业》（HJ 1103-2020）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等要求，项目常规监测包括大气污染源、噪声污染源等，环境监测内容见下表。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27</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项目运营期环境监测计划一览表</w:t>
            </w:r>
          </w:p>
          <w:tbl>
            <w:tblPr>
              <w:tblStyle w:val="17"/>
              <w:tblpPr w:leftFromText="181" w:rightFromText="181" w:bottomFromText="113"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557"/>
              <w:gridCol w:w="1858"/>
              <w:gridCol w:w="2050"/>
              <w:gridCol w:w="1110"/>
              <w:gridCol w:w="120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0" w:type="pct"/>
                  <w:gridSpan w:val="2"/>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因素</w:t>
                  </w:r>
                </w:p>
              </w:tc>
              <w:tc>
                <w:tcPr>
                  <w:tcW w:w="1034"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1141"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监测因子</w:t>
                  </w:r>
                </w:p>
              </w:tc>
              <w:tc>
                <w:tcPr>
                  <w:tcW w:w="61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66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执行机构</w:t>
                  </w:r>
                </w:p>
              </w:tc>
              <w:tc>
                <w:tcPr>
                  <w:tcW w:w="956"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70" w:type="pct"/>
                  <w:vMerge w:val="restar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310" w:type="pct"/>
                  <w:vMerge w:val="restar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w:t>
                  </w:r>
                </w:p>
              </w:tc>
              <w:tc>
                <w:tcPr>
                  <w:tcW w:w="1034"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DA001排气筒</w:t>
                  </w:r>
                </w:p>
              </w:tc>
              <w:tc>
                <w:tcPr>
                  <w:tcW w:w="1141"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618"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1次/季度</w:t>
                  </w:r>
                </w:p>
              </w:tc>
              <w:tc>
                <w:tcPr>
                  <w:tcW w:w="668"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有资质监测单位</w:t>
                  </w:r>
                </w:p>
              </w:tc>
              <w:tc>
                <w:tcPr>
                  <w:tcW w:w="956"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70"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10"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4" w:type="pct"/>
                  <w:vMerge w:val="restar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排气筒</w:t>
                  </w:r>
                </w:p>
              </w:tc>
              <w:tc>
                <w:tcPr>
                  <w:tcW w:w="1141"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废气量、SO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、NOx</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286" w:type="pct"/>
                  <w:gridSpan w:val="2"/>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在线监测</w:t>
                  </w:r>
                </w:p>
              </w:tc>
              <w:tc>
                <w:tcPr>
                  <w:tcW w:w="9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70"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10"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4"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1"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烟气黑度（林格曼级）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61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1次/季度</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有资质监测单位</w:t>
                  </w:r>
                </w:p>
              </w:tc>
              <w:tc>
                <w:tcPr>
                  <w:tcW w:w="9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0" w:type="pct"/>
                  <w:vMerge w:val="continue"/>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10"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w:t>
                  </w:r>
                </w:p>
              </w:tc>
              <w:tc>
                <w:tcPr>
                  <w:tcW w:w="1034"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厂界上风向设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1个参照点，</w:t>
                  </w:r>
                  <w:r>
                    <w:rPr>
                      <w:rFonts w:hint="default" w:ascii="Times New Roman" w:hAnsi="Times New Roman" w:eastAsia="宋体" w:cs="Times New Roman"/>
                      <w:color w:val="000000" w:themeColor="text1"/>
                      <w:sz w:val="21"/>
                      <w:szCs w:val="21"/>
                      <w:lang w:eastAsia="zh-CN"/>
                      <w14:textFill>
                        <w14:solidFill>
                          <w14:schemeClr w14:val="tx1"/>
                        </w14:solidFill>
                      </w14:textFill>
                    </w:rPr>
                    <w:t>厂界下风向设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3个监测点</w:t>
                  </w:r>
                </w:p>
              </w:tc>
              <w:tc>
                <w:tcPr>
                  <w:tcW w:w="1141"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61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有资质监测单位</w:t>
                  </w:r>
                </w:p>
              </w:tc>
              <w:tc>
                <w:tcPr>
                  <w:tcW w:w="9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0" w:type="pct"/>
                  <w:gridSpan w:val="2"/>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034"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厂界四周</w:t>
                  </w:r>
                </w:p>
              </w:tc>
              <w:tc>
                <w:tcPr>
                  <w:tcW w:w="1141"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等效A声级</w:t>
                  </w:r>
                </w:p>
              </w:tc>
              <w:tc>
                <w:tcPr>
                  <w:tcW w:w="61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668"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有资质监测单位</w:t>
                  </w:r>
                </w:p>
              </w:tc>
              <w:tc>
                <w:tcPr>
                  <w:tcW w:w="956" w:type="pct"/>
                  <w:vAlign w:val="center"/>
                </w:tcPr>
                <w:p>
                  <w:pPr>
                    <w:pStyle w:val="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文山州生态环境局砚山分局</w:t>
                  </w:r>
                </w:p>
              </w:tc>
            </w:tr>
          </w:tbl>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信息记录和公开要求</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手工监测记录应按照《排污单位自行监测技术指南总则》（HJ819-2017）要求执行，应包括采样记录、样品保存和交接记录、样品分析记录、监控记录等应详细记录生产及污染治理设施运行状况，日常生产中应参照以下内容记录相关信息，并整理成台账保存备查。</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生产运行状况记录：按月记录原辅料用量及产量：主要原辅料使用量和产品产量等。</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污染治理设施运行状况记录：应包括设备运行校验关键参数，能充分反映生产设施及治理设施运行管理情况。</w:t>
            </w:r>
          </w:p>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信息报告、应急报告、信息公开要求</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按照《排污单位自行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技术指南 总则》（HJ819-2017）要求执行，排污单位应编写自行监测年度报告，年度报告至少应包含以下内容：</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监测方案的调整变化情况及变更原因；</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企业及各主要生产设施（至少涵盖废气主要污染源相关生产设施）全年运行天数，各监测点、各监测指标全年监测次数、超标情况、浓度分布情况；</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按要求开展的周边环境质量影响状况监测结果；</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自行监测开展的其他情况说明；</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排污单位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实现</w:t>
            </w:r>
            <w:r>
              <w:rPr>
                <w:rFonts w:hint="default" w:ascii="Times New Roman" w:hAnsi="Times New Roman" w:eastAsia="宋体" w:cs="Times New Roman"/>
                <w:color w:val="000000" w:themeColor="text1"/>
                <w:highlight w:val="none"/>
                <w:lang w:val="en-US" w:eastAsia="zh-CN"/>
                <w14:textFill>
                  <w14:solidFill>
                    <w14:schemeClr w14:val="tx1"/>
                  </w14:solidFill>
                </w14:textFill>
              </w:rPr>
              <w:t>达标排放所采取的主要措施。</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监测结果出现超标的，排污单位应加密监测，并检查超标原因。短期内无法实现稳定达标排放的，应向</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生态环境主管部门</w:t>
            </w:r>
            <w:r>
              <w:rPr>
                <w:rFonts w:hint="default" w:ascii="Times New Roman" w:hAnsi="Times New Roman" w:eastAsia="宋体" w:cs="Times New Roman"/>
                <w:color w:val="000000" w:themeColor="text1"/>
                <w:highlight w:val="none"/>
                <w:lang w:val="en-US" w:eastAsia="zh-CN"/>
                <w14:textFill>
                  <w14:solidFill>
                    <w14:schemeClr w14:val="tx1"/>
                  </w14:solidFill>
                </w14:textFill>
              </w:rPr>
              <w:t>提交事故分析报告，说明事故发生的原因，采取减轻或防止污染的措施，以及今后的预防及改进措施等。</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排污单位自行监测信息公开内容及方式按照《企业事业单位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w:t>
            </w:r>
            <w:r>
              <w:rPr>
                <w:rFonts w:hint="default" w:ascii="Times New Roman" w:hAnsi="Times New Roman" w:eastAsia="宋体" w:cs="Times New Roman"/>
                <w:color w:val="000000" w:themeColor="text1"/>
                <w:highlight w:val="none"/>
                <w:lang w:val="en-US" w:eastAsia="zh-CN"/>
                <w14:textFill>
                  <w14:solidFill>
                    <w14:schemeClr w14:val="tx1"/>
                  </w14:solidFill>
                </w14:textFill>
              </w:rPr>
              <w:t>境信息公开办法》（环境保护部令第31号）及《国家重点监控企业自行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监测及</w:t>
            </w:r>
            <w:r>
              <w:rPr>
                <w:rFonts w:hint="default" w:ascii="Times New Roman" w:hAnsi="Times New Roman" w:eastAsia="宋体" w:cs="Times New Roman"/>
                <w:color w:val="000000" w:themeColor="text1"/>
                <w:highlight w:val="none"/>
                <w:lang w:val="en-US" w:eastAsia="zh-CN"/>
                <w14:textFill>
                  <w14:solidFill>
                    <w14:schemeClr w14:val="tx1"/>
                  </w14:solidFill>
                </w14:textFill>
              </w:rPr>
              <w:t>信息公开办法（试行）》（环发〔2013〕81号）执行。非重点排污单位的信息公开要求由地方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生态环境主管部门</w:t>
            </w:r>
            <w:r>
              <w:rPr>
                <w:rFonts w:hint="default" w:ascii="Times New Roman" w:hAnsi="Times New Roman" w:eastAsia="宋体" w:cs="Times New Roman"/>
                <w:color w:val="000000" w:themeColor="text1"/>
                <w:highlight w:val="none"/>
                <w:lang w:val="en-US" w:eastAsia="zh-CN"/>
                <w14:textFill>
                  <w14:solidFill>
                    <w14:schemeClr w14:val="tx1"/>
                  </w14:solidFill>
                </w14:textFill>
              </w:rPr>
              <w:t>确定。</w:t>
            </w:r>
          </w:p>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监测管理</w:t>
            </w:r>
          </w:p>
          <w:p>
            <w:pPr>
              <w:pStyle w:val="28"/>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排污单位应对其自行监测结果及信息公开内容的真实性、准确性、完整性负责，并应积极配合并接受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生态环境主管部门</w:t>
            </w:r>
            <w:r>
              <w:rPr>
                <w:rFonts w:hint="default" w:ascii="Times New Roman" w:hAnsi="Times New Roman" w:eastAsia="宋体" w:cs="Times New Roman"/>
                <w:color w:val="000000" w:themeColor="text1"/>
                <w:highlight w:val="none"/>
                <w:lang w:val="en-US" w:eastAsia="zh-CN"/>
                <w14:textFill>
                  <w14:solidFill>
                    <w14:schemeClr w14:val="tx1"/>
                  </w14:solidFill>
                </w14:textFill>
              </w:rPr>
              <w:t>的日常监督管理。</w:t>
            </w:r>
          </w:p>
          <w:p>
            <w:pPr>
              <w:pStyle w:val="28"/>
              <w:spacing w:line="360" w:lineRule="auto"/>
              <w:ind w:firstLine="482"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（十一）竣工环境保护自主验收</w:t>
            </w:r>
          </w:p>
          <w:p>
            <w:pPr>
              <w:pStyle w:val="28"/>
              <w:spacing w:line="360" w:lineRule="auto"/>
              <w:ind w:firstLine="480"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建设项目竣工环境保护验收暂行办法》（国环规环评〔</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2017</w:t>
            </w:r>
            <w:r>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4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号）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本项目环保竣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三同时</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竣工验收内容见表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4-2</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28</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项目</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竣工环境保护自主验收</w:t>
            </w:r>
            <w:r>
              <w:rPr>
                <w:rFonts w:hint="default" w:ascii="Times New Roman" w:hAnsi="Times New Roman" w:eastAsia="宋体" w:cs="Times New Roman"/>
                <w:b/>
                <w:color w:val="000000" w:themeColor="text1"/>
                <w:sz w:val="24"/>
                <w:highlight w:val="none"/>
                <w14:textFill>
                  <w14:solidFill>
                    <w14:schemeClr w14:val="tx1"/>
                  </w14:solidFill>
                </w14:textFill>
              </w:rPr>
              <w:t>一览表</w:t>
            </w:r>
          </w:p>
          <w:tbl>
            <w:tblPr>
              <w:tblStyle w:val="18"/>
              <w:tblpPr w:leftFromText="181" w:rightFromText="181" w:bottomFromText="113"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63"/>
              <w:gridCol w:w="4137"/>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处理对象</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处置措施</w:t>
                  </w:r>
                </w:p>
              </w:tc>
              <w:tc>
                <w:tcPr>
                  <w:tcW w:w="3054"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验收标准或要求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restart"/>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、制粒工序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封闭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产生的粉尘由集气罩收集到</w:t>
                  </w:r>
                  <w:r>
                    <w:rPr>
                      <w:rFonts w:hint="eastAsia" w:eastAsia="宋体" w:cs="Times New Roman"/>
                      <w:color w:val="000000" w:themeColor="text1"/>
                      <w:sz w:val="21"/>
                      <w:szCs w:val="21"/>
                      <w:lang w:val="en-US" w:eastAsia="zh-CN"/>
                      <w14:textFill>
                        <w14:solidFill>
                          <w14:schemeClr w14:val="tx1"/>
                        </w14:solidFill>
                      </w14:textFill>
                    </w:rPr>
                    <w:t>1#布袋除尘器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）呈有组织排放。</w:t>
                  </w:r>
                </w:p>
              </w:tc>
              <w:tc>
                <w:tcPr>
                  <w:tcW w:w="3054" w:type="dxa"/>
                  <w:vAlign w:val="center"/>
                </w:tcPr>
                <w:p>
                  <w:pPr>
                    <w:pStyle w:val="27"/>
                    <w:keepNext w:val="0"/>
                    <w:keepLines w:val="0"/>
                    <w:pageBreakBefore w:val="0"/>
                    <w:widowControl w:val="0"/>
                    <w:kinsoku/>
                    <w:wordWrap w:val="0"/>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000000" w:themeColor="text1"/>
                      <w14:textFill>
                        <w14:solidFill>
                          <w14:schemeClr w14:val="tx1"/>
                        </w14:solidFill>
                      </w14:textFill>
                    </w:rPr>
                  </w:pP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烘干、炭化、制棒废气</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非甲烷总烃引入热风炉内燃烧，约有90%完全燃烧，尾气通过</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管道引至2#布袋除尘器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装置处理（</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风机风量为20000</w:t>
                  </w:r>
                  <w:r>
                    <w:rPr>
                      <w:rFonts w:hint="eastAsia" w:eastAsia="宋体" w:cs="Times New Roman"/>
                      <w:b w:val="0"/>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³/h，粉尘去除效率为</w:t>
                  </w:r>
                  <w:r>
                    <w:rPr>
                      <w:rFonts w:hint="eastAsia" w:eastAsia="宋体" w:cs="Times New Roman"/>
                      <w:b w:val="0"/>
                      <w:bCs/>
                      <w:color w:val="000000" w:themeColor="text1"/>
                      <w:sz w:val="21"/>
                      <w:szCs w:val="21"/>
                      <w:highlight w:val="none"/>
                      <w:lang w:val="en-US" w:eastAsia="zh-CN"/>
                      <w14:textFill>
                        <w14:solidFill>
                          <w14:schemeClr w14:val="tx1"/>
                        </w14:solidFill>
                      </w14:textFill>
                    </w:rPr>
                    <w:t>94.8</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）处置后由1根15m排气筒（DA00</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）呈有组织排放。</w:t>
                  </w:r>
                </w:p>
              </w:tc>
              <w:tc>
                <w:tcPr>
                  <w:tcW w:w="3054" w:type="dxa"/>
                  <w:vAlign w:val="center"/>
                </w:tcPr>
                <w:p>
                  <w:pPr>
                    <w:pStyle w:val="27"/>
                    <w:keepNext w:val="0"/>
                    <w:keepLines w:val="0"/>
                    <w:pageBreakBefore w:val="0"/>
                    <w:widowControl w:val="0"/>
                    <w:kinsoku/>
                    <w:wordWrap w:val="0"/>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《大气污染物综合排放标准》（GB16297-1996）表2中二级标准、《工业炉窑大气污染物排放标准》（GB9078-1996）“干燥炉、窑”表2中二级标准、《工业企业挥发性有机物排放标准》（DB35/1782-2018）表1中其他行业标准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原料暂存粉尘</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bidi="ar-SA"/>
                      <w14:textFill>
                        <w14:solidFill>
                          <w14:schemeClr w14:val="tx1"/>
                        </w14:solidFill>
                      </w14:textFill>
                    </w:rPr>
                    <w:t>原料暂存区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设置于</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封闭</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厂房内，粉尘在厂房内沉降，</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少量</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呈无组织排放。</w:t>
                  </w:r>
                </w:p>
              </w:tc>
              <w:tc>
                <w:tcPr>
                  <w:tcW w:w="3054" w:type="dxa"/>
                  <w:vMerge w:val="restart"/>
                  <w:vAlign w:val="center"/>
                </w:tcPr>
                <w:p>
                  <w:pPr>
                    <w:pStyle w:val="27"/>
                    <w:keepNext w:val="0"/>
                    <w:keepLines w:val="0"/>
                    <w:pageBreakBefore w:val="0"/>
                    <w:widowControl w:val="0"/>
                    <w:kinsoku/>
                    <w:wordWrap w:val="0"/>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《大气污染物综合排放标准》（GB16297-1996）表2中的无组织排放监控浓度限值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皮带输送</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粉尘</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right="0" w:right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皮带输送设置于</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封闭</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厂房内，输送过程设置密闭皮带运输。</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食堂油烟</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食堂油烟设置1台油烟净化器处理（风量为2000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³/h，油烟净化效率60%）后经1根高于屋顶的排气筒排放。</w:t>
                  </w:r>
                </w:p>
              </w:tc>
              <w:tc>
                <w:tcPr>
                  <w:tcW w:w="3054" w:type="dxa"/>
                  <w:vAlign w:val="center"/>
                </w:tcPr>
                <w:p>
                  <w:pPr>
                    <w:pStyle w:val="27"/>
                    <w:keepNext w:val="0"/>
                    <w:keepLines w:val="0"/>
                    <w:pageBreakBefore w:val="0"/>
                    <w:widowControl w:val="0"/>
                    <w:kinsoku/>
                    <w:wordWrap w:val="0"/>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生活污水</w:t>
                  </w:r>
                </w:p>
              </w:tc>
              <w:tc>
                <w:tcPr>
                  <w:tcW w:w="413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达《污水综合排放标准》（GB8978-1996）三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054"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《污水综合排放标准》（GB8978-1996）三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级标准及《污水排入城镇下水道水质标准》（GB/T31962-2015）中B等级标准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设备噪声</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选用低噪声设备，布置于厂房内、设置减振垫，加强设备维修与保养等</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054"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restart"/>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w:t>
                  </w: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设置垃圾回收桶，生活垃圾分类收集后，</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由当地环卫部门定期清运处置</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054" w:type="dxa"/>
                  <w:vMerge w:val="restart"/>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《一般工业固体废物贮存和填埋污染控制标准》（GB18599-2020）。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危险废物执行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《危险废物贮存污染控制标准》（GB18597-2023）中的有关规定；危险废物识别相关标志按照《危险废物识别标志设置技术规范》（HJ1276-2022）中相关要求进行设置。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color w:val="000000" w:themeColor="text1"/>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化粪池污泥</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由当地环卫部门定期清运处置。</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食堂泔水、隔油池废油</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1只泔水桶，收集后交由有资质单位处置。</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灰渣</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统一收集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后委托周边农户清运用作农肥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布袋除尘灰</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收集后作为原料回用于生产。</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木焦油、木醋液</w:t>
                  </w:r>
                </w:p>
              </w:tc>
              <w:tc>
                <w:tcPr>
                  <w:tcW w:w="4137"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专用收集桶集中收集后暂存于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，并设置危险废物识别标志，</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而后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委托有资质单位定期清运处置。</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废机油、废油桶</w:t>
                  </w:r>
                </w:p>
              </w:tc>
              <w:tc>
                <w:tcPr>
                  <w:tcW w:w="4137"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rightChars="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专用收集桶集中收集后暂存于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，并设置危险废物识别标志，</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而后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委托有资质单位定期清运处置。</w:t>
                  </w:r>
                </w:p>
              </w:tc>
              <w:tc>
                <w:tcPr>
                  <w:tcW w:w="3054" w:type="dxa"/>
                  <w:vMerge w:val="continue"/>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土壤、地下水</w:t>
                  </w:r>
                </w:p>
              </w:tc>
              <w:tc>
                <w:tcPr>
                  <w:tcW w:w="1063"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危废暂存间</w:t>
                  </w:r>
                </w:p>
              </w:tc>
              <w:tc>
                <w:tcPr>
                  <w:tcW w:w="4137"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420" w:firstLineChars="20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设置1间危废暂存间，面积为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m²，用于暂存废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油等危险废物，危险废物进行分区放置，危废暂存间严格按照《危险废物贮存污染控制标准》（GB18597-2023）要求进行建设，设置危险废物暂存间地面采取防渗措施，防渗层为至少1m厚粘土层（渗透系数不大于10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cm/s），或其他防渗性能等效材料，危废暂存间在废矿物油四周建设不低于20cm的围堰，设危废暂存间标识牌和转移台账</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3054"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危险废物识别相关标志按照《危险废物识别标志设置技术规范》（HJ1276-2022）中相关要求进行设置。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3" w:type="dxa"/>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420" w:firstLineChars="20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4137"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编制突发环境事件应急预案，完善应急物资</w:t>
                  </w:r>
                </w:p>
              </w:tc>
              <w:tc>
                <w:tcPr>
                  <w:tcW w:w="3054" w:type="dxa"/>
                  <w:vAlign w:val="center"/>
                </w:tcPr>
                <w:p>
                  <w:pPr>
                    <w:pStyle w:val="27"/>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取得突发环境事件应急预案备案表。</w:t>
                  </w:r>
                </w:p>
              </w:tc>
            </w:tr>
          </w:tbl>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pStyle w:val="39"/>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bl>
    <w:p>
      <w:pPr>
        <w:pStyle w:val="39"/>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1906" w:h="16838"/>
          <w:pgMar w:top="1440" w:right="1080" w:bottom="1440" w:left="1080" w:header="851" w:footer="992" w:gutter="0"/>
          <w:pgNumType w:fmt="decimal"/>
          <w:cols w:space="425" w:num="1"/>
          <w:docGrid w:type="lines"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000000" w:themeColor="text1"/>
          <w:sz w:val="32"/>
          <w:szCs w:val="32"/>
          <w:lang w:val="en-US" w:eastAsia="zh-CN"/>
          <w14:textFill>
            <w14:solidFill>
              <w14:schemeClr w14:val="tx1"/>
            </w14:solidFill>
          </w14:textFill>
        </w:rPr>
      </w:pPr>
      <w:bookmarkStart w:id="12" w:name="_Toc14944"/>
      <w:bookmarkStart w:id="13" w:name="_Toc13021"/>
      <w:r>
        <w:rPr>
          <w:rFonts w:hint="default" w:ascii="Times New Roman" w:hAnsi="Times New Roman" w:eastAsia="宋体" w:cs="Times New Roman"/>
          <w:b/>
          <w:bCs/>
          <w:snapToGrid w:val="0"/>
          <w:color w:val="000000" w:themeColor="text1"/>
          <w:sz w:val="32"/>
          <w:szCs w:val="32"/>
          <w:lang w:val="en-US" w:eastAsia="zh-CN"/>
          <w14:textFill>
            <w14:solidFill>
              <w14:schemeClr w14:val="tx1"/>
            </w14:solidFill>
          </w14:textFill>
        </w:rPr>
        <w:t>五、</w:t>
      </w:r>
      <w:bookmarkStart w:id="14" w:name="_Hlk54167917"/>
      <w:r>
        <w:rPr>
          <w:rFonts w:hint="default" w:ascii="Times New Roman" w:hAnsi="Times New Roman" w:eastAsia="宋体" w:cs="Times New Roman"/>
          <w:b/>
          <w:bCs/>
          <w:snapToGrid w:val="0"/>
          <w:color w:val="000000" w:themeColor="text1"/>
          <w:sz w:val="32"/>
          <w:szCs w:val="32"/>
          <w:lang w:val="en-US" w:eastAsia="zh-CN"/>
          <w14:textFill>
            <w14:solidFill>
              <w14:schemeClr w14:val="tx1"/>
            </w14:solidFill>
          </w14:textFill>
        </w:rPr>
        <w:t>环境保护措施监督检查清单</w:t>
      </w:r>
      <w:bookmarkEnd w:id="12"/>
      <w:bookmarkEnd w:id="13"/>
      <w:bookmarkEnd w:id="14"/>
    </w:p>
    <w:tbl>
      <w:tblPr>
        <w:tblStyle w:val="17"/>
        <w:tblpPr w:leftFromText="181" w:rightFromText="181" w:bottomFromText="113"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44"/>
        <w:gridCol w:w="1258"/>
        <w:gridCol w:w="1534"/>
        <w:gridCol w:w="3266"/>
        <w:gridCol w:w="21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tcBorders>
              <w:tl2br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0"/>
              <w:jc w:val="right"/>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要素</w:t>
            </w:r>
          </w:p>
        </w:tc>
        <w:tc>
          <w:tcPr>
            <w:tcW w:w="200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排放口(编号、名称)/污染源</w:t>
            </w:r>
          </w:p>
        </w:tc>
        <w:tc>
          <w:tcPr>
            <w:tcW w:w="1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w:t>
            </w:r>
          </w:p>
        </w:tc>
        <w:tc>
          <w:tcPr>
            <w:tcW w:w="3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环境保护措施</w:t>
            </w:r>
          </w:p>
        </w:tc>
        <w:tc>
          <w:tcPr>
            <w:tcW w:w="2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大气环境</w:t>
            </w:r>
          </w:p>
        </w:tc>
        <w:tc>
          <w:tcPr>
            <w:tcW w:w="74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有组织废气</w:t>
            </w: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DA001-破碎、粉碎、制粒废气排气筒</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破碎、粉碎、制粒个设置一个集气罩，废气由风机（风量5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³/h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）抽到1#布袋除尘器处理后，由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一根15m高排气筒（DA00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）呈有组织排放</w:t>
            </w:r>
          </w:p>
        </w:tc>
        <w:tc>
          <w:tcPr>
            <w:tcW w:w="2196"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DA00</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烘干、炭化</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、制棒</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废气排气筒</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326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非甲烷总烃引入热风炉内燃烧，约有90%完全燃烧，尾气</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由2#布袋除尘器</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（风机风量为</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000m³/h</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处</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理</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后由1根15m排气筒（DA00</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）呈有组织排放</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2196" w:type="dxa"/>
            <w:vMerge w:val="restar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SO</w:t>
            </w:r>
            <w:r>
              <w:rPr>
                <w:rFonts w:hint="default" w:ascii="Times New Roman" w:hAnsi="Times New Roman" w:eastAsia="宋体" w:cs="Times New Roman"/>
                <w:snapToGrid w:val="0"/>
                <w:color w:val="000000" w:themeColor="text1"/>
                <w:kern w:val="0"/>
                <w:sz w:val="24"/>
                <w:szCs w:val="24"/>
                <w:vertAlign w:val="subscript"/>
                <w:lang w:val="en-US" w:eastAsia="zh-CN" w:bidi="ar"/>
                <w14:textFill>
                  <w14:solidFill>
                    <w14:schemeClr w14:val="tx1"/>
                  </w14:solidFill>
                </w14:textFill>
              </w:rPr>
              <w:t>2</w:t>
            </w:r>
          </w:p>
        </w:tc>
        <w:tc>
          <w:tcPr>
            <w:tcW w:w="32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196" w:type="dxa"/>
            <w:vMerge w:val="continue"/>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NOx</w:t>
            </w:r>
          </w:p>
        </w:tc>
        <w:tc>
          <w:tcPr>
            <w:tcW w:w="32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196" w:type="dxa"/>
            <w:vMerge w:val="continue"/>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非甲烷总烃</w:t>
            </w:r>
          </w:p>
        </w:tc>
        <w:tc>
          <w:tcPr>
            <w:tcW w:w="32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196"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《工业企业挥发性有机物排放标准》（DB35/1782-2018）表1中其他行业标准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烟气黑度</w:t>
            </w:r>
          </w:p>
        </w:tc>
        <w:tc>
          <w:tcPr>
            <w:tcW w:w="3266" w:type="dxa"/>
            <w:vMerge w:val="continue"/>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196"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《工业炉窑大气污染物排放标准》（GB9078-1996）“干燥炉、窑”表2中二级标准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无组织废气</w:t>
            </w: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原料暂存</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3266"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原料暂存区</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设于封闭厂房内</w:t>
            </w:r>
          </w:p>
        </w:tc>
        <w:tc>
          <w:tcPr>
            <w:tcW w:w="219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皮带输送</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3266"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生产工序均设于封闭厂房内，皮带输送过程密闭</w:t>
            </w: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包装</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3266"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生产工序均设于封闭厂房内</w:t>
            </w: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00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食堂</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油烟</w:t>
            </w:r>
          </w:p>
        </w:tc>
        <w:tc>
          <w:tcPr>
            <w:tcW w:w="3266"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设置一台小型油烟净化器（风量为2000m³/h，净化效率60%）处理后高于屋顶排放</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地表水环境</w:t>
            </w:r>
          </w:p>
        </w:tc>
        <w:tc>
          <w:tcPr>
            <w:tcW w:w="74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生活污水</w:t>
            </w:r>
          </w:p>
        </w:tc>
        <w:tc>
          <w:tcPr>
            <w:tcW w:w="1258"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员工</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COD、BOD</w:t>
            </w:r>
            <w:r>
              <w:rPr>
                <w:rFonts w:hint="default" w:ascii="Times New Roman" w:hAnsi="Times New Roman" w:eastAsia="宋体" w:cs="Times New Roman"/>
                <w:snapToGrid w:val="0"/>
                <w:color w:val="000000" w:themeColor="text1"/>
                <w:kern w:val="0"/>
                <w:sz w:val="24"/>
                <w:szCs w:val="24"/>
                <w:vertAlign w:val="subscript"/>
                <w:lang w:val="en-US" w:eastAsia="zh-CN" w:bidi="ar"/>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、SS、氨氮、总磷、动植物油等</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食堂废水经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隔油池（0.2m</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）处理后，与</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生活污水一起排入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化粪池</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（10m</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³</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达《污水综合排放标准》（GB8978-1996）三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级标准及《污水排入城镇下水道水质标准》（GB/T31962-2015）中B等级标准后排入市政污水管网，最终进入砚山县第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《污水综合排放标准》（GB8978-1996）三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级标准及《污水排入城镇下水道水质标准》（GB/T31962-2015）中B等级标准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声环境</w:t>
            </w:r>
          </w:p>
        </w:tc>
        <w:tc>
          <w:tcPr>
            <w:tcW w:w="2002" w:type="dxa"/>
            <w:gridSpan w:val="2"/>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生产设备</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噪声</w:t>
            </w:r>
          </w:p>
        </w:tc>
        <w:tc>
          <w:tcPr>
            <w:tcW w:w="3266"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选用低噪声设备，布置于厂房内、设置减振垫，加强设备维修与保养等</w:t>
            </w:r>
          </w:p>
        </w:tc>
        <w:tc>
          <w:tcPr>
            <w:tcW w:w="219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GB12348-2008《工业企业厂界环境噪声排放标准》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固体废物</w:t>
            </w:r>
          </w:p>
        </w:tc>
        <w:tc>
          <w:tcPr>
            <w:tcW w:w="74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一般</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固废</w:t>
            </w:r>
          </w:p>
        </w:tc>
        <w:tc>
          <w:tcPr>
            <w:tcW w:w="12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生活、办公</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生活垃圾</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收集后运至附近村庄垃圾收集点集中处置</w:t>
            </w:r>
          </w:p>
        </w:tc>
        <w:tc>
          <w:tcPr>
            <w:tcW w:w="21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化粪池污泥</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当地环卫部门定期清运处置</w:t>
            </w:r>
          </w:p>
        </w:tc>
        <w:tc>
          <w:tcPr>
            <w:tcW w:w="21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食堂泔水、隔油池废油</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设1个泔水桶收集，定期委托有资质的单位进行处置</w:t>
            </w:r>
          </w:p>
        </w:tc>
        <w:tc>
          <w:tcPr>
            <w:tcW w:w="21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生产</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灰渣</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收集后委托周边农户清运用作农肥。</w:t>
            </w:r>
          </w:p>
        </w:tc>
        <w:tc>
          <w:tcPr>
            <w:tcW w:w="21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25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布袋除尘灰</w:t>
            </w:r>
          </w:p>
        </w:tc>
        <w:tc>
          <w:tcPr>
            <w:tcW w:w="32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收集后作为原料回用于生产</w:t>
            </w:r>
          </w:p>
        </w:tc>
        <w:tc>
          <w:tcPr>
            <w:tcW w:w="21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74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危险废物</w:t>
            </w: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生产</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木焦油、木醋液</w:t>
            </w:r>
          </w:p>
        </w:tc>
        <w:tc>
          <w:tcPr>
            <w:tcW w:w="326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专用容器收集，暂存于危废暂存间，委托有资质单位定期清运处置。</w:t>
            </w:r>
          </w:p>
        </w:tc>
        <w:tc>
          <w:tcPr>
            <w:tcW w:w="21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color w:val="000000" w:themeColor="text1"/>
                <w14:textFill>
                  <w14:solidFill>
                    <w14:schemeClr w14:val="tx1"/>
                  </w14:solidFill>
                </w14:textFill>
              </w:rPr>
            </w:pPr>
          </w:p>
        </w:tc>
        <w:tc>
          <w:tcPr>
            <w:tcW w:w="74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color w:val="000000" w:themeColor="text1"/>
                <w14:textFill>
                  <w14:solidFill>
                    <w14:schemeClr w14:val="tx1"/>
                  </w14:solidFill>
                </w14:textFill>
              </w:rPr>
            </w:pPr>
          </w:p>
        </w:tc>
        <w:tc>
          <w:tcPr>
            <w:tcW w:w="12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维修</w:t>
            </w:r>
          </w:p>
        </w:tc>
        <w:tc>
          <w:tcPr>
            <w:tcW w:w="1534"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废机油</w:t>
            </w:r>
          </w:p>
        </w:tc>
        <w:tc>
          <w:tcPr>
            <w:tcW w:w="32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电磁辐射</w:t>
            </w:r>
          </w:p>
        </w:tc>
        <w:tc>
          <w:tcPr>
            <w:tcW w:w="8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土壤及地下水污染防治措施</w:t>
            </w:r>
          </w:p>
        </w:tc>
        <w:tc>
          <w:tcPr>
            <w:tcW w:w="8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防渗层为至少1m厚粘土层（渗透系数不大于10</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cm/s），或其他防渗性能等效材料，危废暂存间在废矿物油四周建设不低于20cm的围堰，设危废暂存间标识牌和转移台账</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隔油池、</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化粪池等进行</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一般</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防渗</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确保等效黏土防渗层Mb≥1.5m，渗透系数K≤1×10</w:t>
            </w:r>
            <w:r>
              <w:rPr>
                <w:rFonts w:hint="default" w:ascii="Times New Roman" w:hAnsi="Times New Roman" w:eastAsia="宋体" w:cs="Times New Roman"/>
                <w:b w:val="0"/>
                <w:bCs w:val="0"/>
                <w:color w:val="000000" w:themeColor="text1"/>
                <w:kern w:val="0"/>
                <w:sz w:val="24"/>
                <w:szCs w:val="24"/>
                <w:highlight w:val="none"/>
                <w:vertAlign w:val="superscript"/>
                <w14:textFill>
                  <w14:solidFill>
                    <w14:schemeClr w14:val="tx1"/>
                  </w14:solidFill>
                </w14:textFill>
              </w:rPr>
              <w:t>-7</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cm/s。</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其他区域水泥硬化。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生态保护措施</w:t>
            </w:r>
          </w:p>
        </w:tc>
        <w:tc>
          <w:tcPr>
            <w:tcW w:w="8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环境风险防范措施</w:t>
            </w:r>
          </w:p>
        </w:tc>
        <w:tc>
          <w:tcPr>
            <w:tcW w:w="8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（1）废气收集处理系统防范措施</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为了防范事故和减少灾害，木煤气管道及其他设施的设计、制造、施工、运行、管理和维修等，应参照执行《工业企业煤气安全规程》（</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GB6222-86</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）的要求。在对木煤气设施运行及停气检修时必须严格按照有关安全生产的规定进行。收集管道及木煤气燃烧设备的设计和施工中，应参照《工业企业煤气安全规程》（</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GB 6222-86</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）等安全生产的有关规定进行。</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平日应加强厂区废气治理设施的维护和治理，并和设备提供方加强联系，做好工况备案记录。如发现废气收集处理系统泄漏、故障，现场人员应在第一时间关闭相应生产仪器并开始设备检修，以免造成更多有机废气污染物积聚，修复设施并故障排除后方可开机继续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（2）火灾爆炸事故防范措施</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必须建立必要的安全生产规章制度和措施，保证生产的正常、安全。建议企业建立健全的各级管理机制和机构，全面落实安全生产责任制，并严格执行。严格执行安全监督检查制度。严格防火制度，并配备一定数量的消防设施。认真做好安全检查记录，对发现的异常情况、安全隐患必须及时报告并在符合安全条件的情况下立即整改。在车间内设置“严禁烟火”的警示牌，尤其是在可燃物堆放的位置；灭火器应布置在明显便于取用的地方，并定期维护检查，确保能正常使用。制定和落实防火安全责任制及消防安全规章制度，加强对员工的消防知识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（3）危险废物泄漏防范措施</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暂存间及储存容器应严格按照《危险废物贮存污染控制标准》（GB18597-2023）要求设置。盛装废机油容器上必须贴相应的危险废物标志。危险废物贮存设施都必须按环境保护图形《固体废物贮存（处置）场》（GB15562.2-1995）的规定设置警示标志。设置危险固废管理台账，如实记载废机油的来源、数量、特性、包装容器类别、入库日期、存放库位。贮存期间，定期对存储容器进行检查，及时更换破损容器。</w:t>
            </w:r>
          </w:p>
          <w:p>
            <w:pPr>
              <w:pStyle w:val="3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加强员工的思想、道德教育，提高员工的责任心和主观能动性：完善并严格遵守相关的操作规程，加强岗位培训，落实岗位责任制；加强设备管理，特别是对易产生有毒物质泄漏的部位加强检查。</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建立事故预防、监测、检验、报警系统，设置厂内医疗急救站；采取技术、工艺、设备、管理等综合预防措施，避免木煤气、木焦油、木醋液意外泄漏事故发生；在易产生泄漏的位置设置检测仪和自动报警器，当发生泄漏事故时能及时报警，使事故能够得到及时扼杀；生产场所应设置相应的通风设施，确保工作人员不受有害气体的危害；对输送管道、管件等以及与之相关的设备进行重点安全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（6）加强事故管理，在生产过程中注意对其他单位相关事故的研究，充分吸取经验和教训。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（7）本项目应纳入企业的应急预案，并上报当地主管部门进行备案。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其他环境管理要求</w:t>
            </w:r>
          </w:p>
        </w:tc>
        <w:tc>
          <w:tcPr>
            <w:tcW w:w="8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①根据《固定污染源排污许可分类管理名录（2019年版）》执行相关排污管理。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②根据《建设项目竣工环境保护验收暂行办法》的规定，建设项目竣工后，建设单位应当如实查验、监测、记载建设项目环境保护设施的建设和调试情况，编制验收监测报告。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lang w:val="en-US" w:eastAsia="zh-CN"/>
                <w14:textFill>
                  <w14:solidFill>
                    <w14:schemeClr w14:val="tx1"/>
                  </w14:solidFill>
                </w14:textFill>
              </w:rPr>
            </w:pPr>
          </w:p>
        </w:tc>
      </w:tr>
    </w:tbl>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1906" w:h="16838"/>
          <w:pgMar w:top="1440" w:right="1080" w:bottom="1440" w:left="1080" w:header="851" w:footer="992" w:gutter="0"/>
          <w:pgNumType w:fmt="decimal"/>
          <w:cols w:space="425" w:num="1"/>
          <w:docGrid w:type="lines"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bookmarkStart w:id="15" w:name="_Toc13512"/>
      <w:bookmarkStart w:id="16" w:name="_Toc29843"/>
      <w:r>
        <w:rPr>
          <w:rFonts w:hint="default" w:ascii="Times New Roman" w:hAnsi="Times New Roman" w:eastAsia="宋体" w:cs="Times New Roman"/>
          <w:b/>
          <w:bCs/>
          <w:snapToGrid w:val="0"/>
          <w:color w:val="000000" w:themeColor="text1"/>
          <w:sz w:val="32"/>
          <w:szCs w:val="32"/>
          <w:highlight w:val="none"/>
          <w14:textFill>
            <w14:solidFill>
              <w14:schemeClr w14:val="tx1"/>
            </w14:solidFill>
          </w14:textFill>
        </w:rPr>
        <w:t>六、结论</w:t>
      </w:r>
      <w:bookmarkEnd w:id="15"/>
      <w:bookmarkEnd w:id="16"/>
    </w:p>
    <w:tbl>
      <w:tblPr>
        <w:tblStyle w:val="17"/>
        <w:tblW w:w="97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本项目符合国家现行产业政策，符合相关规划，符合达标排放、总量控制的原则；项目运营过程中对所在区域的环境质量影响较小，不改变所在区域的环境功能，对环境保护目标不会产生明显的不利环境影响。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建设单位需在今后的运营过程中严格按本环境影响报告表中提出的对策措施进行管理经营，严格执行“三同时”制度，加强环境管理，确保污染设施的稳定运行和污染物的达标排放。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综上所述，从环境保护角度分析建设项目环境影响可行。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tc>
      </w:tr>
    </w:tbl>
    <w:p>
      <w:pPr>
        <w:pStyle w:val="39"/>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sectPr>
          <w:pgSz w:w="11906" w:h="16838"/>
          <w:pgMar w:top="1440" w:right="1080" w:bottom="1440" w:left="1080" w:header="851" w:footer="992" w:gutter="0"/>
          <w:pgNumType w:fmt="decimal"/>
          <w:cols w:space="425" w:num="1"/>
          <w:docGrid w:type="lines" w:linePitch="312" w:charSpace="0"/>
        </w:sectPr>
      </w:pPr>
    </w:p>
    <w:p>
      <w:pPr>
        <w:pStyle w:val="14"/>
        <w:adjustRightInd w:val="0"/>
        <w:snapToGrid w:val="0"/>
        <w:spacing w:before="0" w:beforeAutospacing="0" w:after="0" w:afterAutospacing="0" w:line="360" w:lineRule="auto"/>
        <w:outlineLvl w:val="0"/>
        <w:rPr>
          <w:rFonts w:hint="default" w:ascii="Times New Roman" w:hAnsi="Times New Roman" w:eastAsia="宋体" w:cs="Times New Roman"/>
          <w:b/>
          <w:bCs/>
          <w:snapToGrid w:val="0"/>
          <w:color w:val="000000" w:themeColor="text1"/>
          <w:sz w:val="32"/>
          <w:szCs w:val="32"/>
          <w14:textFill>
            <w14:solidFill>
              <w14:schemeClr w14:val="tx1"/>
            </w14:solidFill>
          </w14:textFill>
        </w:rPr>
      </w:pPr>
      <w:bookmarkStart w:id="17" w:name="_Toc14765"/>
      <w:bookmarkStart w:id="18" w:name="_Toc16290"/>
      <w:r>
        <w:rPr>
          <w:rFonts w:hint="default" w:ascii="Times New Roman" w:hAnsi="Times New Roman" w:eastAsia="宋体" w:cs="Times New Roman"/>
          <w:b/>
          <w:bCs/>
          <w:snapToGrid w:val="0"/>
          <w:color w:val="000000" w:themeColor="text1"/>
          <w:sz w:val="32"/>
          <w:szCs w:val="32"/>
          <w14:textFill>
            <w14:solidFill>
              <w14:schemeClr w14:val="tx1"/>
            </w14:solidFill>
          </w14:textFill>
        </w:rPr>
        <w:t>附表</w:t>
      </w:r>
      <w:bookmarkEnd w:id="17"/>
      <w:bookmarkEnd w:id="18"/>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b/>
          <w:bCs/>
          <w:snapToGrid w:val="0"/>
          <w:color w:val="000000" w:themeColor="text1"/>
          <w:sz w:val="32"/>
          <w:szCs w:val="32"/>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32"/>
          <w:szCs w:val="32"/>
          <w14:textFill>
            <w14:solidFill>
              <w14:schemeClr w14:val="tx1"/>
            </w14:solidFill>
          </w14:textFill>
        </w:rPr>
        <w:t>建设项目污染物排放量汇总表</w:t>
      </w:r>
    </w:p>
    <w:tbl>
      <w:tblPr>
        <w:tblStyle w:val="17"/>
        <w:tblpPr w:leftFromText="181" w:rightFromText="181" w:vertAnchor="text" w:tblpXSpec="center" w:tblpY="1"/>
        <w:tblOverlap w:val="never"/>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957"/>
        <w:gridCol w:w="1694"/>
        <w:gridCol w:w="1511"/>
        <w:gridCol w:w="1638"/>
        <w:gridCol w:w="1857"/>
        <w:gridCol w:w="1635"/>
        <w:gridCol w:w="1869"/>
        <w:gridCol w:w="1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tcBorders>
              <w:tl2br w:val="single" w:color="auto" w:sz="4" w:space="0"/>
            </w:tcBorders>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497" w:leftChars="207" w:firstLine="57" w:firstLineChars="25"/>
              <w:jc w:val="right"/>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项目</w:t>
            </w:r>
          </w:p>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left"/>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分类</w:t>
            </w:r>
          </w:p>
        </w:tc>
        <w:tc>
          <w:tcPr>
            <w:tcW w:w="663"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污染物名称</w:t>
            </w:r>
          </w:p>
        </w:tc>
        <w:tc>
          <w:tcPr>
            <w:tcW w:w="574"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现有工程排放量（固体废物产生量）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512"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现有工程许可排放量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555"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在建工程排放量（固体废物产生量）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629"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c>
          <w:tcPr>
            <w:tcW w:w="554"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p>
        </w:tc>
        <w:tc>
          <w:tcPr>
            <w:tcW w:w="633"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本项目建成后全厂排放量（固体废物产生量）</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p>
        </w:tc>
        <w:tc>
          <w:tcPr>
            <w:tcW w:w="424" w:type="pct"/>
            <w:noWrap w:val="0"/>
            <w:tcMar>
              <w:left w:w="108" w:type="dxa"/>
              <w:right w:w="108" w:type="dxa"/>
            </w:tcMar>
            <w:vAlign w:val="center"/>
          </w:tcPr>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变化量</w:t>
            </w:r>
          </w:p>
          <w:p>
            <w:pPr>
              <w:pStyle w:val="51"/>
              <w:keepNext w:val="0"/>
              <w:keepLines w:val="0"/>
              <w:pageBreakBefore w:val="0"/>
              <w:kinsoku/>
              <w:wordWrap/>
              <w:overflowPunct/>
              <w:topLinePunct w:val="0"/>
              <w:autoSpaceDE/>
              <w:autoSpaceDN/>
              <w:bidi w:val="0"/>
              <w:adjustRightInd/>
              <w:snapToGrid/>
              <w:spacing w:beforeLines="0" w:afterLines="0" w:line="300" w:lineRule="exact"/>
              <w:ind w:left="0" w:firstLine="0"/>
              <w:jc w:val="center"/>
              <w:textAlignment w:val="auto"/>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废气</w:t>
            </w: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颗粒物</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5.062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5.062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+5.0621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SO</w:t>
            </w:r>
            <w:r>
              <w:rPr>
                <w:rFonts w:hint="default" w:ascii="Times New Roman" w:hAnsi="Times New Roman" w:eastAsia="宋体" w:cs="Times New Roman"/>
                <w:snapToGrid w:val="0"/>
                <w:color w:val="000000" w:themeColor="text1"/>
                <w:kern w:val="0"/>
                <w:sz w:val="24"/>
                <w:szCs w:val="24"/>
                <w:vertAlign w:val="subscript"/>
                <w:lang w:val="en-US" w:eastAsia="zh-CN" w:bidi="ar"/>
                <w14:textFill>
                  <w14:solidFill>
                    <w14:schemeClr w14:val="tx1"/>
                  </w14:solidFill>
                </w14:textFill>
              </w:rPr>
              <w:t>2</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4.42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4.42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+4.42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NOx</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2.652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2.652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+2.652</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非甲烷总烃</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0.128</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0.128</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+0.128</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废水</w:t>
            </w: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CODcr</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0.1030</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0.1030</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+0.1030</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5</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0.0509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0.0509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+0.0509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SS</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.0697</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.0697</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.0697</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氨氮</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0.0119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0.0119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+0.0119</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总磷</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0.0014</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0.0014</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+0.0014</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动植物油</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0.0063</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0.0063</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c>
          <w:tcPr>
            <w:tcW w:w="42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+0.0063</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一般工业</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固体废物</w:t>
            </w: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生活垃圾</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化粪池污泥</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食堂泔水、隔油池废油</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0.968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0.968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0.968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灰渣</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布袋除尘灰</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15.272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15.272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15.272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危险废物</w:t>
            </w: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废机油</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p>
        </w:tc>
        <w:tc>
          <w:tcPr>
            <w:tcW w:w="663"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木焦油、木醋液</w:t>
            </w:r>
          </w:p>
        </w:tc>
        <w:tc>
          <w:tcPr>
            <w:tcW w:w="57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12"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555"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29"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3.45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554" w:type="pct"/>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p>
        </w:tc>
        <w:tc>
          <w:tcPr>
            <w:tcW w:w="633"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3.45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c>
          <w:tcPr>
            <w:tcW w:w="424" w:type="pct"/>
            <w:noWrap w:val="0"/>
            <w:tcMar>
              <w:left w:w="108" w:type="dxa"/>
              <w:right w:w="108" w:type="dxa"/>
            </w:tcMar>
            <w:vAlign w:val="center"/>
          </w:tcPr>
          <w:p>
            <w:pPr>
              <w:pStyle w:val="3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3.45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p>
        </w:tc>
      </w:tr>
    </w:tbl>
    <w:p>
      <w:pPr>
        <w:pStyle w:val="51"/>
        <w:spacing w:beforeLines="0" w:afterLines="0"/>
        <w:jc w:val="left"/>
        <w:outlineLvl w:val="9"/>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 w:val="24"/>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14:textFill>
            <w14:solidFill>
              <w14:schemeClr w14:val="tx1"/>
            </w14:solidFill>
          </w14:textFill>
        </w:rPr>
        <w:fldChar w:fldCharType="end"/>
      </w:r>
    </w:p>
    <w:p>
      <w:pPr>
        <w:keepNext w:val="0"/>
        <w:keepLines w:val="0"/>
        <w:pageBreakBefore w:val="0"/>
        <w:kinsoku/>
        <w:wordWrap/>
        <w:overflowPunct/>
        <w:topLinePunct w:val="0"/>
        <w:autoSpaceDE/>
        <w:autoSpaceDN/>
        <w:bidi w:val="0"/>
        <w:spacing w:line="24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（填写建设项目污染物排放量汇总表，其中现有工程污染物排放情况根据排污许可证执行报告填写，无排污许可证执行报告或执行报告中无相关内容的，通过监测数据核算现有工程污染物排放情况。）</w:t>
      </w:r>
    </w:p>
    <w:p>
      <w:pPr>
        <w:pStyle w:val="39"/>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sectPr>
      <w:footerReference r:id="rId7" w:type="default"/>
      <w:pgSz w:w="16838" w:h="11906"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Wingdings 2">
    <w:altName w:val="Wingdings"/>
    <w:panose1 w:val="05020102010507070707"/>
    <w:charset w:val="02"/>
    <w:family w:val="auto"/>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rFonts w:hint="eastAsia" w:ascii="宋体" w:hAnsi="宋体" w:eastAsia="宋体" w:cs="宋体"/>
        <w:snapToGrid w:val="0"/>
        <w:color w:val="000000" w:themeColor="text1"/>
        <w:kern w:val="0"/>
        <w:sz w:val="21"/>
        <w:szCs w:val="21"/>
        <w:lang w:val="en-US" w:eastAsia="zh-CN" w:bidi="ar"/>
        <w14:textFill>
          <w14:solidFill>
            <w14:schemeClr w14:val="tx1"/>
          </w14:solidFill>
        </w14:textFill>
      </w:rPr>
      <w:t>合创机制炭及生物质颗粒及生物质猫砂颗粒生产线项目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iODU4MjZhNTRkYmNjMzNhMGRmNzQ2ZDY5YmZjNWUifQ=="/>
    <w:docVar w:name="KSO_WPS_MARK_KEY" w:val="e2e8baa8-8120-451c-bb1f-614a46407cb9"/>
  </w:docVars>
  <w:rsids>
    <w:rsidRoot w:val="064A1DDA"/>
    <w:rsid w:val="04A008F7"/>
    <w:rsid w:val="064A1DDA"/>
    <w:rsid w:val="06B32B20"/>
    <w:rsid w:val="073752D5"/>
    <w:rsid w:val="08E47C43"/>
    <w:rsid w:val="0A082F04"/>
    <w:rsid w:val="0AB35BA4"/>
    <w:rsid w:val="0E7D75FB"/>
    <w:rsid w:val="0EA37614"/>
    <w:rsid w:val="0FA96905"/>
    <w:rsid w:val="11621A79"/>
    <w:rsid w:val="13A665FA"/>
    <w:rsid w:val="16016B22"/>
    <w:rsid w:val="183C5643"/>
    <w:rsid w:val="18E95585"/>
    <w:rsid w:val="19250671"/>
    <w:rsid w:val="1B8F2458"/>
    <w:rsid w:val="1DA77031"/>
    <w:rsid w:val="216F69CC"/>
    <w:rsid w:val="21B43E17"/>
    <w:rsid w:val="2710774C"/>
    <w:rsid w:val="27D20713"/>
    <w:rsid w:val="2CFE58EF"/>
    <w:rsid w:val="3152520E"/>
    <w:rsid w:val="32B5438E"/>
    <w:rsid w:val="36113459"/>
    <w:rsid w:val="37AE6612"/>
    <w:rsid w:val="3CD70CBD"/>
    <w:rsid w:val="3DC93FFB"/>
    <w:rsid w:val="3EC40142"/>
    <w:rsid w:val="410A1661"/>
    <w:rsid w:val="42960C59"/>
    <w:rsid w:val="446B77FC"/>
    <w:rsid w:val="46596C14"/>
    <w:rsid w:val="47884BE2"/>
    <w:rsid w:val="495E079C"/>
    <w:rsid w:val="548E5CAE"/>
    <w:rsid w:val="56604139"/>
    <w:rsid w:val="57020A61"/>
    <w:rsid w:val="58802E70"/>
    <w:rsid w:val="5A9425E8"/>
    <w:rsid w:val="5AF729B6"/>
    <w:rsid w:val="5C4077CF"/>
    <w:rsid w:val="5CAC5B93"/>
    <w:rsid w:val="61C346AD"/>
    <w:rsid w:val="61EB35CB"/>
    <w:rsid w:val="69733998"/>
    <w:rsid w:val="6A5203BA"/>
    <w:rsid w:val="6A6137B1"/>
    <w:rsid w:val="6C43317B"/>
    <w:rsid w:val="6CA95923"/>
    <w:rsid w:val="6EF82458"/>
    <w:rsid w:val="70BF691F"/>
    <w:rsid w:val="71C061E6"/>
    <w:rsid w:val="783562BD"/>
    <w:rsid w:val="79222FAB"/>
    <w:rsid w:val="7B2241CD"/>
    <w:rsid w:val="7CC52305"/>
    <w:rsid w:val="7ED56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Ascii" w:hAnsiTheme="minorAscii" w:eastAsiaTheme="minorEastAsia" w:cstheme="minorBidi"/>
      <w:snapToGrid w:val="0"/>
      <w:kern w:val="2"/>
      <w:sz w:val="24"/>
      <w:szCs w:val="22"/>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eastAsia" w:ascii="宋体" w:hAnsi="宋体" w:eastAsia="宋体" w:cs="Times New Roman"/>
      <w:kern w:val="2"/>
      <w:sz w:val="21"/>
      <w:szCs w:val="21"/>
      <w:lang w:val="en-US" w:eastAsia="zh-CN" w:bidi="ar"/>
    </w:rPr>
  </w:style>
  <w:style w:type="paragraph" w:styleId="3">
    <w:name w:val="Body Text Indent"/>
    <w:basedOn w:val="1"/>
    <w:qFormat/>
    <w:uiPriority w:val="0"/>
    <w:pPr>
      <w:spacing w:after="120"/>
      <w:ind w:left="420" w:leftChars="200"/>
    </w:pPr>
    <w:rPr>
      <w:kern w:val="0"/>
      <w:sz w:val="24"/>
      <w:szCs w:val="20"/>
    </w:rPr>
  </w:style>
  <w:style w:type="paragraph" w:styleId="5">
    <w:name w:val="Normal Indent"/>
    <w:basedOn w:val="1"/>
    <w:qFormat/>
    <w:uiPriority w:val="0"/>
    <w:pPr>
      <w:ind w:firstLine="420" w:firstLineChars="200"/>
    </w:pPr>
    <w:rPr>
      <w:sz w:val="21"/>
      <w:szCs w:val="20"/>
    </w:rPr>
  </w:style>
  <w:style w:type="paragraph" w:styleId="6">
    <w:name w:val="caption"/>
    <w:basedOn w:val="1"/>
    <w:next w:val="1"/>
    <w:qFormat/>
    <w:uiPriority w:val="0"/>
    <w:pPr>
      <w:adjustRightInd w:val="0"/>
      <w:snapToGrid w:val="0"/>
      <w:spacing w:line="360" w:lineRule="auto"/>
      <w:jc w:val="center"/>
    </w:pPr>
    <w:rPr>
      <w:rFonts w:ascii="Times New Roman" w:hAnsi="Times New Roman" w:eastAsia="宋体" w:cs="Times New Roman"/>
      <w:b/>
      <w:szCs w:val="20"/>
    </w:rPr>
  </w:style>
  <w:style w:type="paragraph" w:styleId="7">
    <w:name w:val="annotation text"/>
    <w:basedOn w:val="1"/>
    <w:semiHidden/>
    <w:qFormat/>
    <w:uiPriority w:val="0"/>
    <w:pPr>
      <w:jc w:val="left"/>
    </w:pPr>
    <w:rPr>
      <w:kern w:val="0"/>
      <w:sz w:val="24"/>
      <w:szCs w:val="20"/>
    </w:r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footer"/>
    <w:basedOn w:val="1"/>
    <w:qFormat/>
    <w:uiPriority w:val="99"/>
    <w:pPr>
      <w:tabs>
        <w:tab w:val="center" w:pos="4153"/>
        <w:tab w:val="right" w:pos="8306"/>
      </w:tabs>
      <w:snapToGrid w:val="0"/>
      <w:jc w:val="left"/>
    </w:pPr>
    <w:rPr>
      <w:kern w:val="0"/>
      <w:sz w:val="18"/>
      <w:szCs w:val="20"/>
    </w:rPr>
  </w:style>
  <w:style w:type="paragraph" w:styleId="10">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toc 1"/>
    <w:basedOn w:val="1"/>
    <w:next w:val="1"/>
    <w:qFormat/>
    <w:uiPriority w:val="0"/>
  </w:style>
  <w:style w:type="paragraph" w:styleId="12">
    <w:name w:val="List"/>
    <w:basedOn w:val="1"/>
    <w:qFormat/>
    <w:uiPriority w:val="0"/>
    <w:pPr>
      <w:ind w:left="420" w:hanging="420"/>
    </w:pPr>
    <w:rPr>
      <w:sz w:val="28"/>
      <w:szCs w:val="20"/>
    </w:rPr>
  </w:style>
  <w:style w:type="paragraph" w:styleId="13">
    <w:name w:val="Body Text Indent 3"/>
    <w:basedOn w:val="1"/>
    <w:unhideWhenUsed/>
    <w:qFormat/>
    <w:uiPriority w:val="99"/>
    <w:pPr>
      <w:spacing w:after="120"/>
      <w:ind w:left="420" w:leftChars="200"/>
    </w:pPr>
    <w:rPr>
      <w:rFonts w:ascii="Times New Roman" w:hAnsi="Times New Roman"/>
      <w:sz w:val="16"/>
      <w:szCs w:val="16"/>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Title"/>
    <w:basedOn w:val="1"/>
    <w:next w:val="1"/>
    <w:qFormat/>
    <w:uiPriority w:val="0"/>
    <w:pPr>
      <w:adjustRightInd w:val="0"/>
    </w:pPr>
    <w:rPr>
      <w:snapToGrid w:val="0"/>
      <w:kern w:val="0"/>
      <w:szCs w:val="20"/>
    </w:rPr>
  </w:style>
  <w:style w:type="paragraph" w:styleId="16">
    <w:name w:val="Body Text First Indent"/>
    <w:basedOn w:val="8"/>
    <w:next w:val="1"/>
    <w:qFormat/>
    <w:uiPriority w:val="0"/>
    <w:pPr>
      <w:spacing w:line="360" w:lineRule="auto"/>
      <w:ind w:firstLine="420" w:firstLineChars="100"/>
    </w:pPr>
    <w:rPr>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semiHidden/>
    <w:unhideWhenUsed/>
    <w:qFormat/>
    <w:uiPriority w:val="99"/>
    <w:rPr>
      <w:color w:val="0000FF"/>
      <w:u w:val="single"/>
    </w:rPr>
  </w:style>
  <w:style w:type="character" w:styleId="21">
    <w:name w:val="annotation reference"/>
    <w:basedOn w:val="19"/>
    <w:qFormat/>
    <w:uiPriority w:val="0"/>
    <w:rPr>
      <w:sz w:val="21"/>
      <w:szCs w:val="21"/>
    </w:rPr>
  </w:style>
  <w:style w:type="paragraph" w:customStyle="1" w:styleId="22">
    <w:name w:val="明显引用1"/>
    <w:basedOn w:val="1"/>
    <w:next w:val="1"/>
    <w:qFormat/>
    <w:uiPriority w:val="30"/>
    <w:pPr>
      <w:pBdr>
        <w:bottom w:val="single" w:color="4F81BD" w:sz="4" w:space="4"/>
      </w:pBdr>
      <w:ind w:left="936" w:right="936" w:firstLine="200" w:firstLineChars="200"/>
    </w:pPr>
    <w:rPr>
      <w:rFonts w:ascii="Times New Roman" w:hAnsi="Times New Roman" w:eastAsia="宋体" w:cs="Times New Roman"/>
      <w:b/>
      <w:bCs/>
      <w:iCs/>
      <w:sz w:val="24"/>
      <w:lang w:val="zh-CN"/>
    </w:rPr>
  </w:style>
  <w:style w:type="paragraph" w:customStyle="1" w:styleId="23">
    <w:name w:val="Table Text"/>
    <w:basedOn w:val="1"/>
    <w:semiHidden/>
    <w:qFormat/>
    <w:uiPriority w:val="0"/>
    <w:rPr>
      <w:rFonts w:ascii="宋体" w:hAnsi="宋体" w:cs="宋体"/>
      <w:sz w:val="22"/>
      <w:szCs w:val="22"/>
      <w:lang w:eastAsia="en-US"/>
    </w:rPr>
  </w:style>
  <w:style w:type="paragraph" w:customStyle="1" w:styleId="24">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25">
    <w:name w:val="S报告正文"/>
    <w:basedOn w:val="1"/>
    <w:qFormat/>
    <w:uiPriority w:val="0"/>
    <w:pPr>
      <w:adjustRightInd w:val="0"/>
      <w:snapToGrid w:val="0"/>
      <w:spacing w:line="480" w:lineRule="exact"/>
      <w:ind w:firstLine="510"/>
      <w:jc w:val="left"/>
    </w:pPr>
    <w:rPr>
      <w:sz w:val="24"/>
    </w:rPr>
  </w:style>
  <w:style w:type="paragraph" w:customStyle="1" w:styleId="26">
    <w:name w:val="三级标题"/>
    <w:basedOn w:val="1"/>
    <w:qFormat/>
    <w:uiPriority w:val="0"/>
    <w:pPr>
      <w:autoSpaceDE w:val="0"/>
      <w:autoSpaceDN w:val="0"/>
      <w:adjustRightInd w:val="0"/>
      <w:spacing w:before="120" w:after="120" w:line="440" w:lineRule="exact"/>
      <w:jc w:val="left"/>
    </w:pPr>
    <w:rPr>
      <w:rFonts w:ascii="黑体" w:hAnsi="ˎ̥" w:eastAsia="黑体" w:cs="宋体"/>
      <w:sz w:val="28"/>
      <w:szCs w:val="28"/>
    </w:rPr>
  </w:style>
  <w:style w:type="paragraph" w:styleId="27">
    <w:name w:val="No Spacing"/>
    <w:basedOn w:val="1"/>
    <w:qFormat/>
    <w:uiPriority w:val="0"/>
    <w:pPr>
      <w:autoSpaceDE w:val="0"/>
      <w:autoSpaceDN w:val="0"/>
      <w:adjustRightInd w:val="0"/>
      <w:spacing w:line="360" w:lineRule="auto"/>
      <w:jc w:val="center"/>
    </w:pPr>
    <w:rPr>
      <w:rFonts w:ascii="Times New Roman" w:hAnsi="Times New Roman"/>
      <w:kern w:val="0"/>
      <w:sz w:val="24"/>
      <w:szCs w:val="24"/>
    </w:rPr>
  </w:style>
  <w:style w:type="paragraph" w:customStyle="1" w:styleId="28">
    <w:name w:val="Default"/>
    <w:basedOn w:val="29"/>
    <w:next w:val="9"/>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文本"/>
    <w:basedOn w:val="5"/>
    <w:next w:val="1"/>
    <w:qFormat/>
    <w:uiPriority w:val="0"/>
    <w:pPr>
      <w:autoSpaceDE w:val="0"/>
      <w:autoSpaceDN w:val="0"/>
      <w:ind w:firstLine="480"/>
    </w:pPr>
    <w:rPr>
      <w:rFonts w:cs="Times New Roman"/>
      <w:szCs w:val="24"/>
      <w:lang w:val="zh-CN"/>
    </w:rPr>
  </w:style>
  <w:style w:type="paragraph" w:customStyle="1" w:styleId="3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报告表正文"/>
    <w:basedOn w:val="1"/>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32">
    <w:name w:val="正文1"/>
    <w:basedOn w:val="1"/>
    <w:next w:val="1"/>
    <w:qFormat/>
    <w:uiPriority w:val="0"/>
    <w:pPr>
      <w:spacing w:line="360" w:lineRule="auto"/>
      <w:ind w:firstLine="200" w:firstLineChars="200"/>
    </w:pPr>
    <w:rPr>
      <w:rFonts w:ascii="Times New Roman" w:hAnsi="Times New Roman"/>
      <w:sz w:val="24"/>
      <w:szCs w:val="22"/>
    </w:rPr>
  </w:style>
  <w:style w:type="paragraph" w:styleId="33">
    <w:name w:val="List Paragraph"/>
    <w:basedOn w:val="1"/>
    <w:qFormat/>
    <w:uiPriority w:val="99"/>
    <w:pPr>
      <w:ind w:firstLine="420" w:firstLineChars="200"/>
    </w:pPr>
  </w:style>
  <w:style w:type="paragraph" w:customStyle="1" w:styleId="34">
    <w:name w:val="F正文"/>
    <w:basedOn w:val="1"/>
    <w:qFormat/>
    <w:uiPriority w:val="0"/>
    <w:pPr>
      <w:ind w:firstLine="480"/>
      <w:jc w:val="left"/>
    </w:pPr>
    <w:rPr>
      <w:kern w:val="0"/>
    </w:rPr>
  </w:style>
  <w:style w:type="paragraph" w:customStyle="1" w:styleId="35">
    <w:name w:val="表格内容"/>
    <w:basedOn w:val="36"/>
    <w:qFormat/>
    <w:uiPriority w:val="0"/>
    <w:pPr>
      <w:spacing w:line="240" w:lineRule="auto"/>
      <w:ind w:firstLine="0" w:firstLineChars="0"/>
      <w:jc w:val="center"/>
    </w:pPr>
    <w:rPr>
      <w:sz w:val="21"/>
    </w:rPr>
  </w:style>
  <w:style w:type="paragraph" w:customStyle="1" w:styleId="36">
    <w:name w:val="表题"/>
    <w:basedOn w:val="1"/>
    <w:qFormat/>
    <w:uiPriority w:val="0"/>
    <w:pPr>
      <w:autoSpaceDE w:val="0"/>
      <w:autoSpaceDN w:val="0"/>
      <w:adjustRightInd w:val="0"/>
      <w:spacing w:line="360" w:lineRule="auto"/>
      <w:jc w:val="center"/>
    </w:pPr>
    <w:rPr>
      <w:b/>
    </w:rPr>
  </w:style>
  <w:style w:type="paragraph" w:customStyle="1" w:styleId="37">
    <w:name w:val="缩进文本"/>
    <w:basedOn w:val="1"/>
    <w:qFormat/>
    <w:uiPriority w:val="0"/>
    <w:pPr>
      <w:spacing w:line="360" w:lineRule="auto"/>
      <w:ind w:left="0" w:right="0" w:firstLine="1440" w:firstLineChars="200"/>
      <w:jc w:val="both"/>
    </w:pPr>
    <w:rPr>
      <w:rFonts w:ascii="Times New Roman" w:hAnsi="Times New Roman" w:eastAsia="宋体"/>
    </w:rPr>
  </w:style>
  <w:style w:type="paragraph" w:customStyle="1" w:styleId="38">
    <w:name w:val="Table Paragraph"/>
    <w:basedOn w:val="1"/>
    <w:qFormat/>
    <w:uiPriority w:val="1"/>
    <w:pPr>
      <w:autoSpaceDE w:val="0"/>
      <w:autoSpaceDN w:val="0"/>
      <w:spacing w:line="240" w:lineRule="auto"/>
      <w:ind w:firstLine="0" w:firstLineChars="0"/>
      <w:jc w:val="left"/>
    </w:pPr>
    <w:rPr>
      <w:rFonts w:ascii="宋体" w:hAnsi="宋体" w:cs="宋体"/>
      <w:kern w:val="0"/>
      <w:sz w:val="22"/>
      <w:szCs w:val="22"/>
      <w:lang w:eastAsia="en-US"/>
    </w:rPr>
  </w:style>
  <w:style w:type="paragraph" w:customStyle="1" w:styleId="39">
    <w:name w:val="正文环评"/>
    <w:basedOn w:val="1"/>
    <w:qFormat/>
    <w:uiPriority w:val="0"/>
    <w:rPr>
      <w:szCs w:val="22"/>
    </w:rPr>
  </w:style>
  <w:style w:type="paragraph" w:customStyle="1" w:styleId="40">
    <w:name w:val="环评正文"/>
    <w:basedOn w:val="1"/>
    <w:qFormat/>
    <w:uiPriority w:val="0"/>
    <w:pPr>
      <w:spacing w:line="360" w:lineRule="auto"/>
      <w:ind w:firstLine="480" w:firstLineChars="200"/>
    </w:pPr>
    <w:rPr>
      <w:rFonts w:ascii="Times New Roman" w:hAnsi="宋体"/>
      <w:kern w:val="0"/>
      <w:sz w:val="24"/>
      <w:szCs w:val="24"/>
    </w:rPr>
  </w:style>
  <w:style w:type="paragraph" w:customStyle="1" w:styleId="41">
    <w:name w:val="纯文本1"/>
    <w:basedOn w:val="1"/>
    <w:qFormat/>
    <w:uiPriority w:val="0"/>
    <w:pPr>
      <w:adjustRightInd w:val="0"/>
    </w:pPr>
    <w:rPr>
      <w:rFonts w:ascii="宋体" w:hAnsi="Courier New"/>
      <w:szCs w:val="20"/>
    </w:rPr>
  </w:style>
  <w:style w:type="paragraph" w:customStyle="1" w:styleId="42">
    <w:name w:val="文本正文"/>
    <w:basedOn w:val="1"/>
    <w:qFormat/>
    <w:uiPriority w:val="0"/>
    <w:pPr>
      <w:snapToGrid w:val="0"/>
      <w:spacing w:line="360" w:lineRule="auto"/>
      <w:ind w:firstLine="510"/>
      <w:jc w:val="left"/>
    </w:pPr>
    <w:rPr>
      <w:spacing w:val="4"/>
      <w:kern w:val="24"/>
      <w:szCs w:val="24"/>
      <w:lang w:val="zh-CN"/>
    </w:rPr>
  </w:style>
  <w:style w:type="paragraph" w:customStyle="1" w:styleId="43">
    <w:name w:val="表格标题"/>
    <w:basedOn w:val="31"/>
    <w:qFormat/>
    <w:uiPriority w:val="0"/>
    <w:pPr>
      <w:spacing w:line="240" w:lineRule="auto"/>
      <w:ind w:firstLine="0"/>
      <w:jc w:val="center"/>
    </w:pPr>
    <w:rPr>
      <w:rFonts w:ascii="Times New Roman" w:hAnsi="Times New Roman" w:eastAsia="Times New Roman"/>
      <w:b/>
    </w:rPr>
  </w:style>
  <w:style w:type="paragraph" w:customStyle="1" w:styleId="44">
    <w:name w:val="表格首行"/>
    <w:basedOn w:val="1"/>
    <w:qFormat/>
    <w:uiPriority w:val="0"/>
    <w:pPr>
      <w:jc w:val="center"/>
    </w:pPr>
    <w:rPr>
      <w:rFonts w:ascii="Times New Roman"/>
      <w:b/>
    </w:rPr>
  </w:style>
  <w:style w:type="paragraph" w:customStyle="1" w:styleId="45">
    <w:name w:val="表格文字2"/>
    <w:basedOn w:val="1"/>
    <w:next w:val="8"/>
    <w:qFormat/>
    <w:uiPriority w:val="0"/>
    <w:pPr>
      <w:spacing w:line="240" w:lineRule="auto"/>
      <w:jc w:val="center"/>
    </w:pPr>
    <w:rPr>
      <w:rFonts w:ascii="Times New Roman" w:hAnsi="Times New Roman"/>
      <w:sz w:val="21"/>
    </w:rPr>
  </w:style>
  <w:style w:type="paragraph" w:customStyle="1" w:styleId="46">
    <w:name w:val="表格 长文"/>
    <w:basedOn w:val="44"/>
    <w:qFormat/>
    <w:uiPriority w:val="0"/>
    <w:pPr>
      <w:ind w:firstLine="720" w:firstLineChars="200"/>
      <w:jc w:val="left"/>
    </w:pPr>
    <w:rPr>
      <w:b w:val="0"/>
    </w:rPr>
  </w:style>
  <w:style w:type="paragraph" w:customStyle="1" w:styleId="47">
    <w:name w:val="样式 标题 1 + 四号 段前: 0 磅 段后: 0 磅 行距: 1.5 倍行距"/>
    <w:basedOn w:val="48"/>
    <w:next w:val="42"/>
    <w:qFormat/>
    <w:uiPriority w:val="0"/>
    <w:pPr>
      <w:spacing w:line="360" w:lineRule="auto"/>
      <w:jc w:val="center"/>
    </w:pPr>
    <w:rPr>
      <w:rFonts w:hAnsi="黑体" w:eastAsia="宋体"/>
      <w:sz w:val="21"/>
    </w:rPr>
  </w:style>
  <w:style w:type="paragraph" w:customStyle="1" w:styleId="48">
    <w:name w:val="1正文"/>
    <w:basedOn w:val="1"/>
    <w:qFormat/>
    <w:uiPriority w:val="0"/>
    <w:pPr>
      <w:spacing w:line="500" w:lineRule="exact"/>
      <w:ind w:firstLine="588" w:firstLineChars="196"/>
    </w:pPr>
    <w:rPr>
      <w:rFonts w:eastAsia="楷体_GB2312"/>
      <w:sz w:val="30"/>
      <w:szCs w:val="30"/>
    </w:rPr>
  </w:style>
  <w:style w:type="paragraph" w:customStyle="1" w:styleId="49">
    <w:name w:val="表头"/>
    <w:basedOn w:val="12"/>
    <w:next w:val="1"/>
    <w:qFormat/>
    <w:uiPriority w:val="0"/>
    <w:pPr>
      <w:adjustRightInd w:val="0"/>
      <w:snapToGrid w:val="0"/>
      <w:spacing w:line="320" w:lineRule="exact"/>
      <w:jc w:val="center"/>
    </w:pPr>
  </w:style>
  <w:style w:type="paragraph" w:customStyle="1" w:styleId="50">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51">
    <w:name w:val="表格"/>
    <w:basedOn w:val="49"/>
    <w:next w:val="1"/>
    <w:qFormat/>
    <w:uiPriority w:val="0"/>
    <w:pPr>
      <w:adjustRightInd w:val="0"/>
      <w:snapToGrid w:val="0"/>
      <w:spacing w:beforeLines="10" w:afterLines="10" w:line="259" w:lineRule="auto"/>
      <w:jc w:val="center"/>
    </w:pPr>
    <w:rPr>
      <w:rFonts w:ascii="宋体"/>
      <w:kern w:val="0"/>
      <w:szCs w:val="20"/>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paragraph" w:customStyle="1" w:styleId="53">
    <w:name w:val="正文LTT"/>
    <w:basedOn w:val="1"/>
    <w:qFormat/>
    <w:uiPriority w:val="0"/>
    <w:pPr>
      <w:spacing w:line="360" w:lineRule="auto"/>
      <w:ind w:firstLine="440" w:firstLineChars="200"/>
    </w:pPr>
    <w:rPr>
      <w:sz w:val="24"/>
    </w:rPr>
  </w:style>
  <w:style w:type="paragraph" w:customStyle="1" w:styleId="54">
    <w:name w:val="表格文字"/>
    <w:basedOn w:val="1"/>
    <w:qFormat/>
    <w:uiPriority w:val="0"/>
    <w:pPr>
      <w:jc w:val="center"/>
    </w:pPr>
    <w:rPr>
      <w:rFonts w:ascii="仿宋_GB2312" w:hAnsi="Arial Black" w:eastAsia="仿宋_GB2312"/>
      <w:kern w:val="44"/>
      <w:sz w:val="24"/>
    </w:r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8.wmf"/><Relationship Id="rId37" Type="http://schemas.openxmlformats.org/officeDocument/2006/relationships/oleObject" Target="embeddings/oleObject12.bin"/><Relationship Id="rId36" Type="http://schemas.openxmlformats.org/officeDocument/2006/relationships/image" Target="media/image17.jpeg"/><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7.bin"/><Relationship Id="rId24" Type="http://schemas.openxmlformats.org/officeDocument/2006/relationships/image" Target="media/image10.png"/><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1355</Words>
  <Characters>1474</Characters>
  <Lines>0</Lines>
  <Paragraphs>0</Paragraphs>
  <TotalTime>1</TotalTime>
  <ScaleCrop>false</ScaleCrop>
  <LinksUpToDate>false</LinksUpToDate>
  <CharactersWithSpaces>1528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2024-09-27T03:10:00Z</dcterms:created>
  <dc:creator>番长座头市</dc:creator>
  <cp:lastModifiedBy>蒙永银</cp:lastModifiedBy>
  <dcterms:modified xsi:type="dcterms:W3CDTF">2024-12-02T03:24:49Z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198B8635C94B4CCC8DD9245363B09831_11</vt:lpwstr>
  </property>
</Properties>
</file>