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77784">
      <w:pPr>
        <w:tabs>
          <w:tab w:val="left" w:pos="636"/>
          <w:tab w:val="center" w:pos="4653"/>
        </w:tabs>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US"/>
        </w:rPr>
        <w:t>3</w:t>
      </w:r>
      <w:r>
        <w:rPr>
          <w:rFonts w:hint="eastAsia" w:ascii="方正小标宋_GBK" w:hAnsi="方正小标宋_GBK" w:eastAsia="方正小标宋_GBK" w:cs="方正小标宋_GBK"/>
          <w:sz w:val="44"/>
          <w:szCs w:val="44"/>
        </w:rPr>
        <w:t>年砚山县</w:t>
      </w:r>
      <w:r>
        <w:rPr>
          <w:rFonts w:hint="eastAsia" w:ascii="方正小标宋_GBK" w:hAnsi="黑体" w:eastAsia="方正小标宋_GBK" w:cs="黑体"/>
          <w:sz w:val="44"/>
          <w:szCs w:val="44"/>
        </w:rPr>
        <w:t>重大政策和</w:t>
      </w:r>
      <w:r>
        <w:rPr>
          <w:rFonts w:hint="eastAsia" w:ascii="方正小标宋_GBK" w:hAnsi="方正小标宋_GBK" w:eastAsia="方正小标宋_GBK" w:cs="方正小标宋_GBK"/>
          <w:sz w:val="44"/>
          <w:szCs w:val="44"/>
        </w:rPr>
        <w:t>重点项目</w:t>
      </w:r>
    </w:p>
    <w:p w14:paraId="53B55332">
      <w:pPr>
        <w:tabs>
          <w:tab w:val="left" w:pos="636"/>
          <w:tab w:val="center" w:pos="4653"/>
        </w:tabs>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绩效目标说明</w:t>
      </w:r>
    </w:p>
    <w:p w14:paraId="3B1968C0">
      <w:pPr>
        <w:ind w:firstLine="640" w:firstLineChars="200"/>
        <w:rPr>
          <w:rFonts w:ascii="方正仿宋_GBK" w:hAnsi="方正仿宋_GBK" w:eastAsia="方正仿宋_GBK" w:cs="方正仿宋_GBK"/>
          <w:sz w:val="32"/>
          <w:szCs w:val="32"/>
        </w:rPr>
      </w:pPr>
    </w:p>
    <w:p w14:paraId="65AB7EEA">
      <w:pPr>
        <w:spacing w:line="520" w:lineRule="exact"/>
        <w:ind w:firstLine="640" w:firstLineChars="200"/>
        <w:rPr>
          <w:rFonts w:hint="eastAsia" w:eastAsia="方正仿宋_GBK"/>
          <w:sz w:val="32"/>
          <w:szCs w:val="32"/>
          <w:lang w:val="en-US" w:eastAsia="zh-CN"/>
        </w:rPr>
      </w:pPr>
      <w:r>
        <w:rPr>
          <w:rFonts w:hint="eastAsia" w:ascii="方正仿宋_GBK" w:hAnsi="方正仿宋_GBK" w:eastAsia="方正仿宋_GBK" w:cs="方正仿宋_GBK"/>
          <w:sz w:val="32"/>
          <w:szCs w:val="32"/>
        </w:rPr>
        <w:t>为认真贯彻落实省州全面实施预算绩效管理工作部署，</w:t>
      </w:r>
      <w:r>
        <w:rPr>
          <w:rFonts w:eastAsia="方正仿宋_GBK"/>
          <w:sz w:val="32"/>
          <w:szCs w:val="32"/>
        </w:rPr>
        <w:t>进一步加强财政资金支出项目绩效监管，促进部门从整体上提升预算绩效管理水平，强化部门支出责任，规范资金管理行为，提高财政资金使用效益。</w:t>
      </w:r>
      <w:r>
        <w:rPr>
          <w:rFonts w:hint="eastAsia" w:eastAsia="方正仿宋_GBK"/>
          <w:sz w:val="32"/>
          <w:szCs w:val="32"/>
        </w:rPr>
        <w:t>砚山县财政局组织开展了重点项目绩效评价工作，现将</w:t>
      </w:r>
      <w:r>
        <w:rPr>
          <w:rFonts w:hint="eastAsia" w:eastAsia="方正仿宋_GBK"/>
          <w:sz w:val="32"/>
          <w:szCs w:val="32"/>
          <w:lang w:val="en-US" w:eastAsia="zh-CN"/>
        </w:rPr>
        <w:t>2023年度</w:t>
      </w:r>
      <w:r>
        <w:rPr>
          <w:rFonts w:hint="eastAsia" w:eastAsia="方正仿宋_GBK"/>
          <w:sz w:val="32"/>
          <w:szCs w:val="32"/>
        </w:rPr>
        <w:t>重大政策和重点项目绩效目标工作</w:t>
      </w:r>
      <w:r>
        <w:rPr>
          <w:rFonts w:hint="eastAsia" w:eastAsia="方正仿宋_GBK"/>
          <w:sz w:val="32"/>
          <w:szCs w:val="32"/>
          <w:lang w:eastAsia="zh-CN"/>
        </w:rPr>
        <w:t>做如下说明</w:t>
      </w:r>
      <w:r>
        <w:rPr>
          <w:rFonts w:hint="eastAsia" w:eastAsia="方正仿宋_GBK"/>
          <w:sz w:val="32"/>
          <w:szCs w:val="32"/>
        </w:rPr>
        <w:t>：</w:t>
      </w:r>
      <w:r>
        <w:rPr>
          <w:rFonts w:hint="eastAsia" w:eastAsia="方正仿宋_GBK"/>
          <w:sz w:val="32"/>
          <w:szCs w:val="32"/>
          <w:lang w:val="en-US" w:eastAsia="zh-CN"/>
        </w:rPr>
        <w:t xml:space="preserve"> </w:t>
      </w:r>
    </w:p>
    <w:p w14:paraId="1B2C09C2">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一、预算绩效管理整体情况</w:t>
      </w:r>
    </w:p>
    <w:p w14:paraId="3C0E5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val="en-US" w:eastAsia="zh-CN"/>
        </w:rPr>
      </w:pPr>
      <w:r>
        <w:rPr>
          <w:rFonts w:hint="eastAsia" w:ascii="方正楷体_GBK" w:hAnsi="方正楷体_GBK" w:eastAsia="方正楷体_GBK" w:cs="方正楷体_GBK"/>
          <w:sz w:val="32"/>
          <w:szCs w:val="32"/>
        </w:rPr>
        <w:t>一是健全绩效体系，落实预算绩效管理制度。</w:t>
      </w:r>
      <w:r>
        <w:rPr>
          <w:rFonts w:hint="eastAsia" w:ascii="方正仿宋_GBK" w:hAnsi="方正仿宋_GBK" w:eastAsia="方正仿宋_GBK" w:cs="方正仿宋_GBK"/>
          <w:color w:val="auto"/>
          <w:sz w:val="32"/>
          <w:szCs w:val="32"/>
          <w:highlight w:val="none"/>
          <w:shd w:val="clear" w:color="auto" w:fill="auto"/>
          <w:lang w:val="en-US" w:eastAsia="zh-CN"/>
        </w:rPr>
        <w:t>我县出台了《砚山县人民政府办公室关于全面推进预算绩效管理改革的实施意见（试行）》、《砚山县财政支出绩效评价管理暂行办法》、《砚山县本级项目支出事前绩效评估管理实施办法》、《砚山县财政专项资金绩效跟踪管理暂行办法》、《砚山县本级绩效评价结果应用办法（试行）》等绩效管理办法，这些制度的建立和实施，具体明确了财政支出绩效评价工作的管理职责、预算绩效监控管理的对象和内容、绩效目标、绩效管理指标、评价标准和方法、组织管理、操作流程等相关要求，为建立科学、规范、高效的财政资金使用和管理体系提供了制度保障。</w:t>
      </w:r>
    </w:p>
    <w:p w14:paraId="20E46DAC">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二是建立指标体系，完善预算绩效评价内容。</w:t>
      </w:r>
      <w:r>
        <w:rPr>
          <w:rFonts w:hint="eastAsia" w:ascii="方正仿宋_GBK" w:hAnsi="方正仿宋_GBK" w:eastAsia="方正仿宋_GBK" w:cs="方正仿宋_GBK"/>
          <w:sz w:val="32"/>
          <w:szCs w:val="32"/>
        </w:rPr>
        <w:t>完善《财政支出绩效目标申报表》，设立项目绩效目标、长期绩效指标、年度绩效指标等内容。各模块内容主要包括产出指标、效益指标、满意度指标等一级指标，根据一级指标设立数量指标、质量指标、时效指标、经济效益、社会效益、服务对象满意度等二级指标。根据二级指标具体量化、细化制定三级指标。</w:t>
      </w:r>
    </w:p>
    <w:p w14:paraId="64168002">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三是深化绩效管理，强化绩效评价结果应用。</w:t>
      </w:r>
      <w:r>
        <w:rPr>
          <w:rFonts w:hint="eastAsia" w:ascii="方正仿宋_GBK" w:hAnsi="方正仿宋_GBK" w:eastAsia="方正仿宋_GBK" w:cs="方正仿宋_GBK"/>
          <w:sz w:val="32"/>
          <w:szCs w:val="32"/>
        </w:rPr>
        <w:t>严格执行全口径预算编制、审查和执行，紧盯重点领域、关键环节和审查审批，健全事前、事中、事后绩效管理，强化预算执行跟踪问效。强化预算绩效评价结果应用，以各部门申报的绩效目标及绩效评价为依据，将绩效评价结果作为安排下一会计年度预算的重要参考内容，优化了预算资金配置和效益，不断提高了预算透明度和资金绩效。</w:t>
      </w:r>
    </w:p>
    <w:p w14:paraId="181360D3">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二、重点项目绩效评价情况</w:t>
      </w:r>
    </w:p>
    <w:p w14:paraId="05176F2D">
      <w:pPr>
        <w:spacing w:line="560" w:lineRule="exact"/>
        <w:ind w:firstLineChars="200"/>
        <w:rPr>
          <w:rFonts w:ascii="Times New Roman" w:hAnsi="Times New Roman" w:eastAsia="方正仿宋_GBK" w:cs="Times New Roman"/>
          <w:spacing w:val="5"/>
          <w:sz w:val="32"/>
          <w:szCs w:val="32"/>
          <w:shd w:val="clear" w:color="auto" w:fill="FFFFFF"/>
        </w:rPr>
      </w:pPr>
      <w:r>
        <w:rPr>
          <w:rFonts w:ascii="Times New Roman" w:hAnsi="Times New Roman" w:eastAsia="方正仿宋_GBK" w:cs="Times New Roman"/>
          <w:spacing w:val="5"/>
          <w:sz w:val="32"/>
          <w:szCs w:val="32"/>
          <w:shd w:val="clear" w:color="auto" w:fill="FFFFFF"/>
          <w:lang w:val="en-US"/>
        </w:rPr>
        <w:t>根据各预算单位对2022年度预算支出开展的绩效自评及财政部门抽查情况，下发《 砚山县财政局关于开展2022年度预算支出绩效重点评价工作的通知》（砚财发〔2023〕41号）文件，根据县委</w:t>
      </w:r>
      <w:r>
        <w:rPr>
          <w:rFonts w:hint="eastAsia" w:ascii="Times New Roman" w:hAnsi="Times New Roman" w:eastAsia="方正仿宋_GBK" w:cs="Times New Roman"/>
          <w:spacing w:val="5"/>
          <w:sz w:val="32"/>
          <w:szCs w:val="32"/>
          <w:shd w:val="clear" w:color="auto" w:fill="FFFFFF"/>
          <w:lang w:val="en-US" w:eastAsia="zh-CN"/>
        </w:rPr>
        <w:t>、县</w:t>
      </w:r>
      <w:bookmarkStart w:id="0" w:name="_GoBack"/>
      <w:bookmarkEnd w:id="0"/>
      <w:r>
        <w:rPr>
          <w:rFonts w:ascii="Times New Roman" w:hAnsi="Times New Roman" w:eastAsia="方正仿宋_GBK" w:cs="Times New Roman"/>
          <w:spacing w:val="5"/>
          <w:sz w:val="32"/>
          <w:szCs w:val="32"/>
          <w:shd w:val="clear" w:color="auto" w:fill="FFFFFF"/>
          <w:lang w:val="en-US"/>
        </w:rPr>
        <w:t>政府确定的工作任务和财政支出重点方向，确定开展年度重点评价预算项目。各业务股室在预算单位自评的基础上，结合部门特点，选择代表性强、社会关注度高的项目，由绩效管理中心上报局领导班子研究决定财政再评价单位和项目，具体为：对2022年城乡居民基本医疗保险补助、2022年公厕建设项目、2022年省级专项彩票公益金（第二批）项目资金（维摩彝族乡海子边村委会浴仙湖二组、以那嘎、迷你克村小组太阳能 路灯建设资金）（八嘎乡三星村委会石岩脚村路灯建设资金）、2022年国有企业退休人员社会化管理中央补助资金、云南绿色铝创新产业园基础设施（二期）建设项目、2022年城市维护费等6个项目进行重点项目绩效评价，评价金额54936.39万元。财政重点评价采取聘请第三方评价方式开展重点评价，绩效管理中心对第三方工作质量进行监督管理和实施考核，推动提高评价的客观性和公正性。评价结果作为下一年度安排预算管理、完善政策和改进管理的重要依据。对绩效评价结果较好的单位和项目，将在下年度财政预算安排时予以优先考虑和适当倾斜；对评价结果较差的单位和项目，要扣减或取消下年预算。</w:t>
      </w:r>
    </w:p>
    <w:p w14:paraId="7E164686">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三、下阶段加强预算绩效管理的工作举措</w:t>
      </w:r>
    </w:p>
    <w:p w14:paraId="7B412885">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1.进一步加强绩效管理工作培训和宣传力度。</w:t>
      </w:r>
      <w:r>
        <w:rPr>
          <w:rFonts w:ascii="Times New Roman" w:hAnsi="Times New Roman" w:eastAsia="方正仿宋_GBK" w:cs="Times New Roman"/>
          <w:kern w:val="0"/>
          <w:sz w:val="32"/>
          <w:szCs w:val="32"/>
        </w:rPr>
        <w:t>一是要加大预算绩效管理基础理论和实务操作统一培训力度，对各预算主管部门、预算单位等多层次进行辅导和培训。</w:t>
      </w:r>
    </w:p>
    <w:p w14:paraId="2A2C7603">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2.进一步加</w:t>
      </w:r>
      <w:r>
        <w:rPr>
          <w:rFonts w:hint="eastAsia" w:ascii="Times New Roman" w:hAnsi="Times New Roman" w:eastAsia="方正楷体_GBK" w:cs="Times New Roman"/>
          <w:kern w:val="0"/>
          <w:sz w:val="32"/>
          <w:szCs w:val="32"/>
        </w:rPr>
        <w:t>强事前绩效评估和</w:t>
      </w:r>
      <w:r>
        <w:rPr>
          <w:rFonts w:ascii="Times New Roman" w:hAnsi="Times New Roman" w:eastAsia="方正楷体_GBK" w:cs="Times New Roman"/>
          <w:kern w:val="0"/>
          <w:sz w:val="32"/>
          <w:szCs w:val="32"/>
        </w:rPr>
        <w:t>项目绩效目标管理。</w:t>
      </w:r>
      <w:r>
        <w:rPr>
          <w:rFonts w:ascii="Times New Roman" w:hAnsi="Times New Roman" w:eastAsia="方正仿宋_GBK" w:cs="Times New Roman"/>
          <w:kern w:val="0"/>
          <w:sz w:val="32"/>
          <w:szCs w:val="32"/>
        </w:rPr>
        <w:t>依据国家相关政策、财政支出方向和重点、部门职能及事业发展规划等预算单位提出的绩效目标进行审核，包括绩效目标与部门职能的相关性、绩效目标的实现所采取措施的可行性、实现绩效目标所需资金的合理性等。</w:t>
      </w:r>
    </w:p>
    <w:p w14:paraId="5B5AB53A">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3.进一步加强预算支出整体和项目绩效评价。</w:t>
      </w:r>
      <w:r>
        <w:rPr>
          <w:rFonts w:ascii="Times New Roman" w:hAnsi="Times New Roman" w:eastAsia="方正仿宋_GBK" w:cs="Times New Roman"/>
          <w:kern w:val="0"/>
          <w:sz w:val="32"/>
          <w:szCs w:val="32"/>
        </w:rPr>
        <w:t>继续加大预算支出财政</w:t>
      </w:r>
      <w:r>
        <w:rPr>
          <w:rFonts w:hint="eastAsia" w:ascii="Times New Roman" w:hAnsi="Times New Roman" w:eastAsia="方正仿宋_GBK" w:cs="Times New Roman"/>
          <w:kern w:val="0"/>
          <w:sz w:val="32"/>
          <w:szCs w:val="32"/>
        </w:rPr>
        <w:t>重点</w:t>
      </w:r>
      <w:r>
        <w:rPr>
          <w:rFonts w:ascii="Times New Roman" w:hAnsi="Times New Roman" w:eastAsia="方正仿宋_GBK" w:cs="Times New Roman"/>
          <w:kern w:val="0"/>
          <w:sz w:val="32"/>
          <w:szCs w:val="32"/>
        </w:rPr>
        <w:t>评价工作力度。选取一些重点单位和项目，积极引入有资质的第三方开展重点绩效评价，认真分析研究评价结果所反映的问题，努力查找资金的使用和管理中的薄弱环节，制定改进和提高工作的措施。</w:t>
      </w:r>
    </w:p>
    <w:p w14:paraId="35511B3B">
      <w:pPr>
        <w:ind w:firstLine="640" w:firstLineChars="200"/>
        <w:rPr>
          <w:rFonts w:ascii="方正仿宋_GBK" w:hAnsi="方正仿宋_GBK" w:eastAsia="方正仿宋_GBK" w:cs="方正仿宋_GBK"/>
          <w:sz w:val="32"/>
          <w:szCs w:val="32"/>
        </w:rPr>
      </w:pPr>
      <w:r>
        <w:rPr>
          <w:rFonts w:ascii="Times New Roman" w:hAnsi="Times New Roman" w:eastAsia="方正楷体_GBK" w:cs="Times New Roman"/>
          <w:kern w:val="0"/>
          <w:sz w:val="32"/>
          <w:szCs w:val="32"/>
        </w:rPr>
        <w:t>4.进一步加强绩效评价结果运用。</w:t>
      </w:r>
      <w:r>
        <w:rPr>
          <w:rFonts w:ascii="Times New Roman" w:hAnsi="Times New Roman" w:eastAsia="方正仿宋_GBK" w:cs="Times New Roman"/>
          <w:kern w:val="0"/>
          <w:sz w:val="32"/>
          <w:szCs w:val="32"/>
        </w:rPr>
        <w:t>建立评价结果与预算安排有机结合机制，将评价结果作为安排以后年度预算的重要依据，优先考虑和重点支持评价结果好的项目，减少评价结果差的项目资金安排，取消无绩效或低绩效项目，切实发挥绩效评价工作的应有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RiMWViYzFjZTdhMzgwMjZjZTQ3NTRmMzNhOTBjMmUifQ=="/>
  </w:docVars>
  <w:rsids>
    <w:rsidRoot w:val="00000000"/>
    <w:rsid w:val="07903838"/>
    <w:rsid w:val="09AD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Normal Indent"/>
    <w:basedOn w:val="1"/>
    <w:qFormat/>
    <w:uiPriority w:val="0"/>
    <w:pPr>
      <w:ind w:firstLine="420"/>
    </w:pPr>
  </w:style>
  <w:style w:type="paragraph" w:styleId="5">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4</Pages>
  <Words>1753</Words>
  <Characters>1795</Characters>
  <Paragraphs>14</Paragraphs>
  <TotalTime>17</TotalTime>
  <ScaleCrop>false</ScaleCrop>
  <LinksUpToDate>false</LinksUpToDate>
  <CharactersWithSpaces>1798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2022-11-07T02:25:00Z</dcterms:created>
  <dc:creator>小邦1408932193</dc:creator>
  <cp:lastModifiedBy>香香</cp:lastModifiedBy>
  <dcterms:modified xsi:type="dcterms:W3CDTF">2024-08-12T03:04:38Z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02b1632f11ab4a12bbfd5c30e0f75dfd_23</vt:lpwstr>
  </property>
</Properties>
</file>