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ED21B">
      <w:pPr>
        <w:pStyle w:val="7"/>
        <w:ind w:firstLine="0" w:firstLineChars="0"/>
        <w:jc w:val="center"/>
        <w:rPr>
          <w:rFonts w:hint="eastAsia" w:ascii="方正小标宋_GBK" w:hAnsi="方正粗黑宋简体" w:eastAsia="方正小标宋_GBK"/>
          <w:sz w:val="40"/>
          <w:highlight w:val="none"/>
        </w:rPr>
      </w:pPr>
      <w:r>
        <w:rPr>
          <w:rFonts w:hint="eastAsia" w:ascii="方正小标宋_GBK" w:hAnsi="方正粗黑宋简体" w:eastAsia="方正小标宋_GBK"/>
          <w:sz w:val="40"/>
          <w:highlight w:val="none"/>
        </w:rPr>
        <w:t>202</w:t>
      </w:r>
      <w:r>
        <w:rPr>
          <w:rFonts w:hint="eastAsia" w:ascii="方正小标宋_GBK" w:hAnsi="方正粗黑宋简体" w:eastAsia="方正小标宋_GBK"/>
          <w:sz w:val="40"/>
          <w:highlight w:val="none"/>
          <w:lang w:val="en-US" w:eastAsia="zh-CN"/>
        </w:rPr>
        <w:t>3</w:t>
      </w:r>
      <w:r>
        <w:rPr>
          <w:rFonts w:hint="eastAsia" w:ascii="方正小标宋_GBK" w:hAnsi="方正粗黑宋简体" w:eastAsia="方正小标宋_GBK"/>
          <w:sz w:val="40"/>
          <w:highlight w:val="none"/>
        </w:rPr>
        <w:t>年砚山县上级转移支付决算的说明</w:t>
      </w:r>
    </w:p>
    <w:p w14:paraId="1614E71A">
      <w:pPr>
        <w:pStyle w:val="17"/>
        <w:numPr>
          <w:ilvl w:val="0"/>
          <w:numId w:val="1"/>
        </w:numPr>
        <w:spacing w:line="560" w:lineRule="exact"/>
        <w:ind w:firstLineChars="0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一般公共预算转移支付决算情况</w:t>
      </w:r>
    </w:p>
    <w:p w14:paraId="4FA91EF0">
      <w:pPr>
        <w:spacing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color w:val="auto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</w:rPr>
        <w:t>砚山县202</w:t>
      </w: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</w:rPr>
        <w:t>年一般公共预算收入 75,055 万元、返还性收入 6,646万元、上级一般性转移支付补助 279,845 万元、上年结转结余收入 7,167 万元、专项转移支付补助 55,784 万元，调入资金 6,504 万元，债券转贷收入 280,873 万元</w:t>
      </w: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</w:rPr>
        <w:t xml:space="preserve">动用预算稳定调节基金 26,696 </w:t>
      </w: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  <w:lang w:eastAsia="zh-CN"/>
        </w:rPr>
        <w:t>万元</w:t>
      </w: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</w:rPr>
        <w:t>。202</w:t>
      </w: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</w:rPr>
        <w:t>年一般公共预算支出 391,251 万元，上解支出 20,445万元，</w:t>
      </w: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  <w:lang w:eastAsia="zh-CN"/>
        </w:rPr>
        <w:t>调出资金11,598万元，</w:t>
      </w: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</w:rPr>
        <w:t>债券还本支出 280,959 万元，安排预算稳定调节基金 3,058万元，年终结余 31,259</w:t>
      </w: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  <w:lang w:eastAsia="zh-CN"/>
        </w:rPr>
        <w:t>万元。</w:t>
      </w: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</w:rPr>
        <w:t>与202</w:t>
      </w: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</w:rPr>
        <w:t>年地方财政可用财力相抵，收大于支，结余 31,259万元，其中：结转下年支出</w:t>
      </w: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  <w:lang w:val="en-US" w:eastAsia="zh-CN"/>
        </w:rPr>
        <w:t>31259</w:t>
      </w: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</w:rPr>
        <w:t>万元，做到了收支平衡。</w:t>
      </w:r>
    </w:p>
    <w:p w14:paraId="146DC39E">
      <w:pPr>
        <w:spacing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color w:val="auto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</w:rPr>
        <w:t>具体情况如下：</w:t>
      </w:r>
    </w:p>
    <w:p w14:paraId="56746CD1">
      <w:pPr>
        <w:pStyle w:val="17"/>
        <w:numPr>
          <w:ilvl w:val="1"/>
          <w:numId w:val="1"/>
        </w:numPr>
        <w:spacing w:line="560" w:lineRule="exact"/>
        <w:ind w:left="0" w:firstLine="567" w:firstLineChars="0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返还性收入决算数为 6,646 万元，为上年决算数的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val="en-US" w:eastAsia="zh-CN"/>
        </w:rPr>
        <w:t>99.55</w:t>
      </w:r>
      <w:r>
        <w:rPr>
          <w:rFonts w:hint="eastAsia" w:ascii="Times New Roman" w:hAnsi="Times New Roman" w:eastAsia="仿宋_GB2312" w:cs="方正仿宋简体"/>
          <w:szCs w:val="30"/>
          <w:highlight w:val="none"/>
        </w:rPr>
        <w:t>%。其中：</w:t>
      </w:r>
    </w:p>
    <w:p w14:paraId="4D6C9F5E">
      <w:pPr>
        <w:pStyle w:val="17"/>
        <w:numPr>
          <w:ilvl w:val="0"/>
          <w:numId w:val="2"/>
        </w:numPr>
        <w:spacing w:before="0" w:beforeAutospacing="0" w:after="0" w:afterAutospacing="0" w:line="560" w:lineRule="exact"/>
        <w:ind w:left="0" w:firstLine="564" w:firstLineChars="0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所得税基数返还收入决算数为 670 万元，为上年决算数的100%。</w:t>
      </w:r>
    </w:p>
    <w:p w14:paraId="3BFE7FC9">
      <w:pPr>
        <w:pStyle w:val="17"/>
        <w:numPr>
          <w:ilvl w:val="0"/>
          <w:numId w:val="2"/>
        </w:numPr>
        <w:spacing w:before="0" w:beforeAutospacing="0" w:after="0" w:afterAutospacing="0" w:line="560" w:lineRule="exact"/>
        <w:ind w:left="0" w:firstLine="564" w:firstLineChars="0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增值税税收返还收入决算数为1771万元，为上年决算数的100%。</w:t>
      </w:r>
    </w:p>
    <w:p w14:paraId="1960ACA0">
      <w:pPr>
        <w:pStyle w:val="17"/>
        <w:numPr>
          <w:ilvl w:val="0"/>
          <w:numId w:val="2"/>
        </w:numPr>
        <w:spacing w:before="0" w:beforeAutospacing="0" w:after="0" w:afterAutospacing="0" w:line="560" w:lineRule="exact"/>
        <w:ind w:left="0" w:firstLine="564" w:firstLineChars="0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增值税“五五分享”税收返还收入决算数为4205万元为上年决算数的10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方正仿宋简体"/>
          <w:szCs w:val="30"/>
          <w:highlight w:val="none"/>
        </w:rPr>
        <w:t>%。</w:t>
      </w:r>
    </w:p>
    <w:p w14:paraId="3102D496">
      <w:pPr>
        <w:pStyle w:val="17"/>
        <w:numPr>
          <w:ilvl w:val="0"/>
          <w:numId w:val="2"/>
        </w:numPr>
        <w:spacing w:before="0" w:beforeAutospacing="0" w:after="0" w:afterAutospacing="0" w:line="560" w:lineRule="exact"/>
        <w:ind w:left="0" w:firstLine="564" w:firstLineChars="0"/>
        <w:jc w:val="both"/>
        <w:rPr>
          <w:rFonts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其他返还性收入决算数为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方正仿宋简体"/>
          <w:szCs w:val="30"/>
          <w:highlight w:val="none"/>
        </w:rPr>
        <w:t>万元，上年决算数为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val="en-US" w:eastAsia="zh-CN"/>
        </w:rPr>
        <w:t>30</w:t>
      </w:r>
      <w:r>
        <w:rPr>
          <w:rFonts w:ascii="Times New Roman" w:hAnsi="Times New Roman" w:eastAsia="仿宋_GB2312" w:cs="方正仿宋简体"/>
          <w:szCs w:val="30"/>
          <w:highlight w:val="none"/>
        </w:rPr>
        <w:t>万元</w:t>
      </w:r>
      <w:r>
        <w:rPr>
          <w:rFonts w:hint="eastAsia" w:ascii="Times New Roman" w:hAnsi="Times New Roman" w:eastAsia="仿宋_GB2312" w:cs="方正仿宋简体"/>
          <w:szCs w:val="30"/>
          <w:highlight w:val="none"/>
        </w:rPr>
        <w:t>。</w:t>
      </w:r>
    </w:p>
    <w:p w14:paraId="61F681DD">
      <w:pPr>
        <w:spacing w:line="240" w:lineRule="auto"/>
        <w:ind w:firstLine="589" w:firstLineChars="139"/>
        <w:jc w:val="both"/>
        <w:rPr>
          <w:rFonts w:ascii="Times New Roman" w:hAnsi="Times New Roman" w:eastAsia="仿宋_GB2312" w:cs="方正黑体简体"/>
          <w:szCs w:val="30"/>
          <w:highlight w:val="none"/>
        </w:rPr>
      </w:pPr>
      <w:r>
        <w:rPr>
          <w:rFonts w:hint="eastAsia" w:ascii="Times New Roman" w:hAnsi="Times New Roman" w:eastAsia="仿宋_GB2312" w:cs="方正黑体简体"/>
          <w:szCs w:val="30"/>
          <w:highlight w:val="none"/>
        </w:rPr>
        <w:t>2、一般性转移支付收入</w:t>
      </w:r>
      <w:r>
        <w:rPr>
          <w:rFonts w:hint="eastAsia" w:ascii="Times New Roman" w:hAnsi="Times New Roman" w:eastAsia="仿宋_GB2312" w:cs="方正仿宋简体"/>
          <w:szCs w:val="30"/>
          <w:highlight w:val="none"/>
        </w:rPr>
        <w:t>决算数为 279,845 万元，为上年决算数的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val="en-US" w:eastAsia="zh-CN"/>
        </w:rPr>
        <w:t>99.89</w:t>
      </w:r>
      <w:r>
        <w:rPr>
          <w:rFonts w:hint="eastAsia" w:ascii="Times New Roman" w:hAnsi="Times New Roman" w:eastAsia="仿宋_GB2312" w:cs="方正仿宋简体"/>
          <w:szCs w:val="30"/>
          <w:highlight w:val="none"/>
        </w:rPr>
        <w:t>%。其中：</w:t>
      </w:r>
    </w:p>
    <w:p w14:paraId="6E11E21D">
      <w:pPr>
        <w:pStyle w:val="17"/>
        <w:numPr>
          <w:ilvl w:val="0"/>
          <w:numId w:val="3"/>
        </w:numPr>
        <w:spacing w:before="0" w:beforeAutospacing="0" w:after="0" w:afterAutospacing="0" w:line="560" w:lineRule="exact"/>
        <w:ind w:firstLine="709" w:firstLineChars="0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均衡性转移支付收入决算数为 51,071 万元，为上年决算数的 99 %。</w:t>
      </w:r>
    </w:p>
    <w:p w14:paraId="266A33A9">
      <w:pPr>
        <w:numPr>
          <w:ilvl w:val="0"/>
          <w:numId w:val="3"/>
        </w:numPr>
        <w:spacing w:before="0" w:beforeAutospacing="0" w:after="0" w:afterAutospacing="0" w:line="560" w:lineRule="exact"/>
        <w:ind w:firstLine="738" w:firstLineChars="174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县级基本财力保障机制奖补资金收入决算数为 20,640 万元，为上年决算数的 309 %。</w:t>
      </w:r>
    </w:p>
    <w:p w14:paraId="72BF11DF">
      <w:pPr>
        <w:numPr>
          <w:ilvl w:val="0"/>
          <w:numId w:val="3"/>
        </w:numPr>
        <w:spacing w:before="0" w:beforeAutospacing="0" w:after="0" w:afterAutospacing="0" w:line="560" w:lineRule="exact"/>
        <w:ind w:firstLine="738" w:firstLineChars="174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结算补助收入决算数为 12,788 万元，为上年决算数的 65 %。</w:t>
      </w:r>
    </w:p>
    <w:p w14:paraId="31C9A2A3">
      <w:pPr>
        <w:numPr>
          <w:ilvl w:val="0"/>
          <w:numId w:val="3"/>
        </w:numPr>
        <w:spacing w:before="0" w:beforeAutospacing="0" w:after="0" w:afterAutospacing="0" w:line="560" w:lineRule="exact"/>
        <w:ind w:firstLine="738" w:firstLineChars="174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产粮(油)大县奖励资金收入决算数为 1,940 万元，为上年决算数的 104 %。</w:t>
      </w:r>
    </w:p>
    <w:p w14:paraId="3ED4D6BF">
      <w:pPr>
        <w:numPr>
          <w:ilvl w:val="0"/>
          <w:numId w:val="3"/>
        </w:numPr>
        <w:spacing w:before="0" w:beforeAutospacing="0" w:after="0" w:afterAutospacing="0" w:line="560" w:lineRule="exact"/>
        <w:ind w:firstLine="738" w:firstLineChars="174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重点生态功能区转移支付收入决算数为 2,396 万元，为上年决算数的 119 %。</w:t>
      </w:r>
    </w:p>
    <w:p w14:paraId="6E1B7922">
      <w:pPr>
        <w:numPr>
          <w:ilvl w:val="0"/>
          <w:numId w:val="3"/>
        </w:numPr>
        <w:spacing w:before="0" w:beforeAutospacing="0" w:after="0" w:afterAutospacing="0" w:line="560" w:lineRule="exact"/>
        <w:ind w:firstLine="738" w:firstLineChars="174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固定数额补助收入决算数为 22,758 万元，为上年决算数的 108 %。</w:t>
      </w:r>
    </w:p>
    <w:p w14:paraId="532C03FC">
      <w:pPr>
        <w:numPr>
          <w:ilvl w:val="0"/>
          <w:numId w:val="3"/>
        </w:numPr>
        <w:spacing w:before="0" w:beforeAutospacing="0" w:after="0" w:afterAutospacing="0" w:line="560" w:lineRule="exact"/>
        <w:ind w:firstLine="738" w:firstLineChars="174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革命老区转移支付收入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eastAsia="zh-CN"/>
        </w:rPr>
        <w:t xml:space="preserve">决算数为 1,093 万元，为上年决算数的 129 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val="en-US" w:eastAsia="zh-CN"/>
        </w:rPr>
        <w:t>%。</w:t>
      </w:r>
    </w:p>
    <w:p w14:paraId="3609DD22">
      <w:pPr>
        <w:numPr>
          <w:ilvl w:val="0"/>
          <w:numId w:val="3"/>
        </w:numPr>
        <w:spacing w:before="0" w:beforeAutospacing="0" w:after="0" w:afterAutospacing="0" w:line="560" w:lineRule="exact"/>
        <w:ind w:firstLine="738" w:firstLineChars="174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民族地区转移支付收入决算数为 2,950 万元，为上年决算数的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方正仿宋简体"/>
          <w:szCs w:val="30"/>
          <w:highlight w:val="none"/>
        </w:rPr>
        <w:t>%。</w:t>
      </w:r>
    </w:p>
    <w:p w14:paraId="77E8F32D">
      <w:pPr>
        <w:numPr>
          <w:ilvl w:val="0"/>
          <w:numId w:val="3"/>
        </w:numPr>
        <w:spacing w:before="0" w:beforeAutospacing="0" w:after="0" w:afterAutospacing="0" w:line="560" w:lineRule="exact"/>
        <w:ind w:firstLine="738" w:firstLineChars="174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巩固拓展</w:t>
      </w:r>
      <w:bookmarkStart w:id="0" w:name="_GoBack"/>
      <w:bookmarkEnd w:id="0"/>
      <w:r>
        <w:rPr>
          <w:rFonts w:hint="eastAsia" w:ascii="Times New Roman" w:hAnsi="Times New Roman" w:eastAsia="仿宋_GB2312" w:cs="方正仿宋简体"/>
          <w:szCs w:val="30"/>
          <w:highlight w:val="none"/>
        </w:rPr>
        <w:t>脱贫攻坚成果衔接乡村振兴转移支付收入决算数为 9,221 万元，为上年决算数的 162 %。</w:t>
      </w:r>
    </w:p>
    <w:p w14:paraId="4065BBA8">
      <w:pPr>
        <w:numPr>
          <w:ilvl w:val="0"/>
          <w:numId w:val="3"/>
        </w:numPr>
        <w:spacing w:before="0" w:beforeAutospacing="0" w:after="0" w:afterAutospacing="0" w:line="560" w:lineRule="exact"/>
        <w:ind w:firstLine="738" w:firstLineChars="174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一般公共服务共同财政事权转移支付收入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val="en-US" w:eastAsia="zh-CN"/>
        </w:rPr>
        <w:t>为0万元，</w:t>
      </w:r>
      <w:r>
        <w:rPr>
          <w:rFonts w:hint="eastAsia" w:ascii="Times New Roman" w:hAnsi="Times New Roman" w:eastAsia="仿宋_GB2312" w:cs="方正仿宋简体"/>
          <w:szCs w:val="30"/>
          <w:highlight w:val="none"/>
        </w:rPr>
        <w:t>上年决算数为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方正仿宋简体"/>
          <w:szCs w:val="30"/>
          <w:highlight w:val="none"/>
        </w:rPr>
        <w:t>万元</w:t>
      </w:r>
      <w:r>
        <w:rPr>
          <w:rFonts w:hint="eastAsia" w:ascii="Times New Roman" w:hAnsi="Times New Roman" w:eastAsia="仿宋_GB2312" w:cs="方正仿宋简体"/>
          <w:szCs w:val="30"/>
          <w:highlight w:val="none"/>
        </w:rPr>
        <w:t>。</w:t>
      </w:r>
    </w:p>
    <w:p w14:paraId="0754E952">
      <w:pPr>
        <w:numPr>
          <w:ilvl w:val="0"/>
          <w:numId w:val="3"/>
        </w:numPr>
        <w:spacing w:before="0" w:beforeAutospacing="0" w:after="0" w:afterAutospacing="0" w:line="560" w:lineRule="exact"/>
        <w:ind w:firstLine="738" w:firstLineChars="174"/>
        <w:jc w:val="both"/>
        <w:rPr>
          <w:rFonts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公共安全共同财政事权转移支付收入决算数为 1,486 万元，为上年决算数的 97 %。</w:t>
      </w:r>
    </w:p>
    <w:p w14:paraId="11C755D2">
      <w:pPr>
        <w:numPr>
          <w:ilvl w:val="0"/>
          <w:numId w:val="3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教育共同财政事权转移支付收入决算数为 41,127 万元，为上年决算数的 132 %。</w:t>
      </w:r>
    </w:p>
    <w:p w14:paraId="75553F70">
      <w:pPr>
        <w:numPr>
          <w:ilvl w:val="0"/>
          <w:numId w:val="3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文化旅游体育与传媒共同财政事权转移支付收入决算数为 688 万元，为上年决算数的 405 %。</w:t>
      </w:r>
    </w:p>
    <w:p w14:paraId="23C6295F">
      <w:pPr>
        <w:numPr>
          <w:ilvl w:val="0"/>
          <w:numId w:val="3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社会保障和就业共同财政事权转移支付收入决算数为 27,114 万元，为上年决算数的 118 %。</w:t>
      </w:r>
    </w:p>
    <w:p w14:paraId="5922BB81">
      <w:pPr>
        <w:numPr>
          <w:ilvl w:val="0"/>
          <w:numId w:val="3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卫生健康共同财政事权转移支付收入决算数为 39,322 万元，为上年决算数的 103 %。</w:t>
      </w:r>
    </w:p>
    <w:p w14:paraId="1D1105A6">
      <w:pPr>
        <w:numPr>
          <w:ilvl w:val="0"/>
          <w:numId w:val="3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节能环保共同财政事权转移支付收入决算数为 2,050 万元，为上年决算数的 113 %。</w:t>
      </w:r>
    </w:p>
    <w:p w14:paraId="661C3D33">
      <w:pPr>
        <w:numPr>
          <w:ilvl w:val="0"/>
          <w:numId w:val="3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农林水共同财政事权转移支付收入决算数为 41,700 万元，为上年决算数的 327 %。</w:t>
      </w:r>
    </w:p>
    <w:p w14:paraId="247BA784">
      <w:pPr>
        <w:numPr>
          <w:ilvl w:val="0"/>
          <w:numId w:val="3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交通运输共同财政事权转移支付收入决算数为 4,329 万元，为上年决算数的 103 %。</w:t>
      </w:r>
    </w:p>
    <w:p w14:paraId="12BA0E19">
      <w:pPr>
        <w:numPr>
          <w:ilvl w:val="0"/>
          <w:numId w:val="3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住房保障共同财政事权转移支付收入决算数为 1,449 万元，为上年决算数的 133 %。</w:t>
      </w:r>
    </w:p>
    <w:p w14:paraId="0700E8B5">
      <w:pPr>
        <w:numPr>
          <w:ilvl w:val="0"/>
          <w:numId w:val="3"/>
        </w:numPr>
        <w:spacing w:before="0" w:beforeAutospacing="0" w:after="0" w:afterAutospacing="0" w:line="560" w:lineRule="exact"/>
        <w:ind w:firstLine="738" w:firstLineChars="174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粮油物资储备共同财政事权转移支付收入决算数为 154 万元，为上年决算数的 123 %。</w:t>
      </w:r>
    </w:p>
    <w:p w14:paraId="60FADF43">
      <w:pPr>
        <w:numPr>
          <w:ilvl w:val="0"/>
          <w:numId w:val="3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灾害防治及应急管理共同财政事权转移支付收入决算数为 297 万元，为上年决算数的 349 %。</w:t>
      </w:r>
    </w:p>
    <w:p w14:paraId="606A70A4">
      <w:pPr>
        <w:numPr>
          <w:ilvl w:val="0"/>
          <w:numId w:val="3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增值税留抵退税转移支付收入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val="en-US" w:eastAsia="zh-CN"/>
        </w:rPr>
        <w:t>决算数为</w:t>
      </w:r>
      <w:r>
        <w:rPr>
          <w:rFonts w:hint="eastAsia" w:ascii="Times New Roman" w:hAnsi="Times New Roman" w:eastAsia="仿宋_GB2312" w:cs="方正仿宋简体"/>
          <w:szCs w:val="30"/>
          <w:highlight w:val="none"/>
        </w:rPr>
        <w:t xml:space="preserve"> -4,850 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eastAsia="zh-CN"/>
        </w:rPr>
        <w:t>，上年决算数为 39,218 万元，较上年减少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val="en-US" w:eastAsia="zh-CN"/>
        </w:rPr>
        <w:t>44068万元。</w:t>
      </w:r>
    </w:p>
    <w:p w14:paraId="3C5F3A30">
      <w:pPr>
        <w:numPr>
          <w:ilvl w:val="0"/>
          <w:numId w:val="3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补充县区财力转移支付收入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val="en-US" w:eastAsia="zh-CN"/>
        </w:rPr>
        <w:t>决算数为0万元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方正仿宋简体"/>
          <w:szCs w:val="30"/>
          <w:highlight w:val="none"/>
        </w:rPr>
        <w:t>上年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eastAsia="zh-CN"/>
        </w:rPr>
        <w:t>决算数为 14,423 万元。</w:t>
      </w:r>
    </w:p>
    <w:p w14:paraId="225F1641">
      <w:pPr>
        <w:numPr>
          <w:ilvl w:val="0"/>
          <w:numId w:val="3"/>
        </w:numPr>
        <w:spacing w:before="0" w:beforeAutospacing="0" w:after="0" w:afterAutospacing="0" w:line="560" w:lineRule="exact"/>
        <w:ind w:firstLine="589" w:firstLineChars="139"/>
        <w:jc w:val="both"/>
        <w:rPr>
          <w:rFonts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其他一般性转移支付收入决算数为122万元，为上年决算数的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方正仿宋简体"/>
          <w:szCs w:val="30"/>
          <w:highlight w:val="none"/>
        </w:rPr>
        <w:t>%。</w:t>
      </w:r>
    </w:p>
    <w:p w14:paraId="1E73DB6A">
      <w:pPr>
        <w:spacing w:line="240" w:lineRule="auto"/>
        <w:ind w:firstLine="589" w:firstLineChars="139"/>
        <w:jc w:val="both"/>
        <w:rPr>
          <w:rFonts w:ascii="Times New Roman" w:hAnsi="Times New Roman" w:eastAsia="仿宋_GB2312" w:cs="方正黑体简体"/>
          <w:szCs w:val="30"/>
          <w:highlight w:val="none"/>
        </w:rPr>
      </w:pPr>
      <w:r>
        <w:rPr>
          <w:rFonts w:hint="eastAsia" w:ascii="Times New Roman" w:hAnsi="Times New Roman" w:eastAsia="仿宋_GB2312" w:cs="方正黑体简体"/>
          <w:szCs w:val="30"/>
          <w:highlight w:val="none"/>
        </w:rPr>
        <w:t>3、专项转移支付收入</w:t>
      </w:r>
      <w:r>
        <w:rPr>
          <w:rFonts w:hint="eastAsia" w:ascii="Times New Roman" w:hAnsi="Times New Roman" w:eastAsia="仿宋_GB2312" w:cs="方正仿宋简体"/>
          <w:szCs w:val="30"/>
          <w:highlight w:val="none"/>
        </w:rPr>
        <w:t>决算数为 55,784 万元，为上年决算数的161.05 %。其中：</w:t>
      </w:r>
    </w:p>
    <w:p w14:paraId="7D065130">
      <w:pPr>
        <w:pStyle w:val="17"/>
        <w:numPr>
          <w:ilvl w:val="0"/>
          <w:numId w:val="4"/>
        </w:numPr>
        <w:spacing w:before="0" w:beforeAutospacing="0" w:after="0" w:afterAutospacing="0" w:line="560" w:lineRule="exact"/>
        <w:ind w:firstLine="567" w:firstLineChars="0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一般公共服务决算数为 1,533 万元，为上年决算数的83 %。</w:t>
      </w:r>
    </w:p>
    <w:p w14:paraId="2AF5AE5E">
      <w:pPr>
        <w:numPr>
          <w:ilvl w:val="0"/>
          <w:numId w:val="4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国防决算数为 87 万元，为上年决算数的138 %。</w:t>
      </w:r>
    </w:p>
    <w:p w14:paraId="3FDF7B24">
      <w:pPr>
        <w:numPr>
          <w:ilvl w:val="0"/>
          <w:numId w:val="4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公共安全决算数为 207 万元，为上年决算数的26 %。</w:t>
      </w:r>
    </w:p>
    <w:p w14:paraId="1381A5FA">
      <w:pPr>
        <w:numPr>
          <w:ilvl w:val="0"/>
          <w:numId w:val="4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教育决算数为 338 万元，为上年决算数的13 %。</w:t>
      </w:r>
    </w:p>
    <w:p w14:paraId="307689B9">
      <w:pPr>
        <w:numPr>
          <w:ilvl w:val="0"/>
          <w:numId w:val="4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科学技术决算数为 27 万元，为上年决算数的4 %。</w:t>
      </w:r>
    </w:p>
    <w:p w14:paraId="5189B1FF">
      <w:pPr>
        <w:numPr>
          <w:ilvl w:val="0"/>
          <w:numId w:val="4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文化旅游体育与传媒决算数为 27 万元，为上年决算数的2 %。</w:t>
      </w:r>
    </w:p>
    <w:p w14:paraId="74587205">
      <w:pPr>
        <w:numPr>
          <w:ilvl w:val="0"/>
          <w:numId w:val="4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社会保障和就业决算数为 223 万元，为上年决算数的-115 %。</w:t>
      </w:r>
    </w:p>
    <w:p w14:paraId="51F63F5E">
      <w:pPr>
        <w:numPr>
          <w:ilvl w:val="0"/>
          <w:numId w:val="4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卫生健康决算数为 928 万元，为上年决算数的265 %。</w:t>
      </w:r>
    </w:p>
    <w:p w14:paraId="24A84BCC">
      <w:pPr>
        <w:numPr>
          <w:ilvl w:val="0"/>
          <w:numId w:val="4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节能环保决算数为 43 万元，为上年决算数的22 %。</w:t>
      </w:r>
    </w:p>
    <w:p w14:paraId="10AF43C4">
      <w:pPr>
        <w:numPr>
          <w:ilvl w:val="0"/>
          <w:numId w:val="4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城乡社区决算数为 1,954 万元，为上年决算数的97,700 %。</w:t>
      </w:r>
    </w:p>
    <w:p w14:paraId="4355834A">
      <w:pPr>
        <w:numPr>
          <w:ilvl w:val="0"/>
          <w:numId w:val="4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农林水决算数为 15,985 万元，为上年决算数的85 %。</w:t>
      </w:r>
    </w:p>
    <w:p w14:paraId="15B15EA7">
      <w:pPr>
        <w:numPr>
          <w:ilvl w:val="0"/>
          <w:numId w:val="4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交通运输决算数为 1,600 万元，为上年决算数的73 %。</w:t>
      </w:r>
    </w:p>
    <w:p w14:paraId="1C0A42B3">
      <w:pPr>
        <w:numPr>
          <w:ilvl w:val="0"/>
          <w:numId w:val="4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资源勘探信息等决算数为 12,725 万元，为上年决算数的277 %。</w:t>
      </w:r>
    </w:p>
    <w:p w14:paraId="235D1ABB">
      <w:pPr>
        <w:numPr>
          <w:ilvl w:val="0"/>
          <w:numId w:val="4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商业服务业等决算数为 93 万元，为上年决算数的68 %。</w:t>
      </w:r>
    </w:p>
    <w:p w14:paraId="35219602">
      <w:pPr>
        <w:numPr>
          <w:ilvl w:val="0"/>
          <w:numId w:val="4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自然资源海洋气象等决算数为 15,827 万元，为上年决算数的9,892 %。</w:t>
      </w:r>
    </w:p>
    <w:p w14:paraId="35E4F1F6">
      <w:pPr>
        <w:numPr>
          <w:ilvl w:val="0"/>
          <w:numId w:val="4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住房保障决算数为 3,755 万元，为上年决算数的458 %。</w:t>
      </w:r>
    </w:p>
    <w:p w14:paraId="15E2ED2D">
      <w:pPr>
        <w:numPr>
          <w:ilvl w:val="0"/>
          <w:numId w:val="4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粮油物资储备决算数为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方正仿宋简体"/>
          <w:szCs w:val="30"/>
          <w:highlight w:val="none"/>
        </w:rPr>
        <w:t>万元，上年决算数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eastAsia="zh-CN"/>
        </w:rPr>
        <w:t>为28 万元。</w:t>
      </w:r>
    </w:p>
    <w:p w14:paraId="16772B86">
      <w:pPr>
        <w:numPr>
          <w:ilvl w:val="0"/>
          <w:numId w:val="4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灾害防治及应急管理决算数为 432 万元，为上年决算数的432 %。</w:t>
      </w:r>
    </w:p>
    <w:p w14:paraId="782EBA02">
      <w:pPr>
        <w:numPr>
          <w:ilvl w:val="0"/>
          <w:numId w:val="4"/>
        </w:numPr>
        <w:spacing w:before="0" w:beforeAutospacing="0" w:after="0" w:afterAutospacing="0" w:line="560" w:lineRule="exact"/>
        <w:ind w:firstLine="589" w:firstLineChars="139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  <w:lang w:val="en-US" w:eastAsia="zh-CN"/>
        </w:rPr>
        <w:t>其他收入决算数为0万元，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eastAsia="zh-CN"/>
        </w:rPr>
        <w:t>上年决算数为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val="en-US" w:eastAsia="zh-CN"/>
        </w:rPr>
        <w:t>200万元。</w:t>
      </w:r>
    </w:p>
    <w:p w14:paraId="3C74EA8B">
      <w:pPr>
        <w:pStyle w:val="17"/>
        <w:spacing w:line="240" w:lineRule="auto"/>
        <w:ind w:firstLine="738" w:firstLineChars="174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黑体简体"/>
          <w:szCs w:val="30"/>
          <w:highlight w:val="none"/>
        </w:rPr>
        <w:t>4、上解上级支出</w:t>
      </w:r>
      <w:r>
        <w:rPr>
          <w:rFonts w:hint="eastAsia" w:ascii="Times New Roman" w:hAnsi="Times New Roman" w:eastAsia="仿宋_GB2312" w:cs="方正仿宋简体"/>
          <w:szCs w:val="30"/>
          <w:highlight w:val="none"/>
        </w:rPr>
        <w:t>决算数为 20,445 万元，为上年决算数的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val="en-US" w:eastAsia="zh-CN"/>
        </w:rPr>
        <w:t>86.52</w:t>
      </w:r>
      <w:r>
        <w:rPr>
          <w:rFonts w:hint="eastAsia" w:ascii="Times New Roman" w:hAnsi="Times New Roman" w:eastAsia="仿宋_GB2312" w:cs="方正仿宋简体"/>
          <w:szCs w:val="30"/>
          <w:highlight w:val="none"/>
        </w:rPr>
        <w:t>%。其中：</w:t>
      </w:r>
    </w:p>
    <w:p w14:paraId="48D3AC0E">
      <w:pPr>
        <w:pStyle w:val="17"/>
        <w:spacing w:line="240" w:lineRule="auto"/>
        <w:ind w:firstLine="738" w:firstLineChars="174"/>
        <w:jc w:val="both"/>
        <w:rPr>
          <w:rFonts w:hint="eastAsia" w:ascii="Times New Roman" w:hAnsi="Times New Roman" w:eastAsia="仿宋_GB2312" w:cs="方正黑体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（1）体制上解支出决算数为 11,373 万元，为上年决算数的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val="en-US" w:eastAsia="zh-CN"/>
        </w:rPr>
        <w:t>88.01</w:t>
      </w:r>
      <w:r>
        <w:rPr>
          <w:rFonts w:hint="eastAsia" w:ascii="Times New Roman" w:hAnsi="Times New Roman" w:eastAsia="仿宋_GB2312" w:cs="方正仿宋简体"/>
          <w:szCs w:val="30"/>
          <w:highlight w:val="none"/>
        </w:rPr>
        <w:t>%。</w:t>
      </w:r>
    </w:p>
    <w:p w14:paraId="4903CC61">
      <w:pPr>
        <w:spacing w:before="0" w:beforeAutospacing="0" w:after="0" w:afterAutospacing="0" w:line="560" w:lineRule="exact"/>
        <w:ind w:firstLine="567" w:firstLineChars="0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（2）专项上解支出决算数为 9,072 万元，为上年决算数的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val="en-US" w:eastAsia="zh-CN"/>
        </w:rPr>
        <w:t>66.60</w:t>
      </w:r>
      <w:r>
        <w:rPr>
          <w:rFonts w:hint="eastAsia" w:ascii="Times New Roman" w:hAnsi="Times New Roman" w:eastAsia="仿宋_GB2312" w:cs="方正仿宋简体"/>
          <w:szCs w:val="30"/>
          <w:highlight w:val="none"/>
        </w:rPr>
        <w:t>%。</w:t>
      </w:r>
    </w:p>
    <w:p w14:paraId="46560416">
      <w:pPr>
        <w:pStyle w:val="17"/>
        <w:numPr>
          <w:ilvl w:val="0"/>
          <w:numId w:val="1"/>
        </w:numPr>
        <w:spacing w:line="560" w:lineRule="exact"/>
        <w:ind w:firstLineChars="0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政府性</w:t>
      </w:r>
      <w:r>
        <w:rPr>
          <w:rFonts w:hint="eastAsia" w:ascii="Times New Roman" w:hAnsi="Times New Roman" w:eastAsia="仿宋_GB2312" w:cs="仿宋_GB2312"/>
          <w:highlight w:val="none"/>
        </w:rPr>
        <w:t>基金</w:t>
      </w:r>
      <w:r>
        <w:rPr>
          <w:rFonts w:hint="eastAsia" w:ascii="Times New Roman" w:hAnsi="Times New Roman" w:eastAsia="仿宋_GB2312" w:cs="方正仿宋简体"/>
          <w:szCs w:val="30"/>
          <w:highlight w:val="none"/>
        </w:rPr>
        <w:t>预算转移支付决算情况</w:t>
      </w:r>
    </w:p>
    <w:p w14:paraId="0ABF32DA">
      <w:pPr>
        <w:spacing w:line="560" w:lineRule="exact"/>
        <w:ind w:firstLine="709" w:firstLineChars="0"/>
        <w:jc w:val="both"/>
        <w:rPr>
          <w:rFonts w:hint="eastAsia" w:ascii="Times New Roman" w:hAnsi="Times New Roman" w:eastAsia="仿宋_GB2312" w:cs="方正仿宋简体"/>
          <w:color w:val="0000FF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highlight w:val="none"/>
        </w:rPr>
        <w:t>202</w:t>
      </w:r>
      <w:r>
        <w:rPr>
          <w:rFonts w:hint="eastAsia" w:ascii="Times New Roman" w:hAnsi="Times New Roman" w:eastAsia="仿宋_GB2312" w:cs="仿宋_GB231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highlight w:val="none"/>
        </w:rPr>
        <w:t>年，</w:t>
      </w:r>
      <w:r>
        <w:rPr>
          <w:rFonts w:hint="eastAsia" w:ascii="Times New Roman" w:hAnsi="Times New Roman" w:eastAsia="仿宋_GB2312" w:cs="方正仿宋简体"/>
          <w:szCs w:val="30"/>
          <w:highlight w:val="none"/>
        </w:rPr>
        <w:t>政府性</w:t>
      </w:r>
      <w:r>
        <w:rPr>
          <w:rFonts w:hint="eastAsia" w:ascii="Times New Roman" w:hAnsi="Times New Roman" w:eastAsia="仿宋_GB2312" w:cs="仿宋_GB2312"/>
          <w:highlight w:val="none"/>
        </w:rPr>
        <w:t>基金预算收入完成59,496 万元，上级补助4,767 万元，债务转贷收入210,369 万元，上年结余5,172 万元，调入资金11,598 万元，收入合计291,402 万元。</w:t>
      </w:r>
      <w:r>
        <w:rPr>
          <w:rFonts w:hint="eastAsia" w:ascii="Times New Roman" w:hAnsi="Times New Roman" w:eastAsia="仿宋_GB2312" w:cs="仿宋_GB2312"/>
          <w:color w:val="auto"/>
          <w:highlight w:val="none"/>
        </w:rPr>
        <w:t xml:space="preserve">基金预算支出完成194,081 万元，上解支出5,762 万元，调出资金5,641 </w:t>
      </w:r>
      <w:r>
        <w:rPr>
          <w:rFonts w:hint="eastAsia" w:ascii="Times New Roman" w:hAnsi="Times New Roman" w:eastAsia="仿宋_GB2312" w:cs="仿宋_GB2312"/>
          <w:color w:val="auto"/>
          <w:highlight w:val="none"/>
          <w:lang w:eastAsia="zh-CN"/>
        </w:rPr>
        <w:t>万元，</w:t>
      </w:r>
      <w:r>
        <w:rPr>
          <w:rFonts w:hint="eastAsia" w:ascii="Times New Roman" w:hAnsi="Times New Roman" w:eastAsia="仿宋_GB2312" w:cs="仿宋_GB2312"/>
          <w:color w:val="auto"/>
          <w:highlight w:val="none"/>
        </w:rPr>
        <w:t>债务还本支出80,369 万元，收支相抵，年终基金预算滚存结余5,549 万元。</w:t>
      </w: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</w:rPr>
        <w:t>其中：</w:t>
      </w:r>
    </w:p>
    <w:p w14:paraId="7E6B95C7">
      <w:pPr>
        <w:spacing w:line="560" w:lineRule="exact"/>
        <w:ind w:firstLine="709" w:firstLineChars="0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1、政府性基金预算上级补助收入决算数为4,767 万元，为上年决算数的</w:t>
      </w:r>
      <w:r>
        <w:rPr>
          <w:rFonts w:hint="eastAsia" w:ascii="Times New Roman" w:hAnsi="Times New Roman" w:eastAsia="仿宋_GB2312" w:cs="方正仿宋简体"/>
          <w:szCs w:val="30"/>
          <w:highlight w:val="none"/>
          <w:lang w:val="en-US" w:eastAsia="zh-CN"/>
        </w:rPr>
        <w:t>100.59</w:t>
      </w:r>
      <w:r>
        <w:rPr>
          <w:rFonts w:hint="eastAsia" w:ascii="Times New Roman" w:hAnsi="Times New Roman" w:eastAsia="仿宋_GB2312" w:cs="方正仿宋简体"/>
          <w:szCs w:val="30"/>
          <w:highlight w:val="none"/>
        </w:rPr>
        <w:t>%。</w:t>
      </w:r>
    </w:p>
    <w:p w14:paraId="37FD593E">
      <w:pPr>
        <w:spacing w:line="560" w:lineRule="exact"/>
        <w:ind w:firstLine="709" w:firstLineChars="0"/>
        <w:jc w:val="both"/>
        <w:rPr>
          <w:rFonts w:hint="eastAsia" w:ascii="Times New Roman" w:hAnsi="Times New Roman" w:eastAsia="仿宋_GB2312" w:cs="方正仿宋简体"/>
          <w:color w:val="auto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</w:rPr>
        <w:t>2、债务</w:t>
      </w:r>
      <w:r>
        <w:rPr>
          <w:rFonts w:hint="eastAsia" w:ascii="Times New Roman" w:hAnsi="Times New Roman" w:eastAsia="仿宋_GB2312" w:cs="仿宋_GB2312"/>
          <w:color w:val="auto"/>
          <w:highlight w:val="none"/>
        </w:rPr>
        <w:t>转贷</w:t>
      </w: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</w:rPr>
        <w:t>收入210,369 万元，为上年决算数的</w:t>
      </w: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  <w:lang w:val="en-US" w:eastAsia="zh-CN"/>
        </w:rPr>
        <w:t>413.29</w:t>
      </w: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</w:rPr>
        <w:t>%。</w:t>
      </w:r>
    </w:p>
    <w:p w14:paraId="6D125E72">
      <w:pPr>
        <w:spacing w:line="560" w:lineRule="exact"/>
        <w:ind w:firstLine="709" w:firstLineChars="0"/>
        <w:jc w:val="both"/>
        <w:rPr>
          <w:rFonts w:hint="eastAsia" w:ascii="Times New Roman" w:hAnsi="Times New Roman" w:eastAsia="仿宋_GB2312" w:cs="仿宋_GB2312"/>
          <w:color w:val="auto"/>
          <w:highlight w:val="none"/>
        </w:rPr>
      </w:pP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</w:rPr>
        <w:t>3、政府性基金预算上解上级支出决算数为5,762 万元，为上年决算数的</w:t>
      </w: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  <w:lang w:val="en-US" w:eastAsia="zh-CN"/>
        </w:rPr>
        <w:t>144.27</w:t>
      </w:r>
      <w:r>
        <w:rPr>
          <w:rFonts w:hint="eastAsia" w:ascii="Times New Roman" w:hAnsi="Times New Roman" w:eastAsia="仿宋_GB2312" w:cs="方正仿宋简体"/>
          <w:color w:val="auto"/>
          <w:szCs w:val="30"/>
          <w:highlight w:val="none"/>
        </w:rPr>
        <w:t>%。</w:t>
      </w:r>
    </w:p>
    <w:p w14:paraId="2B7E01A8">
      <w:pPr>
        <w:pStyle w:val="17"/>
        <w:numPr>
          <w:ilvl w:val="0"/>
          <w:numId w:val="1"/>
        </w:numPr>
        <w:spacing w:line="560" w:lineRule="exact"/>
        <w:ind w:firstLineChars="0"/>
        <w:jc w:val="both"/>
        <w:rPr>
          <w:rFonts w:hint="eastAsia" w:ascii="Times New Roman" w:hAnsi="Times New Roman" w:eastAsia="仿宋_GB2312" w:cs="方正仿宋简体"/>
          <w:szCs w:val="30"/>
          <w:highlight w:val="none"/>
        </w:rPr>
      </w:pPr>
      <w:r>
        <w:rPr>
          <w:rFonts w:hint="eastAsia" w:ascii="Times New Roman" w:hAnsi="Times New Roman" w:eastAsia="仿宋_GB2312" w:cs="方正仿宋简体"/>
          <w:szCs w:val="30"/>
          <w:highlight w:val="none"/>
        </w:rPr>
        <w:t>国有资本经营预算转移支付决算情况</w:t>
      </w:r>
    </w:p>
    <w:p w14:paraId="2F48FEA4">
      <w:pPr>
        <w:spacing w:line="560" w:lineRule="exact"/>
        <w:ind w:firstLine="709" w:firstLineChars="0"/>
        <w:jc w:val="both"/>
        <w:rPr>
          <w:rFonts w:hint="eastAsia" w:ascii="Times New Roman" w:hAnsi="Times New Roman" w:eastAsia="仿宋_GB2312" w:cs="仿宋_GB2312"/>
          <w:highlight w:val="none"/>
          <w:lang w:eastAsia="zh-CN"/>
        </w:rPr>
      </w:pPr>
      <w:r>
        <w:rPr>
          <w:rFonts w:ascii="Times New Roman" w:hAnsi="Times New Roman" w:eastAsia="仿宋_GB2312" w:cs="宋体"/>
          <w:highlight w:val="none"/>
        </w:rPr>
        <w:t>202</w:t>
      </w:r>
      <w:r>
        <w:rPr>
          <w:rFonts w:hint="eastAsia" w:ascii="Times New Roman" w:hAnsi="Times New Roman" w:eastAsia="仿宋_GB2312" w:cs="宋体"/>
          <w:highlight w:val="none"/>
          <w:lang w:val="en-US" w:eastAsia="zh-CN"/>
        </w:rPr>
        <w:t>3</w:t>
      </w:r>
      <w:r>
        <w:rPr>
          <w:rFonts w:ascii="Times New Roman" w:hAnsi="Times New Roman" w:eastAsia="仿宋_GB2312" w:cs="宋体"/>
          <w:highlight w:val="none"/>
        </w:rPr>
        <w:t>年国有资本经营预算收入</w:t>
      </w:r>
      <w:r>
        <w:rPr>
          <w:rFonts w:hint="eastAsia" w:ascii="Times New Roman" w:hAnsi="Times New Roman" w:eastAsia="仿宋_GB2312" w:cs="宋体"/>
          <w:highlight w:val="none"/>
        </w:rPr>
        <w:t xml:space="preserve">803 </w:t>
      </w:r>
      <w:r>
        <w:rPr>
          <w:rFonts w:ascii="Times New Roman" w:hAnsi="Times New Roman" w:eastAsia="仿宋_GB2312" w:cs="宋体"/>
          <w:highlight w:val="none"/>
        </w:rPr>
        <w:t>万元，转移支付收入</w:t>
      </w:r>
      <w:r>
        <w:rPr>
          <w:rFonts w:hint="eastAsia" w:ascii="Times New Roman" w:hAnsi="Times New Roman" w:eastAsia="仿宋_GB2312" w:cs="宋体"/>
          <w:highlight w:val="none"/>
        </w:rPr>
        <w:t>18</w:t>
      </w:r>
      <w:r>
        <w:rPr>
          <w:rFonts w:ascii="Times New Roman" w:hAnsi="Times New Roman" w:eastAsia="仿宋_GB2312" w:cs="宋体"/>
          <w:highlight w:val="none"/>
        </w:rPr>
        <w:t>万元，国有资本经营预算收入总计</w:t>
      </w:r>
      <w:r>
        <w:rPr>
          <w:rFonts w:hint="eastAsia" w:ascii="Times New Roman" w:hAnsi="Times New Roman" w:eastAsia="仿宋_GB2312" w:cs="宋体"/>
          <w:highlight w:val="none"/>
          <w:lang w:val="en-US" w:eastAsia="zh-CN"/>
        </w:rPr>
        <w:t>821</w:t>
      </w:r>
      <w:r>
        <w:rPr>
          <w:rFonts w:ascii="Times New Roman" w:hAnsi="Times New Roman" w:eastAsia="仿宋_GB2312" w:cs="宋体"/>
          <w:highlight w:val="none"/>
        </w:rPr>
        <w:t>万元</w:t>
      </w:r>
      <w:r>
        <w:rPr>
          <w:rFonts w:hint="eastAsia" w:ascii="Times New Roman" w:hAnsi="Times New Roman" w:eastAsia="仿宋_GB2312" w:cs="宋体"/>
          <w:highlight w:val="none"/>
        </w:rPr>
        <w:t>。</w:t>
      </w:r>
      <w:r>
        <w:rPr>
          <w:rFonts w:ascii="Times New Roman" w:hAnsi="Times New Roman" w:eastAsia="仿宋_GB2312" w:cs="宋体"/>
          <w:highlight w:val="none"/>
        </w:rPr>
        <w:t>国有资本经营预算支出</w:t>
      </w:r>
      <w:r>
        <w:rPr>
          <w:rFonts w:hint="eastAsia" w:ascii="Times New Roman" w:hAnsi="Times New Roman" w:eastAsia="仿宋_GB2312" w:cs="宋体"/>
          <w:highlight w:val="none"/>
          <w:lang w:val="en-US" w:eastAsia="zh-CN"/>
        </w:rPr>
        <w:t>18</w:t>
      </w:r>
      <w:r>
        <w:rPr>
          <w:rFonts w:ascii="Times New Roman" w:hAnsi="Times New Roman" w:eastAsia="仿宋_GB2312" w:cs="宋体"/>
          <w:highlight w:val="none"/>
        </w:rPr>
        <w:t>万元，调出资金</w:t>
      </w:r>
      <w:r>
        <w:rPr>
          <w:rFonts w:hint="eastAsia" w:ascii="Times New Roman" w:hAnsi="Times New Roman" w:eastAsia="仿宋_GB2312" w:cs="宋体"/>
          <w:highlight w:val="none"/>
          <w:lang w:val="en-US" w:eastAsia="zh-CN"/>
        </w:rPr>
        <w:t>803</w:t>
      </w:r>
      <w:r>
        <w:rPr>
          <w:rFonts w:ascii="Times New Roman" w:hAnsi="Times New Roman" w:eastAsia="仿宋_GB2312" w:cs="宋体"/>
          <w:highlight w:val="none"/>
        </w:rPr>
        <w:t>万元，国有资本经营预算支出总计</w:t>
      </w:r>
      <w:r>
        <w:rPr>
          <w:rFonts w:hint="eastAsia" w:ascii="Times New Roman" w:hAnsi="Times New Roman" w:eastAsia="仿宋_GB2312" w:cs="宋体"/>
          <w:highlight w:val="none"/>
          <w:lang w:val="en-US" w:eastAsia="zh-CN"/>
        </w:rPr>
        <w:t>821</w:t>
      </w:r>
      <w:r>
        <w:rPr>
          <w:rFonts w:ascii="Times New Roman" w:hAnsi="Times New Roman" w:eastAsia="仿宋_GB2312" w:cs="宋体"/>
          <w:highlight w:val="none"/>
        </w:rPr>
        <w:t>万元</w:t>
      </w:r>
      <w:r>
        <w:rPr>
          <w:rFonts w:hint="eastAsia" w:ascii="Times New Roman" w:hAnsi="Times New Roman" w:eastAsia="仿宋_GB2312" w:cs="宋体"/>
          <w:highlight w:val="none"/>
          <w:lang w:eastAsia="zh-CN"/>
        </w:rPr>
        <w:t>。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802"/>
      </w:pPr>
      <w:r>
        <w:separator/>
      </w:r>
    </w:p>
  </w:endnote>
  <w:endnote w:type="continuationSeparator" w:id="1">
    <w:p>
      <w:pPr>
        <w:spacing w:line="240" w:lineRule="auto"/>
        <w:ind w:firstLine="80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802"/>
      </w:pPr>
      <w:r>
        <w:separator/>
      </w:r>
    </w:p>
  </w:footnote>
  <w:footnote w:type="continuationSeparator" w:id="1">
    <w:p>
      <w:pPr>
        <w:spacing w:before="0" w:after="0" w:line="240" w:lineRule="auto"/>
        <w:ind w:firstLine="80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A49D7"/>
    <w:multiLevelType w:val="singleLevel"/>
    <w:tmpl w:val="815A49D7"/>
    <w:lvl w:ilvl="0" w:tentative="0">
      <w:start w:val="1"/>
      <w:numFmt w:val="decimal"/>
      <w:suff w:val="nothing"/>
      <w:lvlText w:val="（%1）"/>
      <w:lvlJc w:val="left"/>
      <w:rPr>
        <w:rFonts w:ascii="Times New Roman" w:hAnsi="方正仿宋简体" w:eastAsia="仿宋_GB2312" w:cs="方正仿宋简体"/>
      </w:rPr>
    </w:lvl>
  </w:abstractNum>
  <w:abstractNum w:abstractNumId="1">
    <w:nsid w:val="891A01E4"/>
    <w:multiLevelType w:val="singleLevel"/>
    <w:tmpl w:val="891A01E4"/>
    <w:lvl w:ilvl="0" w:tentative="0">
      <w:start w:val="1"/>
      <w:numFmt w:val="decimal"/>
      <w:suff w:val="nothing"/>
      <w:lvlText w:val="（%1）"/>
      <w:lvlJc w:val="left"/>
      <w:rPr>
        <w:rFonts w:ascii="Times New Roman" w:hAnsi="方正仿宋简体" w:eastAsia="仿宋_GB2312" w:cs="方正仿宋简体"/>
      </w:rPr>
    </w:lvl>
  </w:abstractNum>
  <w:abstractNum w:abstractNumId="2">
    <w:nsid w:val="0AEF338A"/>
    <w:multiLevelType w:val="multilevel"/>
    <w:tmpl w:val="0AEF338A"/>
    <w:lvl w:ilvl="0" w:tentative="0">
      <w:start w:val="1"/>
      <w:numFmt w:val="japaneseCounting"/>
      <w:lvlText w:val="%1、"/>
      <w:lvlJc w:val="left"/>
      <w:pPr>
        <w:ind w:left="1284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704" w:hanging="720"/>
      </w:pPr>
      <w:rPr>
        <w:rFonts w:hint="default" w:hAnsi="方正仿宋简体"/>
      </w:rPr>
    </w:lvl>
    <w:lvl w:ilvl="2" w:tentative="0">
      <w:start w:val="1"/>
      <w:numFmt w:val="lowerRoman"/>
      <w:lvlText w:val="%3."/>
      <w:lvlJc w:val="right"/>
      <w:pPr>
        <w:ind w:left="1824" w:hanging="420"/>
      </w:pPr>
    </w:lvl>
    <w:lvl w:ilvl="3" w:tentative="0">
      <w:start w:val="1"/>
      <w:numFmt w:val="decimal"/>
      <w:lvlText w:val="%4."/>
      <w:lvlJc w:val="left"/>
      <w:pPr>
        <w:ind w:left="2244" w:hanging="420"/>
      </w:pPr>
    </w:lvl>
    <w:lvl w:ilvl="4" w:tentative="0">
      <w:start w:val="1"/>
      <w:numFmt w:val="lowerLetter"/>
      <w:lvlText w:val="%5)"/>
      <w:lvlJc w:val="left"/>
      <w:pPr>
        <w:ind w:left="2664" w:hanging="420"/>
      </w:pPr>
    </w:lvl>
    <w:lvl w:ilvl="5" w:tentative="0">
      <w:start w:val="1"/>
      <w:numFmt w:val="lowerRoman"/>
      <w:lvlText w:val="%6."/>
      <w:lvlJc w:val="right"/>
      <w:pPr>
        <w:ind w:left="3084" w:hanging="420"/>
      </w:pPr>
    </w:lvl>
    <w:lvl w:ilvl="6" w:tentative="0">
      <w:start w:val="1"/>
      <w:numFmt w:val="decimal"/>
      <w:lvlText w:val="%7."/>
      <w:lvlJc w:val="left"/>
      <w:pPr>
        <w:ind w:left="3504" w:hanging="420"/>
      </w:pPr>
    </w:lvl>
    <w:lvl w:ilvl="7" w:tentative="0">
      <w:start w:val="1"/>
      <w:numFmt w:val="lowerLetter"/>
      <w:lvlText w:val="%8)"/>
      <w:lvlJc w:val="left"/>
      <w:pPr>
        <w:ind w:left="3924" w:hanging="420"/>
      </w:pPr>
    </w:lvl>
    <w:lvl w:ilvl="8" w:tentative="0">
      <w:start w:val="1"/>
      <w:numFmt w:val="lowerRoman"/>
      <w:lvlText w:val="%9."/>
      <w:lvlJc w:val="right"/>
      <w:pPr>
        <w:ind w:left="4344" w:hanging="420"/>
      </w:pPr>
    </w:lvl>
  </w:abstractNum>
  <w:abstractNum w:abstractNumId="3">
    <w:nsid w:val="3C1836D6"/>
    <w:multiLevelType w:val="multilevel"/>
    <w:tmpl w:val="3C1836D6"/>
    <w:lvl w:ilvl="0" w:tentative="0">
      <w:start w:val="1"/>
      <w:numFmt w:val="decimal"/>
      <w:lvlText w:val="（%1）"/>
      <w:lvlJc w:val="left"/>
      <w:pPr>
        <w:ind w:left="1584" w:hanging="1020"/>
      </w:pPr>
      <w:rPr>
        <w:rFonts w:ascii="Times New Roman" w:hAnsi="方正仿宋简体" w:eastAsia="仿宋_GB2312" w:cs="方正仿宋简体"/>
      </w:rPr>
    </w:lvl>
    <w:lvl w:ilvl="1" w:tentative="0">
      <w:start w:val="1"/>
      <w:numFmt w:val="lowerLetter"/>
      <w:lvlText w:val="%2)"/>
      <w:lvlJc w:val="left"/>
      <w:pPr>
        <w:ind w:left="1404" w:hanging="420"/>
      </w:pPr>
    </w:lvl>
    <w:lvl w:ilvl="2" w:tentative="0">
      <w:start w:val="1"/>
      <w:numFmt w:val="lowerRoman"/>
      <w:lvlText w:val="%3."/>
      <w:lvlJc w:val="right"/>
      <w:pPr>
        <w:ind w:left="1824" w:hanging="420"/>
      </w:pPr>
    </w:lvl>
    <w:lvl w:ilvl="3" w:tentative="0">
      <w:start w:val="1"/>
      <w:numFmt w:val="decimal"/>
      <w:lvlText w:val="%4."/>
      <w:lvlJc w:val="left"/>
      <w:pPr>
        <w:ind w:left="2244" w:hanging="420"/>
      </w:pPr>
    </w:lvl>
    <w:lvl w:ilvl="4" w:tentative="0">
      <w:start w:val="1"/>
      <w:numFmt w:val="lowerLetter"/>
      <w:lvlText w:val="%5)"/>
      <w:lvlJc w:val="left"/>
      <w:pPr>
        <w:ind w:left="2664" w:hanging="420"/>
      </w:pPr>
    </w:lvl>
    <w:lvl w:ilvl="5" w:tentative="0">
      <w:start w:val="1"/>
      <w:numFmt w:val="lowerRoman"/>
      <w:lvlText w:val="%6."/>
      <w:lvlJc w:val="right"/>
      <w:pPr>
        <w:ind w:left="3084" w:hanging="420"/>
      </w:pPr>
    </w:lvl>
    <w:lvl w:ilvl="6" w:tentative="0">
      <w:start w:val="1"/>
      <w:numFmt w:val="decimal"/>
      <w:lvlText w:val="%7."/>
      <w:lvlJc w:val="left"/>
      <w:pPr>
        <w:ind w:left="3504" w:hanging="420"/>
      </w:pPr>
    </w:lvl>
    <w:lvl w:ilvl="7" w:tentative="0">
      <w:start w:val="1"/>
      <w:numFmt w:val="lowerLetter"/>
      <w:lvlText w:val="%8)"/>
      <w:lvlJc w:val="left"/>
      <w:pPr>
        <w:ind w:left="3924" w:hanging="420"/>
      </w:pPr>
    </w:lvl>
    <w:lvl w:ilvl="8" w:tentative="0">
      <w:start w:val="1"/>
      <w:numFmt w:val="lowerRoman"/>
      <w:lvlText w:val="%9."/>
      <w:lvlJc w:val="right"/>
      <w:pPr>
        <w:ind w:left="4344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RiMWViYzFjZTdhMzgwMjZjZTQ3NTRmMzNhOTBjMmUifQ=="/>
  </w:docVars>
  <w:rsids>
    <w:rsidRoot w:val="008A7308"/>
    <w:rsid w:val="00065573"/>
    <w:rsid w:val="002B3879"/>
    <w:rsid w:val="00362E37"/>
    <w:rsid w:val="003B1766"/>
    <w:rsid w:val="003D6427"/>
    <w:rsid w:val="004537E6"/>
    <w:rsid w:val="0059451C"/>
    <w:rsid w:val="00707032"/>
    <w:rsid w:val="00787F25"/>
    <w:rsid w:val="00876462"/>
    <w:rsid w:val="008A7308"/>
    <w:rsid w:val="008D4FC7"/>
    <w:rsid w:val="00927166"/>
    <w:rsid w:val="0096640A"/>
    <w:rsid w:val="009B0C3B"/>
    <w:rsid w:val="00B93394"/>
    <w:rsid w:val="00C7125D"/>
    <w:rsid w:val="00C96EF0"/>
    <w:rsid w:val="00D33FDF"/>
    <w:rsid w:val="00D5212B"/>
    <w:rsid w:val="00D856F1"/>
    <w:rsid w:val="00DE7C52"/>
    <w:rsid w:val="00E0154A"/>
    <w:rsid w:val="00E83068"/>
    <w:rsid w:val="01247725"/>
    <w:rsid w:val="048773FC"/>
    <w:rsid w:val="05135C34"/>
    <w:rsid w:val="05257DE5"/>
    <w:rsid w:val="05A95BB1"/>
    <w:rsid w:val="066C7BB7"/>
    <w:rsid w:val="069717A3"/>
    <w:rsid w:val="06E37A2E"/>
    <w:rsid w:val="0A321BD5"/>
    <w:rsid w:val="0AB77FBE"/>
    <w:rsid w:val="0CE8513B"/>
    <w:rsid w:val="0DD114F6"/>
    <w:rsid w:val="0EBE0044"/>
    <w:rsid w:val="13381555"/>
    <w:rsid w:val="14283A90"/>
    <w:rsid w:val="14A625C4"/>
    <w:rsid w:val="153C4046"/>
    <w:rsid w:val="193D6CC4"/>
    <w:rsid w:val="19622F5E"/>
    <w:rsid w:val="1A8E4D94"/>
    <w:rsid w:val="1E336362"/>
    <w:rsid w:val="1F091BE8"/>
    <w:rsid w:val="2137765B"/>
    <w:rsid w:val="218477E9"/>
    <w:rsid w:val="22C111E6"/>
    <w:rsid w:val="25CA7978"/>
    <w:rsid w:val="26ED7BDF"/>
    <w:rsid w:val="289C160F"/>
    <w:rsid w:val="28DF17A9"/>
    <w:rsid w:val="28F80C5D"/>
    <w:rsid w:val="2DCF62DC"/>
    <w:rsid w:val="2FD63906"/>
    <w:rsid w:val="30CA041B"/>
    <w:rsid w:val="320449D6"/>
    <w:rsid w:val="323C0770"/>
    <w:rsid w:val="32D551D5"/>
    <w:rsid w:val="32E76A51"/>
    <w:rsid w:val="33044018"/>
    <w:rsid w:val="331C3D26"/>
    <w:rsid w:val="3444764A"/>
    <w:rsid w:val="392F13D6"/>
    <w:rsid w:val="39C70C72"/>
    <w:rsid w:val="3B751E21"/>
    <w:rsid w:val="3B7708E2"/>
    <w:rsid w:val="3B86794D"/>
    <w:rsid w:val="3BB846F7"/>
    <w:rsid w:val="3C6E619E"/>
    <w:rsid w:val="3CA14B12"/>
    <w:rsid w:val="3D9E5A1F"/>
    <w:rsid w:val="42C10446"/>
    <w:rsid w:val="44DA0572"/>
    <w:rsid w:val="48276F9D"/>
    <w:rsid w:val="49DC57A7"/>
    <w:rsid w:val="4A606796"/>
    <w:rsid w:val="4CA914F0"/>
    <w:rsid w:val="4CFB7B0E"/>
    <w:rsid w:val="4DD25F5B"/>
    <w:rsid w:val="4EA8189D"/>
    <w:rsid w:val="50814E20"/>
    <w:rsid w:val="50D3214F"/>
    <w:rsid w:val="51615560"/>
    <w:rsid w:val="51EA6495"/>
    <w:rsid w:val="538B376A"/>
    <w:rsid w:val="54DD739A"/>
    <w:rsid w:val="55540CA5"/>
    <w:rsid w:val="574A7BBD"/>
    <w:rsid w:val="58F44C79"/>
    <w:rsid w:val="590824D3"/>
    <w:rsid w:val="5C5C1607"/>
    <w:rsid w:val="5D3219F1"/>
    <w:rsid w:val="5E391380"/>
    <w:rsid w:val="5F0D0843"/>
    <w:rsid w:val="62C506DC"/>
    <w:rsid w:val="6362159E"/>
    <w:rsid w:val="64871665"/>
    <w:rsid w:val="670342D9"/>
    <w:rsid w:val="696C79CD"/>
    <w:rsid w:val="69962E01"/>
    <w:rsid w:val="6B374A43"/>
    <w:rsid w:val="6BB05DFC"/>
    <w:rsid w:val="6CD60BC8"/>
    <w:rsid w:val="6E69165F"/>
    <w:rsid w:val="71100697"/>
    <w:rsid w:val="718030F6"/>
    <w:rsid w:val="75975EE7"/>
    <w:rsid w:val="766A201E"/>
    <w:rsid w:val="76D81A42"/>
    <w:rsid w:val="798633DE"/>
    <w:rsid w:val="79D914AD"/>
    <w:rsid w:val="7A7016FF"/>
    <w:rsid w:val="7B716645"/>
    <w:rsid w:val="7C6E4AC2"/>
    <w:rsid w:val="7DFE1328"/>
    <w:rsid w:val="7F16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240" w:lineRule="exact"/>
      <w:ind w:firstLine="189" w:firstLineChars="189"/>
    </w:pPr>
    <w:rPr>
      <w:rFonts w:cs="Times New Roman" w:asciiTheme="minorHAnsi" w:hAnsiTheme="minorHAnsi" w:eastAsiaTheme="minorEastAsia"/>
      <w:snapToGrid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Autospacing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line="240" w:lineRule="auto"/>
      <w:ind w:firstLine="0" w:firstLineChars="0"/>
      <w:outlineLvl w:val="1"/>
    </w:pPr>
    <w:rPr>
      <w:rFonts w:ascii="宋体" w:hAnsi="宋体" w:eastAsia="宋体" w:cs="宋体"/>
      <w:b/>
      <w:bCs/>
      <w:snapToGrid/>
      <w:sz w:val="36"/>
      <w:szCs w:val="3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Autospacing="0" w:afterAutospacing="0" w:line="413" w:lineRule="auto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Autospacing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Autospacing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Autospacing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spacing w:beforeAutospacing="0" w:afterAutospacing="0" w:line="317" w:lineRule="auto"/>
      <w:outlineLvl w:val="6"/>
    </w:pPr>
    <w:rPr>
      <w:b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Subtitle"/>
    <w:basedOn w:val="1"/>
    <w:next w:val="1"/>
    <w:link w:val="16"/>
    <w:qFormat/>
    <w:uiPriority w:val="11"/>
    <w:pPr>
      <w:spacing w:before="240" w:after="60" w:line="312" w:lineRule="atLeast"/>
      <w:jc w:val="center"/>
      <w:outlineLvl w:val="1"/>
    </w:pPr>
    <w:rPr>
      <w:rFonts w:eastAsia="宋体" w:asciiTheme="majorHAnsi" w:hAnsiTheme="majorHAnsi" w:cstheme="majorBidi"/>
      <w:b/>
      <w:bCs/>
      <w:kern w:val="2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line="240" w:lineRule="auto"/>
      <w:ind w:firstLine="0" w:firstLineChars="0"/>
    </w:pPr>
    <w:rPr>
      <w:rFonts w:ascii="宋体" w:hAnsi="宋体" w:eastAsia="宋体" w:cs="宋体"/>
      <w:snapToGrid/>
      <w:sz w:val="24"/>
      <w:szCs w:val="24"/>
    </w:rPr>
  </w:style>
  <w:style w:type="paragraph" w:styleId="11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</w:rPr>
  </w:style>
  <w:style w:type="character" w:customStyle="1" w:styleId="14">
    <w:name w:val="标题 2 Char"/>
    <w:basedOn w:val="13"/>
    <w:link w:val="3"/>
    <w:qFormat/>
    <w:uiPriority w:val="9"/>
    <w:rPr>
      <w:rFonts w:ascii="宋体" w:hAnsi="宋体" w:eastAsia="宋体" w:cs="宋体"/>
      <w:b/>
      <w:bCs/>
      <w:snapToGrid/>
      <w:sz w:val="36"/>
      <w:szCs w:val="36"/>
    </w:rPr>
  </w:style>
  <w:style w:type="character" w:customStyle="1" w:styleId="15">
    <w:name w:val="标题 Char"/>
    <w:basedOn w:val="13"/>
    <w:link w:val="11"/>
    <w:qFormat/>
    <w:uiPriority w:val="10"/>
    <w:rPr>
      <w:rFonts w:asciiTheme="majorHAnsi" w:hAnsiTheme="majorHAnsi" w:cstheme="majorBidi"/>
      <w:b/>
      <w:bCs/>
      <w:snapToGrid w:val="0"/>
      <w:sz w:val="32"/>
      <w:szCs w:val="32"/>
    </w:rPr>
  </w:style>
  <w:style w:type="character" w:customStyle="1" w:styleId="16">
    <w:name w:val="副标题 Char"/>
    <w:basedOn w:val="13"/>
    <w:link w:val="9"/>
    <w:qFormat/>
    <w:uiPriority w:val="11"/>
    <w:rPr>
      <w:rFonts w:asciiTheme="majorHAnsi" w:hAnsiTheme="majorHAnsi" w:cstheme="majorBidi"/>
      <w:b/>
      <w:bCs/>
      <w:snapToGrid w:val="0"/>
      <w:kern w:val="28"/>
      <w:sz w:val="32"/>
      <w:szCs w:val="32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7</Pages>
  <Words>2056</Words>
  <Characters>2548</Characters>
  <Lines>17</Lines>
  <Paragraphs>5</Paragraphs>
  <TotalTime>158</TotalTime>
  <ScaleCrop>false</ScaleCrop>
  <LinksUpToDate>false</LinksUpToDate>
  <CharactersWithSpaces>2737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2020-09-14T07:44:00Z</dcterms:created>
  <dc:creator>田玉竹</dc:creator>
  <cp:lastModifiedBy>香香</cp:lastModifiedBy>
  <dcterms:modified xsi:type="dcterms:W3CDTF">2024-08-12T02:58:11Z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D817E8D71C474B6D894DD9219D0C572D</vt:lpwstr>
  </property>
</Properties>
</file>