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hint="eastAsia" w:ascii="方正黑体_GBK" w:hAnsi="方正黑体_GBK" w:eastAsia="方正黑体_GBK" w:cs="方正黑体_GBK"/>
          <w:color w:val="auto"/>
          <w:kern w:val="0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lang w:eastAsia="zh-CN"/>
        </w:rPr>
        <w:t>：</w:t>
      </w:r>
    </w:p>
    <w:p>
      <w:pPr>
        <w:adjustRightInd w:val="0"/>
        <w:snapToGrid w:val="0"/>
        <w:spacing w:line="480" w:lineRule="exact"/>
        <w:rPr>
          <w:rFonts w:hint="default" w:ascii="Times New Roman" w:hAnsi="Times New Roman" w:cs="Times New Roman"/>
          <w:color w:val="auto"/>
          <w:kern w:val="0"/>
          <w:sz w:val="32"/>
          <w:lang w:eastAsia="zh-CN"/>
        </w:rPr>
      </w:pPr>
    </w:p>
    <w:p>
      <w:pPr>
        <w:jc w:val="center"/>
        <w:rPr>
          <w:rFonts w:hint="default" w:ascii="Times New Roman" w:hAnsi="Times New Roman" w:eastAsia="方正黑体简体" w:cs="Times New Roman"/>
          <w:b w:val="0"/>
          <w:bCs w:val="0"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黑体简体" w:cs="Times New Roman"/>
          <w:b w:val="0"/>
          <w:bCs w:val="0"/>
          <w:color w:val="auto"/>
          <w:kern w:val="0"/>
          <w:sz w:val="44"/>
          <w:szCs w:val="44"/>
        </w:rPr>
        <w:t>砚山县创建</w:t>
      </w: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云南省</w:t>
      </w: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kern w:val="0"/>
          <w:sz w:val="44"/>
          <w:szCs w:val="44"/>
        </w:rPr>
        <w:t>园林县城成员单位责任分解表</w:t>
      </w:r>
    </w:p>
    <w:bookmarkEnd w:id="0"/>
    <w:tbl>
      <w:tblPr>
        <w:tblStyle w:val="9"/>
        <w:tblW w:w="12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775"/>
        <w:gridCol w:w="946"/>
        <w:gridCol w:w="2954"/>
        <w:gridCol w:w="3233"/>
        <w:gridCol w:w="1317"/>
        <w:gridCol w:w="1233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类型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指标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需要开展的工作</w:t>
            </w:r>
          </w:p>
        </w:tc>
        <w:tc>
          <w:tcPr>
            <w:tcW w:w="1317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完成时间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责任单位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  <w:t>一、综合管理</w:t>
            </w:r>
            <w:r>
              <w:rPr>
                <w:rFonts w:hint="eastAsia" w:ascii="Times New Roman" w:hAnsi="Times New Roman" w:cs="Times New Roman" w:eastAsiaTheme="majorEastAsia"/>
                <w:b w:val="0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cs="Times New Roman" w:eastAsiaTheme="majorEastAsia"/>
                <w:b w:val="0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园林绿化管理机构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①按照政府职能分工的要求，设立职能健全的园林绿化管理机构，依照相关法律法规有效行使园林绿化管理职能；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②专业管理机构领导层至少有1-2位园林绿化专业人员，并具有相应的园林绿化专业技术队伍，负责全县域园林绿化从规划设计、施工建设、竣工验收到养护管理全过程指导服务与监督管理。</w:t>
            </w:r>
          </w:p>
        </w:tc>
        <w:tc>
          <w:tcPr>
            <w:tcW w:w="3233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1.设立</w:t>
            </w:r>
            <w:r>
              <w:rPr>
                <w:rFonts w:hint="default" w:ascii="Times New Roman" w:hAnsi="Times New Roman" w:cs="Times New Roman" w:eastAsiaTheme="minorEastAsia"/>
              </w:rPr>
              <w:t>职能健全的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园林绿化</w:t>
            </w:r>
            <w:r>
              <w:rPr>
                <w:rFonts w:hint="default" w:ascii="Times New Roman" w:hAnsi="Times New Roman" w:cs="Times New Roman" w:eastAsiaTheme="minorEastAsia"/>
              </w:rPr>
              <w:t>管理机构</w:t>
            </w: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2.园林绿化管理机构领导层至少配置有1-2位园林绿化专业人员，并充实完善相应的园林绿化专业技术队伍。</w:t>
            </w:r>
          </w:p>
          <w:p>
            <w:pPr>
              <w:pStyle w:val="5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综合执法局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委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编办 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园林绿化建设维护专项资金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①政府财政预算中专门列项“园林绿化建设和维护资金”，保障园林绿化建设、专业化精细化养护管理及相关人员经费；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②近2年（含申报年）园林绿化建设资金保障到位，且与本年度新建、改建及扩建园林绿化项目相适应；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③园林绿化养护资金与各类绿地总量相适应，不低于当地园林绿化养护管理定额标准，并随物价指数和人工工资增长而合理增加。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一是政府财政预算中专门列项“园林绿化建设和维护资金”，保障园林绿化建设及养护管理经费；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二是多渠道筹集资金，用于结清2019年、2020年绿化管护经费，保障2021年、2022年绿化管护经费，确保砚山城区公共绿化管护工作正常开展。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年12月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县财政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综合执法局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园林绿化科研应用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近2年（含申报年）积极应用园林绿化新技术、新成果。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鼓励私营企业加大对苗木基地建设的资金投入，加强植物多样性的研究，提高苗木生产的科技含量，计划性地培育驯化城市绿化品种。城区新建、改扩建绿化项目优先选用砚山县域内的基地苗木。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县综合执法局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 xml:space="preserve">              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《绿地系统规划》编制实施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①《县城总体规划》审批后一年内编制完成《绿地系统规划》的编制；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②《绿地系统规划》由具有相关规划资质或能力的单位编制（修订），与县城总体规划、控制性详细规划等相协调，并依法审核批准实施。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加快推进《砚山县绿地系统专项规划》的省级评审工作。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绿线管理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严格实施县城绿线管制制度，按照《城市绿线管理办法》（建设部令第112号）和《城市绿线划定技术规范》（GB/T51163-2016）要求划定绿线，并在至少两种以上的媒体上向社会公布，设立绿线公示牌或绿线界碑，向社会公布四至边界，严禁侵占。</w:t>
            </w:r>
          </w:p>
        </w:tc>
        <w:tc>
          <w:tcPr>
            <w:tcW w:w="3233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1.严格实施</w:t>
            </w:r>
            <w:r>
              <w:rPr>
                <w:rFonts w:hint="default" w:ascii="Times New Roman" w:hAnsi="Times New Roman" w:cs="Times New Roman" w:eastAsiaTheme="minorEastAsia"/>
                <w:lang w:val="en-US"/>
              </w:rPr>
              <w:t>《砚山县城市绿线管理办法》</w:t>
            </w:r>
            <w:r>
              <w:rPr>
                <w:rFonts w:hint="default" w:ascii="Times New Roman" w:hAnsi="Times New Roman" w:cs="Times New Roman" w:eastAsiaTheme="minorEastAsia"/>
              </w:rPr>
              <w:t>，按照《城市绿线管理办法》（建设部令第112号）及《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砚山县</w:t>
            </w:r>
            <w:r>
              <w:rPr>
                <w:rFonts w:hint="default" w:ascii="Times New Roman" w:hAnsi="Times New Roman" w:cs="Times New Roman" w:eastAsiaTheme="minorEastAsia"/>
              </w:rPr>
              <w:t>绿地系统专项规划》要求划定绿线，并在至少两种以上的公开媒体上向</w:t>
            </w:r>
            <w:r>
              <w:rPr>
                <w:rFonts w:hint="default" w:ascii="Times New Roman" w:hAnsi="Times New Roman" w:cs="Times New Roman" w:eastAsiaTheme="minorEastAsia"/>
                <w:lang w:val="en-US"/>
              </w:rPr>
              <w:t>社会公布。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2.开展绿线界桩勘定工作，设立绿线公示牌或绿线界碑，向社会公布四至边界，严禁侵占。</w:t>
            </w:r>
          </w:p>
          <w:p>
            <w:pPr>
              <w:pStyle w:val="5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年3月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县住建局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u w:val="none"/>
              </w:rPr>
              <w:t xml:space="preserve">县委宣传部    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园林绿化制度建设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建立健全绿线管理、建设管理、养护管理、生态保护、生物多样性保护、古树名木保护、义务植树等园林绿化规章、规范、制度。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制订《砚山县城市绿线管理规定》、《砚山县大树古树移植管理暂行办法及公示制度》、《砚山县园林绿化养护管理质量标准》，《砚山县园林绿化工程管理制度》、《砚山县园林绿化养护管理规程》、《砚山县园林绿化公示制度》、《砚山县防止林业外来物种入侵管理办法》、《砚山县全民义务植树管理办法》、《砚山县古树名木保护管理办法》、《砚山县绿色图章制度》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已完成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已达标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园林绿化管理信息技术应用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已建立园林绿化信息数据库、信息发布与社会服务信息共享平台；可供市民查询，保障公众参与和社会监督。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在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砚山县政务网站</w:t>
            </w:r>
            <w:r>
              <w:rPr>
                <w:rFonts w:hint="default" w:ascii="Times New Roman" w:hAnsi="Times New Roman" w:cs="Times New Roman" w:eastAsiaTheme="minorEastAsia"/>
              </w:rPr>
              <w:t>数字化城市管理系统中建立</w:t>
            </w: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</w:rPr>
              <w:t>园林绿化数字化信息库、信息发布与社会服务信息共享平台</w:t>
            </w: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供市民查询、</w:t>
            </w:r>
            <w:r>
              <w:rPr>
                <w:rFonts w:hint="default" w:ascii="Times New Roman" w:hAnsi="Times New Roman" w:cs="Times New Roman" w:eastAsiaTheme="minorEastAsia"/>
              </w:rPr>
              <w:t>公众参与和社会监督。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 xml:space="preserve"> 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政务信息网络管理中心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公众对园林绿化的满意率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≥85%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对公众进行城市园林绿化满意率问卷调查。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住建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县统计局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  <w:t>二、绿地建设（11）</w:t>
            </w: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建成区绿化覆盖率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≥38%</w:t>
            </w:r>
          </w:p>
        </w:tc>
        <w:tc>
          <w:tcPr>
            <w:tcW w:w="3233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1.实施完成民族文化广场、竜白公园、布标工业园区绿化、城南公园等建设，提升绿化覆盖率。</w:t>
            </w:r>
          </w:p>
          <w:p>
            <w:pPr>
              <w:pStyle w:val="8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2.推进在建小区绿地建设。</w:t>
            </w:r>
          </w:p>
          <w:p>
            <w:pPr>
              <w:pStyle w:val="8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3.实施完成砚华东路、建设路等受霜冻枯死树木及人为践踏致裸露地的补植工作。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</w:rPr>
              <w:t>住建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局县工管委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  <w:t>完成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初步调查；20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月初完成卫星遥感初测自查，根据差距完善建成区内各类城市绿地建设。20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年3月前迎接遥感检查。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建成区绿地率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</w:t>
            </w:r>
            <w:r>
              <w:rPr>
                <w:rFonts w:hint="default" w:ascii="Times New Roman" w:hAnsi="Times New Roman" w:cs="Times New Roman" w:eastAsiaTheme="majorEastAsia"/>
                <w:color w:val="auto"/>
                <w:spacing w:val="0"/>
                <w:kern w:val="0"/>
                <w:szCs w:val="21"/>
              </w:rPr>
              <w:t>33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</w:p>
        </w:tc>
        <w:tc>
          <w:tcPr>
            <w:tcW w:w="3233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1.实施完成民族文化广场、竜白公园、布标工业园区绿化、城南公园等建设，提升绿化覆盖率。</w:t>
            </w:r>
          </w:p>
          <w:p>
            <w:pPr>
              <w:pStyle w:val="8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2.推进在建小区绿地建设。</w:t>
            </w:r>
          </w:p>
          <w:p>
            <w:pPr>
              <w:snapToGrid/>
              <w:spacing w:before="0" w:after="0" w:line="300" w:lineRule="exact"/>
              <w:ind w:left="0" w:left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3.实施完成砚华东路、建设路等受霜冻枯死树木及人为践踏致裸露地的补植工作。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住建局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人均公园绿地面积（㎡/人）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≥9.00㎡/人</w:t>
            </w:r>
          </w:p>
        </w:tc>
        <w:tc>
          <w:tcPr>
            <w:tcW w:w="3233" w:type="dxa"/>
            <w:vAlign w:val="center"/>
          </w:tcPr>
          <w:p>
            <w:pPr>
              <w:snapToGrid/>
              <w:spacing w:before="0" w:after="0" w:line="300" w:lineRule="exact"/>
              <w:ind w:left="0" w:leftChars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按照《砚山县山体公园绿地详细规划》实施城区罗汉山、三眼洞山、杨柳河山、妖精洞山、砚台山、大山、灯笼山7座山体公园改造建设。</w:t>
            </w:r>
          </w:p>
          <w:p>
            <w:pPr>
              <w:snapToGrid/>
              <w:spacing w:before="0" w:after="0"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公园绿地服务半径覆盖率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≥80%；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1000-2000（含）㎡公园绿地按照300m服务半径考核，2000㎡以上公园绿地按照500m服务半径考核；历史文化街区参照《城市园林绿化评价标准》计算。</w:t>
            </w:r>
          </w:p>
        </w:tc>
        <w:tc>
          <w:tcPr>
            <w:tcW w:w="3233" w:type="dxa"/>
            <w:vAlign w:val="center"/>
          </w:tcPr>
          <w:p>
            <w:pPr>
              <w:snapToGrid/>
              <w:spacing w:before="0" w:after="0" w:line="300" w:lineRule="exact"/>
              <w:ind w:left="0" w:leftChars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通过对山体公园的改造建设，形成砚山县城中心城区公园绿地服务半径的无缝对接。</w:t>
            </w:r>
          </w:p>
          <w:p>
            <w:pPr>
              <w:snapToGrid/>
              <w:spacing w:before="0" w:after="0"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spacing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pacing w:val="0"/>
                <w:kern w:val="0"/>
                <w:szCs w:val="21"/>
              </w:rPr>
              <w:t>符合《公园设计规范》要求的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综合公园（个）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≥1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已达标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新建、改建居住区绿地达标率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≥95%</w:t>
            </w:r>
          </w:p>
        </w:tc>
        <w:tc>
          <w:tcPr>
            <w:tcW w:w="3233" w:type="dxa"/>
            <w:vAlign w:val="center"/>
          </w:tcPr>
          <w:p>
            <w:pPr>
              <w:snapToGrid/>
              <w:spacing w:before="0" w:after="0" w:line="300" w:lineRule="exact"/>
              <w:ind w:left="0" w:leftChars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对新建、改扩建居住区项目，严格按照绿化用地标准，从规划抓起，将园林规划设计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纳入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建设项目规划中，要求工程项目与配套的绿化工程同步设计，并在其建设投资中安排绿化工程建设资金，绿化施工在建设工程竣工后的二个月内完成。做到园林绿化规划有审批、有监控，建设有检查、有验收。切实维护好园林绿化规划设计的严肃性、规范性，确保新建、改建居住区绿地达标率在95以上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县自然资源局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县综合执法局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  <w:t>园林式居住区（单位）、达标率（%）或年提升率（%）</w:t>
            </w:r>
          </w:p>
        </w:tc>
        <w:tc>
          <w:tcPr>
            <w:tcW w:w="29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  <w:t>达标率≥50%或年提升率≥10%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3233" w:type="dxa"/>
            <w:vAlign w:val="center"/>
          </w:tcPr>
          <w:p>
            <w:pPr>
              <w:snapToGrid/>
              <w:spacing w:before="0" w:after="0" w:line="300" w:lineRule="exact"/>
              <w:ind w:left="0" w:leftChars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积极开展园林单位、园林小区创建活动，到2022年6月园林单位、园林小区达50%及以上或年提升率≥10%。</w:t>
            </w:r>
          </w:p>
          <w:p>
            <w:pPr>
              <w:snapToGrid/>
              <w:spacing w:before="0" w:after="0"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综合执法局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道路绿化普及率（%）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≥95%</w:t>
            </w:r>
          </w:p>
        </w:tc>
        <w:tc>
          <w:tcPr>
            <w:tcW w:w="3233" w:type="dxa"/>
            <w:vAlign w:val="center"/>
          </w:tcPr>
          <w:p>
            <w:pPr>
              <w:snapToGrid/>
              <w:spacing w:before="0" w:after="0" w:line="300" w:lineRule="exact"/>
              <w:ind w:left="0" w:leftChars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（1）加强对新建市政道路、工业园区道路等绿化建设。</w:t>
            </w:r>
          </w:p>
          <w:p>
            <w:pPr>
              <w:snapToGrid/>
              <w:spacing w:before="0" w:after="0" w:line="300" w:lineRule="exact"/>
              <w:ind w:left="0" w:left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（2）对宽度大于7米的街巷进行绿化，植物选用乡土树种。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县住建局县工管委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道路绿地达标率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≥80%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233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按照道路绿地标准，对城区现有道路绿化情况进行自检自查，尚有</w:t>
            </w:r>
            <w:r>
              <w:rPr>
                <w:rFonts w:hint="default" w:ascii="Times New Roman" w:hAnsi="Times New Roman" w:cs="Times New Roman" w:eastAsiaTheme="minorEastAsia"/>
              </w:rPr>
              <w:t>空闲地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的及时进行</w:t>
            </w:r>
            <w:r>
              <w:rPr>
                <w:rFonts w:hint="default" w:ascii="Times New Roman" w:hAnsi="Times New Roman" w:cs="Times New Roman" w:eastAsiaTheme="minorEastAsia"/>
              </w:rPr>
              <w:t>绿化</w:t>
            </w: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做到见缝插绿</w:t>
            </w:r>
            <w:r>
              <w:rPr>
                <w:rFonts w:hint="default" w:ascii="Times New Roman" w:hAnsi="Times New Roman" w:cs="Times New Roman" w:eastAsiaTheme="minorEastAsia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2）对新建市政道路严格按照标准要求实施配套绿化建设。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县住建局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防护绿地实施率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≥80%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根据《砚山县绿地系统规划》，结合现状调查情况，开展防护绿地建设。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河道绿化普及率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 xml:space="preserve">≥85% </w:t>
            </w:r>
          </w:p>
        </w:tc>
        <w:tc>
          <w:tcPr>
            <w:tcW w:w="3233" w:type="dxa"/>
            <w:vAlign w:val="center"/>
          </w:tcPr>
          <w:p>
            <w:pPr>
              <w:snapToGrid/>
              <w:spacing w:before="0" w:after="0"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砚山建成区内无河道，该项不作评价。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  <w:t>三、建设管控（10）</w:t>
            </w: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绿地系统规划执行和建设管理</w:t>
            </w:r>
          </w:p>
        </w:tc>
        <w:tc>
          <w:tcPr>
            <w:tcW w:w="295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①绿地系统规划得到有效执行，绿地建设符合规划；</w:t>
            </w:r>
          </w:p>
          <w:p>
            <w:pPr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②绿化建设成果得到有效保护，规划绿地性质无改变；</w:t>
            </w:r>
          </w:p>
          <w:p>
            <w:pPr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③园林绿化主管部门参与公园绿地建设项目设计和项目竣工验收。</w:t>
            </w:r>
          </w:p>
        </w:tc>
        <w:tc>
          <w:tcPr>
            <w:tcW w:w="3233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（1）严格按照《砚山县绿地系统规划》实施绿地建设。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加强监管，确保绿地规划性质无改变。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园林绿化主管部门参与公园绿地建设项目设计和项目竣工验收。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县住建局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自然资源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县综合执法局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大树移植、行道树树种更换等控制管理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①制定严格控制大树移植及随意更换行道树树种的制度或管控措施，并落实良好；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 xml:space="preserve">②近2年（含申报年），公园绿地、道路绿化建设或改、扩建中未曾发生大规模（群植10株以上）移植大树（胸径20cm以上的落叶乔木、胸径在15cm以上的常绿乔木以及高度超过6米的针叶树）、未经专家论证及社会公示认可而更换行道树树种等现象。 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制定严格控制大树移植及随意更换行道树树种的制度或管理措施，并抓好贯彻落实。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县住建局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林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业草原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县综合执法局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公园规范化管理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①公园免费开放率100%；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②公园设计符合《公园设计规范》等相关标准规范要求，公园功能完善，设施完好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安全运行；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③公园配套服务设施经营管理符合《城市公园配套服务项目经营管理暂行办法》等要求，保障公园的公益属性。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实施公园规范化管理，强化公园配套设施维护，确保规范安全运行，公园免费开放率达100%。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综合执法局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  <w:t>公园绿地应急避险功能完善建设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  <w:t>①在全面摸底评估的基础上，编制《绿地系统防灾避险规划》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或在《绿地系统规划》中有专章</w:t>
            </w: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  <w:t>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  <w:t>②承担防灾避险功能的公园绿地中水、电、通讯、标识等设施符合相关标准规范要求。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（1）根据规划，对七都广场、龙湖公园、墨山公园、兴城广场建设物资储备设施、供水设施、环卫设施、供电设施、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通信设施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，以及完善建设疏散通道管理，完善城市应急避险公园的指引标示建设。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（2）民族文化广场、竜白公园的建设充分考虑公园绿地应急避险的要求。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县应急管理局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绿道建设管理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①绿道建设符合《绿道规划设计导则》等相关标准规范要求；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②绿道及配套设施维护管理良好。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（1）加快编制《砚山县城绿道规划》、建设绿道配建设施。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（2）实施“千里绿道、万里花带”建设项目。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古树名木及后备资源保护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①严禁移植古树名木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古树名木保护率100%；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②完成树龄超过50年（含）以上古树名木后备资源普查、建档、挂牌并确定保护责任单位或责任人。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（1）编制《县城古树名木及后备资源保护规划》（已完成）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（2）完成树龄超过50年（含）以上古树名木后备资源普查、建档、挂牌并确定保护责任单位或责任人，划定保护范围，加强保护管理。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2022年6月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综合执法局（负责县城规划区内）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林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业草原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负责县城规划区以外）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节约型园林绿化建设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①园林绿化建设以植物造景为主，以栽植全冠苗木为主，采取有效措施严格控制大树移植、大广场、喷泉、水景、人工大水面、大草坪、大色块、假树假花、雕塑、灯具造景、过度亮化等；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②合理选择应用乡土、适生植物，严格控制反季节种植等。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应用节水、节能技术以及土地利用和资源利用技术进行节约型公园绿地建设。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立体绿化推广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因地制宜制定立体绿化推广的鼓励政策、技术措施和实施方案，且效果明显。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制定立体绿化推广的鼓励政策、技术措施和实施方案，引导建设屋顶绿化。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 xml:space="preserve">       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加分项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历史风貌保护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①制订县域内历史文化风貌保护规划及实施方案，并已获批准，实施效果良好；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②县城发展历史印迹清晰，老县城形态保存基本完好，县城历史文化街区、历史建筑得到有效保护；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③规划区内道路格局符合县城形态特征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尺度宜人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不盲目拓宽取直；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④不同历史发展阶段的代表性建筑保存完好，新建建筑具有地域特色和民族文化特征，风格协调统一。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制定《县城历史风貌保护规划》并实施保护措施、迎检资料准备。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文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旅局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风景名胜区、文化与自然遗产保护与管理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①依法设立风景名胜区管理机构，职能明确，并正常行使职能；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②国家级、省级风景名胜区或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列入《世界遗产名录》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的文化或自然遗产严格依据《风景名胜区条例》和相关法律法规与国际公约进行保护管理；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③具有经批准的《风景名胜区总体规划》等规划，风景名胜区建设项目依法办理选址审批手续。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加快推进《砚山县浴仙湖省级风景名胜区总体规划》编制及报批工作，并实施保护措施、迎检资料准备。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林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业草原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文旅局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  <w:t>四、生态环境（6）</w:t>
            </w: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spacing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生态保护与修复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①县域原有山水格局及自然生态系统得到较好保护，显山露水，确保其原貌性、完整性和功能完好性；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②水体岸线绿化遵循生态学原则，自然河流水系无裁弯取直、筑坝截流、违法取砂等现象，水体岸线自然化率≥80%；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③自然山体保护完好，无违法违规开山采石、取土以及随意推山取平等现象；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④按照县城卫生、安全、防灾、环保等要求建设防护绿地；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⑤依据规划推进环境整治和生态修复。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1）县城规划范围内林地、水体、园地类用地占到总体规划用地的70%。其中林地为48%，水体为7%。需依据总规及相关规划，落实相应的保护措施。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（2）将建成区十三座山体公园纳入城市公园绿地进行管理和建设，启动森林公园规划建设，通过生态举措还绿于民，确保砚山山水风貌的原真性、完整性和功能完好性。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（3）继续实施“七彩砚山——母亲湖保护行动计划”及回龙水库水源林保护区建设等项目，确保砚山县生态环保迈上一个新的台阶。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（4）开展规划区内水体岸线自然化保护工作。具体包括听湖、龙湖公园、小海湾湿地、竜白水库、湾里坡水库、回龙水库及白龙山水库，确保水体岸线自然化率达80% 以上。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（5）推进县城防护绿地建设工作。</w:t>
            </w:r>
          </w:p>
          <w:p>
            <w:pPr>
              <w:snapToGrid/>
              <w:spacing w:before="0" w:after="0"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水务局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州生态环境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砚山分局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县自然资源局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林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业草原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生物多样性保护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①已完成不小于县域范围的生物物种资源普查；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②以生物物种普查为基础，在《绿地系统规划》中有生物多样性保护专篇；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③生物物种总量保持合理增长，重要物种及其栖息地得到有效保护。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制定《城市生物多样性保护规划》、《县域基调树种种植规划》，并开展县域范围的生物物种资源普查和制定实施措施。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县住建局县综合执法局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林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业草原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乡土、适生植物资源保护与应用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w w:val="100"/>
                <w:kern w:val="0"/>
                <w:szCs w:val="21"/>
              </w:rPr>
              <w:t>①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结合风景名胜区、植物专类园、综合公园、生产苗圃等建立乡土、适生植物种质资源库，并开展相应的引种驯化和快速繁殖试验研究；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w w:val="100"/>
                <w:kern w:val="0"/>
                <w:szCs w:val="21"/>
              </w:rPr>
              <w:t>②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积极推广应用乡土及适生植物，在试验基础上推广应用自衍草花及宿根花卉等，丰富地被植物品种；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w w:val="100"/>
                <w:kern w:val="0"/>
                <w:szCs w:val="21"/>
              </w:rPr>
              <w:t>③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本地木本植物指数≥0.70。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结合风景名胜区、植物专类园、综合公园、生产苗圃等制定乡土、适生植物种质资源保护措施，并推广应用。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林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业草原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县住建局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综合执法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湿地资源保护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①已完成规划区内的湿地资源普查；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②以湿地资源普查为基础，制定湿地资源保护规划及其实施方案；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③规划区内湿地资源保护管理责任明确，管理职能正常行使，资金保障到位。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制定《县城湿地资源保护规划》和实施措施，落实保障资金。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林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业草原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自然资源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水务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州生态环境局砚山分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全年空气质量优良天数（天）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≥292天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做好3年内的环境空气质量、资料准备。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州生态环境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砚山分局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地表水Ⅳ类及以上水体比率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≥60%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做好3年内的地表水水质、资料准备。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水务局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州生态环境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砚山分局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  <w:t>五、市政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  <w:t>设施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  <w:t>（8）</w:t>
            </w: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县容县貌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 xml:space="preserve">①建成区环境整洁有序，建（构）筑物、公共设施和广告设置等与周边环境相协调，无违章私搭乱建现象。居住小区和街道环卫保洁制度落实，无乱丢弃、乱张贴、乱排放等行为；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②商业店铺：灯箱、广告、招牌、霓虹灯、门楼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装潢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 xml:space="preserve">、店面装饰等设置符合建设管理要求，无违规设摊、占道经营现象；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③交通与停车管理：建成区交通安全管理有序，车辆停靠管理规范；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④公厕数量达标，设置合理，管理到位。设置密度应≥3座/km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  <w:vertAlign w:val="baseline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，设置间距应满足《环境卫生设施设置标准》相关要求。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加强公共场所、广告设施与标识设置、公共设施设置、做好城市照明提升。加强老城区公共厕所的完善建设。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(2) 加强对市容市貌、综合环境进行整治。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综合执法</w:t>
            </w:r>
            <w:r>
              <w:rPr>
                <w:rFonts w:hint="default" w:ascii="Times New Roman" w:hAnsi="Times New Roman" w:cs="Times New Roman" w:eastAsiaTheme="minorEastAsia"/>
              </w:rPr>
              <w:t>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县住建局县交运局</w:t>
            </w:r>
          </w:p>
          <w:p>
            <w:pPr>
              <w:pStyle w:val="8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管网水检验项目合格率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≥95%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该项已达标，做好迎检资料准备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国祯水务公司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污水处理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①污水处理率≥85%；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②有污泥达标处理设施，污水处理污泥达标处置率≥60%；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  <w:highlight w:val="yellow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③城区旱季无直接向水体排污现象，年降雨量400mm（含）以上的新建城区采用雨污分流建设，老城区有雨污分流改造计划。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该项已达标，做好迎检资料准备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县住建局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生活垃圾无害化处理率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≥90%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该项已达标，做好迎检资料准备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综合执法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公共供水用水普及率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≥90%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该项已达标，做好迎检资料准备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国祯水务公司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  <w:t>道路完好率</w:t>
            </w:r>
            <w:r>
              <w:rPr>
                <w:rFonts w:hint="eastAsia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≥95%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及时对受损道路进行修复。</w:t>
            </w:r>
          </w:p>
          <w:p>
            <w:pPr>
              <w:snapToGrid/>
              <w:spacing w:before="0" w:after="0"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县住建局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市政基础设施安全运行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①县城供水、供气、供热、市容环卫、园林绿化、地下管网、道路桥梁等市政基础设施档案健全；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②运行管理制度完善，监管到位，县城安全运行得到保障。</w:t>
            </w:r>
          </w:p>
        </w:tc>
        <w:tc>
          <w:tcPr>
            <w:tcW w:w="3233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（1）加强安全运行监督管理。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（2）建立</w:t>
            </w:r>
            <w:r>
              <w:rPr>
                <w:rFonts w:hint="default" w:ascii="Times New Roman" w:hAnsi="Times New Roman" w:cs="Times New Roman" w:eastAsiaTheme="minorEastAsia"/>
              </w:rPr>
              <w:t>健全市政基础设施档案</w:t>
            </w: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。</w:t>
            </w:r>
          </w:p>
          <w:p>
            <w:pPr>
              <w:pStyle w:val="8"/>
              <w:numPr>
                <w:ilvl w:val="0"/>
                <w:numId w:val="0"/>
              </w:numPr>
              <w:ind w:leftChars="400"/>
              <w:jc w:val="both"/>
              <w:rPr>
                <w:rFonts w:hint="default" w:ascii="Times New Roman" w:hAnsi="Times New Roman" w:cs="Times New Roman" w:eastAsiaTheme="minorEastAsia"/>
                <w:lang w:val="zh-CN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县住建局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县综合执法局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无障碍设施建设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建成区内主要道路、公园、公共建筑等公共场所设有无障碍设施，且使用及维护管理情况良好。</w:t>
            </w:r>
          </w:p>
        </w:tc>
        <w:tc>
          <w:tcPr>
            <w:tcW w:w="3233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zh-CN" w:eastAsia="zh-CN"/>
              </w:rPr>
              <w:t>（1）七都广场、龙湖公园进一步完善无障碍设施设置。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（2）</w:t>
            </w:r>
            <w:r>
              <w:rPr>
                <w:rFonts w:hint="default" w:ascii="Times New Roman" w:hAnsi="Times New Roman" w:cs="Times New Roman" w:eastAsiaTheme="minorEastAsia"/>
                <w:lang w:val="zh-CN" w:eastAsia="zh-CN"/>
              </w:rPr>
              <w:t>对新建的公共建筑、公园绿地加强无障碍设施建设。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zh-CN" w:eastAsia="zh-CN"/>
              </w:rPr>
              <w:t>（3）继续加强道路无障碍设施建设力度。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县残联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  <w:t>六、节能减排（3）</w:t>
            </w: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北方采暖地区住宅供热计量收费比例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≥30%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考核北方供暖地区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绿色建筑和装配式建筑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①近2年（含申报年）新建建筑中绿色建筑所占比例≥30%；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②节能建筑比例：严寒寒冷地区≥40%，夏热冬冷地区≥35%，夏热冬暖地区≥30%；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③制定推广绿色建材和装配式建筑政策措施。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该项已达标，做好迎检资料准备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林荫路推广率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5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≥60%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提升完善砚华路、通广路、兴贸路、工业园区道路林荫路建设。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住建局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color w:val="auto"/>
                <w:kern w:val="0"/>
                <w:szCs w:val="21"/>
              </w:rPr>
              <w:t>综合否决项</w:t>
            </w:r>
          </w:p>
        </w:tc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 w:val="0"/>
                <w:color w:val="auto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390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对近2年内发生以下情况的县城，均实行一票否决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Cs w:val="21"/>
                <w:lang w:eastAsia="zh-CN"/>
              </w:rPr>
              <w:t>：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①园林绿化及生态环境保护、市政设施安全运行等方面的重大事故；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②城乡规划、风景名胜区等方面的重大违法建设事件；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③被住房城乡建设部通报批评；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Cs w:val="21"/>
              </w:rPr>
              <w:t>④被媒体曝光，造成重大负面影响。</w:t>
            </w:r>
          </w:p>
        </w:tc>
        <w:tc>
          <w:tcPr>
            <w:tcW w:w="3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砚山县近2年内均未发生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此类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情况。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否决项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5F6180"/>
    <w:multiLevelType w:val="singleLevel"/>
    <w:tmpl w:val="FF5F618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B15B8"/>
    <w:rsid w:val="4E0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 w:line="360" w:lineRule="auto"/>
      <w:jc w:val="left"/>
    </w:pPr>
    <w:rPr>
      <w:rFonts w:cs="方正仿宋_GBK" w:asciiTheme="minorAscii" w:hAnsiTheme="minorAscii"/>
      <w:color w:val="000000" w:themeColor="text1"/>
      <w:sz w:val="32"/>
      <w:szCs w:val="270"/>
      <w14:textFill>
        <w14:solidFill>
          <w14:schemeClr w14:val="tx1"/>
        </w14:solidFill>
      </w14:textFill>
    </w:rPr>
  </w:style>
  <w:style w:type="paragraph" w:styleId="3">
    <w:name w:val="toc 5"/>
    <w:basedOn w:val="1"/>
    <w:next w:val="1"/>
    <w:semiHidden/>
    <w:unhideWhenUsed/>
    <w:qFormat/>
    <w:uiPriority w:val="39"/>
    <w:pPr>
      <w:spacing w:line="360" w:lineRule="auto"/>
      <w:ind w:left="1680"/>
      <w:jc w:val="left"/>
    </w:pPr>
    <w:rPr>
      <w:rFonts w:ascii="Calibri" w:hAnsi="Calibri" w:eastAsia="仿宋_GB2312" w:cs="Times New Roman"/>
      <w:color w:val="000000" w:themeColor="text1"/>
      <w:sz w:val="32"/>
      <w:szCs w:val="22"/>
      <w14:textFill>
        <w14:solidFill>
          <w14:schemeClr w14:val="tx1"/>
        </w14:solidFill>
      </w14:textFill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99"/>
    <w:pPr>
      <w:widowControl w:val="0"/>
      <w:jc w:val="both"/>
    </w:pPr>
    <w:rPr>
      <w:rFonts w:ascii="宋体" w:hAnsi="Courier New" w:eastAsia="宋体" w:cs="Courier New"/>
      <w:kern w:val="2"/>
      <w:sz w:val="32"/>
      <w:szCs w:val="21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2021-08-26T07:02:00Z</dcterms:created>
  <dc:creator>Administrator</dc:creator>
  <cp:lastModifiedBy>Administrator</cp:lastModifiedBy>
  <dcterms:modified xsi:type="dcterms:W3CDTF">2021-08-26T07:02:43Z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F79669CE80BD42EEBC8E7A90F5CA138A</vt:lpwstr>
  </property>
</Properties>
</file>