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360" w:firstLineChars="200"/>
        <w:rPr>
          <w:rStyle w:val="4"/>
          <w:rFonts w:hint="eastAsia" w:ascii="微软雅黑" w:hAnsi="微软雅黑" w:eastAsia="微软雅黑" w:cs="微软雅黑"/>
          <w:caps w:val="0"/>
          <w:color w:val="333333"/>
          <w:spacing w:val="0"/>
          <w:kern w:val="0"/>
          <w:sz w:val="18"/>
          <w:szCs w:val="18"/>
          <w:lang w:val="en-US" w:eastAsia="zh-CN" w:bidi="ar"/>
        </w:rPr>
      </w:pPr>
      <w:r>
        <w:rPr>
          <w:rStyle w:val="4"/>
          <w:rFonts w:hint="eastAsia" w:ascii="微软雅黑" w:hAnsi="微软雅黑" w:eastAsia="微软雅黑" w:cs="微软雅黑"/>
          <w:caps w:val="0"/>
          <w:color w:val="333333"/>
          <w:spacing w:val="0"/>
          <w:kern w:val="0"/>
          <w:sz w:val="18"/>
          <w:szCs w:val="18"/>
          <w:lang w:val="en-US" w:eastAsia="zh-CN" w:bidi="ar"/>
        </w:rPr>
        <w:t>对单位和个人违反规定印制财政收入票据等行为的处罚</w:t>
      </w:r>
    </w:p>
    <w:p>
      <w:pPr>
        <w:ind w:firstLine="361" w:firstLineChars="200"/>
        <w:rPr>
          <w:rFonts w:hint="eastAsia" w:ascii="宋体" w:hAnsi="宋体" w:eastAsia="宋体" w:cs="宋体"/>
          <w:kern w:val="0"/>
          <w:sz w:val="18"/>
          <w:szCs w:val="18"/>
          <w:lang w:val="en-US" w:eastAsia="zh-CN" w:bidi="ar"/>
        </w:rPr>
      </w:pPr>
      <w:r>
        <w:rPr>
          <w:rStyle w:val="4"/>
          <w:rFonts w:hint="eastAsia" w:ascii="宋体" w:hAnsi="宋体" w:eastAsia="宋体" w:cs="宋体"/>
          <w:color w:val="333333"/>
          <w:kern w:val="0"/>
          <w:sz w:val="18"/>
          <w:szCs w:val="18"/>
          <w:lang w:val="en-US" w:eastAsia="zh-CN" w:bidi="ar"/>
        </w:rPr>
        <w:t>编号：</w:t>
      </w:r>
      <w:r>
        <w:rPr>
          <w:rFonts w:hint="eastAsia" w:ascii="宋体" w:hAnsi="宋体" w:eastAsia="宋体" w:cs="宋体"/>
          <w:kern w:val="0"/>
          <w:sz w:val="18"/>
          <w:szCs w:val="18"/>
          <w:lang w:val="en-US" w:eastAsia="zh-CN" w:bidi="ar"/>
        </w:rPr>
        <w:t>07</w:t>
      </w:r>
    </w:p>
    <w:p>
      <w:pPr>
        <w:ind w:firstLine="361" w:firstLineChars="200"/>
        <w:rPr>
          <w:rFonts w:hint="eastAsia" w:ascii="宋体" w:hAnsi="宋体" w:eastAsia="宋体" w:cs="宋体"/>
          <w:kern w:val="0"/>
          <w:sz w:val="18"/>
          <w:szCs w:val="18"/>
          <w:lang w:val="en-US" w:eastAsia="zh-CN" w:bidi="ar"/>
        </w:rPr>
      </w:pPr>
      <w:r>
        <w:rPr>
          <w:rStyle w:val="4"/>
          <w:rFonts w:hint="default" w:ascii="宋体" w:hAnsi="宋体" w:eastAsia="宋体" w:cs="宋体"/>
          <w:color w:val="333333"/>
          <w:kern w:val="0"/>
          <w:sz w:val="18"/>
          <w:szCs w:val="18"/>
          <w:lang w:val="en-US" w:eastAsia="zh-CN" w:bidi="ar"/>
        </w:rPr>
        <w:t>行使主体(责任主体)：</w:t>
      </w:r>
      <w:r>
        <w:rPr>
          <w:rFonts w:hint="eastAsia" w:ascii="宋体" w:hAnsi="宋体" w:eastAsia="宋体" w:cs="宋体"/>
          <w:kern w:val="0"/>
          <w:sz w:val="18"/>
          <w:szCs w:val="18"/>
          <w:lang w:val="en-US" w:eastAsia="zh-CN" w:bidi="ar"/>
        </w:rPr>
        <w:t>砚山县审计局</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设定依据：</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1.法律：《中华人民共和国审计法》 第四十五条：“</w:t>
      </w:r>
      <w:r>
        <w:rPr>
          <w:rFonts w:ascii="宋体" w:hAnsi="宋体" w:eastAsia="宋体" w:cs="宋体"/>
          <w:kern w:val="0"/>
          <w:sz w:val="18"/>
          <w:szCs w:val="18"/>
          <w:lang w:val="en-US" w:eastAsia="zh-CN" w:bidi="ar"/>
        </w:rPr>
        <w:t>审计机关按照审计署规定的程序对审计组的审计报告进行审议，并对被审计单位对审计组的审计报告提出的意见一并研究后，出具审计机关的审计报告。对违反国家规定的财政收支、财务收支行为，依法应当给予处理、处罚的，审计机关在法定职权范围内作出审计决定；需要移送有关主管机关、单位处理、处罚的，审计机关应当依法移送</w:t>
      </w:r>
      <w:r>
        <w:rPr>
          <w:rFonts w:hint="eastAsia" w:ascii="宋体" w:hAnsi="宋体" w:eastAsia="宋体" w:cs="宋体"/>
          <w:kern w:val="0"/>
          <w:sz w:val="18"/>
          <w:szCs w:val="18"/>
          <w:lang w:val="en-US" w:eastAsia="zh-CN" w:bidi="ar"/>
        </w:rPr>
        <w:t>。</w:t>
      </w:r>
      <w:r>
        <w:rPr>
          <w:rFonts w:ascii="宋体" w:hAnsi="宋体" w:eastAsia="宋体" w:cs="宋体"/>
          <w:kern w:val="0"/>
          <w:sz w:val="18"/>
          <w:szCs w:val="18"/>
          <w:lang w:val="en-US" w:eastAsia="zh-CN" w:bidi="ar"/>
        </w:rPr>
        <w:t>审计机关应当将审计机关的审计报告和审计决定送达被审计单位和有关主管机关、单位，并报上一级审计机关。审计决定自送达之日起生效</w:t>
      </w:r>
      <w:r>
        <w:rPr>
          <w:rFonts w:hint="eastAsia" w:ascii="宋体" w:hAnsi="宋体" w:eastAsia="宋体" w:cs="宋体"/>
          <w:kern w:val="0"/>
          <w:sz w:val="18"/>
          <w:szCs w:val="18"/>
          <w:lang w:val="en-US" w:eastAsia="zh-CN" w:bidi="ar"/>
        </w:rPr>
        <w:t>。”</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2.行政法规:《财政违法行为处罚处分条例》第二条</w:t>
      </w:r>
      <w:bookmarkStart w:id="0" w:name="_GoBack"/>
      <w:bookmarkEnd w:id="0"/>
      <w:r>
        <w:rPr>
          <w:rFonts w:hint="eastAsia" w:ascii="宋体" w:hAnsi="宋体" w:eastAsia="宋体" w:cs="宋体"/>
          <w:kern w:val="0"/>
          <w:sz w:val="18"/>
          <w:szCs w:val="18"/>
          <w:lang w:val="en-US" w:eastAsia="zh-CN" w:bidi="ar"/>
        </w:rPr>
        <w:t>:“县级以上人民政府财政部门及审计机关在各自职权范围内,依法对财政违法行为作出处理、处罚决定”、第十六条:“单位和个人有下列违反财政收入票据管理规定的行为之一的,销毁非法印制的票据,没收违法所得和作案工具。对单位处5000元以上10万元以下的罚款;对直接负责的主管人员和其他直接责任人员处3000元以上5万元以下的罚款。属于国家公务员的,还应当给予降级或者撤职处分;情节严重的,给予开除处分:(一)违反规定印制财政收入票据;(二)转借、串用、代开财政收入票据;(三)伪造、变造、买卖、擅自销毁财政收入票据;(四)伪造、使用伪造的财政收入票据监(印)制章;(五)其他违反财政收入票据管理规定的行为。属于税收收入票据管理方面的违法行为,依照有关税收法律、行政法规的规定处理、处罚。”</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责任事项：</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1.发现和受理阶段责任：审计机关派出审计组在审计监督中，对发现或者接到举报、控告被审计单位严重或重大的违反国家规定的财务收支行为，审计组应当报告审计机关，审计机关予以审查，决定进一步核查和追责。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2.调查阶段责任：审计机关派出审计组在进一步调查过程中，要指定专人负责，与当事人有直接利害关系的应当回避。审计人员不得少于两人，允许被审计单位和有关人员申辩和陈述，并以审计组审计报告形式征求被审计单位意见。审计人员应当保守有关秘密。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3.审查阶段责任：审计机关派出审计组、审计组所在部门、审计机关审理部门应当对违法事实、证据、审计程序、法律适用、处罚幅度，以及被审计单位和有关人员申辩、陈述和反馈意见等进行审核、复核、审理。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4.告知阶段责任：审计机关在做出较大数额审计处罚决定前，应书面告知被审计单位和有关责任人员有要求举行听证的权力。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5.决定阶段责任：审计机关根据审核、复核、审理情况，召开审计业务会议审定是否予以审计处罚；特殊情况下，经审计机关主要负责人授权，可以由审计机关其他负责人审定。依法需要给予审计处罚的，应制作审计处罚决定书，并告知申请行政复议、提起行政诉讼的途径和期限。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6.送达执行阶段责任：审计处罚决定书应当及时送达被审计单位和当事人，并自送达之日起生效。审计机关应当在规定时间内检查被审计单位和当事人执行审计处罚决定情况。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7.其他法律法规规章文件规定应当履行的责任。</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追责情形：</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因不履行或不正确履行审计职责，有下列情形的，审计机关及相关审计人员应承担相应责任：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1.对应当予以处罚而不予处罚，给国家利益造成重大损害的；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2.违反有关法律、法规规定的审计处罚程序的；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3.擅自改变审计处罚种类和裁量幅度的；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4.没有审计处罚法律依据实施处罚,给被审计单位、有关人员的合法权益造成重大损害的；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5.应当告知听证没有告知，并造成严重影响的；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6.其他滥用职权、徇私舞弊、玩忽职守的；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7.在处罚中发生腐败行为的；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8.其他违反法律法规规章文件规定的应当承担责任的行为。</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追责依据：</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《中华人民共和国审计法》第五十七条。《中华人民共和国审计法实施条例》第五十五条；</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《财政违法行为处罚处分条例》第二十八条。其他详见共性责任部分。</w:t>
      </w:r>
    </w:p>
    <w:p>
      <w:pPr>
        <w:ind w:firstLine="361" w:firstLineChars="200"/>
        <w:rPr>
          <w:rStyle w:val="4"/>
          <w:rFonts w:hint="default" w:ascii="宋体" w:hAnsi="宋体" w:eastAsia="宋体" w:cs="宋体"/>
          <w:color w:val="333333"/>
          <w:kern w:val="0"/>
          <w:sz w:val="18"/>
          <w:szCs w:val="18"/>
          <w:lang w:val="en-US" w:eastAsia="zh-CN" w:bidi="ar"/>
        </w:rPr>
      </w:pPr>
      <w:r>
        <w:rPr>
          <w:rStyle w:val="4"/>
          <w:rFonts w:hint="default" w:ascii="宋体" w:hAnsi="宋体" w:eastAsia="宋体" w:cs="宋体"/>
          <w:color w:val="333333"/>
          <w:kern w:val="0"/>
          <w:sz w:val="18"/>
          <w:szCs w:val="18"/>
          <w:lang w:val="en-US" w:eastAsia="zh-CN" w:bidi="ar"/>
        </w:rPr>
        <w:t>监督方式：</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 xml:space="preserve">1.窗口咨询或投诉：砚山县审计局办公室，电话：（0876）3122118，地址：砚山县双拥路60号； </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 xml:space="preserve">2.纪检监察投诉：砚山县纪检监察信访室，电话0876-3124875 ； </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3.信函投诉：砚山县审计局办公室,砚山县纪检监察信访室，通讯地址：砚山县江那镇砚华西路18号  ，电子邮箱：</w:t>
      </w:r>
      <w:r>
        <w:rPr>
          <w:rFonts w:hint="eastAsia" w:ascii="宋体" w:hAnsi="宋体" w:eastAsia="宋体" w:cs="宋体"/>
          <w:kern w:val="0"/>
          <w:sz w:val="18"/>
          <w:szCs w:val="18"/>
          <w:lang w:val="en-US" w:eastAsia="zh-CN" w:bidi="ar"/>
        </w:rPr>
        <w:fldChar w:fldCharType="begin"/>
      </w:r>
      <w:r>
        <w:rPr>
          <w:rFonts w:hint="eastAsia" w:ascii="宋体" w:hAnsi="宋体" w:eastAsia="宋体" w:cs="宋体"/>
          <w:kern w:val="0"/>
          <w:sz w:val="18"/>
          <w:szCs w:val="18"/>
          <w:lang w:val="en-US" w:eastAsia="zh-CN" w:bidi="ar"/>
        </w:rPr>
        <w:instrText xml:space="preserve"> HYPERLINK "mailto:68063429@qq.com" </w:instrText>
      </w:r>
      <w:r>
        <w:rPr>
          <w:rFonts w:hint="eastAsia" w:ascii="宋体" w:hAnsi="宋体" w:eastAsia="宋体" w:cs="宋体"/>
          <w:kern w:val="0"/>
          <w:sz w:val="18"/>
          <w:szCs w:val="18"/>
          <w:lang w:val="en-US" w:eastAsia="zh-CN" w:bidi="ar"/>
        </w:rPr>
        <w:fldChar w:fldCharType="separate"/>
      </w:r>
      <w:r>
        <w:rPr>
          <w:rStyle w:val="5"/>
          <w:rFonts w:hint="eastAsia" w:ascii="宋体" w:hAnsi="宋体" w:eastAsia="宋体" w:cs="宋体"/>
          <w:kern w:val="0"/>
          <w:sz w:val="18"/>
          <w:szCs w:val="18"/>
          <w:lang w:val="en-US" w:eastAsia="zh-CN" w:bidi="ar"/>
        </w:rPr>
        <w:t>68063429@qq.com</w:t>
      </w:r>
      <w:r>
        <w:rPr>
          <w:rFonts w:hint="eastAsia" w:ascii="宋体" w:hAnsi="宋体" w:eastAsia="宋体" w:cs="宋体"/>
          <w:kern w:val="0"/>
          <w:sz w:val="18"/>
          <w:szCs w:val="18"/>
          <w:lang w:val="en-US" w:eastAsia="zh-CN" w:bidi="ar"/>
        </w:rPr>
        <w:fldChar w:fldCharType="end"/>
      </w:r>
    </w:p>
    <w:p>
      <w:pPr>
        <w:ind w:firstLine="361" w:firstLineChars="200"/>
        <w:rPr>
          <w:rFonts w:hint="default" w:ascii="宋体" w:hAnsi="宋体" w:eastAsia="宋体" w:cs="宋体"/>
          <w:kern w:val="0"/>
          <w:sz w:val="18"/>
          <w:szCs w:val="18"/>
          <w:lang w:val="en-US" w:eastAsia="zh-CN" w:bidi="ar"/>
        </w:rPr>
      </w:pPr>
      <w:r>
        <w:rPr>
          <w:rStyle w:val="4"/>
          <w:rFonts w:hint="default" w:ascii="宋体" w:hAnsi="宋体" w:eastAsia="宋体" w:cs="宋体"/>
          <w:color w:val="333333"/>
          <w:kern w:val="0"/>
          <w:sz w:val="18"/>
          <w:szCs w:val="18"/>
          <w:lang w:val="en-US" w:eastAsia="zh-CN" w:bidi="ar"/>
        </w:rPr>
        <w:t>救济途径：</w:t>
      </w:r>
      <w:r>
        <w:rPr>
          <w:rFonts w:hint="eastAsia" w:ascii="宋体" w:hAnsi="宋体" w:eastAsia="宋体" w:cs="宋体"/>
          <w:kern w:val="0"/>
          <w:sz w:val="18"/>
          <w:szCs w:val="18"/>
          <w:lang w:val="en-US" w:eastAsia="zh-CN" w:bidi="ar"/>
        </w:rPr>
        <w:t>公民、法人或者其他组织认为具体行政行为侵犯其合法权益的，可以自知道该具体行政行为之日起六十日内向砚山县人民政府或者文山州审计局提出行政复议，或应当自知道或应当知道作出行政行为之日起六个月内依法向砚山县人民法院提起行政诉讼。</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C4486B"/>
    <w:rsid w:val="1B600FA2"/>
    <w:rsid w:val="20572318"/>
    <w:rsid w:val="294711AD"/>
    <w:rsid w:val="373C698E"/>
    <w:rsid w:val="38700F8A"/>
    <w:rsid w:val="47C4486B"/>
    <w:rsid w:val="4B2252AE"/>
    <w:rsid w:val="58024267"/>
    <w:rsid w:val="5AF913C2"/>
    <w:rsid w:val="63D810A0"/>
    <w:rsid w:val="6AD90021"/>
    <w:rsid w:val="75E31A27"/>
    <w:rsid w:val="78AC215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character" w:styleId="4">
    <w:name w:val="Strong"/>
    <w:basedOn w:val="3"/>
    <w:qFormat/>
    <w:uiPriority w:val="0"/>
    <w:rPr>
      <w:b/>
    </w:rPr>
  </w:style>
  <w:style w:type="character" w:styleId="5">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文山州砚山县党政机关单位</Company>
  <Pages>1</Pages>
  <Words>0</Words>
  <Characters>0</Characters>
  <Lines>0</Lines>
  <Paragraphs>0</Paragraphs>
  <TotalTime>4</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2022-10-23T08:48:00Z</dcterms:created>
  <dc:creator>Administrator</dc:creator>
  <cp:lastModifiedBy>钱引丽</cp:lastModifiedBy>
  <dcterms:modified xsi:type="dcterms:W3CDTF">2022-11-03T01:00:43Z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