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对单位和个人违反国家有关投资建设项目规定行为的处罚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03</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九条：“单位和个人有下列违反国家有关投资建设项目规定的行为之一的,责令改正,调整有关会计账目,追回被截留、挪用、骗取的国家建设资金,没收违法所得,核减或者停止拨付工程投资。对单位给予警告或者通报批评,其直接负责的主管人员和其他直接责任人员属于国家公务员的,给予记大过处分;情节较重的,给予降级或者撤职处分;情节严重的,给予开除处分:(一)截留、挪用国家建设资金;(二)以虚报、冒领、关联交易等手段骗取国家建设资金;(三)违反规定超概算投资;(四)虚列投资完成额;(五)其他违反国家投资建设项目有关规定的行为。《中华人民共和国政府采购法》、《中华人民共和国招标投标法》、《国家重点建设项目管理办法》等法律、行政法规另有规定的,依照其规定处理、处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r>
        <w:rPr>
          <w:rFonts w:hint="eastAsia" w:ascii="宋体" w:hAnsi="宋体" w:eastAsia="宋体" w:cs="宋体"/>
          <w:kern w:val="0"/>
          <w:sz w:val="18"/>
          <w:szCs w:val="18"/>
          <w:lang w:val="en-US" w:eastAsia="zh-CN" w:bidi="ar"/>
        </w:rPr>
        <w:t>《中华人民共和国审计法》第五十七条。《中华人民共和国审计法实施条例》第五十五条；《财政违法行为处罚处分条例》第二十八条。其他详见共性责任部分。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2046A28"/>
    <w:rsid w:val="1A594B11"/>
    <w:rsid w:val="20572318"/>
    <w:rsid w:val="47C4486B"/>
    <w:rsid w:val="49692473"/>
    <w:rsid w:val="4C984211"/>
    <w:rsid w:val="63D810A0"/>
    <w:rsid w:val="645B6E5E"/>
    <w:rsid w:val="6AD90021"/>
    <w:rsid w:val="73BF12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2022-11-03T00:25:57Z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