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contextualSpacing/>
        <w:jc w:val="center"/>
        <w:rPr>
          <w:rFonts w:hint="default" w:ascii="Times New Roman" w:hAnsi="Times New Roman" w:cs="Times New Roman" w:eastAsiaTheme="minorEastAsia"/>
          <w:b/>
          <w:color w:val="000000"/>
          <w:sz w:val="48"/>
          <w:szCs w:val="48"/>
        </w:rPr>
      </w:pPr>
    </w:p>
    <w:p>
      <w:pPr>
        <w:ind w:firstLine="0" w:firstLineChars="0"/>
        <w:contextualSpacing/>
        <w:jc w:val="center"/>
        <w:rPr>
          <w:rFonts w:hint="default" w:ascii="Times New Roman" w:hAnsi="Times New Roman" w:cs="Times New Roman" w:eastAsiaTheme="minorEastAsia"/>
          <w:b/>
          <w:color w:val="000000"/>
          <w:sz w:val="48"/>
          <w:szCs w:val="48"/>
        </w:rPr>
      </w:pPr>
    </w:p>
    <w:p>
      <w:pPr>
        <w:ind w:firstLine="0" w:firstLineChars="0"/>
        <w:contextualSpacing/>
        <w:jc w:val="center"/>
        <w:rPr>
          <w:rFonts w:hint="default" w:ascii="Times New Roman" w:hAnsi="Times New Roman" w:cs="Times New Roman" w:eastAsiaTheme="minorEastAsia"/>
          <w:b/>
          <w:color w:val="000000"/>
          <w:sz w:val="48"/>
          <w:szCs w:val="48"/>
        </w:rPr>
      </w:pPr>
      <w:r>
        <w:rPr>
          <w:rFonts w:hint="default" w:ascii="Times New Roman" w:hAnsi="Times New Roman" w:cs="Times New Roman" w:eastAsiaTheme="minorEastAsia"/>
          <w:b/>
          <w:color w:val="000000"/>
          <w:sz w:val="48"/>
          <w:szCs w:val="48"/>
        </w:rPr>
        <w:t>砚山县秸秆垃圾禁烧区和限烧区</w:t>
      </w:r>
    </w:p>
    <w:p>
      <w:pPr>
        <w:ind w:firstLine="0" w:firstLineChars="0"/>
        <w:contextualSpacing/>
        <w:jc w:val="center"/>
        <w:rPr>
          <w:rFonts w:hint="default" w:ascii="Times New Roman" w:hAnsi="Times New Roman" w:cs="Times New Roman" w:eastAsiaTheme="minorEastAsia"/>
          <w:b/>
          <w:color w:val="000000"/>
          <w:sz w:val="96"/>
          <w:szCs w:val="96"/>
        </w:rPr>
      </w:pPr>
    </w:p>
    <w:p>
      <w:pPr>
        <w:pStyle w:val="2"/>
        <w:rPr>
          <w:rFonts w:hint="default" w:ascii="Times New Roman" w:hAnsi="Times New Roman" w:cs="Times New Roman" w:eastAsiaTheme="minorEastAsia"/>
          <w:b/>
          <w:color w:val="000000"/>
          <w:sz w:val="96"/>
          <w:szCs w:val="96"/>
        </w:rPr>
      </w:pPr>
    </w:p>
    <w:p>
      <w:pPr>
        <w:ind w:firstLine="0" w:firstLineChars="0"/>
        <w:contextualSpacing/>
        <w:jc w:val="center"/>
        <w:rPr>
          <w:rFonts w:hint="default" w:ascii="Times New Roman" w:hAnsi="Times New Roman" w:cs="Times New Roman" w:eastAsiaTheme="minorEastAsia"/>
          <w:b/>
          <w:color w:val="000000"/>
          <w:sz w:val="72"/>
          <w:szCs w:val="72"/>
        </w:rPr>
      </w:pPr>
      <w:r>
        <w:rPr>
          <w:rFonts w:hint="default" w:ascii="Times New Roman" w:hAnsi="Times New Roman" w:cs="Times New Roman" w:eastAsiaTheme="minorEastAsia"/>
          <w:b/>
          <w:color w:val="000000"/>
          <w:sz w:val="72"/>
          <w:szCs w:val="72"/>
        </w:rPr>
        <w:t>划</w:t>
      </w:r>
    </w:p>
    <w:p>
      <w:pPr>
        <w:ind w:firstLine="0" w:firstLineChars="0"/>
        <w:contextualSpacing/>
        <w:jc w:val="center"/>
        <w:rPr>
          <w:rFonts w:hint="default" w:ascii="Times New Roman" w:hAnsi="Times New Roman" w:cs="Times New Roman" w:eastAsiaTheme="minorEastAsia"/>
          <w:b/>
          <w:color w:val="000000"/>
          <w:sz w:val="72"/>
          <w:szCs w:val="72"/>
        </w:rPr>
      </w:pPr>
      <w:r>
        <w:rPr>
          <w:rFonts w:hint="default" w:ascii="Times New Roman" w:hAnsi="Times New Roman" w:cs="Times New Roman" w:eastAsiaTheme="minorEastAsia"/>
          <w:b/>
          <w:color w:val="000000"/>
          <w:sz w:val="72"/>
          <w:szCs w:val="72"/>
        </w:rPr>
        <w:t>定</w:t>
      </w:r>
    </w:p>
    <w:p>
      <w:pPr>
        <w:ind w:firstLine="0" w:firstLineChars="0"/>
        <w:contextualSpacing/>
        <w:jc w:val="center"/>
        <w:rPr>
          <w:rFonts w:hint="default" w:ascii="Times New Roman" w:hAnsi="Times New Roman" w:cs="Times New Roman" w:eastAsiaTheme="minorEastAsia"/>
          <w:b/>
          <w:color w:val="000000"/>
          <w:sz w:val="72"/>
          <w:szCs w:val="72"/>
        </w:rPr>
      </w:pPr>
      <w:r>
        <w:rPr>
          <w:rFonts w:hint="default" w:ascii="Times New Roman" w:hAnsi="Times New Roman" w:cs="Times New Roman" w:eastAsiaTheme="minorEastAsia"/>
          <w:b/>
          <w:color w:val="000000"/>
          <w:sz w:val="72"/>
          <w:szCs w:val="72"/>
        </w:rPr>
        <w:t>方</w:t>
      </w:r>
    </w:p>
    <w:p>
      <w:pPr>
        <w:ind w:firstLine="0" w:firstLineChars="0"/>
        <w:contextualSpacing/>
        <w:jc w:val="center"/>
        <w:rPr>
          <w:rFonts w:hint="default" w:ascii="Times New Roman" w:hAnsi="Times New Roman" w:cs="Times New Roman" w:eastAsiaTheme="minorEastAsia"/>
          <w:b/>
          <w:color w:val="000000"/>
          <w:sz w:val="72"/>
          <w:szCs w:val="72"/>
        </w:rPr>
      </w:pPr>
      <w:r>
        <w:rPr>
          <w:rFonts w:hint="default" w:ascii="Times New Roman" w:hAnsi="Times New Roman" w:cs="Times New Roman" w:eastAsiaTheme="minorEastAsia"/>
          <w:b/>
          <w:color w:val="000000"/>
          <w:sz w:val="72"/>
          <w:szCs w:val="72"/>
        </w:rPr>
        <w:t>案</w:t>
      </w:r>
    </w:p>
    <w:p>
      <w:pPr>
        <w:ind w:left="0" w:leftChars="0" w:firstLine="0" w:firstLineChars="0"/>
        <w:contextualSpacing/>
        <w:jc w:val="center"/>
        <w:rPr>
          <w:rFonts w:hint="default" w:ascii="Times New Roman" w:hAnsi="Times New Roman" w:cs="Times New Roman" w:eastAsiaTheme="minorEastAsia"/>
          <w:b/>
          <w:color w:val="000000"/>
          <w:sz w:val="36"/>
          <w:szCs w:val="36"/>
          <w:lang w:val="en-US" w:eastAsia="zh-CN"/>
        </w:rPr>
      </w:pPr>
      <w:r>
        <w:rPr>
          <w:rFonts w:hint="eastAsia" w:cs="Times New Roman" w:eastAsiaTheme="minorEastAsia"/>
          <w:b/>
          <w:color w:val="000000"/>
          <w:sz w:val="36"/>
          <w:szCs w:val="36"/>
          <w:lang w:eastAsia="zh-CN"/>
        </w:rPr>
        <w:t>（</w:t>
      </w:r>
      <w:r>
        <w:rPr>
          <w:rFonts w:hint="eastAsia" w:cs="Times New Roman" w:eastAsiaTheme="minorEastAsia"/>
          <w:b/>
          <w:color w:val="000000"/>
          <w:sz w:val="36"/>
          <w:szCs w:val="36"/>
          <w:lang w:val="en-US" w:eastAsia="zh-CN"/>
        </w:rPr>
        <w:t>草案）</w:t>
      </w:r>
    </w:p>
    <w:p>
      <w:pPr>
        <w:ind w:firstLine="723"/>
        <w:contextualSpacing/>
        <w:jc w:val="center"/>
        <w:rPr>
          <w:rFonts w:hint="default" w:ascii="Times New Roman" w:hAnsi="Times New Roman" w:cs="Times New Roman" w:eastAsiaTheme="minorEastAsia"/>
          <w:b/>
          <w:color w:val="000000"/>
          <w:sz w:val="36"/>
          <w:szCs w:val="36"/>
        </w:rPr>
      </w:pPr>
    </w:p>
    <w:p>
      <w:pPr>
        <w:ind w:firstLine="723"/>
        <w:contextualSpacing/>
        <w:jc w:val="center"/>
        <w:rPr>
          <w:rFonts w:hint="default" w:ascii="Times New Roman" w:hAnsi="Times New Roman" w:cs="Times New Roman" w:eastAsiaTheme="minorEastAsia"/>
          <w:b/>
          <w:color w:val="000000"/>
          <w:sz w:val="36"/>
          <w:szCs w:val="36"/>
        </w:rPr>
      </w:pPr>
    </w:p>
    <w:p>
      <w:pPr>
        <w:ind w:firstLine="723"/>
        <w:contextualSpacing/>
        <w:jc w:val="center"/>
        <w:rPr>
          <w:rFonts w:hint="default" w:ascii="Times New Roman" w:hAnsi="Times New Roman" w:cs="Times New Roman" w:eastAsiaTheme="minorEastAsia"/>
          <w:b/>
          <w:color w:val="000000"/>
          <w:sz w:val="36"/>
          <w:szCs w:val="36"/>
        </w:rPr>
      </w:pPr>
    </w:p>
    <w:p>
      <w:pPr>
        <w:pStyle w:val="2"/>
        <w:rPr>
          <w:rFonts w:hint="default" w:ascii="Times New Roman" w:hAnsi="Times New Roman" w:cs="Times New Roman" w:eastAsiaTheme="minorEastAsia"/>
          <w:b/>
          <w:color w:val="000000"/>
          <w:sz w:val="36"/>
          <w:szCs w:val="36"/>
        </w:rPr>
      </w:pPr>
    </w:p>
    <w:p>
      <w:pPr>
        <w:pStyle w:val="2"/>
        <w:rPr>
          <w:rFonts w:hint="default" w:ascii="Times New Roman" w:hAnsi="Times New Roman" w:cs="Times New Roman" w:eastAsiaTheme="minorEastAsia"/>
          <w:b/>
          <w:color w:val="000000"/>
          <w:sz w:val="36"/>
          <w:szCs w:val="36"/>
        </w:rPr>
      </w:pPr>
    </w:p>
    <w:p>
      <w:pPr>
        <w:ind w:firstLine="723"/>
        <w:contextualSpacing/>
        <w:jc w:val="center"/>
        <w:rPr>
          <w:rFonts w:hint="default" w:ascii="Times New Roman" w:hAnsi="Times New Roman" w:cs="Times New Roman" w:eastAsiaTheme="minorEastAsia"/>
          <w:b/>
          <w:color w:val="000000"/>
          <w:sz w:val="36"/>
          <w:szCs w:val="36"/>
        </w:rPr>
      </w:pPr>
    </w:p>
    <w:p>
      <w:pPr>
        <w:ind w:firstLine="640"/>
        <w:contextualSpacing/>
        <w:jc w:val="center"/>
        <w:rPr>
          <w:rFonts w:hint="eastAsia" w:cs="Times New Roman" w:eastAsiaTheme="minorEastAsia"/>
          <w:bCs/>
          <w:color w:val="000000"/>
          <w:sz w:val="32"/>
          <w:szCs w:val="32"/>
          <w:lang w:val="en-US" w:eastAsia="zh-CN"/>
        </w:rPr>
      </w:pPr>
      <w:r>
        <w:rPr>
          <w:rFonts w:hint="eastAsia" w:cs="Times New Roman" w:eastAsiaTheme="minorEastAsia"/>
          <w:bCs/>
          <w:color w:val="000000"/>
          <w:sz w:val="32"/>
          <w:szCs w:val="32"/>
          <w:lang w:val="en-US" w:eastAsia="zh-CN"/>
        </w:rPr>
        <w:t>文山州生态环境局砚山分局</w:t>
      </w:r>
    </w:p>
    <w:p>
      <w:pPr>
        <w:ind w:firstLine="640"/>
        <w:contextualSpacing/>
        <w:jc w:val="center"/>
        <w:rPr>
          <w:rFonts w:hint="default" w:ascii="Times New Roman" w:hAnsi="Times New Roman" w:cs="Times New Roman" w:eastAsiaTheme="minorEastAsia"/>
          <w:bCs/>
          <w:color w:val="000000"/>
          <w:sz w:val="32"/>
          <w:szCs w:val="32"/>
        </w:rPr>
      </w:pPr>
      <w:r>
        <w:rPr>
          <w:rFonts w:hint="default" w:ascii="Times New Roman" w:hAnsi="Times New Roman" w:cs="Times New Roman" w:eastAsiaTheme="minorEastAsia"/>
          <w:bCs/>
          <w:color w:val="000000"/>
          <w:sz w:val="32"/>
          <w:szCs w:val="32"/>
        </w:rPr>
        <w:t>2022年</w:t>
      </w:r>
      <w:r>
        <w:rPr>
          <w:rFonts w:hint="default" w:ascii="Times New Roman" w:hAnsi="Times New Roman" w:cs="Times New Roman" w:eastAsiaTheme="minorEastAsia"/>
          <w:bCs/>
          <w:color w:val="000000"/>
          <w:sz w:val="32"/>
          <w:szCs w:val="32"/>
          <w:lang w:val="en-US" w:eastAsia="zh-CN"/>
        </w:rPr>
        <w:t>3</w:t>
      </w:r>
      <w:r>
        <w:rPr>
          <w:rFonts w:hint="default" w:ascii="Times New Roman" w:hAnsi="Times New Roman" w:cs="Times New Roman" w:eastAsiaTheme="minorEastAsia"/>
          <w:bCs/>
          <w:color w:val="000000"/>
          <w:sz w:val="32"/>
          <w:szCs w:val="32"/>
        </w:rPr>
        <w:t>月</w:t>
      </w:r>
    </w:p>
    <w:p>
      <w:pPr>
        <w:ind w:firstLine="723"/>
        <w:contextualSpacing/>
        <w:jc w:val="center"/>
        <w:rPr>
          <w:rFonts w:hint="default" w:ascii="Times New Roman" w:hAnsi="Times New Roman" w:cs="Times New Roman" w:eastAsiaTheme="minorEastAsia"/>
          <w:b/>
          <w:color w:val="000000"/>
          <w:sz w:val="36"/>
          <w:szCs w:val="36"/>
        </w:rPr>
      </w:pPr>
      <w:bookmarkStart w:id="28" w:name="_GoBack"/>
      <w:bookmarkEnd w:id="28"/>
    </w:p>
    <w:p>
      <w:pPr>
        <w:ind w:firstLine="723"/>
        <w:contextualSpacing/>
        <w:jc w:val="center"/>
        <w:rPr>
          <w:rFonts w:hint="default" w:ascii="Times New Roman" w:hAnsi="Times New Roman" w:cs="Times New Roman" w:eastAsiaTheme="minorEastAsia"/>
          <w:b/>
          <w:color w:val="000000"/>
          <w:sz w:val="36"/>
          <w:szCs w:val="36"/>
        </w:rPr>
        <w:sectPr>
          <w:headerReference r:id="rId5" w:type="first"/>
          <w:footerReference r:id="rId8" w:type="first"/>
          <w:headerReference r:id="rId3" w:type="default"/>
          <w:footerReference r:id="rId6" w:type="default"/>
          <w:headerReference r:id="rId4" w:type="even"/>
          <w:footerReference r:id="rId7" w:type="even"/>
          <w:pgSz w:w="11906" w:h="16838"/>
          <w:pgMar w:top="1440" w:right="1627" w:bottom="1440" w:left="1627" w:header="851" w:footer="992" w:gutter="0"/>
          <w:pgNumType w:start="1"/>
          <w:cols w:space="720" w:num="1"/>
          <w:docGrid w:type="lines" w:linePitch="312" w:charSpace="0"/>
        </w:sectPr>
      </w:pPr>
    </w:p>
    <w:p>
      <w:pPr>
        <w:pStyle w:val="8"/>
        <w:ind w:firstLine="562"/>
        <w:rPr>
          <w:rFonts w:hint="default" w:ascii="Times New Roman" w:hAnsi="Times New Roman" w:cs="Times New Roman" w:eastAsiaTheme="minorEastAsia"/>
          <w:color w:val="000000"/>
        </w:rPr>
      </w:pPr>
      <w:r>
        <w:rPr>
          <w:rFonts w:hint="default" w:ascii="Times New Roman" w:hAnsi="Times New Roman" w:cs="Times New Roman" w:eastAsiaTheme="minorEastAsia"/>
          <w:color w:val="000000"/>
        </w:rPr>
        <w:t>目录</w:t>
      </w:r>
    </w:p>
    <w:p>
      <w:pPr>
        <w:pStyle w:val="8"/>
        <w:tabs>
          <w:tab w:val="right" w:leader="dot" w:pos="8312"/>
          <w:tab w:val="clear" w:pos="8302"/>
        </w:tabs>
      </w:pPr>
      <w:r>
        <w:rPr>
          <w:rFonts w:hint="default" w:ascii="Times New Roman" w:hAnsi="Times New Roman" w:cs="Times New Roman" w:eastAsiaTheme="minorEastAsia"/>
          <w:b w:val="0"/>
          <w:color w:val="000000"/>
          <w:sz w:val="36"/>
        </w:rPr>
        <w:fldChar w:fldCharType="begin"/>
      </w:r>
      <w:r>
        <w:rPr>
          <w:rFonts w:hint="default" w:ascii="Times New Roman" w:hAnsi="Times New Roman" w:cs="Times New Roman" w:eastAsiaTheme="minorEastAsia"/>
          <w:b w:val="0"/>
          <w:color w:val="000000"/>
          <w:sz w:val="36"/>
        </w:rPr>
        <w:instrText xml:space="preserve"> TOC \o "1-2" \h \z \u </w:instrText>
      </w:r>
      <w:r>
        <w:rPr>
          <w:rFonts w:hint="default" w:ascii="Times New Roman" w:hAnsi="Times New Roman" w:cs="Times New Roman" w:eastAsiaTheme="minorEastAsia"/>
          <w:b w:val="0"/>
          <w:color w:val="000000"/>
          <w:sz w:val="36"/>
        </w:rPr>
        <w:fldChar w:fldCharType="separate"/>
      </w:r>
      <w:r>
        <w:rPr>
          <w:rFonts w:hint="default" w:ascii="Times New Roman" w:hAnsi="Times New Roman" w:cs="Times New Roman" w:eastAsiaTheme="minorEastAsia"/>
          <w:color w:val="000000"/>
        </w:rPr>
        <w:fldChar w:fldCharType="begin"/>
      </w:r>
      <w:r>
        <w:rPr>
          <w:rFonts w:hint="default" w:ascii="Times New Roman" w:hAnsi="Times New Roman" w:cs="Times New Roman" w:eastAsiaTheme="minorEastAsia"/>
        </w:rPr>
        <w:instrText xml:space="preserve"> HYPERLINK \l _Toc14425 </w:instrText>
      </w:r>
      <w:r>
        <w:rPr>
          <w:rFonts w:hint="default" w:ascii="Times New Roman" w:hAnsi="Times New Roman" w:cs="Times New Roman" w:eastAsiaTheme="minorEastAsia"/>
        </w:rPr>
        <w:fldChar w:fldCharType="separate"/>
      </w:r>
      <w:r>
        <w:rPr>
          <w:rFonts w:hint="eastAsia" w:ascii="Times New Roman" w:hAnsi="Times New Roman" w:cs="Times New Roman" w:eastAsiaTheme="minorEastAsia"/>
        </w:rPr>
        <w:t xml:space="preserve">第1章 </w:t>
      </w:r>
      <w:r>
        <w:rPr>
          <w:rFonts w:hint="default" w:ascii="Times New Roman" w:hAnsi="Times New Roman" w:cs="Times New Roman" w:eastAsiaTheme="minorEastAsia"/>
        </w:rPr>
        <w:t>总论</w:t>
      </w:r>
      <w:r>
        <w:tab/>
      </w:r>
      <w:r>
        <w:fldChar w:fldCharType="begin"/>
      </w:r>
      <w:r>
        <w:instrText xml:space="preserve"> PAGEREF _Toc14425 \h </w:instrText>
      </w:r>
      <w:r>
        <w:fldChar w:fldCharType="separate"/>
      </w:r>
      <w:r>
        <w:t>1</w:t>
      </w:r>
      <w:r>
        <w:fldChar w:fldCharType="end"/>
      </w:r>
      <w:r>
        <w:rPr>
          <w:rFonts w:hint="default" w:ascii="Times New Roman" w:hAnsi="Times New Roman" w:cs="Times New Roman" w:eastAsiaTheme="minorEastAsia"/>
          <w:color w:val="000000"/>
        </w:rPr>
        <w:fldChar w:fldCharType="end"/>
      </w:r>
    </w:p>
    <w:p>
      <w:pPr>
        <w:pStyle w:val="9"/>
        <w:tabs>
          <w:tab w:val="right" w:leader="dot" w:pos="8312"/>
          <w:tab w:val="clear" w:pos="8302"/>
        </w:tabs>
      </w:pPr>
      <w:r>
        <w:rPr>
          <w:rFonts w:hint="default" w:ascii="Times New Roman" w:hAnsi="Times New Roman" w:cs="Times New Roman" w:eastAsiaTheme="minorEastAsia"/>
          <w:color w:val="000000"/>
          <w:szCs w:val="36"/>
        </w:rPr>
        <w:fldChar w:fldCharType="begin"/>
      </w:r>
      <w:r>
        <w:rPr>
          <w:rFonts w:hint="default" w:ascii="Times New Roman" w:hAnsi="Times New Roman" w:cs="Times New Roman" w:eastAsiaTheme="minorEastAsia"/>
          <w:szCs w:val="36"/>
        </w:rPr>
        <w:instrText xml:space="preserve"> HYPERLINK \l _Toc5856 </w:instrText>
      </w:r>
      <w:r>
        <w:rPr>
          <w:rFonts w:hint="default" w:ascii="Times New Roman" w:hAnsi="Times New Roman" w:cs="Times New Roman" w:eastAsiaTheme="minorEastAsia"/>
          <w:szCs w:val="36"/>
        </w:rPr>
        <w:fldChar w:fldCharType="separate"/>
      </w:r>
      <w:r>
        <w:rPr>
          <w:rFonts w:hint="eastAsia" w:ascii="Times New Roman" w:hAnsi="Times New Roman" w:cs="Times New Roman" w:eastAsiaTheme="minorEastAsia"/>
        </w:rPr>
        <w:t xml:space="preserve">1.1 </w:t>
      </w:r>
      <w:r>
        <w:rPr>
          <w:rFonts w:hint="default" w:ascii="Times New Roman" w:hAnsi="Times New Roman" w:cs="Times New Roman" w:eastAsiaTheme="minorEastAsia"/>
        </w:rPr>
        <w:t>项目背景</w:t>
      </w:r>
      <w:r>
        <w:tab/>
      </w:r>
      <w:r>
        <w:fldChar w:fldCharType="begin"/>
      </w:r>
      <w:r>
        <w:instrText xml:space="preserve"> PAGEREF _Toc5856 \h </w:instrText>
      </w:r>
      <w:r>
        <w:fldChar w:fldCharType="separate"/>
      </w:r>
      <w:r>
        <w:t>1</w:t>
      </w:r>
      <w:r>
        <w:fldChar w:fldCharType="end"/>
      </w:r>
      <w:r>
        <w:rPr>
          <w:rFonts w:hint="default" w:ascii="Times New Roman" w:hAnsi="Times New Roman" w:cs="Times New Roman" w:eastAsiaTheme="minorEastAsia"/>
          <w:color w:val="000000"/>
          <w:szCs w:val="36"/>
        </w:rPr>
        <w:fldChar w:fldCharType="end"/>
      </w:r>
    </w:p>
    <w:p>
      <w:pPr>
        <w:pStyle w:val="9"/>
        <w:tabs>
          <w:tab w:val="right" w:leader="dot" w:pos="8312"/>
          <w:tab w:val="clear" w:pos="8302"/>
        </w:tabs>
      </w:pPr>
      <w:r>
        <w:rPr>
          <w:rFonts w:hint="default" w:ascii="Times New Roman" w:hAnsi="Times New Roman" w:cs="Times New Roman" w:eastAsiaTheme="minorEastAsia"/>
          <w:color w:val="000000"/>
          <w:szCs w:val="36"/>
        </w:rPr>
        <w:fldChar w:fldCharType="begin"/>
      </w:r>
      <w:r>
        <w:rPr>
          <w:rFonts w:hint="default" w:ascii="Times New Roman" w:hAnsi="Times New Roman" w:cs="Times New Roman" w:eastAsiaTheme="minorEastAsia"/>
          <w:szCs w:val="36"/>
        </w:rPr>
        <w:instrText xml:space="preserve"> HYPERLINK \l _Toc19641 </w:instrText>
      </w:r>
      <w:r>
        <w:rPr>
          <w:rFonts w:hint="default" w:ascii="Times New Roman" w:hAnsi="Times New Roman" w:cs="Times New Roman" w:eastAsiaTheme="minorEastAsia"/>
          <w:szCs w:val="36"/>
        </w:rPr>
        <w:fldChar w:fldCharType="separate"/>
      </w:r>
      <w:r>
        <w:rPr>
          <w:rFonts w:hint="eastAsia" w:ascii="Times New Roman" w:hAnsi="Times New Roman" w:cs="Times New Roman" w:eastAsiaTheme="minorEastAsia"/>
        </w:rPr>
        <w:t xml:space="preserve">1.2 </w:t>
      </w:r>
      <w:r>
        <w:rPr>
          <w:rFonts w:hint="default" w:ascii="Times New Roman" w:hAnsi="Times New Roman" w:cs="Times New Roman" w:eastAsiaTheme="minorEastAsia"/>
        </w:rPr>
        <w:t>划定目的</w:t>
      </w:r>
      <w:r>
        <w:tab/>
      </w:r>
      <w:r>
        <w:fldChar w:fldCharType="begin"/>
      </w:r>
      <w:r>
        <w:instrText xml:space="preserve"> PAGEREF _Toc19641 \h </w:instrText>
      </w:r>
      <w:r>
        <w:fldChar w:fldCharType="separate"/>
      </w:r>
      <w:r>
        <w:t>1</w:t>
      </w:r>
      <w:r>
        <w:fldChar w:fldCharType="end"/>
      </w:r>
      <w:r>
        <w:rPr>
          <w:rFonts w:hint="default" w:ascii="Times New Roman" w:hAnsi="Times New Roman" w:cs="Times New Roman" w:eastAsiaTheme="minorEastAsia"/>
          <w:color w:val="000000"/>
          <w:szCs w:val="36"/>
        </w:rPr>
        <w:fldChar w:fldCharType="end"/>
      </w:r>
    </w:p>
    <w:p>
      <w:pPr>
        <w:pStyle w:val="9"/>
        <w:tabs>
          <w:tab w:val="right" w:leader="dot" w:pos="8312"/>
          <w:tab w:val="clear" w:pos="8302"/>
        </w:tabs>
      </w:pPr>
      <w:r>
        <w:rPr>
          <w:rFonts w:hint="default" w:ascii="Times New Roman" w:hAnsi="Times New Roman" w:cs="Times New Roman" w:eastAsiaTheme="minorEastAsia"/>
          <w:color w:val="000000"/>
          <w:szCs w:val="36"/>
        </w:rPr>
        <w:fldChar w:fldCharType="begin"/>
      </w:r>
      <w:r>
        <w:rPr>
          <w:rFonts w:hint="default" w:ascii="Times New Roman" w:hAnsi="Times New Roman" w:cs="Times New Roman" w:eastAsiaTheme="minorEastAsia"/>
          <w:szCs w:val="36"/>
        </w:rPr>
        <w:instrText xml:space="preserve"> HYPERLINK \l _Toc6352 </w:instrText>
      </w:r>
      <w:r>
        <w:rPr>
          <w:rFonts w:hint="default" w:ascii="Times New Roman" w:hAnsi="Times New Roman" w:cs="Times New Roman" w:eastAsiaTheme="minorEastAsia"/>
          <w:szCs w:val="36"/>
        </w:rPr>
        <w:fldChar w:fldCharType="separate"/>
      </w:r>
      <w:r>
        <w:rPr>
          <w:rFonts w:hint="eastAsia" w:ascii="Times New Roman" w:hAnsi="Times New Roman" w:cs="Times New Roman"/>
          <w:lang w:val="en-US" w:eastAsia="zh-CN"/>
        </w:rPr>
        <w:t xml:space="preserve">1.3 </w:t>
      </w:r>
      <w:r>
        <w:rPr>
          <w:rFonts w:hint="default" w:ascii="Times New Roman" w:hAnsi="Times New Roman" w:cs="Times New Roman"/>
          <w:lang w:val="en-US" w:eastAsia="zh-CN"/>
        </w:rPr>
        <w:t>指导思想</w:t>
      </w:r>
      <w:r>
        <w:tab/>
      </w:r>
      <w:r>
        <w:fldChar w:fldCharType="begin"/>
      </w:r>
      <w:r>
        <w:instrText xml:space="preserve"> PAGEREF _Toc6352 \h </w:instrText>
      </w:r>
      <w:r>
        <w:fldChar w:fldCharType="separate"/>
      </w:r>
      <w:r>
        <w:t>2</w:t>
      </w:r>
      <w:r>
        <w:fldChar w:fldCharType="end"/>
      </w:r>
      <w:r>
        <w:rPr>
          <w:rFonts w:hint="default" w:ascii="Times New Roman" w:hAnsi="Times New Roman" w:cs="Times New Roman" w:eastAsiaTheme="minorEastAsia"/>
          <w:color w:val="000000"/>
          <w:szCs w:val="36"/>
        </w:rPr>
        <w:fldChar w:fldCharType="end"/>
      </w:r>
    </w:p>
    <w:p>
      <w:pPr>
        <w:pStyle w:val="9"/>
        <w:tabs>
          <w:tab w:val="right" w:leader="dot" w:pos="8312"/>
          <w:tab w:val="clear" w:pos="8302"/>
        </w:tabs>
      </w:pPr>
      <w:r>
        <w:rPr>
          <w:rFonts w:hint="default" w:ascii="Times New Roman" w:hAnsi="Times New Roman" w:cs="Times New Roman" w:eastAsiaTheme="minorEastAsia"/>
          <w:color w:val="000000"/>
          <w:szCs w:val="36"/>
        </w:rPr>
        <w:fldChar w:fldCharType="begin"/>
      </w:r>
      <w:r>
        <w:rPr>
          <w:rFonts w:hint="default" w:ascii="Times New Roman" w:hAnsi="Times New Roman" w:cs="Times New Roman" w:eastAsiaTheme="minorEastAsia"/>
          <w:szCs w:val="36"/>
        </w:rPr>
        <w:instrText xml:space="preserve"> HYPERLINK \l _Toc1496 </w:instrText>
      </w:r>
      <w:r>
        <w:rPr>
          <w:rFonts w:hint="default" w:ascii="Times New Roman" w:hAnsi="Times New Roman" w:cs="Times New Roman" w:eastAsiaTheme="minorEastAsia"/>
          <w:szCs w:val="36"/>
        </w:rPr>
        <w:fldChar w:fldCharType="separate"/>
      </w:r>
      <w:r>
        <w:rPr>
          <w:rFonts w:hint="eastAsia" w:ascii="Times New Roman" w:hAnsi="Times New Roman" w:cs="Times New Roman" w:eastAsiaTheme="minorEastAsia"/>
          <w:lang w:val="en-US" w:eastAsia="zh-CN"/>
        </w:rPr>
        <w:t xml:space="preserve">1.4 </w:t>
      </w:r>
      <w:r>
        <w:rPr>
          <w:rFonts w:hint="default" w:ascii="Times New Roman" w:hAnsi="Times New Roman" w:cs="Times New Roman" w:eastAsiaTheme="minorEastAsia"/>
          <w:lang w:val="en-US" w:eastAsia="zh-CN"/>
        </w:rPr>
        <w:t>术语与定义</w:t>
      </w:r>
      <w:r>
        <w:tab/>
      </w:r>
      <w:r>
        <w:fldChar w:fldCharType="begin"/>
      </w:r>
      <w:r>
        <w:instrText xml:space="preserve"> PAGEREF _Toc1496 \h </w:instrText>
      </w:r>
      <w:r>
        <w:fldChar w:fldCharType="separate"/>
      </w:r>
      <w:r>
        <w:t>2</w:t>
      </w:r>
      <w:r>
        <w:fldChar w:fldCharType="end"/>
      </w:r>
      <w:r>
        <w:rPr>
          <w:rFonts w:hint="default" w:ascii="Times New Roman" w:hAnsi="Times New Roman" w:cs="Times New Roman" w:eastAsiaTheme="minorEastAsia"/>
          <w:color w:val="000000"/>
          <w:szCs w:val="36"/>
        </w:rPr>
        <w:fldChar w:fldCharType="end"/>
      </w:r>
    </w:p>
    <w:p>
      <w:pPr>
        <w:pStyle w:val="9"/>
        <w:tabs>
          <w:tab w:val="right" w:leader="dot" w:pos="8312"/>
          <w:tab w:val="clear" w:pos="8302"/>
        </w:tabs>
      </w:pPr>
      <w:r>
        <w:rPr>
          <w:rFonts w:hint="default" w:ascii="Times New Roman" w:hAnsi="Times New Roman" w:cs="Times New Roman" w:eastAsiaTheme="minorEastAsia"/>
          <w:color w:val="000000"/>
          <w:szCs w:val="36"/>
        </w:rPr>
        <w:fldChar w:fldCharType="begin"/>
      </w:r>
      <w:r>
        <w:rPr>
          <w:rFonts w:hint="default" w:ascii="Times New Roman" w:hAnsi="Times New Roman" w:cs="Times New Roman" w:eastAsiaTheme="minorEastAsia"/>
          <w:szCs w:val="36"/>
        </w:rPr>
        <w:instrText xml:space="preserve"> HYPERLINK \l _Toc15432 </w:instrText>
      </w:r>
      <w:r>
        <w:rPr>
          <w:rFonts w:hint="default" w:ascii="Times New Roman" w:hAnsi="Times New Roman" w:cs="Times New Roman" w:eastAsiaTheme="minorEastAsia"/>
          <w:szCs w:val="36"/>
        </w:rPr>
        <w:fldChar w:fldCharType="separate"/>
      </w:r>
      <w:r>
        <w:rPr>
          <w:rFonts w:hint="eastAsia" w:ascii="Times New Roman" w:hAnsi="Times New Roman" w:cs="Times New Roman" w:eastAsiaTheme="minorEastAsia"/>
        </w:rPr>
        <w:t xml:space="preserve">1.5 </w:t>
      </w:r>
      <w:r>
        <w:rPr>
          <w:rFonts w:hint="default" w:ascii="Times New Roman" w:hAnsi="Times New Roman" w:cs="Times New Roman" w:eastAsiaTheme="minorEastAsia"/>
        </w:rPr>
        <w:t>编制依据</w:t>
      </w:r>
      <w:r>
        <w:tab/>
      </w:r>
      <w:r>
        <w:fldChar w:fldCharType="begin"/>
      </w:r>
      <w:r>
        <w:instrText xml:space="preserve"> PAGEREF _Toc15432 \h </w:instrText>
      </w:r>
      <w:r>
        <w:fldChar w:fldCharType="separate"/>
      </w:r>
      <w:r>
        <w:t>2</w:t>
      </w:r>
      <w:r>
        <w:fldChar w:fldCharType="end"/>
      </w:r>
      <w:r>
        <w:rPr>
          <w:rFonts w:hint="default" w:ascii="Times New Roman" w:hAnsi="Times New Roman" w:cs="Times New Roman" w:eastAsiaTheme="minorEastAsia"/>
          <w:color w:val="000000"/>
          <w:szCs w:val="36"/>
        </w:rPr>
        <w:fldChar w:fldCharType="end"/>
      </w:r>
    </w:p>
    <w:p>
      <w:pPr>
        <w:pStyle w:val="9"/>
        <w:tabs>
          <w:tab w:val="right" w:leader="dot" w:pos="8312"/>
          <w:tab w:val="clear" w:pos="8302"/>
        </w:tabs>
      </w:pPr>
      <w:r>
        <w:rPr>
          <w:rFonts w:hint="default" w:ascii="Times New Roman" w:hAnsi="Times New Roman" w:cs="Times New Roman" w:eastAsiaTheme="minorEastAsia"/>
          <w:color w:val="000000"/>
          <w:szCs w:val="36"/>
        </w:rPr>
        <w:fldChar w:fldCharType="begin"/>
      </w:r>
      <w:r>
        <w:rPr>
          <w:rFonts w:hint="default" w:ascii="Times New Roman" w:hAnsi="Times New Roman" w:cs="Times New Roman" w:eastAsiaTheme="minorEastAsia"/>
          <w:szCs w:val="36"/>
        </w:rPr>
        <w:instrText xml:space="preserve"> HYPERLINK \l _Toc3089 </w:instrText>
      </w:r>
      <w:r>
        <w:rPr>
          <w:rFonts w:hint="default" w:ascii="Times New Roman" w:hAnsi="Times New Roman" w:cs="Times New Roman" w:eastAsiaTheme="minorEastAsia"/>
          <w:szCs w:val="36"/>
        </w:rPr>
        <w:fldChar w:fldCharType="separate"/>
      </w:r>
      <w:r>
        <w:rPr>
          <w:rFonts w:hint="eastAsia" w:ascii="Times New Roman" w:hAnsi="Times New Roman" w:cs="Times New Roman" w:eastAsiaTheme="minorEastAsia"/>
        </w:rPr>
        <w:t xml:space="preserve">1.6 </w:t>
      </w:r>
      <w:r>
        <w:rPr>
          <w:rFonts w:hint="default" w:ascii="Times New Roman" w:hAnsi="Times New Roman" w:cs="Times New Roman" w:eastAsiaTheme="minorEastAsia"/>
        </w:rPr>
        <w:t>划定原则</w:t>
      </w:r>
      <w:r>
        <w:tab/>
      </w:r>
      <w:r>
        <w:fldChar w:fldCharType="begin"/>
      </w:r>
      <w:r>
        <w:instrText xml:space="preserve"> PAGEREF _Toc3089 \h </w:instrText>
      </w:r>
      <w:r>
        <w:fldChar w:fldCharType="separate"/>
      </w:r>
      <w:r>
        <w:t>3</w:t>
      </w:r>
      <w:r>
        <w:fldChar w:fldCharType="end"/>
      </w:r>
      <w:r>
        <w:rPr>
          <w:rFonts w:hint="default" w:ascii="Times New Roman" w:hAnsi="Times New Roman" w:cs="Times New Roman" w:eastAsiaTheme="minorEastAsia"/>
          <w:color w:val="000000"/>
          <w:szCs w:val="36"/>
        </w:rPr>
        <w:fldChar w:fldCharType="end"/>
      </w:r>
    </w:p>
    <w:p>
      <w:pPr>
        <w:pStyle w:val="9"/>
        <w:tabs>
          <w:tab w:val="right" w:leader="dot" w:pos="8312"/>
          <w:tab w:val="clear" w:pos="8302"/>
        </w:tabs>
      </w:pPr>
      <w:r>
        <w:rPr>
          <w:rFonts w:hint="default" w:ascii="Times New Roman" w:hAnsi="Times New Roman" w:cs="Times New Roman" w:eastAsiaTheme="minorEastAsia"/>
          <w:color w:val="000000"/>
          <w:szCs w:val="36"/>
        </w:rPr>
        <w:fldChar w:fldCharType="begin"/>
      </w:r>
      <w:r>
        <w:rPr>
          <w:rFonts w:hint="default" w:ascii="Times New Roman" w:hAnsi="Times New Roman" w:cs="Times New Roman" w:eastAsiaTheme="minorEastAsia"/>
          <w:szCs w:val="36"/>
        </w:rPr>
        <w:instrText xml:space="preserve"> HYPERLINK \l _Toc16472 </w:instrText>
      </w:r>
      <w:r>
        <w:rPr>
          <w:rFonts w:hint="default" w:ascii="Times New Roman" w:hAnsi="Times New Roman" w:cs="Times New Roman" w:eastAsiaTheme="minorEastAsia"/>
          <w:szCs w:val="36"/>
        </w:rPr>
        <w:fldChar w:fldCharType="separate"/>
      </w:r>
      <w:r>
        <w:rPr>
          <w:rFonts w:hint="eastAsia" w:ascii="Times New Roman" w:hAnsi="Times New Roman" w:cs="Times New Roman" w:eastAsiaTheme="minorEastAsia"/>
          <w:lang w:val="en-US" w:eastAsia="zh-CN"/>
        </w:rPr>
        <w:t xml:space="preserve">1.7 </w:t>
      </w:r>
      <w:r>
        <w:rPr>
          <w:rFonts w:hint="default" w:ascii="Times New Roman" w:hAnsi="Times New Roman" w:cs="Times New Roman" w:eastAsiaTheme="minorEastAsia"/>
          <w:lang w:val="en-US" w:eastAsia="zh-CN"/>
        </w:rPr>
        <w:t>划定范围</w:t>
      </w:r>
      <w:r>
        <w:tab/>
      </w:r>
      <w:r>
        <w:fldChar w:fldCharType="begin"/>
      </w:r>
      <w:r>
        <w:instrText xml:space="preserve"> PAGEREF _Toc16472 \h </w:instrText>
      </w:r>
      <w:r>
        <w:fldChar w:fldCharType="separate"/>
      </w:r>
      <w:r>
        <w:t>3</w:t>
      </w:r>
      <w:r>
        <w:fldChar w:fldCharType="end"/>
      </w:r>
      <w:r>
        <w:rPr>
          <w:rFonts w:hint="default" w:ascii="Times New Roman" w:hAnsi="Times New Roman" w:cs="Times New Roman" w:eastAsiaTheme="minorEastAsia"/>
          <w:color w:val="000000"/>
          <w:szCs w:val="36"/>
        </w:rPr>
        <w:fldChar w:fldCharType="end"/>
      </w:r>
    </w:p>
    <w:p>
      <w:pPr>
        <w:pStyle w:val="9"/>
        <w:tabs>
          <w:tab w:val="right" w:leader="dot" w:pos="8312"/>
          <w:tab w:val="clear" w:pos="8302"/>
        </w:tabs>
      </w:pPr>
      <w:r>
        <w:rPr>
          <w:rFonts w:hint="default" w:ascii="Times New Roman" w:hAnsi="Times New Roman" w:cs="Times New Roman" w:eastAsiaTheme="minorEastAsia"/>
          <w:color w:val="000000"/>
          <w:szCs w:val="36"/>
        </w:rPr>
        <w:fldChar w:fldCharType="begin"/>
      </w:r>
      <w:r>
        <w:rPr>
          <w:rFonts w:hint="default" w:ascii="Times New Roman" w:hAnsi="Times New Roman" w:cs="Times New Roman" w:eastAsiaTheme="minorEastAsia"/>
          <w:szCs w:val="36"/>
        </w:rPr>
        <w:instrText xml:space="preserve"> HYPERLINK \l _Toc465 </w:instrText>
      </w:r>
      <w:r>
        <w:rPr>
          <w:rFonts w:hint="default" w:ascii="Times New Roman" w:hAnsi="Times New Roman" w:cs="Times New Roman" w:eastAsiaTheme="minorEastAsia"/>
          <w:szCs w:val="36"/>
        </w:rPr>
        <w:fldChar w:fldCharType="separate"/>
      </w:r>
      <w:r>
        <w:rPr>
          <w:rFonts w:hint="eastAsia" w:ascii="Times New Roman" w:hAnsi="Times New Roman" w:cs="Times New Roman" w:eastAsiaTheme="minorEastAsia"/>
          <w:lang w:val="en-US" w:eastAsia="zh-CN"/>
        </w:rPr>
        <w:t xml:space="preserve">1.8 </w:t>
      </w:r>
      <w:r>
        <w:rPr>
          <w:rFonts w:hint="default" w:ascii="Times New Roman" w:hAnsi="Times New Roman" w:cs="Times New Roman" w:eastAsiaTheme="minorEastAsia"/>
          <w:lang w:val="en-US" w:eastAsia="zh-CN"/>
        </w:rPr>
        <w:t>划定要求</w:t>
      </w:r>
      <w:r>
        <w:tab/>
      </w:r>
      <w:r>
        <w:fldChar w:fldCharType="begin"/>
      </w:r>
      <w:r>
        <w:instrText xml:space="preserve"> PAGEREF _Toc465 \h </w:instrText>
      </w:r>
      <w:r>
        <w:fldChar w:fldCharType="separate"/>
      </w:r>
      <w:r>
        <w:t>4</w:t>
      </w:r>
      <w:r>
        <w:fldChar w:fldCharType="end"/>
      </w:r>
      <w:r>
        <w:rPr>
          <w:rFonts w:hint="default" w:ascii="Times New Roman" w:hAnsi="Times New Roman" w:cs="Times New Roman" w:eastAsiaTheme="minorEastAsia"/>
          <w:color w:val="000000"/>
          <w:szCs w:val="36"/>
        </w:rPr>
        <w:fldChar w:fldCharType="end"/>
      </w:r>
    </w:p>
    <w:p>
      <w:pPr>
        <w:pStyle w:val="9"/>
        <w:tabs>
          <w:tab w:val="right" w:leader="dot" w:pos="8312"/>
          <w:tab w:val="clear" w:pos="8302"/>
        </w:tabs>
      </w:pPr>
      <w:r>
        <w:rPr>
          <w:rFonts w:hint="default" w:ascii="Times New Roman" w:hAnsi="Times New Roman" w:cs="Times New Roman" w:eastAsiaTheme="minorEastAsia"/>
          <w:color w:val="000000"/>
          <w:szCs w:val="36"/>
        </w:rPr>
        <w:fldChar w:fldCharType="begin"/>
      </w:r>
      <w:r>
        <w:rPr>
          <w:rFonts w:hint="default" w:ascii="Times New Roman" w:hAnsi="Times New Roman" w:cs="Times New Roman" w:eastAsiaTheme="minorEastAsia"/>
          <w:szCs w:val="36"/>
        </w:rPr>
        <w:instrText xml:space="preserve"> HYPERLINK \l _Toc1771 </w:instrText>
      </w:r>
      <w:r>
        <w:rPr>
          <w:rFonts w:hint="default" w:ascii="Times New Roman" w:hAnsi="Times New Roman" w:cs="Times New Roman" w:eastAsiaTheme="minorEastAsia"/>
          <w:szCs w:val="36"/>
        </w:rPr>
        <w:fldChar w:fldCharType="separate"/>
      </w:r>
      <w:r>
        <w:rPr>
          <w:rFonts w:hint="eastAsia" w:ascii="Times New Roman" w:hAnsi="Times New Roman" w:cs="Times New Roman" w:eastAsiaTheme="minorEastAsia"/>
        </w:rPr>
        <w:t xml:space="preserve">1.9 </w:t>
      </w:r>
      <w:r>
        <w:rPr>
          <w:rFonts w:hint="default" w:ascii="Times New Roman" w:hAnsi="Times New Roman" w:cs="Times New Roman" w:eastAsiaTheme="minorEastAsia"/>
        </w:rPr>
        <w:t>技术路线</w:t>
      </w:r>
      <w:r>
        <w:tab/>
      </w:r>
      <w:r>
        <w:fldChar w:fldCharType="begin"/>
      </w:r>
      <w:r>
        <w:instrText xml:space="preserve"> PAGEREF _Toc1771 \h </w:instrText>
      </w:r>
      <w:r>
        <w:fldChar w:fldCharType="separate"/>
      </w:r>
      <w:r>
        <w:t>4</w:t>
      </w:r>
      <w:r>
        <w:fldChar w:fldCharType="end"/>
      </w:r>
      <w:r>
        <w:rPr>
          <w:rFonts w:hint="default" w:ascii="Times New Roman" w:hAnsi="Times New Roman" w:cs="Times New Roman" w:eastAsiaTheme="minorEastAsia"/>
          <w:color w:val="000000"/>
          <w:szCs w:val="36"/>
        </w:rPr>
        <w:fldChar w:fldCharType="end"/>
      </w:r>
    </w:p>
    <w:p>
      <w:pPr>
        <w:pStyle w:val="8"/>
        <w:tabs>
          <w:tab w:val="right" w:leader="dot" w:pos="8312"/>
          <w:tab w:val="clear" w:pos="8302"/>
        </w:tabs>
      </w:pPr>
      <w:r>
        <w:rPr>
          <w:rFonts w:hint="default" w:ascii="Times New Roman" w:hAnsi="Times New Roman" w:cs="Times New Roman" w:eastAsiaTheme="minorEastAsia"/>
          <w:color w:val="000000"/>
          <w:szCs w:val="36"/>
        </w:rPr>
        <w:fldChar w:fldCharType="begin"/>
      </w:r>
      <w:r>
        <w:rPr>
          <w:rFonts w:hint="default" w:ascii="Times New Roman" w:hAnsi="Times New Roman" w:cs="Times New Roman" w:eastAsiaTheme="minorEastAsia"/>
          <w:szCs w:val="36"/>
        </w:rPr>
        <w:instrText xml:space="preserve"> HYPERLINK \l _Toc11710 </w:instrText>
      </w:r>
      <w:r>
        <w:rPr>
          <w:rFonts w:hint="default" w:ascii="Times New Roman" w:hAnsi="Times New Roman" w:cs="Times New Roman" w:eastAsiaTheme="minorEastAsia"/>
          <w:szCs w:val="36"/>
        </w:rPr>
        <w:fldChar w:fldCharType="separate"/>
      </w:r>
      <w:r>
        <w:rPr>
          <w:rFonts w:hint="eastAsia" w:ascii="Times New Roman" w:hAnsi="Times New Roman" w:cs="Times New Roman" w:eastAsiaTheme="minorEastAsia"/>
          <w:lang w:val="en-US"/>
        </w:rPr>
        <w:t xml:space="preserve">第2章 </w:t>
      </w:r>
      <w:r>
        <w:rPr>
          <w:rFonts w:hint="default" w:ascii="Times New Roman" w:hAnsi="Times New Roman" w:cs="Times New Roman" w:eastAsiaTheme="minorEastAsia"/>
        </w:rPr>
        <w:t>区域</w:t>
      </w:r>
      <w:r>
        <w:rPr>
          <w:rFonts w:hint="default" w:ascii="Times New Roman" w:hAnsi="Times New Roman" w:cs="Times New Roman" w:eastAsiaTheme="minorEastAsia"/>
          <w:lang w:val="en-US" w:eastAsia="zh-CN"/>
        </w:rPr>
        <w:t>概况</w:t>
      </w:r>
      <w:r>
        <w:tab/>
      </w:r>
      <w:r>
        <w:fldChar w:fldCharType="begin"/>
      </w:r>
      <w:r>
        <w:instrText xml:space="preserve"> PAGEREF _Toc11710 \h </w:instrText>
      </w:r>
      <w:r>
        <w:fldChar w:fldCharType="separate"/>
      </w:r>
      <w:r>
        <w:t>6</w:t>
      </w:r>
      <w:r>
        <w:fldChar w:fldCharType="end"/>
      </w:r>
      <w:r>
        <w:rPr>
          <w:rFonts w:hint="default" w:ascii="Times New Roman" w:hAnsi="Times New Roman" w:cs="Times New Roman" w:eastAsiaTheme="minorEastAsia"/>
          <w:color w:val="000000"/>
          <w:szCs w:val="36"/>
        </w:rPr>
        <w:fldChar w:fldCharType="end"/>
      </w:r>
    </w:p>
    <w:p>
      <w:pPr>
        <w:pStyle w:val="9"/>
        <w:tabs>
          <w:tab w:val="right" w:leader="dot" w:pos="8312"/>
          <w:tab w:val="clear" w:pos="8302"/>
        </w:tabs>
      </w:pPr>
      <w:r>
        <w:rPr>
          <w:rFonts w:hint="default" w:ascii="Times New Roman" w:hAnsi="Times New Roman" w:cs="Times New Roman" w:eastAsiaTheme="minorEastAsia"/>
          <w:color w:val="000000"/>
          <w:szCs w:val="36"/>
        </w:rPr>
        <w:fldChar w:fldCharType="begin"/>
      </w:r>
      <w:r>
        <w:rPr>
          <w:rFonts w:hint="default" w:ascii="Times New Roman" w:hAnsi="Times New Roman" w:cs="Times New Roman" w:eastAsiaTheme="minorEastAsia"/>
          <w:szCs w:val="36"/>
        </w:rPr>
        <w:instrText xml:space="preserve"> HYPERLINK \l _Toc7890 </w:instrText>
      </w:r>
      <w:r>
        <w:rPr>
          <w:rFonts w:hint="default" w:ascii="Times New Roman" w:hAnsi="Times New Roman" w:cs="Times New Roman" w:eastAsiaTheme="minorEastAsia"/>
          <w:szCs w:val="36"/>
        </w:rPr>
        <w:fldChar w:fldCharType="separate"/>
      </w:r>
      <w:r>
        <w:rPr>
          <w:rFonts w:hint="eastAsia" w:ascii="Times New Roman" w:hAnsi="Times New Roman" w:cs="Times New Roman" w:eastAsiaTheme="minorEastAsia"/>
        </w:rPr>
        <w:t xml:space="preserve">2.1 </w:t>
      </w:r>
      <w:r>
        <w:rPr>
          <w:rFonts w:hint="default" w:ascii="Times New Roman" w:hAnsi="Times New Roman" w:cs="Times New Roman" w:eastAsiaTheme="minorEastAsia"/>
        </w:rPr>
        <w:t>地理位置</w:t>
      </w:r>
      <w:r>
        <w:tab/>
      </w:r>
      <w:r>
        <w:fldChar w:fldCharType="begin"/>
      </w:r>
      <w:r>
        <w:instrText xml:space="preserve"> PAGEREF _Toc7890 \h </w:instrText>
      </w:r>
      <w:r>
        <w:fldChar w:fldCharType="separate"/>
      </w:r>
      <w:r>
        <w:t>6</w:t>
      </w:r>
      <w:r>
        <w:fldChar w:fldCharType="end"/>
      </w:r>
      <w:r>
        <w:rPr>
          <w:rFonts w:hint="default" w:ascii="Times New Roman" w:hAnsi="Times New Roman" w:cs="Times New Roman" w:eastAsiaTheme="minorEastAsia"/>
          <w:color w:val="000000"/>
          <w:szCs w:val="36"/>
        </w:rPr>
        <w:fldChar w:fldCharType="end"/>
      </w:r>
    </w:p>
    <w:p>
      <w:pPr>
        <w:pStyle w:val="9"/>
        <w:tabs>
          <w:tab w:val="right" w:leader="dot" w:pos="8312"/>
          <w:tab w:val="clear" w:pos="8302"/>
        </w:tabs>
      </w:pPr>
      <w:r>
        <w:rPr>
          <w:rFonts w:hint="default" w:ascii="Times New Roman" w:hAnsi="Times New Roman" w:cs="Times New Roman" w:eastAsiaTheme="minorEastAsia"/>
          <w:color w:val="000000"/>
          <w:szCs w:val="36"/>
        </w:rPr>
        <w:fldChar w:fldCharType="begin"/>
      </w:r>
      <w:r>
        <w:rPr>
          <w:rFonts w:hint="default" w:ascii="Times New Roman" w:hAnsi="Times New Roman" w:cs="Times New Roman" w:eastAsiaTheme="minorEastAsia"/>
          <w:szCs w:val="36"/>
        </w:rPr>
        <w:instrText xml:space="preserve"> HYPERLINK \l _Toc17183 </w:instrText>
      </w:r>
      <w:r>
        <w:rPr>
          <w:rFonts w:hint="default" w:ascii="Times New Roman" w:hAnsi="Times New Roman" w:cs="Times New Roman" w:eastAsiaTheme="minorEastAsia"/>
          <w:szCs w:val="36"/>
        </w:rPr>
        <w:fldChar w:fldCharType="separate"/>
      </w:r>
      <w:r>
        <w:rPr>
          <w:rFonts w:hint="eastAsia" w:ascii="Times New Roman" w:hAnsi="Times New Roman" w:cs="Times New Roman" w:eastAsiaTheme="minorEastAsia"/>
        </w:rPr>
        <w:t xml:space="preserve">2.2 </w:t>
      </w:r>
      <w:r>
        <w:rPr>
          <w:rFonts w:hint="default" w:ascii="Times New Roman" w:hAnsi="Times New Roman" w:cs="Times New Roman" w:eastAsiaTheme="minorEastAsia"/>
        </w:rPr>
        <w:t>行政区划</w:t>
      </w:r>
      <w:r>
        <w:tab/>
      </w:r>
      <w:r>
        <w:fldChar w:fldCharType="begin"/>
      </w:r>
      <w:r>
        <w:instrText xml:space="preserve"> PAGEREF _Toc17183 \h </w:instrText>
      </w:r>
      <w:r>
        <w:fldChar w:fldCharType="separate"/>
      </w:r>
      <w:r>
        <w:t>6</w:t>
      </w:r>
      <w:r>
        <w:fldChar w:fldCharType="end"/>
      </w:r>
      <w:r>
        <w:rPr>
          <w:rFonts w:hint="default" w:ascii="Times New Roman" w:hAnsi="Times New Roman" w:cs="Times New Roman" w:eastAsiaTheme="minorEastAsia"/>
          <w:color w:val="000000"/>
          <w:szCs w:val="36"/>
        </w:rPr>
        <w:fldChar w:fldCharType="end"/>
      </w:r>
    </w:p>
    <w:p>
      <w:pPr>
        <w:pStyle w:val="9"/>
        <w:tabs>
          <w:tab w:val="right" w:leader="dot" w:pos="8312"/>
          <w:tab w:val="clear" w:pos="8302"/>
        </w:tabs>
      </w:pPr>
      <w:r>
        <w:rPr>
          <w:rFonts w:hint="default" w:ascii="Times New Roman" w:hAnsi="Times New Roman" w:cs="Times New Roman" w:eastAsiaTheme="minorEastAsia"/>
          <w:color w:val="000000"/>
          <w:szCs w:val="36"/>
        </w:rPr>
        <w:fldChar w:fldCharType="begin"/>
      </w:r>
      <w:r>
        <w:rPr>
          <w:rFonts w:hint="default" w:ascii="Times New Roman" w:hAnsi="Times New Roman" w:cs="Times New Roman" w:eastAsiaTheme="minorEastAsia"/>
          <w:szCs w:val="36"/>
        </w:rPr>
        <w:instrText xml:space="preserve"> HYPERLINK \l _Toc14088 </w:instrText>
      </w:r>
      <w:r>
        <w:rPr>
          <w:rFonts w:hint="default" w:ascii="Times New Roman" w:hAnsi="Times New Roman" w:cs="Times New Roman" w:eastAsiaTheme="minorEastAsia"/>
          <w:szCs w:val="36"/>
        </w:rPr>
        <w:fldChar w:fldCharType="separate"/>
      </w:r>
      <w:r>
        <w:rPr>
          <w:rFonts w:hint="eastAsia" w:ascii="Times New Roman" w:hAnsi="Times New Roman" w:cs="Times New Roman" w:eastAsiaTheme="minorEastAsia"/>
        </w:rPr>
        <w:t xml:space="preserve">2.3 </w:t>
      </w:r>
      <w:r>
        <w:rPr>
          <w:rFonts w:hint="default" w:ascii="Times New Roman" w:hAnsi="Times New Roman" w:cs="Times New Roman" w:eastAsiaTheme="minorEastAsia"/>
        </w:rPr>
        <w:t>地形地貌</w:t>
      </w:r>
      <w:r>
        <w:tab/>
      </w:r>
      <w:r>
        <w:fldChar w:fldCharType="begin"/>
      </w:r>
      <w:r>
        <w:instrText xml:space="preserve"> PAGEREF _Toc14088 \h </w:instrText>
      </w:r>
      <w:r>
        <w:fldChar w:fldCharType="separate"/>
      </w:r>
      <w:r>
        <w:t>7</w:t>
      </w:r>
      <w:r>
        <w:fldChar w:fldCharType="end"/>
      </w:r>
      <w:r>
        <w:rPr>
          <w:rFonts w:hint="default" w:ascii="Times New Roman" w:hAnsi="Times New Roman" w:cs="Times New Roman" w:eastAsiaTheme="minorEastAsia"/>
          <w:color w:val="000000"/>
          <w:szCs w:val="36"/>
        </w:rPr>
        <w:fldChar w:fldCharType="end"/>
      </w:r>
    </w:p>
    <w:p>
      <w:pPr>
        <w:pStyle w:val="9"/>
        <w:tabs>
          <w:tab w:val="right" w:leader="dot" w:pos="8312"/>
          <w:tab w:val="clear" w:pos="8302"/>
        </w:tabs>
      </w:pPr>
      <w:r>
        <w:rPr>
          <w:rFonts w:hint="default" w:ascii="Times New Roman" w:hAnsi="Times New Roman" w:cs="Times New Roman" w:eastAsiaTheme="minorEastAsia"/>
          <w:color w:val="000000"/>
          <w:szCs w:val="36"/>
        </w:rPr>
        <w:fldChar w:fldCharType="begin"/>
      </w:r>
      <w:r>
        <w:rPr>
          <w:rFonts w:hint="default" w:ascii="Times New Roman" w:hAnsi="Times New Roman" w:cs="Times New Roman" w:eastAsiaTheme="minorEastAsia"/>
          <w:szCs w:val="36"/>
        </w:rPr>
        <w:instrText xml:space="preserve"> HYPERLINK \l _Toc8850 </w:instrText>
      </w:r>
      <w:r>
        <w:rPr>
          <w:rFonts w:hint="default" w:ascii="Times New Roman" w:hAnsi="Times New Roman" w:cs="Times New Roman" w:eastAsiaTheme="minorEastAsia"/>
          <w:szCs w:val="36"/>
        </w:rPr>
        <w:fldChar w:fldCharType="separate"/>
      </w:r>
      <w:r>
        <w:rPr>
          <w:rFonts w:hint="eastAsia" w:ascii="Times New Roman" w:hAnsi="Times New Roman" w:cs="Times New Roman" w:eastAsiaTheme="minorEastAsia"/>
        </w:rPr>
        <w:t xml:space="preserve">2.4 </w:t>
      </w:r>
      <w:r>
        <w:rPr>
          <w:rFonts w:hint="default" w:ascii="Times New Roman" w:hAnsi="Times New Roman" w:cs="Times New Roman" w:eastAsiaTheme="minorEastAsia"/>
          <w:lang w:val="en-US" w:eastAsia="zh-CN"/>
        </w:rPr>
        <w:t>气候</w:t>
      </w:r>
      <w:r>
        <w:rPr>
          <w:rFonts w:hint="default" w:ascii="Times New Roman" w:hAnsi="Times New Roman" w:cs="Times New Roman" w:eastAsiaTheme="minorEastAsia"/>
        </w:rPr>
        <w:t>气象</w:t>
      </w:r>
      <w:r>
        <w:tab/>
      </w:r>
      <w:r>
        <w:fldChar w:fldCharType="begin"/>
      </w:r>
      <w:r>
        <w:instrText xml:space="preserve"> PAGEREF _Toc8850 \h </w:instrText>
      </w:r>
      <w:r>
        <w:fldChar w:fldCharType="separate"/>
      </w:r>
      <w:r>
        <w:t>7</w:t>
      </w:r>
      <w:r>
        <w:fldChar w:fldCharType="end"/>
      </w:r>
      <w:r>
        <w:rPr>
          <w:rFonts w:hint="default" w:ascii="Times New Roman" w:hAnsi="Times New Roman" w:cs="Times New Roman" w:eastAsiaTheme="minorEastAsia"/>
          <w:color w:val="000000"/>
          <w:szCs w:val="36"/>
        </w:rPr>
        <w:fldChar w:fldCharType="end"/>
      </w:r>
    </w:p>
    <w:p>
      <w:pPr>
        <w:pStyle w:val="9"/>
        <w:tabs>
          <w:tab w:val="right" w:leader="dot" w:pos="8312"/>
          <w:tab w:val="clear" w:pos="8302"/>
        </w:tabs>
      </w:pPr>
      <w:r>
        <w:rPr>
          <w:rFonts w:hint="default" w:ascii="Times New Roman" w:hAnsi="Times New Roman" w:cs="Times New Roman" w:eastAsiaTheme="minorEastAsia"/>
          <w:color w:val="000000"/>
          <w:szCs w:val="36"/>
        </w:rPr>
        <w:fldChar w:fldCharType="begin"/>
      </w:r>
      <w:r>
        <w:rPr>
          <w:rFonts w:hint="default" w:ascii="Times New Roman" w:hAnsi="Times New Roman" w:cs="Times New Roman" w:eastAsiaTheme="minorEastAsia"/>
          <w:szCs w:val="36"/>
        </w:rPr>
        <w:instrText xml:space="preserve"> HYPERLINK \l _Toc3352 </w:instrText>
      </w:r>
      <w:r>
        <w:rPr>
          <w:rFonts w:hint="default" w:ascii="Times New Roman" w:hAnsi="Times New Roman" w:cs="Times New Roman" w:eastAsiaTheme="minorEastAsia"/>
          <w:szCs w:val="36"/>
        </w:rPr>
        <w:fldChar w:fldCharType="separate"/>
      </w:r>
      <w:r>
        <w:rPr>
          <w:rFonts w:hint="eastAsia" w:ascii="Times New Roman" w:hAnsi="Times New Roman" w:cs="Times New Roman" w:eastAsiaTheme="minorEastAsia"/>
          <w:lang w:val="en-US" w:eastAsia="zh-CN"/>
        </w:rPr>
        <w:t xml:space="preserve">2.5 </w:t>
      </w:r>
      <w:r>
        <w:rPr>
          <w:rFonts w:hint="default" w:ascii="Times New Roman" w:hAnsi="Times New Roman" w:cs="Times New Roman" w:eastAsiaTheme="minorEastAsia"/>
          <w:lang w:val="en-US" w:eastAsia="zh-CN"/>
        </w:rPr>
        <w:t>农业发展</w:t>
      </w:r>
      <w:r>
        <w:tab/>
      </w:r>
      <w:r>
        <w:fldChar w:fldCharType="begin"/>
      </w:r>
      <w:r>
        <w:instrText xml:space="preserve"> PAGEREF _Toc3352 \h </w:instrText>
      </w:r>
      <w:r>
        <w:fldChar w:fldCharType="separate"/>
      </w:r>
      <w:r>
        <w:t>8</w:t>
      </w:r>
      <w:r>
        <w:fldChar w:fldCharType="end"/>
      </w:r>
      <w:r>
        <w:rPr>
          <w:rFonts w:hint="default" w:ascii="Times New Roman" w:hAnsi="Times New Roman" w:cs="Times New Roman" w:eastAsiaTheme="minorEastAsia"/>
          <w:color w:val="000000"/>
          <w:szCs w:val="36"/>
        </w:rPr>
        <w:fldChar w:fldCharType="end"/>
      </w:r>
    </w:p>
    <w:p>
      <w:pPr>
        <w:pStyle w:val="9"/>
        <w:tabs>
          <w:tab w:val="right" w:leader="dot" w:pos="8312"/>
          <w:tab w:val="clear" w:pos="8302"/>
        </w:tabs>
      </w:pPr>
      <w:r>
        <w:rPr>
          <w:rFonts w:hint="default" w:ascii="Times New Roman" w:hAnsi="Times New Roman" w:cs="Times New Roman" w:eastAsiaTheme="minorEastAsia"/>
          <w:color w:val="000000"/>
          <w:szCs w:val="36"/>
        </w:rPr>
        <w:fldChar w:fldCharType="begin"/>
      </w:r>
      <w:r>
        <w:rPr>
          <w:rFonts w:hint="default" w:ascii="Times New Roman" w:hAnsi="Times New Roman" w:cs="Times New Roman" w:eastAsiaTheme="minorEastAsia"/>
          <w:szCs w:val="36"/>
        </w:rPr>
        <w:instrText xml:space="preserve"> HYPERLINK \l _Toc32074 </w:instrText>
      </w:r>
      <w:r>
        <w:rPr>
          <w:rFonts w:hint="default" w:ascii="Times New Roman" w:hAnsi="Times New Roman" w:cs="Times New Roman" w:eastAsiaTheme="minorEastAsia"/>
          <w:szCs w:val="36"/>
        </w:rPr>
        <w:fldChar w:fldCharType="separate"/>
      </w:r>
      <w:r>
        <w:rPr>
          <w:rFonts w:hint="eastAsia" w:ascii="Times New Roman" w:hAnsi="Times New Roman" w:cs="Times New Roman" w:eastAsiaTheme="minorEastAsia"/>
        </w:rPr>
        <w:t xml:space="preserve">2.6 </w:t>
      </w:r>
      <w:r>
        <w:rPr>
          <w:rFonts w:hint="default" w:ascii="Times New Roman" w:hAnsi="Times New Roman" w:cs="Times New Roman" w:eastAsiaTheme="minorEastAsia"/>
        </w:rPr>
        <w:t>交通</w:t>
      </w:r>
      <w:r>
        <w:tab/>
      </w:r>
      <w:r>
        <w:fldChar w:fldCharType="begin"/>
      </w:r>
      <w:r>
        <w:instrText xml:space="preserve"> PAGEREF _Toc32074 \h </w:instrText>
      </w:r>
      <w:r>
        <w:fldChar w:fldCharType="separate"/>
      </w:r>
      <w:r>
        <w:t>9</w:t>
      </w:r>
      <w:r>
        <w:fldChar w:fldCharType="end"/>
      </w:r>
      <w:r>
        <w:rPr>
          <w:rFonts w:hint="default" w:ascii="Times New Roman" w:hAnsi="Times New Roman" w:cs="Times New Roman" w:eastAsiaTheme="minorEastAsia"/>
          <w:color w:val="000000"/>
          <w:szCs w:val="36"/>
        </w:rPr>
        <w:fldChar w:fldCharType="end"/>
      </w:r>
    </w:p>
    <w:p>
      <w:pPr>
        <w:pStyle w:val="8"/>
        <w:tabs>
          <w:tab w:val="right" w:leader="dot" w:pos="8312"/>
          <w:tab w:val="clear" w:pos="8302"/>
        </w:tabs>
      </w:pPr>
      <w:r>
        <w:rPr>
          <w:rFonts w:hint="default" w:ascii="Times New Roman" w:hAnsi="Times New Roman" w:cs="Times New Roman" w:eastAsiaTheme="minorEastAsia"/>
          <w:color w:val="000000"/>
          <w:szCs w:val="36"/>
        </w:rPr>
        <w:fldChar w:fldCharType="begin"/>
      </w:r>
      <w:r>
        <w:rPr>
          <w:rFonts w:hint="default" w:ascii="Times New Roman" w:hAnsi="Times New Roman" w:cs="Times New Roman" w:eastAsiaTheme="minorEastAsia"/>
          <w:szCs w:val="36"/>
        </w:rPr>
        <w:instrText xml:space="preserve"> HYPERLINK \l _Toc14297 </w:instrText>
      </w:r>
      <w:r>
        <w:rPr>
          <w:rFonts w:hint="default" w:ascii="Times New Roman" w:hAnsi="Times New Roman" w:cs="Times New Roman" w:eastAsiaTheme="minorEastAsia"/>
          <w:szCs w:val="36"/>
        </w:rPr>
        <w:fldChar w:fldCharType="separate"/>
      </w:r>
      <w:r>
        <w:rPr>
          <w:rFonts w:hint="eastAsia" w:ascii="Times New Roman" w:hAnsi="Times New Roman" w:cs="Times New Roman" w:eastAsiaTheme="minorEastAsia"/>
        </w:rPr>
        <w:t xml:space="preserve">第3章 </w:t>
      </w:r>
      <w:r>
        <w:rPr>
          <w:rFonts w:hint="default" w:ascii="Times New Roman" w:hAnsi="Times New Roman" w:cs="Times New Roman" w:eastAsiaTheme="minorEastAsia"/>
        </w:rPr>
        <w:t>秸秆垃圾禁烧区和限烧区划定方案及成果</w:t>
      </w:r>
      <w:r>
        <w:tab/>
      </w:r>
      <w:r>
        <w:fldChar w:fldCharType="begin"/>
      </w:r>
      <w:r>
        <w:instrText xml:space="preserve"> PAGEREF _Toc14297 \h </w:instrText>
      </w:r>
      <w:r>
        <w:fldChar w:fldCharType="separate"/>
      </w:r>
      <w:r>
        <w:t>10</w:t>
      </w:r>
      <w:r>
        <w:fldChar w:fldCharType="end"/>
      </w:r>
      <w:r>
        <w:rPr>
          <w:rFonts w:hint="default" w:ascii="Times New Roman" w:hAnsi="Times New Roman" w:cs="Times New Roman" w:eastAsiaTheme="minorEastAsia"/>
          <w:color w:val="000000"/>
          <w:szCs w:val="36"/>
        </w:rPr>
        <w:fldChar w:fldCharType="end"/>
      </w:r>
    </w:p>
    <w:p>
      <w:pPr>
        <w:pStyle w:val="9"/>
        <w:tabs>
          <w:tab w:val="right" w:leader="dot" w:pos="8312"/>
          <w:tab w:val="clear" w:pos="8302"/>
        </w:tabs>
      </w:pPr>
      <w:r>
        <w:rPr>
          <w:rFonts w:hint="default" w:ascii="Times New Roman" w:hAnsi="Times New Roman" w:cs="Times New Roman" w:eastAsiaTheme="minorEastAsia"/>
          <w:color w:val="000000"/>
          <w:szCs w:val="36"/>
        </w:rPr>
        <w:fldChar w:fldCharType="begin"/>
      </w:r>
      <w:r>
        <w:rPr>
          <w:rFonts w:hint="default" w:ascii="Times New Roman" w:hAnsi="Times New Roman" w:cs="Times New Roman" w:eastAsiaTheme="minorEastAsia"/>
          <w:szCs w:val="36"/>
        </w:rPr>
        <w:instrText xml:space="preserve"> HYPERLINK \l _Toc22382 </w:instrText>
      </w:r>
      <w:r>
        <w:rPr>
          <w:rFonts w:hint="default" w:ascii="Times New Roman" w:hAnsi="Times New Roman" w:cs="Times New Roman" w:eastAsiaTheme="minorEastAsia"/>
          <w:szCs w:val="36"/>
        </w:rPr>
        <w:fldChar w:fldCharType="separate"/>
      </w:r>
      <w:r>
        <w:rPr>
          <w:rFonts w:hint="eastAsia" w:ascii="Times New Roman" w:hAnsi="Times New Roman" w:cs="Times New Roman" w:eastAsiaTheme="minorEastAsia"/>
        </w:rPr>
        <w:t xml:space="preserve">3.1 </w:t>
      </w:r>
      <w:r>
        <w:rPr>
          <w:rFonts w:hint="default" w:ascii="Times New Roman" w:hAnsi="Times New Roman" w:cs="Times New Roman" w:eastAsiaTheme="minorEastAsia"/>
        </w:rPr>
        <w:t>秸秆垃圾禁烧区划定方法</w:t>
      </w:r>
      <w:r>
        <w:tab/>
      </w:r>
      <w:r>
        <w:fldChar w:fldCharType="begin"/>
      </w:r>
      <w:r>
        <w:instrText xml:space="preserve"> PAGEREF _Toc22382 \h </w:instrText>
      </w:r>
      <w:r>
        <w:fldChar w:fldCharType="separate"/>
      </w:r>
      <w:r>
        <w:t>10</w:t>
      </w:r>
      <w:r>
        <w:fldChar w:fldCharType="end"/>
      </w:r>
      <w:r>
        <w:rPr>
          <w:rFonts w:hint="default" w:ascii="Times New Roman" w:hAnsi="Times New Roman" w:cs="Times New Roman" w:eastAsiaTheme="minorEastAsia"/>
          <w:color w:val="000000"/>
          <w:szCs w:val="36"/>
        </w:rPr>
        <w:fldChar w:fldCharType="end"/>
      </w:r>
    </w:p>
    <w:p>
      <w:pPr>
        <w:pStyle w:val="9"/>
        <w:tabs>
          <w:tab w:val="right" w:leader="dot" w:pos="8312"/>
          <w:tab w:val="clear" w:pos="8302"/>
        </w:tabs>
      </w:pPr>
      <w:r>
        <w:rPr>
          <w:rFonts w:hint="default" w:ascii="Times New Roman" w:hAnsi="Times New Roman" w:cs="Times New Roman" w:eastAsiaTheme="minorEastAsia"/>
          <w:color w:val="000000"/>
          <w:szCs w:val="36"/>
        </w:rPr>
        <w:fldChar w:fldCharType="begin"/>
      </w:r>
      <w:r>
        <w:rPr>
          <w:rFonts w:hint="default" w:ascii="Times New Roman" w:hAnsi="Times New Roman" w:cs="Times New Roman" w:eastAsiaTheme="minorEastAsia"/>
          <w:szCs w:val="36"/>
        </w:rPr>
        <w:instrText xml:space="preserve"> HYPERLINK \l _Toc30934 </w:instrText>
      </w:r>
      <w:r>
        <w:rPr>
          <w:rFonts w:hint="default" w:ascii="Times New Roman" w:hAnsi="Times New Roman" w:cs="Times New Roman" w:eastAsiaTheme="minorEastAsia"/>
          <w:szCs w:val="36"/>
        </w:rPr>
        <w:fldChar w:fldCharType="separate"/>
      </w:r>
      <w:r>
        <w:rPr>
          <w:rFonts w:hint="eastAsia" w:ascii="Times New Roman" w:hAnsi="Times New Roman" w:cs="Times New Roman" w:eastAsiaTheme="minorEastAsia"/>
        </w:rPr>
        <w:t xml:space="preserve">3.2 </w:t>
      </w:r>
      <w:r>
        <w:rPr>
          <w:rFonts w:hint="default" w:ascii="Times New Roman" w:hAnsi="Times New Roman" w:cs="Times New Roman" w:eastAsiaTheme="minorEastAsia"/>
        </w:rPr>
        <w:t>秸秆垃圾限烧区划定方案</w:t>
      </w:r>
      <w:r>
        <w:tab/>
      </w:r>
      <w:r>
        <w:fldChar w:fldCharType="begin"/>
      </w:r>
      <w:r>
        <w:instrText xml:space="preserve"> PAGEREF _Toc30934 \h </w:instrText>
      </w:r>
      <w:r>
        <w:fldChar w:fldCharType="separate"/>
      </w:r>
      <w:r>
        <w:t>11</w:t>
      </w:r>
      <w:r>
        <w:fldChar w:fldCharType="end"/>
      </w:r>
      <w:r>
        <w:rPr>
          <w:rFonts w:hint="default" w:ascii="Times New Roman" w:hAnsi="Times New Roman" w:cs="Times New Roman" w:eastAsiaTheme="minorEastAsia"/>
          <w:color w:val="000000"/>
          <w:szCs w:val="36"/>
        </w:rPr>
        <w:fldChar w:fldCharType="end"/>
      </w:r>
    </w:p>
    <w:p>
      <w:pPr>
        <w:pStyle w:val="9"/>
        <w:tabs>
          <w:tab w:val="right" w:leader="dot" w:pos="8312"/>
          <w:tab w:val="clear" w:pos="8302"/>
        </w:tabs>
      </w:pPr>
      <w:r>
        <w:rPr>
          <w:rFonts w:hint="default" w:ascii="Times New Roman" w:hAnsi="Times New Roman" w:cs="Times New Roman" w:eastAsiaTheme="minorEastAsia"/>
          <w:color w:val="000000"/>
          <w:szCs w:val="36"/>
        </w:rPr>
        <w:fldChar w:fldCharType="begin"/>
      </w:r>
      <w:r>
        <w:rPr>
          <w:rFonts w:hint="default" w:ascii="Times New Roman" w:hAnsi="Times New Roman" w:cs="Times New Roman" w:eastAsiaTheme="minorEastAsia"/>
          <w:szCs w:val="36"/>
        </w:rPr>
        <w:instrText xml:space="preserve"> HYPERLINK \l _Toc2648 </w:instrText>
      </w:r>
      <w:r>
        <w:rPr>
          <w:rFonts w:hint="default" w:ascii="Times New Roman" w:hAnsi="Times New Roman" w:cs="Times New Roman" w:eastAsiaTheme="minorEastAsia"/>
          <w:szCs w:val="36"/>
        </w:rPr>
        <w:fldChar w:fldCharType="separate"/>
      </w:r>
      <w:r>
        <w:rPr>
          <w:rFonts w:hint="eastAsia" w:ascii="Times New Roman" w:hAnsi="Times New Roman" w:cs="Times New Roman" w:eastAsiaTheme="minorEastAsia"/>
        </w:rPr>
        <w:t xml:space="preserve">3.3 </w:t>
      </w:r>
      <w:r>
        <w:rPr>
          <w:rFonts w:hint="default" w:ascii="Times New Roman" w:hAnsi="Times New Roman" w:cs="Times New Roman" w:eastAsiaTheme="minorEastAsia"/>
        </w:rPr>
        <w:t>秸秆垃圾禁烧区和限烧区划定成果</w:t>
      </w:r>
      <w:r>
        <w:tab/>
      </w:r>
      <w:r>
        <w:fldChar w:fldCharType="begin"/>
      </w:r>
      <w:r>
        <w:instrText xml:space="preserve"> PAGEREF _Toc2648 \h </w:instrText>
      </w:r>
      <w:r>
        <w:fldChar w:fldCharType="separate"/>
      </w:r>
      <w:r>
        <w:t>12</w:t>
      </w:r>
      <w:r>
        <w:fldChar w:fldCharType="end"/>
      </w:r>
      <w:r>
        <w:rPr>
          <w:rFonts w:hint="default" w:ascii="Times New Roman" w:hAnsi="Times New Roman" w:cs="Times New Roman" w:eastAsiaTheme="minorEastAsia"/>
          <w:color w:val="000000"/>
          <w:szCs w:val="36"/>
        </w:rPr>
        <w:fldChar w:fldCharType="end"/>
      </w:r>
    </w:p>
    <w:p>
      <w:pPr>
        <w:pStyle w:val="9"/>
        <w:tabs>
          <w:tab w:val="right" w:leader="dot" w:pos="8312"/>
          <w:tab w:val="clear" w:pos="8302"/>
        </w:tabs>
      </w:pPr>
      <w:r>
        <w:rPr>
          <w:rFonts w:hint="default" w:ascii="Times New Roman" w:hAnsi="Times New Roman" w:cs="Times New Roman" w:eastAsiaTheme="minorEastAsia"/>
          <w:color w:val="000000"/>
          <w:szCs w:val="36"/>
        </w:rPr>
        <w:fldChar w:fldCharType="begin"/>
      </w:r>
      <w:r>
        <w:rPr>
          <w:rFonts w:hint="default" w:ascii="Times New Roman" w:hAnsi="Times New Roman" w:cs="Times New Roman" w:eastAsiaTheme="minorEastAsia"/>
          <w:szCs w:val="36"/>
        </w:rPr>
        <w:instrText xml:space="preserve"> HYPERLINK \l _Toc21015 </w:instrText>
      </w:r>
      <w:r>
        <w:rPr>
          <w:rFonts w:hint="default" w:ascii="Times New Roman" w:hAnsi="Times New Roman" w:cs="Times New Roman" w:eastAsiaTheme="minorEastAsia"/>
          <w:szCs w:val="36"/>
        </w:rPr>
        <w:fldChar w:fldCharType="separate"/>
      </w:r>
      <w:r>
        <w:rPr>
          <w:rFonts w:hint="eastAsia" w:ascii="Times New Roman" w:hAnsi="Times New Roman" w:cs="Times New Roman" w:eastAsiaTheme="minorEastAsia"/>
          <w:lang w:val="en-US" w:eastAsia="zh-CN"/>
        </w:rPr>
        <w:t>3.4 边界定界</w:t>
      </w:r>
      <w:r>
        <w:tab/>
      </w:r>
      <w:r>
        <w:fldChar w:fldCharType="begin"/>
      </w:r>
      <w:r>
        <w:instrText xml:space="preserve"> PAGEREF _Toc21015 \h </w:instrText>
      </w:r>
      <w:r>
        <w:fldChar w:fldCharType="separate"/>
      </w:r>
      <w:r>
        <w:t>13</w:t>
      </w:r>
      <w:r>
        <w:fldChar w:fldCharType="end"/>
      </w:r>
      <w:r>
        <w:rPr>
          <w:rFonts w:hint="default" w:ascii="Times New Roman" w:hAnsi="Times New Roman" w:cs="Times New Roman" w:eastAsiaTheme="minorEastAsia"/>
          <w:color w:val="000000"/>
          <w:szCs w:val="36"/>
        </w:rPr>
        <w:fldChar w:fldCharType="end"/>
      </w:r>
    </w:p>
    <w:p>
      <w:pPr>
        <w:pStyle w:val="8"/>
        <w:tabs>
          <w:tab w:val="right" w:leader="dot" w:pos="8312"/>
          <w:tab w:val="clear" w:pos="8302"/>
        </w:tabs>
      </w:pPr>
      <w:r>
        <w:rPr>
          <w:rFonts w:hint="default" w:ascii="Times New Roman" w:hAnsi="Times New Roman" w:cs="Times New Roman" w:eastAsiaTheme="minorEastAsia"/>
          <w:color w:val="000000"/>
          <w:szCs w:val="36"/>
        </w:rPr>
        <w:fldChar w:fldCharType="begin"/>
      </w:r>
      <w:r>
        <w:rPr>
          <w:rFonts w:hint="default" w:ascii="Times New Roman" w:hAnsi="Times New Roman" w:cs="Times New Roman" w:eastAsiaTheme="minorEastAsia"/>
          <w:szCs w:val="36"/>
        </w:rPr>
        <w:instrText xml:space="preserve"> HYPERLINK \l _Toc11702 </w:instrText>
      </w:r>
      <w:r>
        <w:rPr>
          <w:rFonts w:hint="default" w:ascii="Times New Roman" w:hAnsi="Times New Roman" w:cs="Times New Roman" w:eastAsiaTheme="minorEastAsia"/>
          <w:szCs w:val="36"/>
        </w:rPr>
        <w:fldChar w:fldCharType="separate"/>
      </w:r>
      <w:r>
        <w:rPr>
          <w:rFonts w:hint="eastAsia" w:ascii="Times New Roman" w:hAnsi="Times New Roman" w:cs="Times New Roman" w:eastAsiaTheme="minorEastAsia"/>
          <w:lang w:val="en-US"/>
        </w:rPr>
        <w:t xml:space="preserve">第4章 </w:t>
      </w:r>
      <w:r>
        <w:rPr>
          <w:rFonts w:hint="default" w:ascii="Times New Roman" w:hAnsi="Times New Roman" w:cs="Times New Roman" w:eastAsiaTheme="minorEastAsia"/>
        </w:rPr>
        <w:t>管控要求及</w:t>
      </w:r>
      <w:r>
        <w:rPr>
          <w:rFonts w:hint="default" w:ascii="Times New Roman" w:hAnsi="Times New Roman" w:cs="Times New Roman" w:eastAsiaTheme="minorEastAsia"/>
          <w:lang w:val="en-US" w:eastAsia="zh-CN"/>
        </w:rPr>
        <w:t>管理办法</w:t>
      </w:r>
      <w:r>
        <w:tab/>
      </w:r>
      <w:r>
        <w:fldChar w:fldCharType="begin"/>
      </w:r>
      <w:r>
        <w:instrText xml:space="preserve"> PAGEREF _Toc11702 \h </w:instrText>
      </w:r>
      <w:r>
        <w:fldChar w:fldCharType="separate"/>
      </w:r>
      <w:r>
        <w:t>16</w:t>
      </w:r>
      <w:r>
        <w:fldChar w:fldCharType="end"/>
      </w:r>
      <w:r>
        <w:rPr>
          <w:rFonts w:hint="default" w:ascii="Times New Roman" w:hAnsi="Times New Roman" w:cs="Times New Roman" w:eastAsiaTheme="minorEastAsia"/>
          <w:color w:val="000000"/>
          <w:szCs w:val="36"/>
        </w:rPr>
        <w:fldChar w:fldCharType="end"/>
      </w:r>
    </w:p>
    <w:p>
      <w:pPr>
        <w:pStyle w:val="9"/>
        <w:tabs>
          <w:tab w:val="right" w:leader="dot" w:pos="8312"/>
          <w:tab w:val="clear" w:pos="8302"/>
        </w:tabs>
      </w:pPr>
      <w:r>
        <w:rPr>
          <w:rFonts w:hint="default" w:ascii="Times New Roman" w:hAnsi="Times New Roman" w:cs="Times New Roman" w:eastAsiaTheme="minorEastAsia"/>
          <w:color w:val="000000"/>
          <w:szCs w:val="36"/>
        </w:rPr>
        <w:fldChar w:fldCharType="begin"/>
      </w:r>
      <w:r>
        <w:rPr>
          <w:rFonts w:hint="default" w:ascii="Times New Roman" w:hAnsi="Times New Roman" w:cs="Times New Roman" w:eastAsiaTheme="minorEastAsia"/>
          <w:szCs w:val="36"/>
        </w:rPr>
        <w:instrText xml:space="preserve"> HYPERLINK \l _Toc19251 </w:instrText>
      </w:r>
      <w:r>
        <w:rPr>
          <w:rFonts w:hint="default" w:ascii="Times New Roman" w:hAnsi="Times New Roman" w:cs="Times New Roman" w:eastAsiaTheme="minorEastAsia"/>
          <w:szCs w:val="36"/>
        </w:rPr>
        <w:fldChar w:fldCharType="separate"/>
      </w:r>
      <w:r>
        <w:rPr>
          <w:rFonts w:hint="eastAsia" w:ascii="Times New Roman" w:hAnsi="Times New Roman" w:cs="Times New Roman" w:eastAsiaTheme="minorEastAsia"/>
        </w:rPr>
        <w:t xml:space="preserve">4.1 </w:t>
      </w:r>
      <w:r>
        <w:rPr>
          <w:rFonts w:hint="default" w:ascii="Times New Roman" w:hAnsi="Times New Roman" w:cs="Times New Roman" w:eastAsiaTheme="minorEastAsia"/>
        </w:rPr>
        <w:t>秸秆垃圾禁烧区管控要求</w:t>
      </w:r>
      <w:r>
        <w:tab/>
      </w:r>
      <w:r>
        <w:fldChar w:fldCharType="begin"/>
      </w:r>
      <w:r>
        <w:instrText xml:space="preserve"> PAGEREF _Toc19251 \h </w:instrText>
      </w:r>
      <w:r>
        <w:fldChar w:fldCharType="separate"/>
      </w:r>
      <w:r>
        <w:t>16</w:t>
      </w:r>
      <w:r>
        <w:fldChar w:fldCharType="end"/>
      </w:r>
      <w:r>
        <w:rPr>
          <w:rFonts w:hint="default" w:ascii="Times New Roman" w:hAnsi="Times New Roman" w:cs="Times New Roman" w:eastAsiaTheme="minorEastAsia"/>
          <w:color w:val="000000"/>
          <w:szCs w:val="36"/>
        </w:rPr>
        <w:fldChar w:fldCharType="end"/>
      </w:r>
    </w:p>
    <w:p>
      <w:pPr>
        <w:pStyle w:val="9"/>
        <w:tabs>
          <w:tab w:val="right" w:leader="dot" w:pos="8312"/>
          <w:tab w:val="clear" w:pos="8302"/>
        </w:tabs>
      </w:pPr>
      <w:r>
        <w:rPr>
          <w:rFonts w:hint="default" w:ascii="Times New Roman" w:hAnsi="Times New Roman" w:cs="Times New Roman" w:eastAsiaTheme="minorEastAsia"/>
          <w:color w:val="000000"/>
          <w:szCs w:val="36"/>
        </w:rPr>
        <w:fldChar w:fldCharType="begin"/>
      </w:r>
      <w:r>
        <w:rPr>
          <w:rFonts w:hint="default" w:ascii="Times New Roman" w:hAnsi="Times New Roman" w:cs="Times New Roman" w:eastAsiaTheme="minorEastAsia"/>
          <w:szCs w:val="36"/>
        </w:rPr>
        <w:instrText xml:space="preserve"> HYPERLINK \l _Toc18149 </w:instrText>
      </w:r>
      <w:r>
        <w:rPr>
          <w:rFonts w:hint="default" w:ascii="Times New Roman" w:hAnsi="Times New Roman" w:cs="Times New Roman" w:eastAsiaTheme="minorEastAsia"/>
          <w:szCs w:val="36"/>
        </w:rPr>
        <w:fldChar w:fldCharType="separate"/>
      </w:r>
      <w:r>
        <w:rPr>
          <w:rFonts w:hint="eastAsia" w:ascii="Times New Roman" w:hAnsi="Times New Roman" w:cs="Times New Roman" w:eastAsiaTheme="minorEastAsia"/>
        </w:rPr>
        <w:t xml:space="preserve">4.2 </w:t>
      </w:r>
      <w:r>
        <w:rPr>
          <w:rFonts w:hint="default" w:ascii="Times New Roman" w:hAnsi="Times New Roman" w:cs="Times New Roman" w:eastAsiaTheme="minorEastAsia"/>
        </w:rPr>
        <w:t>秸秆垃圾限烧区管控要求</w:t>
      </w:r>
      <w:r>
        <w:tab/>
      </w:r>
      <w:r>
        <w:fldChar w:fldCharType="begin"/>
      </w:r>
      <w:r>
        <w:instrText xml:space="preserve"> PAGEREF _Toc18149 \h </w:instrText>
      </w:r>
      <w:r>
        <w:fldChar w:fldCharType="separate"/>
      </w:r>
      <w:r>
        <w:t>16</w:t>
      </w:r>
      <w:r>
        <w:fldChar w:fldCharType="end"/>
      </w:r>
      <w:r>
        <w:rPr>
          <w:rFonts w:hint="default" w:ascii="Times New Roman" w:hAnsi="Times New Roman" w:cs="Times New Roman" w:eastAsiaTheme="minorEastAsia"/>
          <w:color w:val="000000"/>
          <w:szCs w:val="36"/>
        </w:rPr>
        <w:fldChar w:fldCharType="end"/>
      </w:r>
    </w:p>
    <w:p>
      <w:pPr>
        <w:pStyle w:val="9"/>
        <w:tabs>
          <w:tab w:val="right" w:leader="dot" w:pos="8312"/>
          <w:tab w:val="clear" w:pos="8302"/>
        </w:tabs>
      </w:pPr>
      <w:r>
        <w:rPr>
          <w:rFonts w:hint="default" w:ascii="Times New Roman" w:hAnsi="Times New Roman" w:cs="Times New Roman" w:eastAsiaTheme="minorEastAsia"/>
          <w:color w:val="000000"/>
          <w:szCs w:val="36"/>
        </w:rPr>
        <w:fldChar w:fldCharType="begin"/>
      </w:r>
      <w:r>
        <w:rPr>
          <w:rFonts w:hint="default" w:ascii="Times New Roman" w:hAnsi="Times New Roman" w:cs="Times New Roman" w:eastAsiaTheme="minorEastAsia"/>
          <w:szCs w:val="36"/>
        </w:rPr>
        <w:instrText xml:space="preserve"> HYPERLINK \l _Toc26561 </w:instrText>
      </w:r>
      <w:r>
        <w:rPr>
          <w:rFonts w:hint="default" w:ascii="Times New Roman" w:hAnsi="Times New Roman" w:cs="Times New Roman" w:eastAsiaTheme="minorEastAsia"/>
          <w:szCs w:val="36"/>
        </w:rPr>
        <w:fldChar w:fldCharType="separate"/>
      </w:r>
      <w:r>
        <w:rPr>
          <w:rFonts w:hint="eastAsia" w:ascii="Times New Roman" w:hAnsi="Times New Roman" w:cs="Times New Roman" w:eastAsiaTheme="minorEastAsia"/>
          <w:lang w:val="en-US" w:eastAsia="zh-CN"/>
        </w:rPr>
        <w:t xml:space="preserve">4.3 </w:t>
      </w:r>
      <w:r>
        <w:rPr>
          <w:rFonts w:hint="default" w:ascii="Times New Roman" w:hAnsi="Times New Roman" w:cs="Times New Roman" w:eastAsiaTheme="minorEastAsia"/>
          <w:lang w:val="en-US" w:eastAsia="zh-CN"/>
        </w:rPr>
        <w:t>管理办法</w:t>
      </w:r>
      <w:r>
        <w:tab/>
      </w:r>
      <w:r>
        <w:fldChar w:fldCharType="begin"/>
      </w:r>
      <w:r>
        <w:instrText xml:space="preserve"> PAGEREF _Toc26561 \h </w:instrText>
      </w:r>
      <w:r>
        <w:fldChar w:fldCharType="separate"/>
      </w:r>
      <w:r>
        <w:t>17</w:t>
      </w:r>
      <w:r>
        <w:fldChar w:fldCharType="end"/>
      </w:r>
      <w:r>
        <w:rPr>
          <w:rFonts w:hint="default" w:ascii="Times New Roman" w:hAnsi="Times New Roman" w:cs="Times New Roman" w:eastAsiaTheme="minorEastAsia"/>
          <w:color w:val="000000"/>
          <w:szCs w:val="36"/>
        </w:rPr>
        <w:fldChar w:fldCharType="end"/>
      </w:r>
    </w:p>
    <w:p>
      <w:pPr>
        <w:pStyle w:val="9"/>
        <w:tabs>
          <w:tab w:val="right" w:leader="dot" w:pos="8312"/>
          <w:tab w:val="clear" w:pos="8302"/>
        </w:tabs>
      </w:pPr>
      <w:r>
        <w:rPr>
          <w:rFonts w:hint="default" w:ascii="Times New Roman" w:hAnsi="Times New Roman" w:cs="Times New Roman" w:eastAsiaTheme="minorEastAsia"/>
          <w:color w:val="000000"/>
          <w:szCs w:val="36"/>
        </w:rPr>
        <w:fldChar w:fldCharType="begin"/>
      </w:r>
      <w:r>
        <w:rPr>
          <w:rFonts w:hint="default" w:ascii="Times New Roman" w:hAnsi="Times New Roman" w:cs="Times New Roman" w:eastAsiaTheme="minorEastAsia"/>
          <w:szCs w:val="36"/>
        </w:rPr>
        <w:instrText xml:space="preserve"> HYPERLINK \l _Toc22530 </w:instrText>
      </w:r>
      <w:r>
        <w:rPr>
          <w:rFonts w:hint="default" w:ascii="Times New Roman" w:hAnsi="Times New Roman" w:cs="Times New Roman" w:eastAsiaTheme="minorEastAsia"/>
          <w:szCs w:val="36"/>
        </w:rPr>
        <w:fldChar w:fldCharType="separate"/>
      </w:r>
      <w:r>
        <w:rPr>
          <w:rFonts w:hint="eastAsia" w:ascii="Times New Roman" w:hAnsi="Times New Roman" w:cs="Times New Roman" w:eastAsiaTheme="minorEastAsia"/>
        </w:rPr>
        <w:t xml:space="preserve">4.4 </w:t>
      </w:r>
      <w:r>
        <w:rPr>
          <w:rFonts w:hint="default" w:ascii="Times New Roman" w:hAnsi="Times New Roman" w:cs="Times New Roman" w:eastAsiaTheme="minorEastAsia"/>
        </w:rPr>
        <w:t>秸秆垃圾</w:t>
      </w:r>
      <w:r>
        <w:rPr>
          <w:rFonts w:hint="eastAsia" w:ascii="Times New Roman" w:hAnsi="Times New Roman" w:cs="Times New Roman" w:eastAsiaTheme="minorEastAsia"/>
          <w:lang w:val="en-US" w:eastAsia="zh-CN"/>
        </w:rPr>
        <w:t>处置</w:t>
      </w:r>
      <w:r>
        <w:rPr>
          <w:rFonts w:hint="default" w:ascii="Times New Roman" w:hAnsi="Times New Roman" w:cs="Times New Roman" w:eastAsiaTheme="minorEastAsia"/>
        </w:rPr>
        <w:t>保障措施</w:t>
      </w:r>
      <w:r>
        <w:tab/>
      </w:r>
      <w:r>
        <w:fldChar w:fldCharType="begin"/>
      </w:r>
      <w:r>
        <w:instrText xml:space="preserve"> PAGEREF _Toc22530 \h </w:instrText>
      </w:r>
      <w:r>
        <w:fldChar w:fldCharType="separate"/>
      </w:r>
      <w:r>
        <w:t>18</w:t>
      </w:r>
      <w:r>
        <w:fldChar w:fldCharType="end"/>
      </w:r>
      <w:r>
        <w:rPr>
          <w:rFonts w:hint="default" w:ascii="Times New Roman" w:hAnsi="Times New Roman" w:cs="Times New Roman" w:eastAsiaTheme="minorEastAsia"/>
          <w:color w:val="000000"/>
          <w:szCs w:val="36"/>
        </w:rPr>
        <w:fldChar w:fldCharType="end"/>
      </w:r>
    </w:p>
    <w:p>
      <w:pPr>
        <w:pStyle w:val="9"/>
        <w:tabs>
          <w:tab w:val="right" w:leader="dot" w:pos="8312"/>
          <w:tab w:val="clear" w:pos="8302"/>
        </w:tabs>
      </w:pPr>
      <w:r>
        <w:rPr>
          <w:rFonts w:hint="default" w:ascii="Times New Roman" w:hAnsi="Times New Roman" w:cs="Times New Roman" w:eastAsiaTheme="minorEastAsia"/>
          <w:color w:val="000000"/>
          <w:szCs w:val="36"/>
        </w:rPr>
        <w:fldChar w:fldCharType="begin"/>
      </w:r>
      <w:r>
        <w:rPr>
          <w:rFonts w:hint="default" w:ascii="Times New Roman" w:hAnsi="Times New Roman" w:cs="Times New Roman" w:eastAsiaTheme="minorEastAsia"/>
          <w:szCs w:val="36"/>
        </w:rPr>
        <w:instrText xml:space="preserve"> HYPERLINK \l _Toc8883 </w:instrText>
      </w:r>
      <w:r>
        <w:rPr>
          <w:rFonts w:hint="default" w:ascii="Times New Roman" w:hAnsi="Times New Roman" w:cs="Times New Roman" w:eastAsiaTheme="minorEastAsia"/>
          <w:szCs w:val="36"/>
        </w:rPr>
        <w:fldChar w:fldCharType="separate"/>
      </w:r>
      <w:r>
        <w:rPr>
          <w:rFonts w:hint="eastAsia" w:ascii="Times New Roman" w:hAnsi="Times New Roman" w:cs="Times New Roman" w:eastAsiaTheme="minorEastAsia"/>
          <w:lang w:val="en-US" w:eastAsia="zh-CN"/>
        </w:rPr>
        <w:t xml:space="preserve">4.5 </w:t>
      </w:r>
      <w:r>
        <w:rPr>
          <w:rFonts w:hint="default" w:ascii="Times New Roman" w:hAnsi="Times New Roman" w:cs="Times New Roman" w:eastAsiaTheme="minorEastAsia"/>
          <w:lang w:val="en-US" w:eastAsia="zh-CN"/>
        </w:rPr>
        <w:t>保障措施</w:t>
      </w:r>
      <w:r>
        <w:tab/>
      </w:r>
      <w:r>
        <w:fldChar w:fldCharType="begin"/>
      </w:r>
      <w:r>
        <w:instrText xml:space="preserve"> PAGEREF _Toc8883 \h </w:instrText>
      </w:r>
      <w:r>
        <w:fldChar w:fldCharType="separate"/>
      </w:r>
      <w:r>
        <w:t>19</w:t>
      </w:r>
      <w:r>
        <w:fldChar w:fldCharType="end"/>
      </w:r>
      <w:r>
        <w:rPr>
          <w:rFonts w:hint="default" w:ascii="Times New Roman" w:hAnsi="Times New Roman" w:cs="Times New Roman" w:eastAsiaTheme="minorEastAsia"/>
          <w:color w:val="000000"/>
          <w:szCs w:val="36"/>
        </w:rPr>
        <w:fldChar w:fldCharType="end"/>
      </w:r>
    </w:p>
    <w:p>
      <w:pPr>
        <w:ind w:firstLine="560"/>
        <w:contextualSpacing/>
        <w:rPr>
          <w:rFonts w:hint="default" w:ascii="Times New Roman" w:hAnsi="Times New Roman" w:cs="Times New Roman" w:eastAsiaTheme="minorEastAsia"/>
          <w:b/>
          <w:color w:val="000000"/>
          <w:sz w:val="36"/>
          <w:szCs w:val="36"/>
        </w:rPr>
      </w:pPr>
      <w:r>
        <w:rPr>
          <w:rFonts w:hint="default" w:ascii="Times New Roman" w:hAnsi="Times New Roman" w:cs="Times New Roman" w:eastAsiaTheme="minorEastAsia"/>
          <w:color w:val="000000"/>
          <w:szCs w:val="36"/>
        </w:rPr>
        <w:fldChar w:fldCharType="end"/>
      </w:r>
    </w:p>
    <w:p>
      <w:pPr>
        <w:ind w:firstLine="723"/>
        <w:contextualSpacing/>
        <w:rPr>
          <w:rFonts w:hint="default" w:ascii="Times New Roman" w:hAnsi="Times New Roman" w:cs="Times New Roman" w:eastAsiaTheme="minorEastAsia"/>
          <w:b/>
          <w:color w:val="000000"/>
          <w:sz w:val="36"/>
          <w:szCs w:val="36"/>
        </w:rPr>
      </w:pPr>
    </w:p>
    <w:p>
      <w:pPr>
        <w:ind w:firstLine="723"/>
        <w:contextualSpacing/>
        <w:rPr>
          <w:rFonts w:hint="default" w:ascii="Times New Roman" w:hAnsi="Times New Roman" w:cs="Times New Roman" w:eastAsiaTheme="minorEastAsia"/>
          <w:b/>
          <w:color w:val="000000"/>
          <w:sz w:val="36"/>
          <w:szCs w:val="36"/>
        </w:rPr>
        <w:sectPr>
          <w:footerReference r:id="rId9" w:type="default"/>
          <w:pgSz w:w="11906" w:h="16838"/>
          <w:pgMar w:top="1440" w:right="1797" w:bottom="1440" w:left="1797" w:header="851" w:footer="992" w:gutter="0"/>
          <w:pgNumType w:fmt="upperRoman" w:start="1"/>
          <w:cols w:space="720" w:num="1"/>
          <w:docGrid w:type="lines" w:linePitch="312" w:charSpace="0"/>
        </w:sectPr>
      </w:pPr>
    </w:p>
    <w:p>
      <w:pPr>
        <w:pStyle w:val="3"/>
        <w:spacing w:before="240" w:after="240" w:line="360" w:lineRule="auto"/>
        <w:rPr>
          <w:rFonts w:hint="default" w:ascii="Times New Roman" w:hAnsi="Times New Roman" w:cs="Times New Roman" w:eastAsiaTheme="minorEastAsia"/>
          <w:color w:val="000000"/>
        </w:rPr>
      </w:pPr>
      <w:bookmarkStart w:id="0" w:name="_Toc14425"/>
      <w:r>
        <w:rPr>
          <w:rFonts w:hint="default" w:ascii="Times New Roman" w:hAnsi="Times New Roman" w:cs="Times New Roman" w:eastAsiaTheme="minorEastAsia"/>
          <w:color w:val="000000"/>
        </w:rPr>
        <w:t>总论</w:t>
      </w:r>
      <w:bookmarkEnd w:id="0"/>
    </w:p>
    <w:p>
      <w:pPr>
        <w:pStyle w:val="4"/>
        <w:spacing w:line="415" w:lineRule="auto"/>
        <w:rPr>
          <w:rFonts w:hint="default" w:ascii="Times New Roman" w:hAnsi="Times New Roman" w:cs="Times New Roman" w:eastAsiaTheme="minorEastAsia"/>
          <w:color w:val="000000"/>
        </w:rPr>
      </w:pPr>
      <w:bookmarkStart w:id="1" w:name="_Toc5856"/>
      <w:r>
        <w:rPr>
          <w:rFonts w:hint="default" w:ascii="Times New Roman" w:hAnsi="Times New Roman" w:cs="Times New Roman" w:eastAsiaTheme="minorEastAsia"/>
          <w:color w:val="000000"/>
        </w:rPr>
        <w:t>项目背景</w:t>
      </w:r>
      <w:bookmarkEnd w:id="1"/>
    </w:p>
    <w:p>
      <w:pPr>
        <w:keepNext w:val="0"/>
        <w:keepLines w:val="0"/>
        <w:widowControl/>
        <w:suppressLineNumbers w:val="0"/>
        <w:jc w:val="left"/>
        <w:rPr>
          <w:rFonts w:hint="default" w:ascii="Times New Roman" w:hAnsi="Times New Roman" w:cs="Times New Roman" w:eastAsiaTheme="minorEastAsia"/>
          <w:color w:val="000000"/>
          <w:kern w:val="0"/>
          <w:sz w:val="24"/>
          <w:szCs w:val="24"/>
          <w:lang w:val="en-US" w:eastAsia="zh-CN" w:bidi="ar"/>
        </w:rPr>
      </w:pPr>
      <w:r>
        <w:rPr>
          <w:rFonts w:hint="default" w:ascii="Times New Roman" w:hAnsi="Times New Roman" w:cs="Times New Roman" w:eastAsiaTheme="minorEastAsia"/>
          <w:color w:val="000000"/>
          <w:kern w:val="0"/>
          <w:sz w:val="24"/>
          <w:szCs w:val="24"/>
          <w:lang w:val="en-US" w:eastAsia="zh-CN" w:bidi="ar"/>
        </w:rPr>
        <w:t>2021年12月22日，文山州人民政府办公室印发了《文山州禁止露天焚烧秸秆垃圾等废弃物工作方案》（以下简称“工作方案”），要求进一步深入贯彻落实习近平生态文明思想和习近平总书记考察云南重要讲话精神，坚持保护优先、绿色发展，深入打好蓝天保卫战，全面做好全州禁止露天焚烧秸秆垃圾等废弃物管控工作。“工作方案”提出，各县（市）要按照因地制宜、源头防控、综合施策、疏堵结合、以禁促用的原则，科学划定露天禁烧重点管控区，构建州、县（市）、乡（镇）、村、组一体的禁止露天焚烧秸秆垃圾等废弃物管控体系，在全州范围内开展禁止露天焚烧秸秆垃圾等废弃物工作，规范秸秆、垃圾等废弃物处置，杜绝露天焚烧秸秆垃圾等飞去危害公共安全、污染大气环境现象发生，有效提高农作物秸秆等农业废弃物综合利用水平，防治大气污染，保障公众健康，守护好文山的蓝天白云和绿水青山。</w:t>
      </w:r>
    </w:p>
    <w:p>
      <w:pPr>
        <w:keepNext w:val="0"/>
        <w:keepLines w:val="0"/>
        <w:widowControl/>
        <w:suppressLineNumbers w:val="0"/>
        <w:jc w:val="left"/>
        <w:rPr>
          <w:rFonts w:hint="default" w:ascii="Times New Roman" w:hAnsi="Times New Roman" w:cs="Times New Roman" w:eastAsiaTheme="minorEastAsia"/>
          <w:color w:val="000000"/>
          <w:kern w:val="0"/>
          <w:sz w:val="24"/>
          <w:szCs w:val="24"/>
          <w:lang w:val="en-US" w:eastAsia="zh-CN" w:bidi="ar"/>
        </w:rPr>
      </w:pPr>
      <w:r>
        <w:rPr>
          <w:rFonts w:hint="default" w:ascii="Times New Roman" w:hAnsi="Times New Roman" w:cs="Times New Roman" w:eastAsiaTheme="minorEastAsia"/>
          <w:color w:val="000000"/>
          <w:kern w:val="0"/>
          <w:sz w:val="24"/>
          <w:szCs w:val="24"/>
          <w:lang w:val="en-US" w:eastAsia="zh-CN" w:bidi="ar"/>
        </w:rPr>
        <w:t>秸秆垃圾等禁烧区划定，对保护和改善生态环境，防止秸秆垃圾焚烧污染，维护公共安全，保障人体健康，推进农作物秸秆综合利用和垃圾规范收集处理具有重要意义。县委、县政府高度重视，“工作方案”印发后，及时组织相关部门进行研究讨论，并立即启动我县秸秆垃圾等禁烧区和限烧区划定工作。根据《中华人民共和国环境保护法》《中华人民共和国大气污染防治法》《中华人民共和国固体废物污染环境防治法》《云南省大气污染防治条例》等有关法律、法规及《文山州禁止露天焚烧秸秆垃圾等废弃物工作方案》要求，结合我县实际情况，组织开展了禁烧区和限烧区划定工作。</w:t>
      </w:r>
    </w:p>
    <w:p>
      <w:pPr>
        <w:pStyle w:val="4"/>
        <w:rPr>
          <w:rFonts w:hint="default" w:ascii="Times New Roman" w:hAnsi="Times New Roman" w:cs="Times New Roman" w:eastAsiaTheme="minorEastAsia"/>
          <w:color w:val="000000"/>
        </w:rPr>
      </w:pPr>
      <w:bookmarkStart w:id="2" w:name="_Toc19641"/>
      <w:r>
        <w:rPr>
          <w:rFonts w:hint="default" w:ascii="Times New Roman" w:hAnsi="Times New Roman" w:cs="Times New Roman" w:eastAsiaTheme="minorEastAsia"/>
          <w:color w:val="000000"/>
        </w:rPr>
        <w:t>划定目的</w:t>
      </w:r>
      <w:bookmarkEnd w:id="2"/>
    </w:p>
    <w:p>
      <w:pPr>
        <w:keepNext w:val="0"/>
        <w:keepLines w:val="0"/>
        <w:widowControl/>
        <w:suppressLineNumbers w:val="0"/>
        <w:jc w:val="left"/>
        <w:rPr>
          <w:rFonts w:hint="default" w:ascii="Times New Roman" w:hAnsi="Times New Roman" w:cs="Times New Roman" w:eastAsiaTheme="minorEastAsia"/>
          <w:color w:val="000000"/>
          <w:kern w:val="0"/>
          <w:sz w:val="24"/>
          <w:szCs w:val="24"/>
          <w:lang w:val="en-US" w:eastAsia="zh-CN" w:bidi="ar"/>
        </w:rPr>
      </w:pPr>
      <w:r>
        <w:rPr>
          <w:rFonts w:hint="default" w:ascii="Times New Roman" w:hAnsi="Times New Roman" w:cs="Times New Roman" w:eastAsiaTheme="minorEastAsia"/>
          <w:color w:val="000000"/>
          <w:kern w:val="0"/>
          <w:sz w:val="24"/>
          <w:szCs w:val="24"/>
          <w:lang w:val="en-US" w:eastAsia="zh-CN" w:bidi="ar"/>
        </w:rPr>
        <w:t>科学划定秸秆垃圾禁烧区和限烧区是砚山县大气污染防治法的重要工作，是促进全县生态农业发展、控制农业面源和农村生活垃圾就地焚烧污染、保障生态环境安全及改善生态环境治理的重大举措。本方案明确了禁止露天焚烧的秸秆垃圾等废弃物种类，规定了禁烧区的划定范围，提出了秸秆综合利用和垃圾回收利用的方法，对保障公众健康，防治大气污染，改善环境敏感区域、重要生态功能区和城区、农村周边环境，促进农业业生产与生态环境的全面协调发展具有重要的意义和深远影响。</w:t>
      </w:r>
    </w:p>
    <w:p>
      <w:pPr>
        <w:pStyle w:val="4"/>
        <w:rPr>
          <w:rFonts w:hint="default" w:ascii="Times New Roman" w:hAnsi="Times New Roman" w:cs="Times New Roman"/>
          <w:lang w:val="en-US" w:eastAsia="zh-CN"/>
        </w:rPr>
      </w:pPr>
      <w:bookmarkStart w:id="3" w:name="_Toc6352"/>
      <w:r>
        <w:rPr>
          <w:rFonts w:hint="default" w:ascii="Times New Roman" w:hAnsi="Times New Roman" w:cs="Times New Roman"/>
          <w:lang w:val="en-US" w:eastAsia="zh-CN"/>
        </w:rPr>
        <w:t>指导思想</w:t>
      </w:r>
      <w:bookmarkEnd w:id="3"/>
    </w:p>
    <w:p>
      <w:pPr>
        <w:keepNext w:val="0"/>
        <w:keepLines w:val="0"/>
        <w:widowControl/>
        <w:suppressLineNumbers w:val="0"/>
        <w:jc w:val="left"/>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
        </w:rPr>
        <w:t>坚持以全面落实科学发展观，全面落实城镇化、工业化、农业现代化带动发展战略为指导思想，按照建设生态文明、加强生态环境保护、提高可持续发展能力的要求和部署，科学划定秸秆禁烧区和限烧区。以保障生态环境安全、控制农业面源污染</w:t>
      </w:r>
      <w:r>
        <w:rPr>
          <w:rFonts w:hint="default" w:ascii="Times New Roman" w:hAnsi="Times New Roman" w:cs="Times New Roman"/>
          <w:color w:val="000000"/>
          <w:kern w:val="0"/>
          <w:sz w:val="24"/>
          <w:szCs w:val="24"/>
          <w:lang w:val="en-US" w:eastAsia="zh-CN" w:bidi="ar"/>
        </w:rPr>
        <w:t>和垃圾就地焚烧</w:t>
      </w:r>
      <w:r>
        <w:rPr>
          <w:rFonts w:hint="default" w:ascii="Times New Roman" w:hAnsi="Times New Roman" w:eastAsia="宋体" w:cs="Times New Roman"/>
          <w:color w:val="000000"/>
          <w:kern w:val="0"/>
          <w:sz w:val="24"/>
          <w:szCs w:val="24"/>
          <w:lang w:val="en-US" w:eastAsia="zh-CN" w:bidi="ar"/>
        </w:rPr>
        <w:t>为目的，以统筹兼顾、科学可行、依法合规、以人为本为基本原则，以县城总体规划、乡镇总体规划、土地利用规划、自然保护区规划、交通规划、重要基础设施为依据，将高速、国道、省道、自然保护区、风景名胜区、人口集中区等区域作为重点，合理划定秸秆禁烧区范围，加强环境监管，落实秸秆</w:t>
      </w:r>
      <w:r>
        <w:rPr>
          <w:rFonts w:hint="default" w:ascii="Times New Roman" w:hAnsi="Times New Roman" w:cs="Times New Roman"/>
          <w:color w:val="000000"/>
          <w:kern w:val="0"/>
          <w:sz w:val="24"/>
          <w:szCs w:val="24"/>
          <w:lang w:val="en-US" w:eastAsia="zh-CN" w:bidi="ar"/>
        </w:rPr>
        <w:t>垃圾等</w:t>
      </w:r>
      <w:r>
        <w:rPr>
          <w:rFonts w:hint="default" w:ascii="Times New Roman" w:hAnsi="Times New Roman" w:eastAsia="宋体" w:cs="Times New Roman"/>
          <w:color w:val="000000"/>
          <w:kern w:val="0"/>
          <w:sz w:val="24"/>
          <w:szCs w:val="24"/>
          <w:lang w:val="en-US" w:eastAsia="zh-CN" w:bidi="ar"/>
        </w:rPr>
        <w:t>禁烧区污染防治工作要求。</w:t>
      </w:r>
    </w:p>
    <w:p>
      <w:pPr>
        <w:pStyle w:val="4"/>
        <w:spacing w:line="415" w:lineRule="auto"/>
        <w:rPr>
          <w:rFonts w:hint="default" w:ascii="Times New Roman" w:hAnsi="Times New Roman" w:cs="Times New Roman" w:eastAsiaTheme="minorEastAsia"/>
          <w:color w:val="000000"/>
          <w:lang w:val="en-US" w:eastAsia="zh-CN"/>
        </w:rPr>
      </w:pPr>
      <w:bookmarkStart w:id="4" w:name="_Toc1496"/>
      <w:r>
        <w:rPr>
          <w:rFonts w:hint="default" w:ascii="Times New Roman" w:hAnsi="Times New Roman" w:cs="Times New Roman" w:eastAsiaTheme="minorEastAsia"/>
          <w:color w:val="000000"/>
          <w:lang w:val="en-US" w:eastAsia="zh-CN"/>
        </w:rPr>
        <w:t>术语与定义</w:t>
      </w:r>
      <w:bookmarkEnd w:id="4"/>
    </w:p>
    <w:p>
      <w:pPr>
        <w:keepNext w:val="0"/>
        <w:keepLines w:val="0"/>
        <w:widowControl/>
        <w:suppressLineNumbers w:val="0"/>
        <w:jc w:val="left"/>
        <w:rPr>
          <w:rFonts w:hint="default" w:ascii="Times New Roman" w:hAnsi="Times New Roman" w:cs="Times New Roman" w:eastAsiaTheme="minorEastAsia"/>
          <w:color w:val="000000"/>
          <w:kern w:val="0"/>
          <w:sz w:val="24"/>
          <w:szCs w:val="24"/>
          <w:lang w:val="en-US" w:eastAsia="zh-CN" w:bidi="ar"/>
        </w:rPr>
      </w:pPr>
      <w:r>
        <w:rPr>
          <w:rFonts w:hint="default" w:ascii="Times New Roman" w:hAnsi="Times New Roman" w:cs="Times New Roman" w:eastAsiaTheme="minorEastAsia"/>
          <w:color w:val="000000"/>
          <w:kern w:val="0"/>
          <w:sz w:val="24"/>
          <w:szCs w:val="24"/>
          <w:lang w:val="en-US" w:eastAsia="zh-CN" w:bidi="ar"/>
        </w:rPr>
        <w:t>禁烧限烧种类：农作物秸秆，包括水稻、玉米、甘蔗、辣椒和烤烟等事宜在文山州种植生长的农作物收获的茎秆</w:t>
      </w:r>
      <w:r>
        <w:rPr>
          <w:rFonts w:hint="eastAsia" w:cs="Times New Roman" w:eastAsiaTheme="minorEastAsia"/>
          <w:color w:val="000000"/>
          <w:kern w:val="0"/>
          <w:sz w:val="24"/>
          <w:szCs w:val="24"/>
          <w:lang w:val="en-US" w:eastAsia="zh-CN" w:bidi="ar"/>
        </w:rPr>
        <w:t>及</w:t>
      </w:r>
      <w:r>
        <w:rPr>
          <w:rFonts w:hint="default" w:ascii="Times New Roman" w:hAnsi="Times New Roman" w:cs="Times New Roman" w:eastAsiaTheme="minorEastAsia"/>
          <w:color w:val="000000"/>
          <w:kern w:val="0"/>
          <w:sz w:val="24"/>
          <w:szCs w:val="24"/>
          <w:lang w:val="en-US" w:eastAsia="zh-CN" w:bidi="ar"/>
        </w:rPr>
        <w:t>废弃物。垃圾等物质，包括生活垃圾、</w:t>
      </w:r>
      <w:r>
        <w:rPr>
          <w:rFonts w:hint="default" w:ascii="Times New Roman" w:hAnsi="Times New Roman" w:cs="Times New Roman" w:eastAsiaTheme="minorEastAsia"/>
          <w:color w:val="FF0000"/>
          <w:kern w:val="0"/>
          <w:sz w:val="24"/>
          <w:szCs w:val="24"/>
          <w:lang w:val="en-US" w:eastAsia="zh-CN" w:bidi="ar"/>
        </w:rPr>
        <w:t>建筑垃圾、工业固体废物</w:t>
      </w:r>
      <w:r>
        <w:rPr>
          <w:rFonts w:hint="default" w:ascii="Times New Roman" w:hAnsi="Times New Roman" w:cs="Times New Roman" w:eastAsiaTheme="minorEastAsia"/>
          <w:color w:val="000000"/>
          <w:kern w:val="0"/>
          <w:sz w:val="24"/>
          <w:szCs w:val="24"/>
          <w:lang w:val="en-US" w:eastAsia="zh-CN" w:bidi="ar"/>
        </w:rPr>
        <w:t>、杂草、落叶以及其他可燃烧产生烟尘和恶臭气体的物质（如沥青、油毡、橡胶、塑料、皮革）等。</w:t>
      </w:r>
    </w:p>
    <w:p>
      <w:pPr>
        <w:keepNext w:val="0"/>
        <w:keepLines w:val="0"/>
        <w:widowControl/>
        <w:suppressLineNumbers w:val="0"/>
        <w:jc w:val="left"/>
        <w:rPr>
          <w:rFonts w:hint="default" w:ascii="Times New Roman" w:hAnsi="Times New Roman" w:cs="Times New Roman" w:eastAsiaTheme="minorEastAsia"/>
          <w:color w:val="000000"/>
          <w:kern w:val="0"/>
          <w:sz w:val="24"/>
          <w:szCs w:val="24"/>
          <w:lang w:val="en-US" w:eastAsia="zh-CN" w:bidi="ar"/>
        </w:rPr>
      </w:pPr>
      <w:r>
        <w:rPr>
          <w:rFonts w:hint="default" w:ascii="Times New Roman" w:hAnsi="Times New Roman" w:cs="Times New Roman" w:eastAsiaTheme="minorEastAsia"/>
          <w:color w:val="000000"/>
          <w:kern w:val="0"/>
          <w:sz w:val="24"/>
          <w:szCs w:val="24"/>
          <w:lang w:val="en-US" w:eastAsia="zh-CN" w:bidi="ar"/>
        </w:rPr>
        <w:t>禁烧区：禁止农作物秸秆垃圾等露天焚烧的区域。</w:t>
      </w:r>
    </w:p>
    <w:p>
      <w:pPr>
        <w:keepNext w:val="0"/>
        <w:keepLines w:val="0"/>
        <w:widowControl/>
        <w:suppressLineNumbers w:val="0"/>
        <w:jc w:val="left"/>
        <w:rPr>
          <w:rFonts w:hint="default" w:ascii="Times New Roman" w:hAnsi="Times New Roman" w:cs="Times New Roman" w:eastAsiaTheme="minorEastAsia"/>
          <w:color w:val="000000"/>
          <w:kern w:val="0"/>
          <w:sz w:val="24"/>
          <w:szCs w:val="24"/>
          <w:lang w:val="en-US" w:eastAsia="zh-CN" w:bidi="ar"/>
        </w:rPr>
      </w:pPr>
      <w:r>
        <w:rPr>
          <w:rFonts w:hint="default" w:ascii="Times New Roman" w:hAnsi="Times New Roman" w:cs="Times New Roman" w:eastAsiaTheme="minorEastAsia"/>
          <w:color w:val="000000"/>
          <w:kern w:val="0"/>
          <w:sz w:val="24"/>
          <w:szCs w:val="24"/>
          <w:lang w:val="en-US" w:eastAsia="zh-CN" w:bidi="ar"/>
        </w:rPr>
        <w:t>限烧区：在特定时间、气象、空气环境质量条件下，可进行有计划、有序的秸秆垃圾露天焚烧活动的区域。</w:t>
      </w:r>
    </w:p>
    <w:p>
      <w:pPr>
        <w:pStyle w:val="4"/>
        <w:spacing w:line="415" w:lineRule="auto"/>
        <w:rPr>
          <w:rFonts w:hint="default" w:ascii="Times New Roman" w:hAnsi="Times New Roman" w:cs="Times New Roman" w:eastAsiaTheme="minorEastAsia"/>
          <w:color w:val="000000"/>
        </w:rPr>
      </w:pPr>
      <w:bookmarkStart w:id="5" w:name="_Toc15432"/>
      <w:r>
        <w:rPr>
          <w:rFonts w:hint="default" w:ascii="Times New Roman" w:hAnsi="Times New Roman" w:cs="Times New Roman" w:eastAsiaTheme="minorEastAsia"/>
          <w:color w:val="000000"/>
        </w:rPr>
        <w:t>编制依据</w:t>
      </w:r>
      <w:bookmarkEnd w:id="5"/>
    </w:p>
    <w:p>
      <w:pPr>
        <w:keepNext w:val="0"/>
        <w:keepLines w:val="0"/>
        <w:widowControl/>
        <w:numPr>
          <w:ilvl w:val="0"/>
          <w:numId w:val="2"/>
        </w:numPr>
        <w:suppressLineNumbers w:val="0"/>
        <w:jc w:val="left"/>
        <w:rPr>
          <w:rFonts w:hint="default" w:ascii="Times New Roman" w:hAnsi="Times New Roman" w:cs="Times New Roman" w:eastAsiaTheme="minorEastAsia"/>
          <w:color w:val="000000"/>
          <w:kern w:val="0"/>
          <w:sz w:val="24"/>
          <w:szCs w:val="24"/>
          <w:lang w:val="en-US" w:eastAsia="zh-CN" w:bidi="ar"/>
        </w:rPr>
      </w:pPr>
      <w:r>
        <w:rPr>
          <w:rFonts w:hint="default" w:ascii="Times New Roman" w:hAnsi="Times New Roman" w:cs="Times New Roman" w:eastAsiaTheme="minorEastAsia"/>
          <w:color w:val="000000"/>
          <w:kern w:val="0"/>
          <w:sz w:val="24"/>
          <w:szCs w:val="24"/>
          <w:lang w:val="en-US" w:eastAsia="zh-CN" w:bidi="ar"/>
        </w:rPr>
        <w:t>《中华人民共和国环境保护法》，2015年1月1日；</w:t>
      </w:r>
    </w:p>
    <w:p>
      <w:pPr>
        <w:keepNext w:val="0"/>
        <w:keepLines w:val="0"/>
        <w:widowControl/>
        <w:numPr>
          <w:ilvl w:val="0"/>
          <w:numId w:val="2"/>
        </w:numPr>
        <w:suppressLineNumbers w:val="0"/>
        <w:jc w:val="left"/>
        <w:rPr>
          <w:rFonts w:hint="default" w:ascii="Times New Roman" w:hAnsi="Times New Roman" w:cs="Times New Roman" w:eastAsiaTheme="minorEastAsia"/>
          <w:color w:val="000000"/>
          <w:kern w:val="0"/>
          <w:sz w:val="24"/>
          <w:szCs w:val="24"/>
          <w:lang w:val="en-US" w:eastAsia="zh-CN" w:bidi="ar"/>
        </w:rPr>
      </w:pPr>
      <w:r>
        <w:rPr>
          <w:rFonts w:hint="default" w:ascii="Times New Roman" w:hAnsi="Times New Roman" w:cs="Times New Roman" w:eastAsiaTheme="minorEastAsia"/>
          <w:color w:val="000000"/>
          <w:kern w:val="0"/>
          <w:sz w:val="24"/>
          <w:szCs w:val="24"/>
          <w:lang w:val="en-US" w:eastAsia="zh-CN" w:bidi="ar"/>
        </w:rPr>
        <w:t>《中华人民共和国大气污染防治法》，2016年1月1日；</w:t>
      </w:r>
    </w:p>
    <w:p>
      <w:pPr>
        <w:keepNext w:val="0"/>
        <w:keepLines w:val="0"/>
        <w:widowControl/>
        <w:numPr>
          <w:ilvl w:val="0"/>
          <w:numId w:val="2"/>
        </w:numPr>
        <w:suppressLineNumbers w:val="0"/>
        <w:jc w:val="left"/>
        <w:rPr>
          <w:rFonts w:hint="default" w:ascii="Times New Roman" w:hAnsi="Times New Roman" w:cs="Times New Roman" w:eastAsiaTheme="minorEastAsia"/>
          <w:color w:val="000000"/>
          <w:kern w:val="0"/>
          <w:sz w:val="24"/>
          <w:szCs w:val="24"/>
          <w:lang w:val="en-US" w:eastAsia="zh-CN" w:bidi="ar"/>
        </w:rPr>
      </w:pPr>
      <w:r>
        <w:rPr>
          <w:rFonts w:hint="default" w:ascii="Times New Roman" w:hAnsi="Times New Roman" w:cs="Times New Roman" w:eastAsiaTheme="minorEastAsia"/>
          <w:color w:val="000000"/>
          <w:kern w:val="0"/>
          <w:sz w:val="24"/>
          <w:szCs w:val="24"/>
          <w:lang w:val="en-US" w:eastAsia="zh-CN" w:bidi="ar"/>
        </w:rPr>
        <w:t>《中华人民共和国固体废物污染环境防治法》，2020年5月17日；</w:t>
      </w:r>
    </w:p>
    <w:p>
      <w:pPr>
        <w:keepNext w:val="0"/>
        <w:keepLines w:val="0"/>
        <w:widowControl/>
        <w:numPr>
          <w:ilvl w:val="0"/>
          <w:numId w:val="2"/>
        </w:numPr>
        <w:suppressLineNumbers w:val="0"/>
        <w:jc w:val="left"/>
        <w:rPr>
          <w:rFonts w:hint="default" w:ascii="Times New Roman" w:hAnsi="Times New Roman" w:cs="Times New Roman" w:eastAsiaTheme="minorEastAsia"/>
          <w:color w:val="000000"/>
          <w:kern w:val="0"/>
          <w:sz w:val="24"/>
          <w:szCs w:val="24"/>
          <w:lang w:val="en-US" w:eastAsia="zh-CN" w:bidi="ar"/>
        </w:rPr>
      </w:pPr>
      <w:r>
        <w:rPr>
          <w:rFonts w:hint="default" w:ascii="Times New Roman" w:hAnsi="Times New Roman" w:cs="Times New Roman" w:eastAsiaTheme="minorEastAsia"/>
          <w:color w:val="000000"/>
          <w:kern w:val="0"/>
          <w:sz w:val="24"/>
          <w:szCs w:val="24"/>
          <w:lang w:val="en-US" w:eastAsia="zh-CN" w:bidi="ar"/>
        </w:rPr>
        <w:t>《中华人民共和国自然保护区条例》，2011年1月8日；</w:t>
      </w:r>
    </w:p>
    <w:p>
      <w:pPr>
        <w:keepNext w:val="0"/>
        <w:keepLines w:val="0"/>
        <w:widowControl/>
        <w:numPr>
          <w:ilvl w:val="0"/>
          <w:numId w:val="2"/>
        </w:numPr>
        <w:suppressLineNumbers w:val="0"/>
        <w:jc w:val="left"/>
        <w:rPr>
          <w:rFonts w:hint="default" w:ascii="Times New Roman" w:hAnsi="Times New Roman" w:cs="Times New Roman" w:eastAsiaTheme="minorEastAsia"/>
          <w:color w:val="000000"/>
          <w:kern w:val="0"/>
          <w:sz w:val="24"/>
          <w:szCs w:val="24"/>
          <w:lang w:val="en-US" w:eastAsia="zh-CN" w:bidi="ar"/>
        </w:rPr>
      </w:pPr>
      <w:r>
        <w:rPr>
          <w:rFonts w:hint="default" w:ascii="Times New Roman" w:hAnsi="Times New Roman" w:cs="Times New Roman" w:eastAsiaTheme="minorEastAsia"/>
          <w:color w:val="000000"/>
          <w:kern w:val="0"/>
          <w:sz w:val="24"/>
          <w:szCs w:val="24"/>
          <w:lang w:val="en-US" w:eastAsia="zh-CN" w:bidi="ar"/>
        </w:rPr>
        <w:t>《风景名胜区条例》，2006年12月1日；</w:t>
      </w:r>
    </w:p>
    <w:p>
      <w:pPr>
        <w:keepNext w:val="0"/>
        <w:keepLines w:val="0"/>
        <w:widowControl/>
        <w:numPr>
          <w:ilvl w:val="0"/>
          <w:numId w:val="2"/>
        </w:numPr>
        <w:suppressLineNumbers w:val="0"/>
        <w:jc w:val="left"/>
        <w:rPr>
          <w:rFonts w:hint="default" w:ascii="Times New Roman" w:hAnsi="Times New Roman" w:cs="Times New Roman" w:eastAsiaTheme="minorEastAsia"/>
          <w:color w:val="000000"/>
          <w:kern w:val="0"/>
          <w:sz w:val="24"/>
          <w:szCs w:val="24"/>
          <w:lang w:val="en-US" w:eastAsia="zh-CN" w:bidi="ar"/>
        </w:rPr>
      </w:pPr>
      <w:r>
        <w:rPr>
          <w:rFonts w:hint="default" w:ascii="Times New Roman" w:hAnsi="Times New Roman" w:cs="Times New Roman" w:eastAsiaTheme="minorEastAsia"/>
          <w:color w:val="000000"/>
          <w:kern w:val="0"/>
          <w:sz w:val="24"/>
          <w:szCs w:val="24"/>
          <w:lang w:val="en-US" w:eastAsia="zh-CN" w:bidi="ar"/>
        </w:rPr>
        <w:t>《云南省大气污染防治条例》，2019年1月1日；</w:t>
      </w:r>
    </w:p>
    <w:p>
      <w:pPr>
        <w:keepNext w:val="0"/>
        <w:keepLines w:val="0"/>
        <w:widowControl/>
        <w:numPr>
          <w:ilvl w:val="0"/>
          <w:numId w:val="2"/>
        </w:numPr>
        <w:suppressLineNumbers w:val="0"/>
        <w:jc w:val="left"/>
        <w:rPr>
          <w:rFonts w:hint="default" w:ascii="Times New Roman" w:hAnsi="Times New Roman" w:cs="Times New Roman" w:eastAsiaTheme="minorEastAsia"/>
          <w:color w:val="000000"/>
          <w:kern w:val="0"/>
          <w:sz w:val="24"/>
          <w:szCs w:val="24"/>
          <w:lang w:val="en-US" w:eastAsia="zh-CN" w:bidi="ar"/>
        </w:rPr>
      </w:pPr>
      <w:r>
        <w:rPr>
          <w:rFonts w:hint="default" w:ascii="Times New Roman" w:hAnsi="Times New Roman" w:cs="Times New Roman" w:eastAsiaTheme="minorEastAsia"/>
          <w:color w:val="000000"/>
          <w:kern w:val="0"/>
          <w:sz w:val="24"/>
          <w:szCs w:val="24"/>
          <w:lang w:val="en-US" w:eastAsia="zh-CN" w:bidi="ar"/>
        </w:rPr>
        <w:t>《关于进一步加快推进农作物秸秆综合利用和焚烧工作的通知》（发改环资〔2015〕2651号）；</w:t>
      </w:r>
    </w:p>
    <w:p>
      <w:pPr>
        <w:keepNext w:val="0"/>
        <w:keepLines w:val="0"/>
        <w:widowControl/>
        <w:numPr>
          <w:ilvl w:val="0"/>
          <w:numId w:val="2"/>
        </w:numPr>
        <w:suppressLineNumbers w:val="0"/>
        <w:jc w:val="left"/>
        <w:rPr>
          <w:rFonts w:hint="default" w:ascii="Times New Roman" w:hAnsi="Times New Roman" w:cs="Times New Roman" w:eastAsiaTheme="minorEastAsia"/>
          <w:color w:val="000000"/>
          <w:kern w:val="0"/>
          <w:sz w:val="24"/>
          <w:szCs w:val="24"/>
          <w:lang w:val="en-US" w:eastAsia="zh-CN" w:bidi="ar"/>
        </w:rPr>
      </w:pPr>
      <w:r>
        <w:rPr>
          <w:rFonts w:hint="default" w:ascii="Times New Roman" w:hAnsi="Times New Roman" w:cs="Times New Roman" w:eastAsiaTheme="minorEastAsia"/>
          <w:color w:val="000000"/>
          <w:kern w:val="0"/>
          <w:sz w:val="24"/>
          <w:szCs w:val="24"/>
          <w:lang w:val="en-US" w:eastAsia="zh-CN" w:bidi="ar"/>
        </w:rPr>
        <w:t>《国务院关于印发打赢蓝天保卫战三年行动计划的通知》（国发〔2018〕22号）；</w:t>
      </w:r>
    </w:p>
    <w:p>
      <w:pPr>
        <w:keepNext w:val="0"/>
        <w:keepLines w:val="0"/>
        <w:widowControl/>
        <w:numPr>
          <w:ilvl w:val="0"/>
          <w:numId w:val="2"/>
        </w:numPr>
        <w:suppressLineNumbers w:val="0"/>
        <w:jc w:val="left"/>
        <w:rPr>
          <w:rFonts w:hint="default" w:ascii="Times New Roman" w:hAnsi="Times New Roman" w:cs="Times New Roman" w:eastAsiaTheme="minorEastAsia"/>
          <w:color w:val="000000"/>
          <w:kern w:val="0"/>
          <w:sz w:val="24"/>
          <w:szCs w:val="24"/>
          <w:lang w:val="en-US" w:eastAsia="zh-CN" w:bidi="ar"/>
        </w:rPr>
      </w:pPr>
      <w:r>
        <w:rPr>
          <w:rFonts w:hint="default" w:ascii="Times New Roman" w:hAnsi="Times New Roman" w:cs="Times New Roman" w:eastAsiaTheme="minorEastAsia"/>
          <w:color w:val="000000"/>
          <w:kern w:val="0"/>
          <w:sz w:val="24"/>
          <w:szCs w:val="24"/>
          <w:lang w:val="en-US" w:eastAsia="zh-CN" w:bidi="ar"/>
        </w:rPr>
        <w:t>《文山州环境污染防治工作领导小组办公室关于做好2022年禁止露天焚烧秸秆垃圾等废弃物工作的通知》（文污防通〔2021〕35号）</w:t>
      </w:r>
    </w:p>
    <w:p>
      <w:pPr>
        <w:keepNext w:val="0"/>
        <w:keepLines w:val="0"/>
        <w:widowControl/>
        <w:numPr>
          <w:ilvl w:val="0"/>
          <w:numId w:val="2"/>
        </w:numPr>
        <w:suppressLineNumbers w:val="0"/>
        <w:jc w:val="left"/>
        <w:rPr>
          <w:rFonts w:hint="default" w:ascii="Times New Roman" w:hAnsi="Times New Roman" w:cs="Times New Roman" w:eastAsiaTheme="minorEastAsia"/>
          <w:color w:val="000000"/>
          <w:kern w:val="0"/>
          <w:sz w:val="24"/>
          <w:szCs w:val="24"/>
          <w:lang w:val="en-US" w:eastAsia="zh-CN" w:bidi="ar"/>
        </w:rPr>
      </w:pPr>
      <w:r>
        <w:rPr>
          <w:rFonts w:hint="default" w:ascii="Times New Roman" w:hAnsi="Times New Roman" w:cs="Times New Roman" w:eastAsiaTheme="minorEastAsia"/>
          <w:color w:val="000000"/>
          <w:kern w:val="0"/>
          <w:sz w:val="24"/>
          <w:szCs w:val="24"/>
          <w:lang w:val="en-US" w:eastAsia="zh-CN" w:bidi="ar"/>
        </w:rPr>
        <w:t>《文山州人民政</w:t>
      </w:r>
      <w:r>
        <w:rPr>
          <w:rFonts w:hint="eastAsia" w:cs="Times New Roman" w:eastAsiaTheme="minorEastAsia"/>
          <w:color w:val="000000"/>
          <w:kern w:val="0"/>
          <w:sz w:val="24"/>
          <w:szCs w:val="24"/>
          <w:lang w:val="en-US" w:eastAsia="zh-CN" w:bidi="ar"/>
        </w:rPr>
        <w:t>府</w:t>
      </w:r>
      <w:r>
        <w:rPr>
          <w:rFonts w:hint="default" w:ascii="Times New Roman" w:hAnsi="Times New Roman" w:cs="Times New Roman" w:eastAsiaTheme="minorEastAsia"/>
          <w:color w:val="000000"/>
          <w:kern w:val="0"/>
          <w:sz w:val="24"/>
          <w:szCs w:val="24"/>
          <w:lang w:val="en-US" w:eastAsia="zh-CN" w:bidi="ar"/>
        </w:rPr>
        <w:t>办公室关于印发文山州禁止露天焚烧秸秆垃圾等废弃物工作方案的通知》（文政办发〔2021〕153号）</w:t>
      </w:r>
    </w:p>
    <w:p>
      <w:pPr>
        <w:keepNext w:val="0"/>
        <w:keepLines w:val="0"/>
        <w:widowControl/>
        <w:numPr>
          <w:ilvl w:val="0"/>
          <w:numId w:val="2"/>
        </w:numPr>
        <w:suppressLineNumbers w:val="0"/>
        <w:jc w:val="left"/>
        <w:rPr>
          <w:rFonts w:hint="default" w:ascii="Times New Roman" w:hAnsi="Times New Roman" w:cs="Times New Roman" w:eastAsiaTheme="minorEastAsia"/>
          <w:color w:val="000000"/>
          <w:kern w:val="0"/>
          <w:sz w:val="24"/>
          <w:szCs w:val="24"/>
          <w:lang w:val="en-US" w:eastAsia="zh-CN" w:bidi="ar"/>
        </w:rPr>
      </w:pPr>
      <w:r>
        <w:rPr>
          <w:rFonts w:hint="default" w:ascii="Times New Roman" w:hAnsi="Times New Roman" w:cs="Times New Roman" w:eastAsiaTheme="minorEastAsia"/>
          <w:color w:val="FF0000"/>
          <w:kern w:val="0"/>
          <w:sz w:val="24"/>
          <w:szCs w:val="24"/>
          <w:lang w:val="en-US" w:eastAsia="zh-CN" w:bidi="ar"/>
        </w:rPr>
        <w:t>《砚山县土地利用总体规划》</w:t>
      </w:r>
      <w:r>
        <w:rPr>
          <w:rFonts w:hint="default" w:ascii="Times New Roman" w:hAnsi="Times New Roman" w:cs="Times New Roman" w:eastAsiaTheme="minorEastAsia"/>
          <w:color w:val="000000"/>
          <w:kern w:val="0"/>
          <w:sz w:val="24"/>
          <w:szCs w:val="24"/>
          <w:lang w:val="en-US" w:eastAsia="zh-CN" w:bidi="ar"/>
        </w:rPr>
        <w:t>；</w:t>
      </w:r>
    </w:p>
    <w:p>
      <w:pPr>
        <w:keepNext w:val="0"/>
        <w:keepLines w:val="0"/>
        <w:widowControl/>
        <w:numPr>
          <w:ilvl w:val="0"/>
          <w:numId w:val="2"/>
        </w:numPr>
        <w:suppressLineNumbers w:val="0"/>
        <w:jc w:val="left"/>
        <w:rPr>
          <w:rFonts w:hint="default" w:ascii="Times New Roman" w:hAnsi="Times New Roman" w:cs="Times New Roman" w:eastAsiaTheme="minorEastAsia"/>
          <w:color w:val="000000"/>
          <w:kern w:val="0"/>
          <w:sz w:val="24"/>
          <w:szCs w:val="24"/>
          <w:lang w:val="en-US" w:eastAsia="zh-CN" w:bidi="ar"/>
        </w:rPr>
      </w:pPr>
      <w:r>
        <w:rPr>
          <w:rFonts w:hint="default" w:ascii="Times New Roman" w:hAnsi="Times New Roman" w:cs="Times New Roman" w:eastAsiaTheme="minorEastAsia"/>
          <w:color w:val="000000"/>
          <w:kern w:val="0"/>
          <w:sz w:val="24"/>
          <w:szCs w:val="24"/>
          <w:lang w:val="en-US" w:eastAsia="zh-CN" w:bidi="ar"/>
        </w:rPr>
        <w:t>《砚山县“十四五”高原特色现代农业发展规划（2021-2025年）》</w:t>
      </w:r>
    </w:p>
    <w:p>
      <w:pPr>
        <w:keepNext w:val="0"/>
        <w:keepLines w:val="0"/>
        <w:widowControl/>
        <w:numPr>
          <w:ilvl w:val="0"/>
          <w:numId w:val="2"/>
        </w:numPr>
        <w:suppressLineNumbers w:val="0"/>
        <w:jc w:val="left"/>
        <w:rPr>
          <w:rFonts w:hint="default" w:ascii="Times New Roman" w:hAnsi="Times New Roman" w:cs="Times New Roman" w:eastAsiaTheme="minorEastAsia"/>
          <w:color w:val="000000"/>
          <w:kern w:val="0"/>
          <w:sz w:val="24"/>
          <w:szCs w:val="24"/>
          <w:lang w:val="en-US" w:eastAsia="zh-CN" w:bidi="ar"/>
        </w:rPr>
      </w:pPr>
      <w:r>
        <w:rPr>
          <w:rFonts w:hint="default" w:ascii="Times New Roman" w:hAnsi="Times New Roman" w:cs="Times New Roman" w:eastAsiaTheme="minorEastAsia"/>
          <w:color w:val="000000"/>
          <w:kern w:val="0"/>
          <w:sz w:val="24"/>
          <w:szCs w:val="24"/>
          <w:lang w:val="en-US" w:eastAsia="zh-CN" w:bidi="ar"/>
        </w:rPr>
        <w:t>《砚山县“十四五”综合交通体系建设规划》；</w:t>
      </w:r>
    </w:p>
    <w:p>
      <w:pPr>
        <w:keepNext w:val="0"/>
        <w:keepLines w:val="0"/>
        <w:widowControl/>
        <w:numPr>
          <w:ilvl w:val="0"/>
          <w:numId w:val="2"/>
        </w:numPr>
        <w:suppressLineNumbers w:val="0"/>
        <w:jc w:val="left"/>
        <w:rPr>
          <w:rFonts w:hint="default" w:ascii="Times New Roman" w:hAnsi="Times New Roman" w:cs="Times New Roman" w:eastAsiaTheme="minorEastAsia"/>
          <w:color w:val="000000"/>
          <w:kern w:val="0"/>
          <w:sz w:val="24"/>
          <w:szCs w:val="24"/>
          <w:lang w:val="en-US" w:eastAsia="zh-CN" w:bidi="ar"/>
        </w:rPr>
      </w:pPr>
      <w:r>
        <w:rPr>
          <w:rFonts w:hint="default" w:ascii="Times New Roman" w:hAnsi="Times New Roman" w:cs="Times New Roman" w:eastAsiaTheme="minorEastAsia"/>
          <w:color w:val="000000"/>
          <w:kern w:val="0"/>
          <w:sz w:val="24"/>
          <w:szCs w:val="24"/>
          <w:lang w:val="en-US" w:eastAsia="zh-CN" w:bidi="ar"/>
        </w:rPr>
        <w:t>其他相关法律法规、规范标准等文件。</w:t>
      </w:r>
    </w:p>
    <w:p>
      <w:pPr>
        <w:pStyle w:val="4"/>
        <w:rPr>
          <w:rFonts w:hint="default" w:ascii="Times New Roman" w:hAnsi="Times New Roman" w:cs="Times New Roman" w:eastAsiaTheme="minorEastAsia"/>
          <w:color w:val="000000"/>
        </w:rPr>
      </w:pPr>
      <w:bookmarkStart w:id="6" w:name="_Toc3089"/>
      <w:r>
        <w:rPr>
          <w:rFonts w:hint="default" w:ascii="Times New Roman" w:hAnsi="Times New Roman" w:cs="Times New Roman" w:eastAsiaTheme="minorEastAsia"/>
          <w:color w:val="000000"/>
        </w:rPr>
        <w:t>划定原则</w:t>
      </w:r>
      <w:bookmarkEnd w:id="6"/>
    </w:p>
    <w:p>
      <w:pPr>
        <w:keepNext w:val="0"/>
        <w:keepLines w:val="0"/>
        <w:widowControl/>
        <w:suppressLineNumbers w:val="0"/>
        <w:jc w:val="left"/>
        <w:rPr>
          <w:rFonts w:hint="default" w:ascii="Times New Roman" w:hAnsi="Times New Roman" w:cs="Times New Roman" w:eastAsiaTheme="minorEastAsia"/>
          <w:color w:val="000000"/>
          <w:kern w:val="0"/>
          <w:sz w:val="24"/>
          <w:szCs w:val="24"/>
          <w:lang w:val="en-US" w:eastAsia="zh-CN" w:bidi="ar"/>
        </w:rPr>
      </w:pPr>
      <w:r>
        <w:rPr>
          <w:rFonts w:hint="default" w:ascii="Times New Roman" w:hAnsi="Times New Roman" w:cs="Times New Roman" w:eastAsiaTheme="minorEastAsia"/>
          <w:color w:val="000000"/>
          <w:kern w:val="0"/>
          <w:sz w:val="24"/>
          <w:szCs w:val="24"/>
          <w:lang w:val="en-US" w:eastAsia="zh-CN" w:bidi="ar"/>
        </w:rPr>
        <w:t>（1）合理性原则</w:t>
      </w:r>
    </w:p>
    <w:p>
      <w:pPr>
        <w:keepNext w:val="0"/>
        <w:keepLines w:val="0"/>
        <w:widowControl/>
        <w:suppressLineNumbers w:val="0"/>
        <w:jc w:val="left"/>
        <w:rPr>
          <w:rFonts w:hint="default" w:ascii="Times New Roman" w:hAnsi="Times New Roman" w:cs="Times New Roman" w:eastAsiaTheme="minorEastAsia"/>
          <w:color w:val="000000"/>
          <w:kern w:val="0"/>
          <w:sz w:val="24"/>
          <w:szCs w:val="24"/>
          <w:lang w:val="en-US" w:eastAsia="zh-CN" w:bidi="ar"/>
        </w:rPr>
      </w:pPr>
      <w:r>
        <w:rPr>
          <w:rFonts w:hint="default" w:ascii="Times New Roman" w:hAnsi="Times New Roman" w:cs="Times New Roman" w:eastAsiaTheme="minorEastAsia"/>
          <w:color w:val="000000"/>
          <w:kern w:val="0"/>
          <w:sz w:val="24"/>
          <w:szCs w:val="24"/>
          <w:lang w:val="en-US" w:eastAsia="zh-CN" w:bidi="ar"/>
        </w:rPr>
        <w:t>秸秆垃圾禁烧区和限烧区的划定应根据当地土地利用类型及环境空气质量状况，结合地方实际与管理需求，尽可能避免破碎化，尽量连续成片，确定秸秆禁烧区的界线。秸秆禁烧区和限烧区划定与其他法律法规中关于区域划分冲突的，以其他法律法规为准。</w:t>
      </w:r>
    </w:p>
    <w:p>
      <w:pPr>
        <w:keepNext w:val="0"/>
        <w:keepLines w:val="0"/>
        <w:widowControl/>
        <w:suppressLineNumbers w:val="0"/>
        <w:jc w:val="left"/>
        <w:rPr>
          <w:rFonts w:hint="default" w:ascii="Times New Roman" w:hAnsi="Times New Roman" w:cs="Times New Roman" w:eastAsiaTheme="minorEastAsia"/>
          <w:color w:val="000000"/>
          <w:kern w:val="0"/>
          <w:sz w:val="24"/>
          <w:szCs w:val="24"/>
          <w:lang w:val="en-US" w:eastAsia="zh-CN" w:bidi="ar"/>
        </w:rPr>
      </w:pPr>
      <w:r>
        <w:rPr>
          <w:rFonts w:hint="default" w:ascii="Times New Roman" w:hAnsi="Times New Roman" w:cs="Times New Roman" w:eastAsiaTheme="minorEastAsia"/>
          <w:color w:val="000000"/>
          <w:kern w:val="0"/>
          <w:sz w:val="24"/>
          <w:szCs w:val="24"/>
          <w:lang w:val="en-US" w:eastAsia="zh-CN" w:bidi="ar"/>
        </w:rPr>
        <w:t>（2）动态性原则</w:t>
      </w:r>
    </w:p>
    <w:p>
      <w:pPr>
        <w:keepNext w:val="0"/>
        <w:keepLines w:val="0"/>
        <w:widowControl/>
        <w:suppressLineNumbers w:val="0"/>
        <w:jc w:val="left"/>
        <w:rPr>
          <w:rFonts w:hint="default" w:ascii="Times New Roman" w:hAnsi="Times New Roman" w:cs="Times New Roman" w:eastAsiaTheme="minorEastAsia"/>
          <w:color w:val="000000"/>
          <w:kern w:val="0"/>
          <w:sz w:val="24"/>
          <w:szCs w:val="24"/>
          <w:lang w:val="en-US" w:eastAsia="zh-CN" w:bidi="ar"/>
        </w:rPr>
      </w:pPr>
      <w:r>
        <w:rPr>
          <w:rFonts w:hint="default" w:ascii="Times New Roman" w:hAnsi="Times New Roman" w:cs="Times New Roman" w:eastAsiaTheme="minorEastAsia"/>
          <w:color w:val="000000"/>
          <w:kern w:val="0"/>
          <w:sz w:val="24"/>
          <w:szCs w:val="24"/>
          <w:lang w:val="en-US" w:eastAsia="zh-CN" w:bidi="ar"/>
        </w:rPr>
        <w:t>秸秆禁烧区和限烧区应根据环境空气质量及土地利用变化情况进行动态调整。</w:t>
      </w:r>
    </w:p>
    <w:p>
      <w:pPr>
        <w:pStyle w:val="4"/>
        <w:rPr>
          <w:rFonts w:hint="default" w:ascii="Times New Roman" w:hAnsi="Times New Roman" w:cs="Times New Roman" w:eastAsiaTheme="minorEastAsia"/>
          <w:color w:val="000000"/>
          <w:lang w:val="en-US" w:eastAsia="zh-CN"/>
        </w:rPr>
      </w:pPr>
      <w:bookmarkStart w:id="7" w:name="_Toc16472"/>
      <w:r>
        <w:rPr>
          <w:rFonts w:hint="default" w:ascii="Times New Roman" w:hAnsi="Times New Roman" w:cs="Times New Roman" w:eastAsiaTheme="minorEastAsia"/>
          <w:color w:val="000000"/>
          <w:lang w:val="en-US" w:eastAsia="zh-CN"/>
        </w:rPr>
        <w:t>划定范围</w:t>
      </w:r>
      <w:bookmarkEnd w:id="7"/>
    </w:p>
    <w:p>
      <w:pPr>
        <w:keepNext w:val="0"/>
        <w:keepLines w:val="0"/>
        <w:widowControl/>
        <w:suppressLineNumbers w:val="0"/>
        <w:jc w:val="left"/>
        <w:rPr>
          <w:rFonts w:hint="default" w:ascii="Times New Roman" w:hAnsi="Times New Roman" w:cs="Times New Roman" w:eastAsiaTheme="minorEastAsia"/>
          <w:color w:val="000000"/>
          <w:kern w:val="0"/>
          <w:sz w:val="24"/>
          <w:szCs w:val="24"/>
          <w:lang w:val="en-US" w:eastAsia="zh-CN" w:bidi="ar"/>
        </w:rPr>
      </w:pPr>
      <w:r>
        <w:rPr>
          <w:rFonts w:hint="default" w:ascii="Times New Roman" w:hAnsi="Times New Roman" w:cs="Times New Roman" w:eastAsiaTheme="minorEastAsia"/>
          <w:color w:val="000000"/>
          <w:kern w:val="0"/>
          <w:sz w:val="24"/>
          <w:szCs w:val="24"/>
          <w:lang w:val="en-US" w:eastAsia="zh-CN" w:bidi="ar"/>
        </w:rPr>
        <w:t xml:space="preserve">本次划定范围包括八嘎乡、盘龙彝族乡、江那镇、阿舍彝族乡、者腊乡、稼依镇、干河彝族乡、阿猛镇、蚌峨乡、平远镇、维摩彝族乡。 </w:t>
      </w:r>
    </w:p>
    <w:p>
      <w:pPr>
        <w:pStyle w:val="4"/>
        <w:rPr>
          <w:rFonts w:hint="default" w:ascii="Times New Roman" w:hAnsi="Times New Roman" w:cs="Times New Roman" w:eastAsiaTheme="minorEastAsia"/>
          <w:color w:val="000000"/>
          <w:lang w:val="en-US" w:eastAsia="zh-CN"/>
        </w:rPr>
      </w:pPr>
      <w:bookmarkStart w:id="8" w:name="_Toc465"/>
      <w:r>
        <w:rPr>
          <w:rFonts w:hint="default" w:ascii="Times New Roman" w:hAnsi="Times New Roman" w:cs="Times New Roman" w:eastAsiaTheme="minorEastAsia"/>
          <w:color w:val="000000"/>
          <w:lang w:val="en-US" w:eastAsia="zh-CN"/>
        </w:rPr>
        <w:t>划定要求</w:t>
      </w:r>
      <w:bookmarkEnd w:id="8"/>
    </w:p>
    <w:p>
      <w:pPr>
        <w:pStyle w:val="5"/>
        <w:rPr>
          <w:rFonts w:hint="default" w:ascii="Times New Roman" w:hAnsi="Times New Roman" w:cs="Times New Roman" w:eastAsiaTheme="minorEastAsia"/>
          <w:b w:val="0"/>
          <w:bCs w:val="0"/>
          <w:color w:val="000000"/>
          <w:sz w:val="28"/>
          <w:szCs w:val="28"/>
        </w:rPr>
      </w:pPr>
      <w:r>
        <w:rPr>
          <w:rFonts w:hint="default" w:ascii="Times New Roman" w:hAnsi="Times New Roman" w:cs="Times New Roman" w:eastAsiaTheme="minorEastAsia"/>
          <w:b w:val="0"/>
          <w:bCs w:val="0"/>
          <w:color w:val="000000"/>
          <w:sz w:val="28"/>
          <w:szCs w:val="28"/>
        </w:rPr>
        <w:t>禁烧区</w:t>
      </w:r>
    </w:p>
    <w:p>
      <w:pPr>
        <w:keepNext w:val="0"/>
        <w:keepLines w:val="0"/>
        <w:widowControl/>
        <w:suppressLineNumbers w:val="0"/>
        <w:jc w:val="left"/>
        <w:rPr>
          <w:rFonts w:hint="default" w:ascii="Times New Roman" w:hAnsi="Times New Roman" w:cs="Times New Roman" w:eastAsiaTheme="minorEastAsia"/>
          <w:color w:val="FF0000"/>
          <w:kern w:val="0"/>
          <w:sz w:val="24"/>
          <w:szCs w:val="24"/>
          <w:lang w:val="en-US" w:eastAsia="zh-CN" w:bidi="ar"/>
        </w:rPr>
      </w:pPr>
      <w:r>
        <w:rPr>
          <w:rFonts w:hint="default" w:ascii="Times New Roman" w:hAnsi="Times New Roman" w:cs="Times New Roman" w:eastAsiaTheme="minorEastAsia"/>
          <w:color w:val="FF0000"/>
          <w:kern w:val="0"/>
          <w:sz w:val="24"/>
          <w:szCs w:val="24"/>
          <w:lang w:val="en-US" w:eastAsia="zh-CN" w:bidi="ar"/>
        </w:rPr>
        <w:t>（1）城镇周边</w:t>
      </w:r>
    </w:p>
    <w:p>
      <w:pPr>
        <w:keepNext w:val="0"/>
        <w:keepLines w:val="0"/>
        <w:widowControl/>
        <w:suppressLineNumbers w:val="0"/>
        <w:jc w:val="left"/>
        <w:rPr>
          <w:rFonts w:hint="default" w:ascii="Times New Roman" w:hAnsi="Times New Roman" w:cs="Times New Roman" w:eastAsiaTheme="minorEastAsia"/>
          <w:color w:val="FF0000"/>
          <w:kern w:val="0"/>
          <w:sz w:val="24"/>
          <w:szCs w:val="24"/>
          <w:lang w:val="en-US" w:eastAsia="zh-CN" w:bidi="ar"/>
        </w:rPr>
      </w:pPr>
      <w:r>
        <w:rPr>
          <w:rFonts w:hint="default" w:ascii="Times New Roman" w:hAnsi="Times New Roman" w:cs="Times New Roman" w:eastAsiaTheme="minorEastAsia"/>
          <w:color w:val="FF0000"/>
          <w:kern w:val="0"/>
          <w:sz w:val="24"/>
          <w:szCs w:val="24"/>
          <w:lang w:val="en-US" w:eastAsia="zh-CN" w:bidi="ar"/>
        </w:rPr>
        <w:t>城镇规划区及其外围主导上风向不少于15公里范围内和主导下风向不少于10公里范围内。</w:t>
      </w:r>
    </w:p>
    <w:p>
      <w:pPr>
        <w:keepNext w:val="0"/>
        <w:keepLines w:val="0"/>
        <w:widowControl/>
        <w:suppressLineNumbers w:val="0"/>
        <w:jc w:val="left"/>
        <w:rPr>
          <w:rFonts w:hint="default" w:ascii="Times New Roman" w:hAnsi="Times New Roman" w:cs="Times New Roman" w:eastAsiaTheme="minorEastAsia"/>
          <w:color w:val="FF0000"/>
          <w:kern w:val="0"/>
          <w:sz w:val="24"/>
          <w:szCs w:val="24"/>
          <w:lang w:val="en-US" w:eastAsia="zh-CN" w:bidi="ar"/>
        </w:rPr>
      </w:pPr>
      <w:r>
        <w:rPr>
          <w:rFonts w:hint="default" w:ascii="Times New Roman" w:hAnsi="Times New Roman" w:cs="Times New Roman" w:eastAsiaTheme="minorEastAsia"/>
          <w:color w:val="FF0000"/>
          <w:kern w:val="0"/>
          <w:sz w:val="24"/>
          <w:szCs w:val="24"/>
          <w:lang w:val="en-US" w:eastAsia="zh-CN" w:bidi="ar"/>
        </w:rPr>
        <w:t>（2）高速公路两侧</w:t>
      </w:r>
    </w:p>
    <w:p>
      <w:pPr>
        <w:keepNext w:val="0"/>
        <w:keepLines w:val="0"/>
        <w:widowControl/>
        <w:suppressLineNumbers w:val="0"/>
        <w:jc w:val="left"/>
        <w:rPr>
          <w:rFonts w:hint="default" w:ascii="Times New Roman" w:hAnsi="Times New Roman" w:cs="Times New Roman" w:eastAsiaTheme="minorEastAsia"/>
          <w:color w:val="FF0000"/>
          <w:kern w:val="0"/>
          <w:sz w:val="24"/>
          <w:szCs w:val="24"/>
          <w:lang w:val="en-US" w:eastAsia="zh-CN" w:bidi="ar"/>
        </w:rPr>
      </w:pPr>
      <w:r>
        <w:rPr>
          <w:rFonts w:hint="default" w:ascii="Times New Roman" w:hAnsi="Times New Roman" w:cs="Times New Roman" w:eastAsiaTheme="minorEastAsia"/>
          <w:color w:val="FF0000"/>
          <w:kern w:val="0"/>
          <w:sz w:val="24"/>
          <w:szCs w:val="24"/>
          <w:lang w:val="en-US" w:eastAsia="zh-CN" w:bidi="ar"/>
        </w:rPr>
        <w:t>高速公路沿线两侧2公里范围内。</w:t>
      </w:r>
    </w:p>
    <w:p>
      <w:pPr>
        <w:keepNext w:val="0"/>
        <w:keepLines w:val="0"/>
        <w:widowControl/>
        <w:suppressLineNumbers w:val="0"/>
        <w:jc w:val="left"/>
        <w:rPr>
          <w:rFonts w:hint="default" w:ascii="Times New Roman" w:hAnsi="Times New Roman" w:cs="Times New Roman" w:eastAsiaTheme="minorEastAsia"/>
          <w:color w:val="FF0000"/>
          <w:kern w:val="0"/>
          <w:sz w:val="24"/>
          <w:szCs w:val="24"/>
          <w:lang w:val="en-US" w:eastAsia="zh-CN" w:bidi="ar"/>
        </w:rPr>
      </w:pPr>
      <w:r>
        <w:rPr>
          <w:rFonts w:hint="default" w:ascii="Times New Roman" w:hAnsi="Times New Roman" w:cs="Times New Roman" w:eastAsiaTheme="minorEastAsia"/>
          <w:color w:val="FF0000"/>
          <w:kern w:val="0"/>
          <w:sz w:val="24"/>
          <w:szCs w:val="24"/>
          <w:lang w:val="en-US" w:eastAsia="zh-CN" w:bidi="ar"/>
        </w:rPr>
        <w:t>（3）铁路（高铁、动车）两侧</w:t>
      </w:r>
    </w:p>
    <w:p>
      <w:pPr>
        <w:keepNext w:val="0"/>
        <w:keepLines w:val="0"/>
        <w:widowControl/>
        <w:suppressLineNumbers w:val="0"/>
        <w:jc w:val="left"/>
        <w:rPr>
          <w:rFonts w:hint="default" w:ascii="Times New Roman" w:hAnsi="Times New Roman" w:cs="Times New Roman" w:eastAsiaTheme="minorEastAsia"/>
          <w:color w:val="FF0000"/>
          <w:kern w:val="0"/>
          <w:sz w:val="24"/>
          <w:szCs w:val="24"/>
          <w:lang w:val="en-US" w:eastAsia="zh-CN" w:bidi="ar"/>
        </w:rPr>
      </w:pPr>
      <w:r>
        <w:rPr>
          <w:rFonts w:hint="default" w:ascii="Times New Roman" w:hAnsi="Times New Roman" w:cs="Times New Roman" w:eastAsiaTheme="minorEastAsia"/>
          <w:color w:val="FF0000"/>
          <w:kern w:val="0"/>
          <w:sz w:val="24"/>
          <w:szCs w:val="24"/>
          <w:lang w:val="en-US" w:eastAsia="zh-CN" w:bidi="ar"/>
        </w:rPr>
        <w:t>铁路沿线两侧2公里范围内。</w:t>
      </w:r>
    </w:p>
    <w:p>
      <w:pPr>
        <w:keepNext w:val="0"/>
        <w:keepLines w:val="0"/>
        <w:widowControl/>
        <w:suppressLineNumbers w:val="0"/>
        <w:jc w:val="left"/>
        <w:rPr>
          <w:rFonts w:hint="default" w:ascii="Times New Roman" w:hAnsi="Times New Roman" w:cs="Times New Roman" w:eastAsiaTheme="minorEastAsia"/>
          <w:color w:val="FF0000"/>
          <w:kern w:val="0"/>
          <w:sz w:val="24"/>
          <w:szCs w:val="24"/>
          <w:lang w:val="en-US" w:eastAsia="zh-CN" w:bidi="ar"/>
        </w:rPr>
      </w:pPr>
      <w:r>
        <w:rPr>
          <w:rFonts w:hint="default" w:ascii="Times New Roman" w:hAnsi="Times New Roman" w:cs="Times New Roman" w:eastAsiaTheme="minorEastAsia"/>
          <w:color w:val="FF0000"/>
          <w:kern w:val="0"/>
          <w:sz w:val="24"/>
          <w:szCs w:val="24"/>
          <w:lang w:val="en-US" w:eastAsia="zh-CN" w:bidi="ar"/>
        </w:rPr>
        <w:t>（4）国、省干道两侧</w:t>
      </w:r>
    </w:p>
    <w:p>
      <w:pPr>
        <w:keepNext w:val="0"/>
        <w:keepLines w:val="0"/>
        <w:widowControl/>
        <w:suppressLineNumbers w:val="0"/>
        <w:jc w:val="left"/>
        <w:rPr>
          <w:rFonts w:hint="default" w:ascii="Times New Roman" w:hAnsi="Times New Roman" w:cs="Times New Roman" w:eastAsiaTheme="minorEastAsia"/>
          <w:color w:val="FF0000"/>
          <w:kern w:val="0"/>
          <w:sz w:val="24"/>
          <w:szCs w:val="24"/>
          <w:lang w:val="en-US" w:eastAsia="zh-CN" w:bidi="ar"/>
        </w:rPr>
      </w:pPr>
      <w:r>
        <w:rPr>
          <w:rFonts w:hint="default" w:ascii="Times New Roman" w:hAnsi="Times New Roman" w:cs="Times New Roman" w:eastAsiaTheme="minorEastAsia"/>
          <w:color w:val="FF0000"/>
          <w:kern w:val="0"/>
          <w:sz w:val="24"/>
          <w:szCs w:val="24"/>
          <w:lang w:val="en-US" w:eastAsia="zh-CN" w:bidi="ar"/>
        </w:rPr>
        <w:t>国道、省道公路干线两侧1公里范围内。</w:t>
      </w:r>
    </w:p>
    <w:p>
      <w:pPr>
        <w:keepNext w:val="0"/>
        <w:keepLines w:val="0"/>
        <w:widowControl/>
        <w:suppressLineNumbers w:val="0"/>
        <w:jc w:val="left"/>
        <w:rPr>
          <w:rFonts w:hint="default" w:ascii="Times New Roman" w:hAnsi="Times New Roman" w:cs="Times New Roman" w:eastAsiaTheme="minorEastAsia"/>
          <w:color w:val="FF0000"/>
          <w:kern w:val="0"/>
          <w:sz w:val="24"/>
          <w:szCs w:val="24"/>
          <w:lang w:val="en-US" w:eastAsia="zh-CN" w:bidi="ar"/>
        </w:rPr>
      </w:pPr>
      <w:r>
        <w:rPr>
          <w:rFonts w:hint="default" w:ascii="Times New Roman" w:hAnsi="Times New Roman" w:cs="Times New Roman" w:eastAsiaTheme="minorEastAsia"/>
          <w:color w:val="FF0000"/>
          <w:kern w:val="0"/>
          <w:sz w:val="24"/>
          <w:szCs w:val="24"/>
          <w:lang w:val="en-US" w:eastAsia="zh-CN" w:bidi="ar"/>
        </w:rPr>
        <w:t>（5）机场周边</w:t>
      </w:r>
    </w:p>
    <w:p>
      <w:pPr>
        <w:keepNext w:val="0"/>
        <w:keepLines w:val="0"/>
        <w:widowControl/>
        <w:suppressLineNumbers w:val="0"/>
        <w:jc w:val="left"/>
        <w:rPr>
          <w:rFonts w:hint="default" w:ascii="Times New Roman" w:hAnsi="Times New Roman" w:cs="Times New Roman" w:eastAsiaTheme="minorEastAsia"/>
          <w:color w:val="FF0000"/>
          <w:kern w:val="0"/>
          <w:sz w:val="24"/>
          <w:szCs w:val="24"/>
          <w:lang w:val="en-US" w:eastAsia="zh-CN" w:bidi="ar"/>
        </w:rPr>
      </w:pPr>
      <w:r>
        <w:rPr>
          <w:rFonts w:hint="default" w:ascii="Times New Roman" w:hAnsi="Times New Roman" w:cs="Times New Roman" w:eastAsiaTheme="minorEastAsia"/>
          <w:color w:val="FF0000"/>
          <w:kern w:val="0"/>
          <w:sz w:val="24"/>
          <w:szCs w:val="24"/>
          <w:lang w:val="en-US" w:eastAsia="zh-CN" w:bidi="ar"/>
        </w:rPr>
        <w:t>机场周围外延不少于 15 公里范围内的区域。</w:t>
      </w:r>
    </w:p>
    <w:p>
      <w:pPr>
        <w:keepNext w:val="0"/>
        <w:keepLines w:val="0"/>
        <w:widowControl/>
        <w:suppressLineNumbers w:val="0"/>
        <w:jc w:val="left"/>
        <w:rPr>
          <w:rFonts w:hint="default" w:ascii="Times New Roman" w:hAnsi="Times New Roman" w:cs="Times New Roman" w:eastAsiaTheme="minorEastAsia"/>
          <w:color w:val="FF0000"/>
          <w:kern w:val="0"/>
          <w:sz w:val="24"/>
          <w:szCs w:val="24"/>
          <w:lang w:val="en-US" w:eastAsia="zh-CN" w:bidi="ar"/>
        </w:rPr>
      </w:pPr>
      <w:r>
        <w:rPr>
          <w:rFonts w:hint="default" w:ascii="Times New Roman" w:hAnsi="Times New Roman" w:cs="Times New Roman" w:eastAsiaTheme="minorEastAsia"/>
          <w:color w:val="FF0000"/>
          <w:kern w:val="0"/>
          <w:sz w:val="24"/>
          <w:szCs w:val="24"/>
          <w:lang w:val="en-US" w:eastAsia="zh-CN" w:bidi="ar"/>
        </w:rPr>
        <w:t>（6）其他区域</w:t>
      </w:r>
    </w:p>
    <w:p>
      <w:pPr>
        <w:keepNext w:val="0"/>
        <w:keepLines w:val="0"/>
        <w:widowControl/>
        <w:suppressLineNumbers w:val="0"/>
        <w:jc w:val="left"/>
        <w:rPr>
          <w:rFonts w:hint="default" w:ascii="Times New Roman" w:hAnsi="Times New Roman" w:cs="Times New Roman" w:eastAsiaTheme="minorEastAsia"/>
          <w:color w:val="FF0000"/>
          <w:kern w:val="0"/>
          <w:sz w:val="24"/>
          <w:szCs w:val="24"/>
          <w:lang w:val="en-US" w:eastAsia="zh-CN" w:bidi="ar"/>
        </w:rPr>
      </w:pPr>
      <w:r>
        <w:rPr>
          <w:rFonts w:hint="default" w:ascii="Times New Roman" w:hAnsi="Times New Roman" w:cs="Times New Roman" w:eastAsiaTheme="minorEastAsia"/>
          <w:color w:val="FF0000"/>
          <w:kern w:val="0"/>
          <w:sz w:val="24"/>
          <w:szCs w:val="24"/>
          <w:lang w:val="en-US" w:eastAsia="zh-CN" w:bidi="ar"/>
        </w:rPr>
        <w:t>1.人口集中区周围2公里以内的区域。</w:t>
      </w:r>
    </w:p>
    <w:p>
      <w:pPr>
        <w:keepNext w:val="0"/>
        <w:keepLines w:val="0"/>
        <w:widowControl/>
        <w:suppressLineNumbers w:val="0"/>
        <w:jc w:val="left"/>
        <w:rPr>
          <w:rFonts w:hint="default" w:ascii="Times New Roman" w:hAnsi="Times New Roman" w:cs="Times New Roman" w:eastAsiaTheme="minorEastAsia"/>
          <w:color w:val="FF0000"/>
          <w:kern w:val="0"/>
          <w:sz w:val="24"/>
          <w:szCs w:val="24"/>
          <w:lang w:val="en-US" w:eastAsia="zh-CN" w:bidi="ar"/>
        </w:rPr>
      </w:pPr>
      <w:r>
        <w:rPr>
          <w:rFonts w:hint="default" w:ascii="Times New Roman" w:hAnsi="Times New Roman" w:cs="Times New Roman" w:eastAsiaTheme="minorEastAsia"/>
          <w:color w:val="FF0000"/>
          <w:kern w:val="0"/>
          <w:sz w:val="24"/>
          <w:szCs w:val="24"/>
          <w:lang w:val="en-US" w:eastAsia="zh-CN" w:bidi="ar"/>
        </w:rPr>
        <w:t>2.自然保护区、风景名胜区周围1公里以内的区域。</w:t>
      </w:r>
    </w:p>
    <w:p>
      <w:pPr>
        <w:keepNext w:val="0"/>
        <w:keepLines w:val="0"/>
        <w:widowControl/>
        <w:suppressLineNumbers w:val="0"/>
        <w:jc w:val="left"/>
        <w:rPr>
          <w:rFonts w:hint="default" w:ascii="Times New Roman" w:hAnsi="Times New Roman" w:cs="Times New Roman" w:eastAsiaTheme="minorEastAsia"/>
          <w:color w:val="FF0000"/>
          <w:kern w:val="0"/>
          <w:sz w:val="24"/>
          <w:szCs w:val="24"/>
          <w:lang w:val="en-US" w:eastAsia="zh-CN" w:bidi="ar"/>
        </w:rPr>
      </w:pPr>
      <w:r>
        <w:rPr>
          <w:rFonts w:hint="default" w:ascii="Times New Roman" w:hAnsi="Times New Roman" w:cs="Times New Roman" w:eastAsiaTheme="minorEastAsia"/>
          <w:color w:val="FF0000"/>
          <w:kern w:val="0"/>
          <w:sz w:val="24"/>
          <w:szCs w:val="24"/>
          <w:lang w:val="en-US" w:eastAsia="zh-CN" w:bidi="ar"/>
        </w:rPr>
        <w:t>3.法律、法规以及规范性文件规定的其他禁止露天焚。</w:t>
      </w:r>
    </w:p>
    <w:p>
      <w:pPr>
        <w:keepNext w:val="0"/>
        <w:keepLines w:val="0"/>
        <w:widowControl/>
        <w:suppressLineNumbers w:val="0"/>
        <w:jc w:val="left"/>
        <w:rPr>
          <w:rFonts w:hint="default" w:ascii="Times New Roman" w:hAnsi="Times New Roman" w:cs="Times New Roman" w:eastAsiaTheme="minorEastAsia"/>
          <w:color w:val="FF0000"/>
          <w:kern w:val="0"/>
          <w:sz w:val="24"/>
          <w:szCs w:val="24"/>
          <w:lang w:val="en-US" w:eastAsia="zh-CN" w:bidi="ar"/>
        </w:rPr>
      </w:pPr>
      <w:r>
        <w:rPr>
          <w:rFonts w:hint="default" w:ascii="Times New Roman" w:hAnsi="Times New Roman" w:cs="Times New Roman" w:eastAsiaTheme="minorEastAsia"/>
          <w:color w:val="FF0000"/>
          <w:kern w:val="0"/>
          <w:sz w:val="24"/>
          <w:szCs w:val="24"/>
          <w:lang w:val="en-US" w:eastAsia="zh-CN" w:bidi="ar"/>
        </w:rPr>
        <w:t>说明：边界尽量与地理界线相协调，结合山脉、河流、地貌单元、植被等要素保留自然地理边界，保持森林、农田、草地、湿地、河流等生态系统的完整性。</w:t>
      </w:r>
    </w:p>
    <w:p>
      <w:pPr>
        <w:pStyle w:val="5"/>
        <w:rPr>
          <w:rFonts w:hint="default" w:ascii="Times New Roman" w:hAnsi="Times New Roman" w:cs="Times New Roman" w:eastAsiaTheme="minorEastAsia"/>
          <w:color w:val="000000"/>
          <w:sz w:val="28"/>
          <w:szCs w:val="28"/>
        </w:rPr>
      </w:pPr>
      <w:r>
        <w:rPr>
          <w:rFonts w:hint="default" w:ascii="Times New Roman" w:hAnsi="Times New Roman" w:cs="Times New Roman" w:eastAsiaTheme="minorEastAsia"/>
          <w:color w:val="000000"/>
          <w:sz w:val="28"/>
          <w:szCs w:val="28"/>
        </w:rPr>
        <w:t>限烧区</w:t>
      </w:r>
    </w:p>
    <w:p>
      <w:pPr>
        <w:keepNext w:val="0"/>
        <w:keepLines w:val="0"/>
        <w:widowControl/>
        <w:suppressLineNumbers w:val="0"/>
        <w:jc w:val="left"/>
        <w:rPr>
          <w:rFonts w:hint="default" w:ascii="Times New Roman" w:hAnsi="Times New Roman" w:cs="Times New Roman" w:eastAsiaTheme="minorEastAsia"/>
          <w:color w:val="000000"/>
          <w:kern w:val="0"/>
          <w:sz w:val="24"/>
          <w:szCs w:val="24"/>
          <w:lang w:val="en-US" w:eastAsia="zh-CN" w:bidi="ar"/>
        </w:rPr>
      </w:pPr>
      <w:r>
        <w:rPr>
          <w:rFonts w:hint="default" w:ascii="Times New Roman" w:hAnsi="Times New Roman" w:cs="Times New Roman" w:eastAsiaTheme="minorEastAsia"/>
          <w:color w:val="000000"/>
          <w:kern w:val="0"/>
          <w:sz w:val="24"/>
          <w:szCs w:val="24"/>
          <w:lang w:val="en-US" w:eastAsia="zh-CN" w:bidi="ar"/>
        </w:rPr>
        <w:t>秸秆禁烧区以外的所有区域划为秸秆垃圾限烧区。</w:t>
      </w:r>
    </w:p>
    <w:p>
      <w:pPr>
        <w:pStyle w:val="4"/>
        <w:rPr>
          <w:rFonts w:hint="default" w:ascii="Times New Roman" w:hAnsi="Times New Roman" w:cs="Times New Roman" w:eastAsiaTheme="minorEastAsia"/>
          <w:color w:val="000000"/>
        </w:rPr>
      </w:pPr>
      <w:bookmarkStart w:id="9" w:name="_Toc1771"/>
      <w:r>
        <w:rPr>
          <w:rFonts w:hint="default" w:ascii="Times New Roman" w:hAnsi="Times New Roman" w:cs="Times New Roman" w:eastAsiaTheme="minorEastAsia"/>
          <w:color w:val="000000"/>
        </w:rPr>
        <w:t>技术路线</w:t>
      </w:r>
      <w:bookmarkEnd w:id="9"/>
    </w:p>
    <w:p>
      <w:pPr>
        <w:ind w:firstLine="0" w:firstLineChars="0"/>
        <w:jc w:val="center"/>
        <w:rPr>
          <w:rFonts w:hint="default" w:ascii="Times New Roman" w:hAnsi="Times New Roman" w:cs="Times New Roman" w:eastAsiaTheme="minorEastAsia"/>
          <w:b/>
          <w:bCs/>
          <w:color w:val="000000"/>
          <w:sz w:val="24"/>
        </w:rPr>
      </w:pPr>
    </w:p>
    <w:p>
      <w:pPr>
        <w:ind w:firstLine="0" w:firstLineChars="0"/>
        <w:jc w:val="center"/>
        <w:rPr>
          <w:rFonts w:hint="default" w:ascii="Times New Roman" w:hAnsi="Times New Roman" w:cs="Times New Roman" w:eastAsiaTheme="minorEastAsia"/>
          <w:b/>
          <w:bCs/>
          <w:color w:val="000000"/>
          <w:sz w:val="24"/>
        </w:rPr>
      </w:pPr>
      <w:r>
        <w:rPr>
          <w:rFonts w:hint="default" w:ascii="Times New Roman" w:hAnsi="Times New Roman" w:cs="Times New Roman" w:eastAsiaTheme="minorEastAsia"/>
          <w:b/>
          <w:bCs/>
          <w:color w:val="000000"/>
          <w:sz w:val="24"/>
        </w:rPr>
        <w:object>
          <v:shape id="_x0000_i1025" o:spt="75" type="#_x0000_t75" style="height:418.75pt;width:406.1pt;" o:ole="t" filled="f" o:preferrelative="t" stroked="f" coordsize="21600,21600">
            <v:path/>
            <v:fill on="f" focussize="0,0"/>
            <v:stroke on="f" joinstyle="miter"/>
            <v:imagedata r:id="rId13" o:title=""/>
            <o:lock v:ext="edit" aspectratio="f"/>
            <w10:wrap type="none"/>
            <w10:anchorlock/>
          </v:shape>
          <o:OLEObject Type="Embed" ProgID="Visio.Drawing.11" ShapeID="_x0000_i1025" DrawAspect="Content" ObjectID="_1468075725" r:id="rId12">
            <o:LockedField>false</o:LockedField>
          </o:OLEObject>
        </w:object>
      </w:r>
    </w:p>
    <w:p>
      <w:pPr>
        <w:ind w:firstLine="0" w:firstLineChars="0"/>
        <w:jc w:val="center"/>
        <w:rPr>
          <w:rFonts w:hint="default" w:ascii="Times New Roman" w:hAnsi="Times New Roman" w:cs="Times New Roman" w:eastAsiaTheme="minorEastAsia"/>
          <w:b/>
          <w:bCs/>
          <w:color w:val="000000"/>
          <w:sz w:val="24"/>
        </w:rPr>
      </w:pPr>
    </w:p>
    <w:p>
      <w:pPr>
        <w:ind w:firstLine="0" w:firstLineChars="0"/>
        <w:jc w:val="center"/>
        <w:rPr>
          <w:rFonts w:hint="default" w:ascii="Times New Roman" w:hAnsi="Times New Roman" w:cs="Times New Roman" w:eastAsiaTheme="minorEastAsia"/>
          <w:color w:val="000000"/>
        </w:rPr>
      </w:pPr>
      <w:r>
        <w:rPr>
          <w:rFonts w:hint="default" w:ascii="Times New Roman" w:hAnsi="Times New Roman" w:cs="Times New Roman" w:eastAsiaTheme="minorEastAsia"/>
          <w:b/>
          <w:bCs/>
          <w:color w:val="000000"/>
          <w:sz w:val="24"/>
        </w:rPr>
        <w:t>图1.</w:t>
      </w:r>
      <w:r>
        <w:rPr>
          <w:rFonts w:hint="default" w:ascii="Times New Roman" w:hAnsi="Times New Roman" w:cs="Times New Roman" w:eastAsiaTheme="minorEastAsia"/>
          <w:b/>
          <w:bCs/>
          <w:color w:val="000000"/>
          <w:sz w:val="24"/>
        </w:rPr>
        <w:fldChar w:fldCharType="begin"/>
      </w:r>
      <w:r>
        <w:rPr>
          <w:rFonts w:hint="default" w:ascii="Times New Roman" w:hAnsi="Times New Roman" w:cs="Times New Roman" w:eastAsiaTheme="minorEastAsia"/>
          <w:b/>
          <w:bCs/>
          <w:color w:val="000000"/>
          <w:sz w:val="24"/>
        </w:rPr>
        <w:instrText xml:space="preserve"> SEQ 图1. \* ARABIC </w:instrText>
      </w:r>
      <w:r>
        <w:rPr>
          <w:rFonts w:hint="default" w:ascii="Times New Roman" w:hAnsi="Times New Roman" w:cs="Times New Roman" w:eastAsiaTheme="minorEastAsia"/>
          <w:b/>
          <w:bCs/>
          <w:color w:val="000000"/>
          <w:sz w:val="24"/>
        </w:rPr>
        <w:fldChar w:fldCharType="separate"/>
      </w:r>
      <w:r>
        <w:rPr>
          <w:rFonts w:hint="default" w:ascii="Times New Roman" w:hAnsi="Times New Roman" w:cs="Times New Roman" w:eastAsiaTheme="minorEastAsia"/>
          <w:b/>
          <w:bCs/>
          <w:color w:val="000000"/>
          <w:sz w:val="24"/>
        </w:rPr>
        <w:t>1</w:t>
      </w:r>
      <w:r>
        <w:rPr>
          <w:rFonts w:hint="default" w:ascii="Times New Roman" w:hAnsi="Times New Roman" w:cs="Times New Roman" w:eastAsiaTheme="minorEastAsia"/>
          <w:b/>
          <w:bCs/>
          <w:color w:val="000000"/>
          <w:sz w:val="24"/>
        </w:rPr>
        <w:fldChar w:fldCharType="end"/>
      </w:r>
      <w:r>
        <w:rPr>
          <w:rFonts w:hint="default" w:ascii="Times New Roman" w:hAnsi="Times New Roman" w:cs="Times New Roman" w:eastAsiaTheme="minorEastAsia"/>
          <w:b/>
          <w:bCs/>
          <w:color w:val="000000"/>
          <w:sz w:val="24"/>
        </w:rPr>
        <w:t xml:space="preserve"> 技术路线图</w:t>
      </w:r>
    </w:p>
    <w:p>
      <w:pPr>
        <w:ind w:firstLine="560"/>
        <w:rPr>
          <w:rFonts w:hint="default" w:ascii="Times New Roman" w:hAnsi="Times New Roman" w:cs="Times New Roman" w:eastAsiaTheme="minorEastAsia"/>
          <w:color w:val="000000"/>
        </w:rPr>
        <w:sectPr>
          <w:footerReference r:id="rId10" w:type="default"/>
          <w:pgSz w:w="11906" w:h="16838"/>
          <w:pgMar w:top="1440" w:right="1797" w:bottom="1440" w:left="1797" w:header="851" w:footer="992" w:gutter="0"/>
          <w:pgNumType w:start="1"/>
          <w:cols w:space="720" w:num="1"/>
          <w:docGrid w:type="lines" w:linePitch="312" w:charSpace="0"/>
        </w:sectPr>
      </w:pPr>
    </w:p>
    <w:p>
      <w:pPr>
        <w:pStyle w:val="3"/>
        <w:ind w:firstLine="643"/>
        <w:rPr>
          <w:rFonts w:hint="default" w:ascii="Times New Roman" w:hAnsi="Times New Roman" w:cs="Times New Roman" w:eastAsiaTheme="minorEastAsia"/>
          <w:color w:val="000000"/>
          <w:lang w:val="en-US"/>
        </w:rPr>
      </w:pPr>
      <w:bookmarkStart w:id="10" w:name="_Toc11710"/>
      <w:r>
        <w:rPr>
          <w:rFonts w:hint="default" w:ascii="Times New Roman" w:hAnsi="Times New Roman" w:cs="Times New Roman" w:eastAsiaTheme="minorEastAsia"/>
          <w:color w:val="000000"/>
        </w:rPr>
        <w:t>区域</w:t>
      </w:r>
      <w:r>
        <w:rPr>
          <w:rFonts w:hint="default" w:ascii="Times New Roman" w:hAnsi="Times New Roman" w:cs="Times New Roman" w:eastAsiaTheme="minorEastAsia"/>
          <w:color w:val="000000"/>
          <w:lang w:val="en-US" w:eastAsia="zh-CN"/>
        </w:rPr>
        <w:t>概况</w:t>
      </w:r>
      <w:bookmarkEnd w:id="10"/>
    </w:p>
    <w:p>
      <w:pPr>
        <w:pStyle w:val="4"/>
        <w:rPr>
          <w:rFonts w:hint="default" w:ascii="Times New Roman" w:hAnsi="Times New Roman" w:cs="Times New Roman" w:eastAsiaTheme="minorEastAsia"/>
          <w:color w:val="000000"/>
        </w:rPr>
      </w:pPr>
      <w:bookmarkStart w:id="11" w:name="_Toc7890"/>
      <w:r>
        <w:rPr>
          <w:rFonts w:hint="default" w:ascii="Times New Roman" w:hAnsi="Times New Roman" w:cs="Times New Roman" w:eastAsiaTheme="minorEastAsia"/>
          <w:color w:val="000000"/>
        </w:rPr>
        <w:t>地理位置</w:t>
      </w:r>
      <w:bookmarkEnd w:id="11"/>
    </w:p>
    <w:p>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cs="Times New Roman" w:eastAsiaTheme="minorEastAsia"/>
          <w:color w:val="000000"/>
          <w:kern w:val="0"/>
          <w:sz w:val="24"/>
          <w:szCs w:val="24"/>
          <w:lang w:val="en-US" w:eastAsia="zh-CN" w:bidi="ar"/>
        </w:rPr>
      </w:pPr>
      <w:r>
        <w:rPr>
          <w:rFonts w:hint="default" w:ascii="Times New Roman" w:hAnsi="Times New Roman" w:cs="Times New Roman" w:eastAsiaTheme="minorEastAsia"/>
          <w:color w:val="000000"/>
          <w:kern w:val="0"/>
          <w:sz w:val="24"/>
          <w:szCs w:val="24"/>
          <w:lang w:val="en-US" w:eastAsia="zh-CN" w:bidi="ar"/>
        </w:rPr>
        <w:drawing>
          <wp:anchor distT="0" distB="0" distL="114300" distR="114300" simplePos="0" relativeHeight="251660288" behindDoc="0" locked="0" layoutInCell="1" allowOverlap="1">
            <wp:simplePos x="0" y="0"/>
            <wp:positionH relativeFrom="column">
              <wp:posOffset>-65405</wp:posOffset>
            </wp:positionH>
            <wp:positionV relativeFrom="paragraph">
              <wp:posOffset>1762125</wp:posOffset>
            </wp:positionV>
            <wp:extent cx="5269865" cy="3387725"/>
            <wp:effectExtent l="0" t="0" r="6985" b="3175"/>
            <wp:wrapNone/>
            <wp:docPr id="5" name="图片 5" descr="砚山县行政区区位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砚山县行政区区位图"/>
                    <pic:cNvPicPr>
                      <a:picLocks noChangeAspect="1"/>
                    </pic:cNvPicPr>
                  </pic:nvPicPr>
                  <pic:blipFill>
                    <a:blip r:embed="rId14"/>
                    <a:stretch>
                      <a:fillRect/>
                    </a:stretch>
                  </pic:blipFill>
                  <pic:spPr>
                    <a:xfrm>
                      <a:off x="0" y="0"/>
                      <a:ext cx="5269865" cy="3387725"/>
                    </a:xfrm>
                    <a:prstGeom prst="rect">
                      <a:avLst/>
                    </a:prstGeom>
                  </pic:spPr>
                </pic:pic>
              </a:graphicData>
            </a:graphic>
          </wp:anchor>
        </w:drawing>
      </w:r>
      <w:r>
        <w:rPr>
          <w:rFonts w:hint="default" w:ascii="Times New Roman" w:hAnsi="Times New Roman" w:cs="Times New Roman" w:eastAsiaTheme="minorEastAsia"/>
          <w:color w:val="000000"/>
          <w:kern w:val="0"/>
          <w:sz w:val="24"/>
          <w:szCs w:val="24"/>
          <w:lang w:val="en-US" w:eastAsia="zh-CN" w:bidi="ar"/>
        </w:rPr>
        <w:t>砚山县地处云南省东南部，文山壮族苗族自治州中西北部，位于东经103°35′～104°45′，北纬 23°19′～23°59′之间。最大横距107km，最大纵距70km。总面积3826.57km</w:t>
      </w:r>
      <w:r>
        <w:rPr>
          <w:rFonts w:hint="default" w:ascii="Times New Roman" w:hAnsi="Times New Roman" w:cs="Times New Roman" w:eastAsiaTheme="minorEastAsia"/>
          <w:color w:val="000000"/>
          <w:kern w:val="0"/>
          <w:sz w:val="24"/>
          <w:szCs w:val="24"/>
          <w:vertAlign w:val="superscript"/>
          <w:lang w:val="en-US" w:eastAsia="zh-CN" w:bidi="ar"/>
        </w:rPr>
        <w:t>2</w:t>
      </w:r>
      <w:r>
        <w:rPr>
          <w:rFonts w:hint="default" w:ascii="Times New Roman" w:hAnsi="Times New Roman" w:cs="Times New Roman" w:eastAsiaTheme="minorEastAsia"/>
          <w:color w:val="000000"/>
          <w:kern w:val="0"/>
          <w:sz w:val="24"/>
          <w:szCs w:val="24"/>
          <w:lang w:val="en-US" w:eastAsia="zh-CN" w:bidi="ar"/>
        </w:rPr>
        <w:t>，东与广南县相连，南与西畴县、文山市交界，北与丘北县毗邻，西与开远市、蒙自市接壤。县城东行240km抵广西境内；南行35km抵州府文山、140km抵中越边境；西行160km抵开远；北行350km达省会昆明，交通十分方便。</w:t>
      </w:r>
    </w:p>
    <w:p>
      <w:pPr>
        <w:pStyle w:val="2"/>
        <w:rPr>
          <w:rFonts w:hint="default" w:ascii="Times New Roman" w:hAnsi="Times New Roman" w:cs="Times New Roman"/>
          <w:lang w:val="en-US" w:eastAsia="zh-CN"/>
        </w:rPr>
      </w:pPr>
    </w:p>
    <w:p>
      <w:pPr>
        <w:pStyle w:val="2"/>
        <w:rPr>
          <w:rFonts w:hint="default" w:ascii="Times New Roman" w:hAnsi="Times New Roman" w:cs="Times New Roman" w:eastAsiaTheme="minorEastAsia"/>
          <w:color w:val="000000"/>
          <w:kern w:val="0"/>
          <w:sz w:val="24"/>
          <w:szCs w:val="24"/>
          <w:lang w:val="en-US" w:eastAsia="zh-CN" w:bidi="ar"/>
        </w:rPr>
      </w:pPr>
    </w:p>
    <w:p>
      <w:pPr>
        <w:pStyle w:val="2"/>
        <w:rPr>
          <w:rFonts w:hint="default" w:ascii="Times New Roman" w:hAnsi="Times New Roman" w:cs="Times New Roman" w:eastAsiaTheme="minorEastAsia"/>
          <w:color w:val="000000"/>
          <w:kern w:val="0"/>
          <w:sz w:val="24"/>
          <w:szCs w:val="24"/>
          <w:lang w:val="en-US" w:eastAsia="zh-CN" w:bidi="ar"/>
        </w:rPr>
      </w:pPr>
    </w:p>
    <w:p>
      <w:pPr>
        <w:pStyle w:val="2"/>
        <w:rPr>
          <w:rFonts w:hint="default" w:ascii="Times New Roman" w:hAnsi="Times New Roman" w:cs="Times New Roman" w:eastAsiaTheme="minorEastAsia"/>
          <w:color w:val="000000"/>
          <w:kern w:val="0"/>
          <w:sz w:val="24"/>
          <w:szCs w:val="24"/>
          <w:lang w:val="en-US" w:eastAsia="zh-CN" w:bidi="ar"/>
        </w:rPr>
      </w:pPr>
    </w:p>
    <w:p>
      <w:pPr>
        <w:pStyle w:val="2"/>
        <w:rPr>
          <w:rFonts w:hint="default" w:ascii="Times New Roman" w:hAnsi="Times New Roman" w:cs="Times New Roman" w:eastAsiaTheme="minorEastAsia"/>
          <w:color w:val="000000"/>
          <w:kern w:val="0"/>
          <w:sz w:val="24"/>
          <w:szCs w:val="24"/>
          <w:lang w:val="en-US" w:eastAsia="zh-CN" w:bidi="ar"/>
        </w:rPr>
      </w:pPr>
    </w:p>
    <w:p>
      <w:pPr>
        <w:pStyle w:val="2"/>
        <w:rPr>
          <w:rFonts w:hint="default" w:ascii="Times New Roman" w:hAnsi="Times New Roman" w:cs="Times New Roman" w:eastAsiaTheme="minorEastAsia"/>
          <w:color w:val="000000"/>
          <w:kern w:val="0"/>
          <w:sz w:val="24"/>
          <w:szCs w:val="24"/>
          <w:lang w:val="en-US" w:eastAsia="zh-CN" w:bidi="ar"/>
        </w:rPr>
      </w:pPr>
    </w:p>
    <w:p>
      <w:pPr>
        <w:pStyle w:val="2"/>
        <w:rPr>
          <w:rFonts w:hint="default" w:ascii="Times New Roman" w:hAnsi="Times New Roman" w:cs="Times New Roman" w:eastAsiaTheme="minorEastAsia"/>
          <w:color w:val="000000"/>
          <w:kern w:val="0"/>
          <w:sz w:val="24"/>
          <w:szCs w:val="24"/>
          <w:lang w:val="en-US" w:eastAsia="zh-CN" w:bidi="ar"/>
        </w:rPr>
      </w:pPr>
    </w:p>
    <w:p>
      <w:pPr>
        <w:pStyle w:val="2"/>
        <w:rPr>
          <w:rFonts w:hint="default" w:ascii="Times New Roman" w:hAnsi="Times New Roman" w:cs="Times New Roman" w:eastAsiaTheme="minorEastAsia"/>
          <w:color w:val="000000"/>
          <w:kern w:val="0"/>
          <w:sz w:val="24"/>
          <w:szCs w:val="24"/>
          <w:lang w:val="en-US" w:eastAsia="zh-CN" w:bidi="ar"/>
        </w:rPr>
      </w:pPr>
    </w:p>
    <w:p>
      <w:pPr>
        <w:pStyle w:val="2"/>
        <w:rPr>
          <w:rFonts w:hint="default" w:ascii="Times New Roman" w:hAnsi="Times New Roman" w:cs="Times New Roman" w:eastAsiaTheme="minorEastAsia"/>
          <w:color w:val="000000"/>
          <w:kern w:val="0"/>
          <w:sz w:val="24"/>
          <w:szCs w:val="24"/>
          <w:lang w:val="en-US" w:eastAsia="zh-CN" w:bidi="ar"/>
        </w:rPr>
      </w:pPr>
    </w:p>
    <w:p>
      <w:pPr>
        <w:pStyle w:val="2"/>
        <w:rPr>
          <w:rFonts w:hint="default" w:ascii="Times New Roman" w:hAnsi="Times New Roman" w:cs="Times New Roman" w:eastAsiaTheme="minorEastAsia"/>
          <w:color w:val="000000"/>
          <w:kern w:val="0"/>
          <w:sz w:val="24"/>
          <w:szCs w:val="24"/>
          <w:lang w:val="en-US" w:eastAsia="zh-CN" w:bidi="ar"/>
        </w:rPr>
      </w:pPr>
    </w:p>
    <w:p>
      <w:pPr>
        <w:pStyle w:val="2"/>
        <w:rPr>
          <w:rFonts w:hint="default" w:ascii="Times New Roman" w:hAnsi="Times New Roman" w:cs="Times New Roman" w:eastAsiaTheme="minorEastAsia"/>
          <w:color w:val="000000"/>
          <w:kern w:val="0"/>
          <w:sz w:val="24"/>
          <w:szCs w:val="24"/>
          <w:lang w:val="en-US" w:eastAsia="zh-CN" w:bidi="ar"/>
        </w:rPr>
      </w:pPr>
    </w:p>
    <w:p>
      <w:pPr>
        <w:pStyle w:val="2"/>
        <w:rPr>
          <w:rFonts w:hint="default" w:ascii="Times New Roman" w:hAnsi="Times New Roman" w:cs="Times New Roman" w:eastAsiaTheme="minorEastAsia"/>
          <w:color w:val="000000"/>
          <w:kern w:val="0"/>
          <w:sz w:val="24"/>
          <w:szCs w:val="24"/>
          <w:lang w:val="en-US" w:eastAsia="zh-CN" w:bidi="ar"/>
        </w:rPr>
      </w:pPr>
    </w:p>
    <w:p>
      <w:pPr>
        <w:pStyle w:val="2"/>
        <w:rPr>
          <w:rFonts w:hint="default" w:ascii="Times New Roman" w:hAnsi="Times New Roman" w:cs="Times New Roman" w:eastAsiaTheme="minorEastAsia"/>
          <w:color w:val="000000"/>
          <w:kern w:val="0"/>
          <w:sz w:val="24"/>
          <w:szCs w:val="24"/>
          <w:lang w:val="en-US" w:eastAsia="zh-CN" w:bidi="ar"/>
        </w:rPr>
      </w:pPr>
    </w:p>
    <w:p>
      <w:pPr>
        <w:pStyle w:val="2"/>
        <w:rPr>
          <w:rFonts w:hint="default" w:ascii="Times New Roman" w:hAnsi="Times New Roman" w:cs="Times New Roman" w:eastAsiaTheme="minorEastAsia"/>
          <w:color w:val="000000"/>
          <w:kern w:val="0"/>
          <w:sz w:val="24"/>
          <w:szCs w:val="24"/>
          <w:lang w:val="en-US" w:eastAsia="zh-CN" w:bidi="ar"/>
        </w:rPr>
      </w:pPr>
    </w:p>
    <w:p>
      <w:pPr>
        <w:pStyle w:val="2"/>
        <w:rPr>
          <w:rFonts w:hint="default" w:ascii="Times New Roman" w:hAnsi="Times New Roman" w:cs="Times New Roman" w:eastAsiaTheme="minorEastAsia"/>
          <w:color w:val="000000"/>
          <w:kern w:val="0"/>
          <w:sz w:val="24"/>
          <w:szCs w:val="24"/>
          <w:lang w:val="en-US" w:eastAsia="zh-CN" w:bidi="ar"/>
        </w:rPr>
      </w:pPr>
    </w:p>
    <w:p>
      <w:pPr>
        <w:pStyle w:val="2"/>
        <w:rPr>
          <w:rFonts w:hint="default" w:ascii="Times New Roman" w:hAnsi="Times New Roman" w:cs="Times New Roman"/>
          <w:lang w:val="en-US" w:eastAsia="zh-CN"/>
        </w:rPr>
      </w:pPr>
    </w:p>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color w:val="000000"/>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color w:val="000000"/>
          <w:kern w:val="0"/>
          <w:sz w:val="24"/>
          <w:szCs w:val="24"/>
          <w:lang w:val="en-US" w:eastAsia="zh-CN" w:bidi="ar"/>
        </w:rPr>
      </w:pPr>
      <w:r>
        <w:rPr>
          <w:rFonts w:hint="default" w:ascii="Times New Roman" w:hAnsi="Times New Roman" w:cs="Times New Roman" w:eastAsiaTheme="minorEastAsia"/>
          <w:color w:val="000000"/>
          <w:kern w:val="0"/>
          <w:sz w:val="24"/>
          <w:szCs w:val="24"/>
          <w:lang w:val="en-US" w:eastAsia="zh-CN" w:bidi="ar"/>
        </w:rPr>
        <w:t>图2-1  砚山县行政区区位图</w:t>
      </w:r>
    </w:p>
    <w:p>
      <w:pPr>
        <w:pStyle w:val="4"/>
        <w:rPr>
          <w:rFonts w:hint="default" w:ascii="Times New Roman" w:hAnsi="Times New Roman" w:cs="Times New Roman" w:eastAsiaTheme="minorEastAsia"/>
          <w:color w:val="000000"/>
        </w:rPr>
      </w:pPr>
      <w:bookmarkStart w:id="12" w:name="_Toc17183"/>
      <w:r>
        <w:rPr>
          <w:rFonts w:hint="default" w:ascii="Times New Roman" w:hAnsi="Times New Roman" w:cs="Times New Roman" w:eastAsiaTheme="minorEastAsia"/>
          <w:color w:val="000000"/>
        </w:rPr>
        <w:t>行政区划</w:t>
      </w:r>
      <w:bookmarkEnd w:id="12"/>
    </w:p>
    <w:p>
      <w:pPr>
        <w:keepNext w:val="0"/>
        <w:keepLines w:val="0"/>
        <w:widowControl/>
        <w:suppressLineNumbers w:val="0"/>
        <w:jc w:val="left"/>
        <w:rPr>
          <w:rFonts w:hint="default" w:ascii="Times New Roman" w:hAnsi="Times New Roman" w:cs="Times New Roman" w:eastAsiaTheme="minorEastAsia"/>
          <w:color w:val="000000"/>
          <w:kern w:val="0"/>
          <w:sz w:val="24"/>
          <w:szCs w:val="24"/>
          <w:lang w:val="en-US" w:eastAsia="zh-CN" w:bidi="ar"/>
        </w:rPr>
      </w:pPr>
      <w:r>
        <w:rPr>
          <w:rFonts w:hint="default" w:ascii="Times New Roman" w:hAnsi="Times New Roman" w:cs="Times New Roman" w:eastAsiaTheme="minorEastAsia"/>
          <w:color w:val="000000"/>
          <w:kern w:val="0"/>
          <w:sz w:val="24"/>
          <w:szCs w:val="24"/>
          <w:lang w:val="en-US" w:eastAsia="zh-CN" w:bidi="ar"/>
        </w:rPr>
        <w:t>砚山县位于云南省东南部、文山州中西部，全县国土面积 3822 km</w:t>
      </w:r>
      <w:r>
        <w:rPr>
          <w:rFonts w:hint="default" w:ascii="Times New Roman" w:hAnsi="Times New Roman" w:cs="Times New Roman" w:eastAsiaTheme="minorEastAsia"/>
          <w:color w:val="000000"/>
          <w:kern w:val="0"/>
          <w:sz w:val="24"/>
          <w:szCs w:val="24"/>
          <w:vertAlign w:val="superscript"/>
          <w:lang w:val="en-US" w:eastAsia="zh-CN" w:bidi="ar"/>
        </w:rPr>
        <w:t>2</w:t>
      </w:r>
      <w:r>
        <w:rPr>
          <w:rFonts w:hint="default" w:ascii="Times New Roman" w:hAnsi="Times New Roman" w:cs="Times New Roman" w:eastAsiaTheme="minorEastAsia"/>
          <w:color w:val="000000"/>
          <w:kern w:val="0"/>
          <w:sz w:val="24"/>
          <w:szCs w:val="24"/>
          <w:lang w:val="en-US" w:eastAsia="zh-CN" w:bidi="ar"/>
        </w:rPr>
        <w:t xml:space="preserve">，下辖 </w:t>
      </w:r>
    </w:p>
    <w:p>
      <w:pPr>
        <w:keepNext w:val="0"/>
        <w:keepLines w:val="0"/>
        <w:widowControl/>
        <w:suppressLineNumbers w:val="0"/>
        <w:ind w:left="0" w:leftChars="0" w:firstLine="0" w:firstLineChars="0"/>
        <w:jc w:val="left"/>
        <w:rPr>
          <w:rFonts w:hint="default" w:ascii="Times New Roman" w:hAnsi="Times New Roman" w:cs="Times New Roman" w:eastAsiaTheme="minorEastAsia"/>
          <w:color w:val="000000"/>
          <w:kern w:val="0"/>
          <w:sz w:val="24"/>
          <w:szCs w:val="24"/>
          <w:lang w:val="en-US" w:eastAsia="zh-CN" w:bidi="ar"/>
        </w:rPr>
      </w:pPr>
      <w:r>
        <w:rPr>
          <w:rFonts w:hint="default" w:ascii="Times New Roman" w:hAnsi="Times New Roman" w:cs="Times New Roman" w:eastAsiaTheme="minorEastAsia"/>
          <w:color w:val="000000"/>
          <w:kern w:val="0"/>
          <w:sz w:val="24"/>
          <w:szCs w:val="24"/>
          <w:lang w:val="en-US" w:eastAsia="zh-CN" w:bidi="ar"/>
        </w:rPr>
        <w:t xml:space="preserve">4个镇、7个乡：江那镇、平远镇、稼依镇、阿猛镇、阿舍乡、维摩乡、干河乡、 盘龙乡、蚌峨乡、者腊乡，共计108个行政村。 </w:t>
      </w:r>
    </w:p>
    <w:p>
      <w:pPr>
        <w:pStyle w:val="4"/>
        <w:rPr>
          <w:rFonts w:hint="default" w:ascii="Times New Roman" w:hAnsi="Times New Roman" w:cs="Times New Roman" w:eastAsiaTheme="minorEastAsia"/>
          <w:color w:val="000000"/>
        </w:rPr>
      </w:pPr>
      <w:bookmarkStart w:id="13" w:name="_Toc14088"/>
      <w:r>
        <w:rPr>
          <w:rFonts w:hint="default" w:ascii="Times New Roman" w:hAnsi="Times New Roman" w:cs="Times New Roman" w:eastAsiaTheme="minorEastAsia"/>
          <w:color w:val="000000"/>
        </w:rPr>
        <w:t>地形地貌</w:t>
      </w:r>
      <w:bookmarkEnd w:id="13"/>
    </w:p>
    <w:p>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cs="Times New Roman" w:eastAsiaTheme="minorEastAsia"/>
          <w:color w:val="000000"/>
          <w:kern w:val="0"/>
          <w:sz w:val="24"/>
          <w:szCs w:val="24"/>
          <w:lang w:val="en-US" w:eastAsia="zh-CN" w:bidi="ar"/>
        </w:rPr>
      </w:pPr>
      <w:r>
        <w:rPr>
          <w:rFonts w:hint="default" w:ascii="Times New Roman" w:hAnsi="Times New Roman" w:cs="Times New Roman" w:eastAsiaTheme="minorEastAsia"/>
          <w:color w:val="000000"/>
          <w:kern w:val="0"/>
          <w:sz w:val="24"/>
          <w:szCs w:val="24"/>
          <w:lang w:val="en-US" w:eastAsia="zh-CN" w:bidi="ar"/>
        </w:rPr>
        <w:t xml:space="preserve">砚山县地貌大体可分为构造侵蚀地貌、岩溶（喀斯特）地貌和断陷沉积盆地地貌，构造侵蚀地貌主要分布于砚山县八嘎、蚌峨；岩溶（喀斯特）地貌是主要分布于砚山县城、维摩、平远、稼依等；断陷沉积盆地主要分布于砚山县城所在地。剥蚀地貌和堆积地貌等零星出露，分布面积有限。 </w:t>
      </w:r>
    </w:p>
    <w:p>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cs="Times New Roman" w:eastAsiaTheme="minorEastAsia"/>
          <w:color w:val="000000"/>
          <w:kern w:val="0"/>
          <w:sz w:val="24"/>
          <w:szCs w:val="24"/>
          <w:lang w:val="en-US" w:eastAsia="zh-CN" w:bidi="ar"/>
        </w:rPr>
      </w:pPr>
      <w:r>
        <w:rPr>
          <w:rFonts w:hint="default" w:ascii="Times New Roman" w:hAnsi="Times New Roman" w:cs="Times New Roman" w:eastAsiaTheme="minorEastAsia"/>
          <w:color w:val="000000"/>
          <w:kern w:val="0"/>
          <w:sz w:val="24"/>
          <w:szCs w:val="24"/>
          <w:lang w:val="en-US" w:eastAsia="zh-CN" w:bidi="ar"/>
        </w:rPr>
        <w:t xml:space="preserve">砚山县境内为滇东南岩溶丘源地貌。六诏山脉横贯其中，山脉走向较规则地由东向西延伸。地形从西北的最高点（鲁都克马吊陡坡海拔2263米）逐步向东南方向的最低点（八嘎三岔河海拔1080米）倾斜，形成西北高、东南低的倾斜地势，地形地貌十分复杂。西部阿舍乡的阿吉、地者恩、鲁都可一带以中山高山地貌为主，南面和北面、西北面和东北面则以典型的喀斯特地貌为主；南面则为突出的中山河谷地貌。 </w:t>
      </w:r>
    </w:p>
    <w:p>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cs="Times New Roman" w:eastAsiaTheme="minorEastAsia"/>
          <w:color w:val="000000"/>
          <w:kern w:val="0"/>
          <w:sz w:val="24"/>
          <w:szCs w:val="24"/>
          <w:lang w:val="en-US" w:eastAsia="zh-CN" w:bidi="ar"/>
        </w:rPr>
      </w:pPr>
      <w:r>
        <w:rPr>
          <w:rFonts w:hint="default" w:ascii="Times New Roman" w:hAnsi="Times New Roman" w:cs="Times New Roman" w:eastAsiaTheme="minorEastAsia"/>
          <w:color w:val="000000"/>
          <w:kern w:val="0"/>
          <w:sz w:val="24"/>
          <w:szCs w:val="24"/>
          <w:lang w:val="en-US" w:eastAsia="zh-CN" w:bidi="ar"/>
        </w:rPr>
        <w:t xml:space="preserve">全县以溶岩盆地为主要地貌特征，1平方公里以上的溶岩坝子35个（106.49万亩），占全县总土地面积的27%，以平远、稼依坝为大（61万亩），其次是砚山坝子、红舍克坝子；境内溶岩丘陵共167.71万亩，占全县土地面积的 29.10%，并以丘陵坝子、丘陵山地为主要特征，其地形起伏不平，峰林谷地和山地密布，谷坝镶嵌，溶洞和洼地较多；山地类型 323.18万亩，占全县总土地面积的55.90%，并以中山山地、中山河谷为主。 </w:t>
      </w:r>
    </w:p>
    <w:p>
      <w:pPr>
        <w:pStyle w:val="4"/>
        <w:rPr>
          <w:rFonts w:hint="default" w:ascii="Times New Roman" w:hAnsi="Times New Roman" w:cs="Times New Roman" w:eastAsiaTheme="minorEastAsia"/>
          <w:color w:val="000000"/>
        </w:rPr>
      </w:pPr>
      <w:bookmarkStart w:id="14" w:name="_Toc8850"/>
      <w:r>
        <w:rPr>
          <w:rFonts w:hint="default" w:ascii="Times New Roman" w:hAnsi="Times New Roman" w:cs="Times New Roman" w:eastAsiaTheme="minorEastAsia"/>
          <w:color w:val="000000"/>
          <w:lang w:val="en-US" w:eastAsia="zh-CN"/>
        </w:rPr>
        <w:t>气候</w:t>
      </w:r>
      <w:r>
        <w:rPr>
          <w:rFonts w:hint="default" w:ascii="Times New Roman" w:hAnsi="Times New Roman" w:cs="Times New Roman" w:eastAsiaTheme="minorEastAsia"/>
          <w:color w:val="000000"/>
        </w:rPr>
        <w:t>气象</w:t>
      </w:r>
      <w:bookmarkEnd w:id="14"/>
    </w:p>
    <w:p>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cs="Times New Roman" w:eastAsiaTheme="minorEastAsia"/>
        </w:rPr>
      </w:pPr>
      <w:r>
        <w:rPr>
          <w:rFonts w:hint="default" w:ascii="Times New Roman" w:hAnsi="Times New Roman" w:cs="Times New Roman" w:eastAsiaTheme="minorEastAsia"/>
          <w:color w:val="000000"/>
          <w:kern w:val="0"/>
          <w:sz w:val="24"/>
          <w:szCs w:val="24"/>
          <w:lang w:val="en-US" w:eastAsia="zh-CN" w:bidi="ar"/>
        </w:rPr>
        <w:t>砚山县由于地处北回归线附近低纬高原地带，属亚热带大陆性季风气候区，</w:t>
      </w:r>
    </w:p>
    <w:p>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both"/>
        <w:textAlignment w:val="auto"/>
        <w:rPr>
          <w:rFonts w:hint="default" w:ascii="Times New Roman" w:hAnsi="Times New Roman" w:cs="Times New Roman" w:eastAsiaTheme="minorEastAsia"/>
          <w:color w:val="000000"/>
          <w:kern w:val="0"/>
          <w:sz w:val="24"/>
          <w:szCs w:val="24"/>
          <w:lang w:val="en-US" w:eastAsia="zh-CN" w:bidi="ar"/>
        </w:rPr>
      </w:pPr>
      <w:r>
        <w:rPr>
          <w:rFonts w:hint="default" w:ascii="Times New Roman" w:hAnsi="Times New Roman" w:cs="Times New Roman" w:eastAsiaTheme="minorEastAsia"/>
          <w:color w:val="000000"/>
          <w:kern w:val="0"/>
          <w:sz w:val="24"/>
          <w:szCs w:val="24"/>
          <w:lang w:val="en-US" w:eastAsia="zh-CN" w:bidi="ar"/>
        </w:rPr>
        <w:t>四季不明显，干雨季分明，立体气候特征较明显。年平均日照 1934．9小时；平均相对湿度79%。春旱秋涝是砚山县主要的气候特点。灾害性天气有旱灾、洪涝灾、低温、霜冻、倒春寒、冰雹和大风等。热量资源丰富，≥10℃的活动积温2500℃~6500℃，年温差小，全年平均气温 12.50℃～19℃，最冷月（1月）平均气温 6.60℃～10℃，最热月（7月）平均气温 16.50℃～25℃，极端最高气温 33.20℃（1958年6月1日），极端最低气温-7.8℃（1968 年2月14日）。年无霜期250～320天，年日照时数1400～2100小时，年降雨量840～1400毫米，年平均降雨量的分布在水平面上，表现为东部多于西部，在垂直方向上，表现为高多低少。全境年平均蒸发量 1948.50 毫米，其中干季（11月至次年4月）981.70 毫米；雨季（5～10月）966.90 毫米。境内海拔高低相差 1183米，形成河谷、平坝、山地 3 种不动气候类型。干季（11月～次年4月），主要受西部干暖气流影响，空气干燥，降雨稀少，干季雨量仅161毫米，占全年总雨量的 17％。雨季（5～10月），主要受西南和东南海洋暖湿气流的影响，湿度大，降雨较多，雨季雨量834.90毫米，占全年总雨量的83%左右。</w:t>
      </w:r>
    </w:p>
    <w:p>
      <w:pPr>
        <w:pStyle w:val="4"/>
        <w:rPr>
          <w:rFonts w:hint="default" w:ascii="Times New Roman" w:hAnsi="Times New Roman" w:cs="Times New Roman" w:eastAsiaTheme="minorEastAsia"/>
          <w:color w:val="000000"/>
          <w:lang w:val="en-US" w:eastAsia="zh-CN"/>
        </w:rPr>
      </w:pPr>
      <w:bookmarkStart w:id="15" w:name="_Toc3352"/>
      <w:r>
        <w:rPr>
          <w:rFonts w:hint="default" w:ascii="Times New Roman" w:hAnsi="Times New Roman" w:cs="Times New Roman" w:eastAsiaTheme="minorEastAsia"/>
          <w:color w:val="000000"/>
          <w:lang w:val="en-US" w:eastAsia="zh-CN"/>
        </w:rPr>
        <w:t>农业发展</w:t>
      </w:r>
      <w:bookmarkEnd w:id="15"/>
    </w:p>
    <w:p>
      <w:pPr>
        <w:keepNext w:val="0"/>
        <w:keepLines w:val="0"/>
        <w:widowControl/>
        <w:suppressLineNumbers w:val="0"/>
        <w:jc w:val="left"/>
        <w:rPr>
          <w:rFonts w:hint="default" w:ascii="Times New Roman" w:hAnsi="Times New Roman" w:cs="Times New Roman"/>
          <w:color w:val="000000"/>
          <w:kern w:val="0"/>
          <w:sz w:val="24"/>
          <w:szCs w:val="24"/>
          <w:lang w:val="en-US" w:eastAsia="zh-CN" w:bidi="ar"/>
        </w:rPr>
      </w:pPr>
      <w:r>
        <w:rPr>
          <w:rFonts w:hint="default" w:ascii="Times New Roman" w:hAnsi="Times New Roman" w:cs="Times New Roman"/>
          <w:color w:val="000000"/>
          <w:kern w:val="0"/>
          <w:sz w:val="24"/>
          <w:szCs w:val="24"/>
          <w:lang w:val="en-US" w:eastAsia="zh-CN" w:bidi="ar"/>
        </w:rPr>
        <w:t>（1）</w:t>
      </w:r>
      <w:r>
        <w:rPr>
          <w:rFonts w:hint="eastAsia" w:cs="Times New Roman"/>
          <w:color w:val="000000"/>
          <w:kern w:val="0"/>
          <w:sz w:val="24"/>
          <w:szCs w:val="24"/>
          <w:lang w:val="en-US" w:eastAsia="zh-CN" w:bidi="ar"/>
        </w:rPr>
        <w:t>总体情况。</w:t>
      </w:r>
      <w:r>
        <w:rPr>
          <w:rFonts w:hint="default" w:ascii="Times New Roman" w:hAnsi="Times New Roman" w:cs="Times New Roman"/>
          <w:color w:val="000000"/>
          <w:kern w:val="0"/>
          <w:sz w:val="24"/>
          <w:szCs w:val="24"/>
          <w:lang w:val="en-US" w:eastAsia="zh-CN" w:bidi="ar"/>
        </w:rPr>
        <w:t>2020</w:t>
      </w:r>
      <w:r>
        <w:rPr>
          <w:rFonts w:hint="default" w:ascii="Times New Roman" w:hAnsi="Times New Roman" w:eastAsia="宋体" w:cs="Times New Roman"/>
          <w:color w:val="000000"/>
          <w:kern w:val="0"/>
          <w:sz w:val="24"/>
          <w:szCs w:val="24"/>
          <w:lang w:val="en-US" w:eastAsia="zh-CN" w:bidi="ar"/>
        </w:rPr>
        <w:t>年，</w:t>
      </w:r>
      <w:r>
        <w:rPr>
          <w:rFonts w:hint="default" w:ascii="Times New Roman" w:hAnsi="Times New Roman" w:cs="Times New Roman"/>
          <w:color w:val="000000"/>
          <w:kern w:val="0"/>
          <w:sz w:val="24"/>
          <w:szCs w:val="24"/>
          <w:lang w:val="en-US" w:eastAsia="zh-CN" w:bidi="ar"/>
        </w:rPr>
        <w:t>全县农业总产值60.72亿元，其中农业产值32.03亿元，林业产值0.95亿元，牧业产值25.28亿元，渔业产值0.61亿元，农林牧渔服务业产值1.84亿元。2020年粮食作物种植面积108.4万亩，实现粮食产量30.25万吨；小麦播种面积15.07万亩，产量1.51万吨；稻谷播种面积14.92万亩，产量6.44万吨；经济作物播种面积105.95万亩，烤烟播种面积13.13万亩，产量为1.80万吨；三七在地种植面积1.64万亩，产量0.08万吨；蔬菜及食用菌播种面积78.37万亩，产量36.88万吨，其中辣椒播种面积55.67万亩，产量48.54万吨，水果产量4.23万吨。全县油料产业快速发展，2020年花生种植面积4.15万亩，产量0.61万吨。</w:t>
      </w:r>
    </w:p>
    <w:p>
      <w:pPr>
        <w:pStyle w:val="2"/>
        <w:jc w:val="center"/>
        <w:rPr>
          <w:rFonts w:hint="default" w:ascii="Times New Roman" w:hAnsi="Times New Roman" w:cs="Times New Roman"/>
          <w:color w:val="000000"/>
          <w:kern w:val="0"/>
          <w:sz w:val="24"/>
          <w:szCs w:val="24"/>
          <w:lang w:val="en-US" w:eastAsia="zh-CN" w:bidi="ar"/>
        </w:rPr>
      </w:pPr>
      <w:r>
        <w:rPr>
          <w:rFonts w:hint="default" w:ascii="Times New Roman" w:hAnsi="Times New Roman" w:cs="Times New Roman"/>
          <w:color w:val="000000"/>
          <w:kern w:val="0"/>
          <w:sz w:val="24"/>
          <w:szCs w:val="24"/>
          <w:lang w:val="en-US" w:eastAsia="zh-CN" w:bidi="ar"/>
        </w:rPr>
        <w:t>表2-1  砚山县农业产业发展现状</w:t>
      </w:r>
    </w:p>
    <w:tbl>
      <w:tblPr>
        <w:tblStyle w:val="12"/>
        <w:tblW w:w="85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
        <w:gridCol w:w="2239"/>
        <w:gridCol w:w="761"/>
        <w:gridCol w:w="935"/>
        <w:gridCol w:w="634"/>
        <w:gridCol w:w="1804"/>
        <w:gridCol w:w="782"/>
        <w:gridCol w:w="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64"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kern w:val="0"/>
                <w:sz w:val="24"/>
                <w:szCs w:val="24"/>
                <w:vertAlign w:val="baseline"/>
                <w:lang w:val="en-US" w:eastAsia="zh-CN" w:bidi="ar"/>
              </w:rPr>
            </w:pPr>
            <w:r>
              <w:rPr>
                <w:rFonts w:hint="default" w:ascii="Times New Roman" w:hAnsi="Times New Roman" w:cs="Times New Roman" w:eastAsiaTheme="minorEastAsia"/>
                <w:b w:val="0"/>
                <w:bCs w:val="0"/>
                <w:color w:val="000000"/>
                <w:kern w:val="0"/>
                <w:sz w:val="24"/>
                <w:szCs w:val="24"/>
                <w:vertAlign w:val="baseline"/>
                <w:lang w:val="en-US" w:eastAsia="zh-CN" w:bidi="ar"/>
              </w:rPr>
              <w:t>序号</w:t>
            </w:r>
          </w:p>
        </w:tc>
        <w:tc>
          <w:tcPr>
            <w:tcW w:w="2239"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kern w:val="0"/>
                <w:sz w:val="24"/>
                <w:szCs w:val="24"/>
                <w:vertAlign w:val="baseline"/>
                <w:lang w:val="en-US" w:eastAsia="zh-CN" w:bidi="ar"/>
              </w:rPr>
            </w:pPr>
            <w:r>
              <w:rPr>
                <w:rFonts w:hint="default" w:ascii="Times New Roman" w:hAnsi="Times New Roman" w:cs="Times New Roman" w:eastAsiaTheme="minorEastAsia"/>
                <w:b w:val="0"/>
                <w:bCs w:val="0"/>
                <w:color w:val="000000"/>
                <w:kern w:val="0"/>
                <w:sz w:val="24"/>
                <w:szCs w:val="24"/>
                <w:vertAlign w:val="baseline"/>
                <w:lang w:val="en-US" w:eastAsia="zh-CN" w:bidi="ar"/>
              </w:rPr>
              <w:t>指标</w:t>
            </w:r>
          </w:p>
        </w:tc>
        <w:tc>
          <w:tcPr>
            <w:tcW w:w="761"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kern w:val="0"/>
                <w:sz w:val="24"/>
                <w:szCs w:val="24"/>
                <w:vertAlign w:val="baseline"/>
                <w:lang w:val="en-US" w:eastAsia="zh-CN" w:bidi="ar"/>
              </w:rPr>
            </w:pPr>
            <w:r>
              <w:rPr>
                <w:rFonts w:hint="default" w:ascii="Times New Roman" w:hAnsi="Times New Roman" w:cs="Times New Roman" w:eastAsiaTheme="minorEastAsia"/>
                <w:b w:val="0"/>
                <w:bCs w:val="0"/>
                <w:color w:val="000000"/>
                <w:kern w:val="0"/>
                <w:sz w:val="24"/>
                <w:szCs w:val="24"/>
                <w:vertAlign w:val="baseline"/>
                <w:lang w:val="en-US" w:eastAsia="zh-CN" w:bidi="ar"/>
              </w:rPr>
              <w:t>计量单位</w:t>
            </w:r>
          </w:p>
        </w:tc>
        <w:tc>
          <w:tcPr>
            <w:tcW w:w="935"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kern w:val="0"/>
                <w:sz w:val="24"/>
                <w:szCs w:val="24"/>
                <w:vertAlign w:val="baseline"/>
                <w:lang w:val="en-US" w:eastAsia="zh-CN" w:bidi="ar"/>
              </w:rPr>
            </w:pPr>
            <w:r>
              <w:rPr>
                <w:rFonts w:hint="default" w:ascii="Times New Roman" w:hAnsi="Times New Roman" w:cs="Times New Roman" w:eastAsiaTheme="minorEastAsia"/>
                <w:b w:val="0"/>
                <w:bCs w:val="0"/>
                <w:color w:val="000000"/>
                <w:kern w:val="0"/>
                <w:sz w:val="24"/>
                <w:szCs w:val="24"/>
                <w:vertAlign w:val="baseline"/>
                <w:lang w:val="en-US" w:eastAsia="zh-CN" w:bidi="ar"/>
              </w:rPr>
              <w:t>2020年</w:t>
            </w:r>
          </w:p>
        </w:tc>
        <w:tc>
          <w:tcPr>
            <w:tcW w:w="634"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kern w:val="0"/>
                <w:sz w:val="24"/>
                <w:szCs w:val="24"/>
                <w:vertAlign w:val="baseline"/>
                <w:lang w:val="en-US" w:eastAsia="zh-CN" w:bidi="ar"/>
              </w:rPr>
            </w:pPr>
            <w:r>
              <w:rPr>
                <w:rFonts w:hint="default" w:ascii="Times New Roman" w:hAnsi="Times New Roman" w:cs="Times New Roman" w:eastAsiaTheme="minorEastAsia"/>
                <w:b w:val="0"/>
                <w:bCs w:val="0"/>
                <w:color w:val="000000"/>
                <w:kern w:val="0"/>
                <w:sz w:val="24"/>
                <w:szCs w:val="24"/>
                <w:vertAlign w:val="baseline"/>
                <w:lang w:val="en-US" w:eastAsia="zh-CN" w:bidi="ar"/>
              </w:rPr>
              <w:t>序号</w:t>
            </w:r>
          </w:p>
        </w:tc>
        <w:tc>
          <w:tcPr>
            <w:tcW w:w="1804"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kern w:val="0"/>
                <w:sz w:val="24"/>
                <w:szCs w:val="24"/>
                <w:vertAlign w:val="baseline"/>
                <w:lang w:val="en-US" w:eastAsia="zh-CN" w:bidi="ar"/>
              </w:rPr>
            </w:pPr>
            <w:r>
              <w:rPr>
                <w:rFonts w:hint="default" w:ascii="Times New Roman" w:hAnsi="Times New Roman" w:cs="Times New Roman" w:eastAsiaTheme="minorEastAsia"/>
                <w:b w:val="0"/>
                <w:bCs w:val="0"/>
                <w:color w:val="000000"/>
                <w:kern w:val="0"/>
                <w:sz w:val="24"/>
                <w:szCs w:val="24"/>
                <w:vertAlign w:val="baseline"/>
                <w:lang w:val="en-US" w:eastAsia="zh-CN" w:bidi="ar"/>
              </w:rPr>
              <w:t>指标</w:t>
            </w:r>
          </w:p>
        </w:tc>
        <w:tc>
          <w:tcPr>
            <w:tcW w:w="782"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kern w:val="0"/>
                <w:sz w:val="24"/>
                <w:szCs w:val="24"/>
                <w:vertAlign w:val="baseline"/>
                <w:lang w:val="en-US" w:eastAsia="zh-CN" w:bidi="ar"/>
              </w:rPr>
            </w:pPr>
            <w:r>
              <w:rPr>
                <w:rFonts w:hint="default" w:ascii="Times New Roman" w:hAnsi="Times New Roman" w:cs="Times New Roman" w:eastAsiaTheme="minorEastAsia"/>
                <w:b w:val="0"/>
                <w:bCs w:val="0"/>
                <w:color w:val="000000"/>
                <w:kern w:val="0"/>
                <w:sz w:val="24"/>
                <w:szCs w:val="24"/>
                <w:vertAlign w:val="baseline"/>
                <w:lang w:val="en-US" w:eastAsia="zh-CN" w:bidi="ar"/>
              </w:rPr>
              <w:t>计量单位</w:t>
            </w:r>
          </w:p>
        </w:tc>
        <w:tc>
          <w:tcPr>
            <w:tcW w:w="906"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kern w:val="0"/>
                <w:sz w:val="24"/>
                <w:szCs w:val="24"/>
                <w:vertAlign w:val="baseline"/>
                <w:lang w:val="en-US" w:eastAsia="zh-CN" w:bidi="ar"/>
              </w:rPr>
            </w:pPr>
            <w:r>
              <w:rPr>
                <w:rFonts w:hint="default" w:ascii="Times New Roman" w:hAnsi="Times New Roman" w:cs="Times New Roman" w:eastAsiaTheme="minorEastAsia"/>
                <w:b w:val="0"/>
                <w:bCs w:val="0"/>
                <w:color w:val="000000"/>
                <w:kern w:val="0"/>
                <w:sz w:val="24"/>
                <w:szCs w:val="24"/>
                <w:vertAlign w:val="baseline"/>
                <w:lang w:val="en-US" w:eastAsia="zh-CN" w:bidi="ar"/>
              </w:rPr>
              <w:t>2020年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64"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kern w:val="0"/>
                <w:sz w:val="24"/>
                <w:szCs w:val="24"/>
                <w:vertAlign w:val="baseline"/>
                <w:lang w:val="en-US" w:eastAsia="zh-CN" w:bidi="ar"/>
              </w:rPr>
            </w:pPr>
          </w:p>
        </w:tc>
        <w:tc>
          <w:tcPr>
            <w:tcW w:w="2239"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kern w:val="0"/>
                <w:sz w:val="24"/>
                <w:szCs w:val="24"/>
                <w:vertAlign w:val="baseline"/>
                <w:lang w:val="en-US" w:eastAsia="zh-CN" w:bidi="ar"/>
              </w:rPr>
            </w:pPr>
            <w:r>
              <w:rPr>
                <w:rFonts w:hint="default" w:ascii="Times New Roman" w:hAnsi="Times New Roman" w:cs="Times New Roman" w:eastAsiaTheme="minorEastAsia"/>
                <w:b w:val="0"/>
                <w:bCs w:val="0"/>
                <w:color w:val="000000"/>
                <w:kern w:val="0"/>
                <w:sz w:val="24"/>
                <w:szCs w:val="24"/>
                <w:vertAlign w:val="baseline"/>
                <w:lang w:val="en-US" w:eastAsia="zh-CN" w:bidi="ar"/>
              </w:rPr>
              <w:t>一、经济发展指标</w:t>
            </w:r>
          </w:p>
        </w:tc>
        <w:tc>
          <w:tcPr>
            <w:tcW w:w="761"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kern w:val="0"/>
                <w:sz w:val="24"/>
                <w:szCs w:val="24"/>
                <w:vertAlign w:val="baseline"/>
                <w:lang w:val="en-US" w:eastAsia="zh-CN" w:bidi="ar"/>
              </w:rPr>
            </w:pPr>
          </w:p>
        </w:tc>
        <w:tc>
          <w:tcPr>
            <w:tcW w:w="935"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kern w:val="0"/>
                <w:sz w:val="24"/>
                <w:szCs w:val="24"/>
                <w:vertAlign w:val="baseline"/>
                <w:lang w:val="en-US" w:eastAsia="zh-CN" w:bidi="ar"/>
              </w:rPr>
            </w:pPr>
          </w:p>
        </w:tc>
        <w:tc>
          <w:tcPr>
            <w:tcW w:w="634"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kern w:val="0"/>
                <w:sz w:val="24"/>
                <w:szCs w:val="24"/>
                <w:vertAlign w:val="baseline"/>
                <w:lang w:val="en-US" w:eastAsia="zh-CN" w:bidi="ar"/>
              </w:rPr>
            </w:pPr>
            <w:r>
              <w:rPr>
                <w:rFonts w:hint="default" w:ascii="Times New Roman" w:hAnsi="Times New Roman" w:cs="Times New Roman" w:eastAsiaTheme="minorEastAsia"/>
                <w:b w:val="0"/>
                <w:bCs w:val="0"/>
                <w:color w:val="000000"/>
                <w:kern w:val="0"/>
                <w:sz w:val="24"/>
                <w:szCs w:val="24"/>
                <w:vertAlign w:val="baseline"/>
                <w:lang w:val="en-US" w:eastAsia="zh-CN" w:bidi="ar"/>
              </w:rPr>
              <w:t>13</w:t>
            </w:r>
          </w:p>
        </w:tc>
        <w:tc>
          <w:tcPr>
            <w:tcW w:w="1804"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kern w:val="0"/>
                <w:sz w:val="24"/>
                <w:szCs w:val="24"/>
                <w:vertAlign w:val="baseline"/>
                <w:lang w:val="en-US" w:eastAsia="zh-CN" w:bidi="ar"/>
              </w:rPr>
            </w:pPr>
            <w:r>
              <w:rPr>
                <w:rFonts w:hint="default" w:ascii="Times New Roman" w:hAnsi="Times New Roman" w:cs="Times New Roman" w:eastAsiaTheme="minorEastAsia"/>
                <w:b w:val="0"/>
                <w:bCs w:val="0"/>
                <w:color w:val="000000"/>
                <w:kern w:val="0"/>
                <w:sz w:val="24"/>
                <w:szCs w:val="24"/>
                <w:vertAlign w:val="baseline"/>
                <w:lang w:val="en-US" w:eastAsia="zh-CN" w:bidi="ar"/>
              </w:rPr>
              <w:t>家禽出栏</w:t>
            </w:r>
          </w:p>
        </w:tc>
        <w:tc>
          <w:tcPr>
            <w:tcW w:w="782"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kern w:val="0"/>
                <w:sz w:val="24"/>
                <w:szCs w:val="24"/>
                <w:vertAlign w:val="baseline"/>
                <w:lang w:val="en-US" w:eastAsia="zh-CN" w:bidi="ar"/>
              </w:rPr>
            </w:pPr>
            <w:r>
              <w:rPr>
                <w:rFonts w:hint="default" w:ascii="Times New Roman" w:hAnsi="Times New Roman" w:cs="Times New Roman" w:eastAsiaTheme="minorEastAsia"/>
                <w:b w:val="0"/>
                <w:bCs w:val="0"/>
                <w:color w:val="000000"/>
                <w:kern w:val="0"/>
                <w:sz w:val="24"/>
                <w:szCs w:val="24"/>
                <w:vertAlign w:val="baseline"/>
                <w:lang w:val="en-US" w:eastAsia="zh-CN" w:bidi="ar"/>
              </w:rPr>
              <w:t>万羽</w:t>
            </w:r>
          </w:p>
        </w:tc>
        <w:tc>
          <w:tcPr>
            <w:tcW w:w="906"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kern w:val="0"/>
                <w:sz w:val="24"/>
                <w:szCs w:val="24"/>
                <w:vertAlign w:val="baseline"/>
                <w:lang w:val="en-US" w:eastAsia="zh-CN" w:bidi="ar"/>
              </w:rPr>
            </w:pPr>
            <w:r>
              <w:rPr>
                <w:rFonts w:hint="default" w:ascii="Times New Roman" w:hAnsi="Times New Roman" w:cs="Times New Roman" w:eastAsiaTheme="minorEastAsia"/>
                <w:b w:val="0"/>
                <w:bCs w:val="0"/>
                <w:color w:val="000000"/>
                <w:kern w:val="0"/>
                <w:sz w:val="24"/>
                <w:szCs w:val="24"/>
                <w:vertAlign w:val="baseline"/>
                <w:lang w:val="en-US" w:eastAsia="zh-CN" w:bidi="ar"/>
              </w:rPr>
              <w:t>306.54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64"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kern w:val="0"/>
                <w:sz w:val="24"/>
                <w:szCs w:val="24"/>
                <w:vertAlign w:val="baseline"/>
                <w:lang w:val="en-US" w:eastAsia="zh-CN" w:bidi="ar"/>
              </w:rPr>
            </w:pPr>
            <w:r>
              <w:rPr>
                <w:rFonts w:hint="default" w:ascii="Times New Roman" w:hAnsi="Times New Roman" w:cs="Times New Roman" w:eastAsiaTheme="minorEastAsia"/>
                <w:b w:val="0"/>
                <w:bCs w:val="0"/>
                <w:color w:val="000000"/>
                <w:kern w:val="0"/>
                <w:sz w:val="24"/>
                <w:szCs w:val="24"/>
                <w:vertAlign w:val="baseline"/>
                <w:lang w:val="en-US" w:eastAsia="zh-CN" w:bidi="ar"/>
              </w:rPr>
              <w:t>1</w:t>
            </w:r>
          </w:p>
        </w:tc>
        <w:tc>
          <w:tcPr>
            <w:tcW w:w="2239"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kern w:val="0"/>
                <w:sz w:val="24"/>
                <w:szCs w:val="24"/>
                <w:vertAlign w:val="baseline"/>
                <w:lang w:val="en-US" w:eastAsia="zh-CN" w:bidi="ar"/>
              </w:rPr>
            </w:pPr>
            <w:r>
              <w:rPr>
                <w:rFonts w:hint="default" w:ascii="Times New Roman" w:hAnsi="Times New Roman" w:cs="Times New Roman" w:eastAsiaTheme="minorEastAsia"/>
                <w:b w:val="0"/>
                <w:bCs w:val="0"/>
                <w:color w:val="000000"/>
                <w:kern w:val="0"/>
                <w:sz w:val="24"/>
                <w:szCs w:val="24"/>
                <w:vertAlign w:val="baseline"/>
                <w:lang w:val="en-US" w:eastAsia="zh-CN" w:bidi="ar"/>
              </w:rPr>
              <w:t>农业总产值</w:t>
            </w:r>
          </w:p>
        </w:tc>
        <w:tc>
          <w:tcPr>
            <w:tcW w:w="761"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kern w:val="0"/>
                <w:sz w:val="24"/>
                <w:szCs w:val="24"/>
                <w:vertAlign w:val="baseline"/>
                <w:lang w:val="en-US" w:eastAsia="zh-CN" w:bidi="ar"/>
              </w:rPr>
            </w:pPr>
            <w:r>
              <w:rPr>
                <w:rFonts w:hint="default" w:ascii="Times New Roman" w:hAnsi="Times New Roman" w:cs="Times New Roman" w:eastAsiaTheme="minorEastAsia"/>
                <w:b w:val="0"/>
                <w:bCs w:val="0"/>
                <w:color w:val="000000"/>
                <w:kern w:val="0"/>
                <w:sz w:val="24"/>
                <w:szCs w:val="24"/>
                <w:vertAlign w:val="baseline"/>
                <w:lang w:val="en-US" w:eastAsia="zh-CN" w:bidi="ar"/>
              </w:rPr>
              <w:t>亿元</w:t>
            </w:r>
          </w:p>
        </w:tc>
        <w:tc>
          <w:tcPr>
            <w:tcW w:w="935"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kern w:val="0"/>
                <w:sz w:val="24"/>
                <w:szCs w:val="24"/>
                <w:vertAlign w:val="baseline"/>
                <w:lang w:val="en-US" w:eastAsia="zh-CN" w:bidi="ar"/>
              </w:rPr>
            </w:pPr>
            <w:r>
              <w:rPr>
                <w:rFonts w:hint="default" w:ascii="Times New Roman" w:hAnsi="Times New Roman" w:cs="Times New Roman" w:eastAsiaTheme="minorEastAsia"/>
                <w:b w:val="0"/>
                <w:bCs w:val="0"/>
                <w:color w:val="000000"/>
                <w:kern w:val="0"/>
                <w:sz w:val="24"/>
                <w:szCs w:val="24"/>
                <w:vertAlign w:val="baseline"/>
                <w:lang w:val="en-US" w:eastAsia="zh-CN" w:bidi="ar"/>
              </w:rPr>
              <w:t>60.72</w:t>
            </w:r>
          </w:p>
        </w:tc>
        <w:tc>
          <w:tcPr>
            <w:tcW w:w="634"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kern w:val="0"/>
                <w:sz w:val="24"/>
                <w:szCs w:val="24"/>
                <w:vertAlign w:val="baseline"/>
                <w:lang w:val="en-US" w:eastAsia="zh-CN" w:bidi="ar"/>
              </w:rPr>
            </w:pPr>
            <w:r>
              <w:rPr>
                <w:rFonts w:hint="default" w:ascii="Times New Roman" w:hAnsi="Times New Roman" w:cs="Times New Roman" w:eastAsiaTheme="minorEastAsia"/>
                <w:b w:val="0"/>
                <w:bCs w:val="0"/>
                <w:color w:val="000000"/>
                <w:kern w:val="0"/>
                <w:sz w:val="24"/>
                <w:szCs w:val="24"/>
                <w:vertAlign w:val="baseline"/>
                <w:lang w:val="en-US" w:eastAsia="zh-CN" w:bidi="ar"/>
              </w:rPr>
              <w:t>14</w:t>
            </w:r>
          </w:p>
        </w:tc>
        <w:tc>
          <w:tcPr>
            <w:tcW w:w="1804"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kern w:val="0"/>
                <w:sz w:val="24"/>
                <w:szCs w:val="24"/>
                <w:vertAlign w:val="baseline"/>
                <w:lang w:val="en-US" w:eastAsia="zh-CN" w:bidi="ar"/>
              </w:rPr>
            </w:pPr>
            <w:r>
              <w:rPr>
                <w:rFonts w:hint="default" w:ascii="Times New Roman" w:hAnsi="Times New Roman" w:cs="Times New Roman" w:eastAsiaTheme="minorEastAsia"/>
                <w:b w:val="0"/>
                <w:bCs w:val="0"/>
                <w:color w:val="000000"/>
                <w:kern w:val="0"/>
                <w:sz w:val="24"/>
                <w:szCs w:val="24"/>
                <w:vertAlign w:val="baseline"/>
                <w:lang w:val="en-US" w:eastAsia="zh-CN" w:bidi="ar"/>
              </w:rPr>
              <w:t>肉类产量</w:t>
            </w:r>
          </w:p>
        </w:tc>
        <w:tc>
          <w:tcPr>
            <w:tcW w:w="782"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kern w:val="0"/>
                <w:sz w:val="24"/>
                <w:szCs w:val="24"/>
                <w:vertAlign w:val="baseline"/>
                <w:lang w:val="en-US" w:eastAsia="zh-CN" w:bidi="ar"/>
              </w:rPr>
            </w:pPr>
            <w:r>
              <w:rPr>
                <w:rFonts w:hint="default" w:ascii="Times New Roman" w:hAnsi="Times New Roman" w:cs="Times New Roman" w:eastAsiaTheme="minorEastAsia"/>
                <w:b w:val="0"/>
                <w:bCs w:val="0"/>
                <w:color w:val="000000"/>
                <w:kern w:val="0"/>
                <w:sz w:val="24"/>
                <w:szCs w:val="24"/>
                <w:vertAlign w:val="baseline"/>
                <w:lang w:val="en-US" w:eastAsia="zh-CN" w:bidi="ar"/>
              </w:rPr>
              <w:t>万吨</w:t>
            </w:r>
          </w:p>
        </w:tc>
        <w:tc>
          <w:tcPr>
            <w:tcW w:w="906"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kern w:val="0"/>
                <w:sz w:val="24"/>
                <w:szCs w:val="24"/>
                <w:vertAlign w:val="baseline"/>
                <w:lang w:val="en-US" w:eastAsia="zh-CN" w:bidi="ar"/>
              </w:rPr>
            </w:pPr>
            <w:r>
              <w:rPr>
                <w:rFonts w:hint="default" w:ascii="Times New Roman" w:hAnsi="Times New Roman" w:cs="Times New Roman" w:eastAsiaTheme="minorEastAsia"/>
                <w:b w:val="0"/>
                <w:bCs w:val="0"/>
                <w:color w:val="000000"/>
                <w:kern w:val="0"/>
                <w:sz w:val="24"/>
                <w:szCs w:val="24"/>
                <w:vertAlign w:val="baseline"/>
                <w:lang w:val="en-US" w:eastAsia="zh-CN" w:bidi="ar"/>
              </w:rPr>
              <w:t>2.94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64"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kern w:val="0"/>
                <w:sz w:val="24"/>
                <w:szCs w:val="24"/>
                <w:vertAlign w:val="baseline"/>
                <w:lang w:val="en-US" w:eastAsia="zh-CN" w:bidi="ar"/>
              </w:rPr>
            </w:pPr>
            <w:r>
              <w:rPr>
                <w:rFonts w:hint="default" w:ascii="Times New Roman" w:hAnsi="Times New Roman" w:cs="Times New Roman" w:eastAsiaTheme="minorEastAsia"/>
                <w:b w:val="0"/>
                <w:bCs w:val="0"/>
                <w:color w:val="000000"/>
                <w:kern w:val="0"/>
                <w:sz w:val="24"/>
                <w:szCs w:val="24"/>
                <w:vertAlign w:val="baseline"/>
                <w:lang w:val="en-US" w:eastAsia="zh-CN" w:bidi="ar"/>
              </w:rPr>
              <w:t>2</w:t>
            </w:r>
          </w:p>
        </w:tc>
        <w:tc>
          <w:tcPr>
            <w:tcW w:w="2239"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kern w:val="0"/>
                <w:sz w:val="24"/>
                <w:szCs w:val="24"/>
                <w:vertAlign w:val="baseline"/>
                <w:lang w:val="en-US" w:eastAsia="zh-CN" w:bidi="ar"/>
              </w:rPr>
            </w:pPr>
            <w:r>
              <w:rPr>
                <w:rFonts w:hint="default" w:ascii="Times New Roman" w:hAnsi="Times New Roman" w:cs="Times New Roman" w:eastAsiaTheme="minorEastAsia"/>
                <w:b w:val="0"/>
                <w:bCs w:val="0"/>
                <w:color w:val="000000"/>
                <w:kern w:val="0"/>
                <w:sz w:val="24"/>
                <w:szCs w:val="24"/>
                <w:vertAlign w:val="baseline"/>
                <w:lang w:val="en-US" w:eastAsia="zh-CN" w:bidi="ar"/>
              </w:rPr>
              <w:t>农业同比增加</w:t>
            </w:r>
          </w:p>
        </w:tc>
        <w:tc>
          <w:tcPr>
            <w:tcW w:w="761"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kern w:val="0"/>
                <w:sz w:val="24"/>
                <w:szCs w:val="24"/>
                <w:vertAlign w:val="baseline"/>
                <w:lang w:val="en-US" w:eastAsia="zh-CN" w:bidi="ar"/>
              </w:rPr>
            </w:pPr>
            <w:r>
              <w:rPr>
                <w:rFonts w:hint="default" w:ascii="Times New Roman" w:hAnsi="Times New Roman" w:cs="Times New Roman" w:eastAsiaTheme="minorEastAsia"/>
                <w:b w:val="0"/>
                <w:bCs w:val="0"/>
                <w:color w:val="000000"/>
                <w:kern w:val="0"/>
                <w:sz w:val="24"/>
                <w:szCs w:val="24"/>
                <w:vertAlign w:val="baseline"/>
                <w:lang w:val="en-US" w:eastAsia="zh-CN" w:bidi="ar"/>
              </w:rPr>
              <w:t>亿元</w:t>
            </w:r>
          </w:p>
        </w:tc>
        <w:tc>
          <w:tcPr>
            <w:tcW w:w="935"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kern w:val="0"/>
                <w:sz w:val="24"/>
                <w:szCs w:val="24"/>
                <w:vertAlign w:val="baseline"/>
                <w:lang w:val="en-US" w:eastAsia="zh-CN" w:bidi="ar"/>
              </w:rPr>
            </w:pPr>
            <w:r>
              <w:rPr>
                <w:rFonts w:hint="default" w:ascii="Times New Roman" w:hAnsi="Times New Roman" w:cs="Times New Roman" w:eastAsiaTheme="minorEastAsia"/>
                <w:b w:val="0"/>
                <w:bCs w:val="0"/>
                <w:color w:val="000000"/>
                <w:kern w:val="0"/>
                <w:sz w:val="24"/>
                <w:szCs w:val="24"/>
                <w:vertAlign w:val="baseline"/>
                <w:lang w:val="en-US" w:eastAsia="zh-CN" w:bidi="ar"/>
              </w:rPr>
              <w:t>16.90</w:t>
            </w:r>
          </w:p>
        </w:tc>
        <w:tc>
          <w:tcPr>
            <w:tcW w:w="634"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kern w:val="0"/>
                <w:sz w:val="24"/>
                <w:szCs w:val="24"/>
                <w:vertAlign w:val="baseline"/>
                <w:lang w:val="en-US" w:eastAsia="zh-CN" w:bidi="ar"/>
              </w:rPr>
            </w:pPr>
            <w:r>
              <w:rPr>
                <w:rFonts w:hint="default" w:ascii="Times New Roman" w:hAnsi="Times New Roman" w:cs="Times New Roman" w:eastAsiaTheme="minorEastAsia"/>
                <w:b w:val="0"/>
                <w:bCs w:val="0"/>
                <w:color w:val="000000"/>
                <w:kern w:val="0"/>
                <w:sz w:val="24"/>
                <w:szCs w:val="24"/>
                <w:vertAlign w:val="baseline"/>
                <w:lang w:val="en-US" w:eastAsia="zh-CN" w:bidi="ar"/>
              </w:rPr>
              <w:t>15</w:t>
            </w:r>
          </w:p>
        </w:tc>
        <w:tc>
          <w:tcPr>
            <w:tcW w:w="1804"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kern w:val="0"/>
                <w:sz w:val="24"/>
                <w:szCs w:val="24"/>
                <w:vertAlign w:val="baseline"/>
                <w:lang w:val="en-US" w:eastAsia="zh-CN" w:bidi="ar"/>
              </w:rPr>
            </w:pPr>
            <w:r>
              <w:rPr>
                <w:rFonts w:hint="default" w:ascii="Times New Roman" w:hAnsi="Times New Roman" w:cs="Times New Roman" w:eastAsiaTheme="minorEastAsia"/>
                <w:b w:val="0"/>
                <w:bCs w:val="0"/>
                <w:color w:val="000000"/>
                <w:kern w:val="0"/>
                <w:sz w:val="24"/>
                <w:szCs w:val="24"/>
                <w:vertAlign w:val="baseline"/>
                <w:lang w:val="en-US" w:eastAsia="zh-CN" w:bidi="ar"/>
              </w:rPr>
              <w:t>蛋产量</w:t>
            </w:r>
          </w:p>
        </w:tc>
        <w:tc>
          <w:tcPr>
            <w:tcW w:w="782"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kern w:val="0"/>
                <w:sz w:val="24"/>
                <w:szCs w:val="24"/>
                <w:vertAlign w:val="baseline"/>
                <w:lang w:val="en-US" w:eastAsia="zh-CN" w:bidi="ar"/>
              </w:rPr>
            </w:pPr>
            <w:r>
              <w:rPr>
                <w:rFonts w:hint="default" w:ascii="Times New Roman" w:hAnsi="Times New Roman" w:cs="Times New Roman" w:eastAsiaTheme="minorEastAsia"/>
                <w:b w:val="0"/>
                <w:bCs w:val="0"/>
                <w:color w:val="000000"/>
                <w:kern w:val="0"/>
                <w:sz w:val="24"/>
                <w:szCs w:val="24"/>
                <w:vertAlign w:val="baseline"/>
                <w:lang w:val="en-US" w:eastAsia="zh-CN" w:bidi="ar"/>
              </w:rPr>
              <w:t>万吨</w:t>
            </w:r>
          </w:p>
        </w:tc>
        <w:tc>
          <w:tcPr>
            <w:tcW w:w="906"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kern w:val="0"/>
                <w:sz w:val="24"/>
                <w:szCs w:val="24"/>
                <w:vertAlign w:val="baseline"/>
                <w:lang w:val="en-US" w:eastAsia="zh-CN" w:bidi="ar"/>
              </w:rPr>
            </w:pPr>
            <w:r>
              <w:rPr>
                <w:rFonts w:hint="default" w:ascii="Times New Roman" w:hAnsi="Times New Roman" w:cs="Times New Roman" w:eastAsiaTheme="minorEastAsia"/>
                <w:b w:val="0"/>
                <w:bCs w:val="0"/>
                <w:color w:val="000000"/>
                <w:kern w:val="0"/>
                <w:sz w:val="24"/>
                <w:szCs w:val="24"/>
                <w:vertAlign w:val="baseline"/>
                <w:lang w:val="en-US" w:eastAsia="zh-CN" w:bidi="ar"/>
              </w:rPr>
              <w:t>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64"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kern w:val="0"/>
                <w:sz w:val="24"/>
                <w:szCs w:val="24"/>
                <w:vertAlign w:val="baseline"/>
                <w:lang w:val="en-US" w:eastAsia="zh-CN" w:bidi="ar"/>
              </w:rPr>
            </w:pPr>
            <w:r>
              <w:rPr>
                <w:rFonts w:hint="default" w:ascii="Times New Roman" w:hAnsi="Times New Roman" w:cs="Times New Roman" w:eastAsiaTheme="minorEastAsia"/>
                <w:b w:val="0"/>
                <w:bCs w:val="0"/>
                <w:color w:val="000000"/>
                <w:kern w:val="0"/>
                <w:sz w:val="24"/>
                <w:szCs w:val="24"/>
                <w:vertAlign w:val="baseline"/>
                <w:lang w:val="en-US" w:eastAsia="zh-CN" w:bidi="ar"/>
              </w:rPr>
              <w:t>3</w:t>
            </w:r>
          </w:p>
        </w:tc>
        <w:tc>
          <w:tcPr>
            <w:tcW w:w="2239"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kern w:val="0"/>
                <w:sz w:val="24"/>
                <w:szCs w:val="24"/>
                <w:vertAlign w:val="baseline"/>
                <w:lang w:val="en-US" w:eastAsia="zh-CN" w:bidi="ar"/>
              </w:rPr>
            </w:pPr>
            <w:r>
              <w:rPr>
                <w:rFonts w:hint="default" w:ascii="Times New Roman" w:hAnsi="Times New Roman" w:cs="Times New Roman" w:eastAsiaTheme="minorEastAsia"/>
                <w:b w:val="0"/>
                <w:bCs w:val="0"/>
                <w:color w:val="000000"/>
                <w:kern w:val="0"/>
                <w:sz w:val="24"/>
                <w:szCs w:val="24"/>
                <w:vertAlign w:val="baseline"/>
                <w:lang w:val="en-US" w:eastAsia="zh-CN" w:bidi="ar"/>
              </w:rPr>
              <w:t>农村常住居民人均可支配收入</w:t>
            </w:r>
          </w:p>
        </w:tc>
        <w:tc>
          <w:tcPr>
            <w:tcW w:w="761"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kern w:val="0"/>
                <w:sz w:val="24"/>
                <w:szCs w:val="24"/>
                <w:vertAlign w:val="baseline"/>
                <w:lang w:val="en-US" w:eastAsia="zh-CN" w:bidi="ar"/>
              </w:rPr>
            </w:pPr>
            <w:r>
              <w:rPr>
                <w:rFonts w:hint="default" w:ascii="Times New Roman" w:hAnsi="Times New Roman" w:cs="Times New Roman" w:eastAsiaTheme="minorEastAsia"/>
                <w:b w:val="0"/>
                <w:bCs w:val="0"/>
                <w:color w:val="000000"/>
                <w:kern w:val="0"/>
                <w:sz w:val="24"/>
                <w:szCs w:val="24"/>
                <w:vertAlign w:val="baseline"/>
                <w:lang w:val="en-US" w:eastAsia="zh-CN" w:bidi="ar"/>
              </w:rPr>
              <w:t>万元</w:t>
            </w:r>
          </w:p>
        </w:tc>
        <w:tc>
          <w:tcPr>
            <w:tcW w:w="935"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kern w:val="0"/>
                <w:sz w:val="24"/>
                <w:szCs w:val="24"/>
                <w:vertAlign w:val="baseline"/>
                <w:lang w:val="en-US" w:eastAsia="zh-CN" w:bidi="ar"/>
              </w:rPr>
            </w:pPr>
            <w:r>
              <w:rPr>
                <w:rFonts w:hint="default" w:ascii="Times New Roman" w:hAnsi="Times New Roman" w:cs="Times New Roman" w:eastAsiaTheme="minorEastAsia"/>
                <w:b w:val="0"/>
                <w:bCs w:val="0"/>
                <w:color w:val="000000"/>
                <w:kern w:val="0"/>
                <w:sz w:val="24"/>
                <w:szCs w:val="24"/>
                <w:vertAlign w:val="baseline"/>
                <w:lang w:val="en-US" w:eastAsia="zh-CN" w:bidi="ar"/>
              </w:rPr>
              <w:t>1.27</w:t>
            </w:r>
          </w:p>
        </w:tc>
        <w:tc>
          <w:tcPr>
            <w:tcW w:w="634"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kern w:val="0"/>
                <w:sz w:val="24"/>
                <w:szCs w:val="24"/>
                <w:vertAlign w:val="baseline"/>
                <w:lang w:val="en-US" w:eastAsia="zh-CN" w:bidi="ar"/>
              </w:rPr>
            </w:pPr>
            <w:r>
              <w:rPr>
                <w:rFonts w:hint="default" w:ascii="Times New Roman" w:hAnsi="Times New Roman" w:cs="Times New Roman" w:eastAsiaTheme="minorEastAsia"/>
                <w:b w:val="0"/>
                <w:bCs w:val="0"/>
                <w:color w:val="000000"/>
                <w:kern w:val="0"/>
                <w:sz w:val="24"/>
                <w:szCs w:val="24"/>
                <w:vertAlign w:val="baseline"/>
                <w:lang w:val="en-US" w:eastAsia="zh-CN" w:bidi="ar"/>
              </w:rPr>
              <w:t>16</w:t>
            </w:r>
          </w:p>
        </w:tc>
        <w:tc>
          <w:tcPr>
            <w:tcW w:w="1804"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kern w:val="0"/>
                <w:sz w:val="24"/>
                <w:szCs w:val="24"/>
                <w:vertAlign w:val="baseline"/>
                <w:lang w:val="en-US" w:eastAsia="zh-CN" w:bidi="ar"/>
              </w:rPr>
            </w:pPr>
            <w:r>
              <w:rPr>
                <w:rFonts w:hint="default" w:ascii="Times New Roman" w:hAnsi="Times New Roman" w:cs="Times New Roman" w:eastAsiaTheme="minorEastAsia"/>
                <w:b w:val="0"/>
                <w:bCs w:val="0"/>
                <w:color w:val="000000"/>
                <w:kern w:val="0"/>
                <w:sz w:val="24"/>
                <w:szCs w:val="24"/>
                <w:vertAlign w:val="baseline"/>
                <w:lang w:val="en-US" w:eastAsia="zh-CN" w:bidi="ar"/>
              </w:rPr>
              <w:t>水产品产量</w:t>
            </w:r>
          </w:p>
        </w:tc>
        <w:tc>
          <w:tcPr>
            <w:tcW w:w="782"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kern w:val="0"/>
                <w:sz w:val="24"/>
                <w:szCs w:val="24"/>
                <w:vertAlign w:val="baseline"/>
                <w:lang w:val="en-US" w:eastAsia="zh-CN" w:bidi="ar"/>
              </w:rPr>
            </w:pPr>
            <w:r>
              <w:rPr>
                <w:rFonts w:hint="default" w:ascii="Times New Roman" w:hAnsi="Times New Roman" w:cs="Times New Roman" w:eastAsiaTheme="minorEastAsia"/>
                <w:b w:val="0"/>
                <w:bCs w:val="0"/>
                <w:color w:val="000000"/>
                <w:kern w:val="0"/>
                <w:sz w:val="24"/>
                <w:szCs w:val="24"/>
                <w:vertAlign w:val="baseline"/>
                <w:lang w:val="en-US" w:eastAsia="zh-CN" w:bidi="ar"/>
              </w:rPr>
              <w:t>万吨</w:t>
            </w:r>
          </w:p>
        </w:tc>
        <w:tc>
          <w:tcPr>
            <w:tcW w:w="906"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kern w:val="0"/>
                <w:sz w:val="24"/>
                <w:szCs w:val="24"/>
                <w:vertAlign w:val="baseline"/>
                <w:lang w:val="en-US" w:eastAsia="zh-CN" w:bidi="ar"/>
              </w:rPr>
            </w:pPr>
            <w:r>
              <w:rPr>
                <w:rFonts w:hint="default" w:ascii="Times New Roman" w:hAnsi="Times New Roman" w:cs="Times New Roman" w:eastAsiaTheme="minorEastAsia"/>
                <w:b w:val="0"/>
                <w:bCs w:val="0"/>
                <w:color w:val="000000"/>
                <w:kern w:val="0"/>
                <w:sz w:val="24"/>
                <w:szCs w:val="24"/>
                <w:vertAlign w:val="baseline"/>
                <w:lang w:val="en-US" w:eastAsia="zh-CN" w:bidi="ar"/>
              </w:rPr>
              <w:t>0.81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64"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kern w:val="0"/>
                <w:sz w:val="24"/>
                <w:szCs w:val="24"/>
                <w:vertAlign w:val="baseline"/>
                <w:lang w:val="en-US" w:eastAsia="zh-CN" w:bidi="ar"/>
              </w:rPr>
            </w:pPr>
          </w:p>
        </w:tc>
        <w:tc>
          <w:tcPr>
            <w:tcW w:w="2239"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kern w:val="0"/>
                <w:sz w:val="24"/>
                <w:szCs w:val="24"/>
                <w:vertAlign w:val="baseline"/>
                <w:lang w:val="en-US" w:eastAsia="zh-CN" w:bidi="ar"/>
              </w:rPr>
            </w:pPr>
            <w:r>
              <w:rPr>
                <w:rFonts w:hint="default" w:ascii="Times New Roman" w:hAnsi="Times New Roman" w:cs="Times New Roman" w:eastAsiaTheme="minorEastAsia"/>
                <w:b w:val="0"/>
                <w:bCs w:val="0"/>
                <w:color w:val="000000"/>
                <w:kern w:val="0"/>
                <w:sz w:val="24"/>
                <w:szCs w:val="24"/>
                <w:vertAlign w:val="baseline"/>
                <w:lang w:val="en-US" w:eastAsia="zh-CN" w:bidi="ar"/>
              </w:rPr>
              <w:t>二、农业产业指标</w:t>
            </w:r>
          </w:p>
        </w:tc>
        <w:tc>
          <w:tcPr>
            <w:tcW w:w="761"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kern w:val="0"/>
                <w:sz w:val="24"/>
                <w:szCs w:val="24"/>
                <w:vertAlign w:val="baseline"/>
                <w:lang w:val="en-US" w:eastAsia="zh-CN" w:bidi="ar"/>
              </w:rPr>
            </w:pPr>
          </w:p>
        </w:tc>
        <w:tc>
          <w:tcPr>
            <w:tcW w:w="935"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kern w:val="0"/>
                <w:sz w:val="24"/>
                <w:szCs w:val="24"/>
                <w:vertAlign w:val="baseline"/>
                <w:lang w:val="en-US" w:eastAsia="zh-CN" w:bidi="ar"/>
              </w:rPr>
            </w:pPr>
          </w:p>
        </w:tc>
        <w:tc>
          <w:tcPr>
            <w:tcW w:w="634"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kern w:val="0"/>
                <w:sz w:val="24"/>
                <w:szCs w:val="24"/>
                <w:vertAlign w:val="baseline"/>
                <w:lang w:val="en-US" w:eastAsia="zh-CN" w:bidi="ar"/>
              </w:rPr>
            </w:pPr>
            <w:r>
              <w:rPr>
                <w:rFonts w:hint="default" w:ascii="Times New Roman" w:hAnsi="Times New Roman" w:cs="Times New Roman" w:eastAsiaTheme="minorEastAsia"/>
                <w:b w:val="0"/>
                <w:bCs w:val="0"/>
                <w:color w:val="000000"/>
                <w:kern w:val="0"/>
                <w:sz w:val="24"/>
                <w:szCs w:val="24"/>
                <w:vertAlign w:val="baseline"/>
                <w:lang w:val="en-US" w:eastAsia="zh-CN" w:bidi="ar"/>
              </w:rPr>
              <w:t>17</w:t>
            </w:r>
          </w:p>
        </w:tc>
        <w:tc>
          <w:tcPr>
            <w:tcW w:w="1804"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kern w:val="0"/>
                <w:sz w:val="24"/>
                <w:szCs w:val="24"/>
                <w:vertAlign w:val="baseline"/>
                <w:lang w:val="en-US" w:eastAsia="zh-CN" w:bidi="ar"/>
              </w:rPr>
            </w:pPr>
            <w:r>
              <w:rPr>
                <w:rFonts w:hint="default" w:ascii="Times New Roman" w:hAnsi="Times New Roman" w:cs="Times New Roman" w:eastAsiaTheme="minorEastAsia"/>
                <w:b w:val="0"/>
                <w:bCs w:val="0"/>
                <w:color w:val="000000"/>
                <w:kern w:val="0"/>
                <w:sz w:val="24"/>
                <w:szCs w:val="24"/>
                <w:vertAlign w:val="baseline"/>
                <w:lang w:val="en-US" w:eastAsia="zh-CN" w:bidi="ar"/>
              </w:rPr>
              <w:t>畜牧渔业产值</w:t>
            </w:r>
          </w:p>
        </w:tc>
        <w:tc>
          <w:tcPr>
            <w:tcW w:w="782"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kern w:val="0"/>
                <w:sz w:val="24"/>
                <w:szCs w:val="24"/>
                <w:vertAlign w:val="baseline"/>
                <w:lang w:val="en-US" w:eastAsia="zh-CN" w:bidi="ar"/>
              </w:rPr>
            </w:pPr>
            <w:r>
              <w:rPr>
                <w:rFonts w:hint="default" w:ascii="Times New Roman" w:hAnsi="Times New Roman" w:cs="Times New Roman" w:eastAsiaTheme="minorEastAsia"/>
                <w:b w:val="0"/>
                <w:bCs w:val="0"/>
                <w:color w:val="000000"/>
                <w:kern w:val="0"/>
                <w:sz w:val="24"/>
                <w:szCs w:val="24"/>
                <w:vertAlign w:val="baseline"/>
                <w:lang w:val="en-US" w:eastAsia="zh-CN" w:bidi="ar"/>
              </w:rPr>
              <w:t>亿元</w:t>
            </w:r>
          </w:p>
        </w:tc>
        <w:tc>
          <w:tcPr>
            <w:tcW w:w="906"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kern w:val="0"/>
                <w:sz w:val="24"/>
                <w:szCs w:val="24"/>
                <w:vertAlign w:val="baseline"/>
                <w:lang w:val="en-US" w:eastAsia="zh-CN" w:bidi="ar"/>
              </w:rPr>
            </w:pPr>
            <w:r>
              <w:rPr>
                <w:rFonts w:hint="default" w:ascii="Times New Roman" w:hAnsi="Times New Roman" w:cs="Times New Roman" w:eastAsiaTheme="minorEastAsia"/>
                <w:b w:val="0"/>
                <w:bCs w:val="0"/>
                <w:color w:val="000000"/>
                <w:kern w:val="0"/>
                <w:sz w:val="24"/>
                <w:szCs w:val="24"/>
                <w:vertAlign w:val="baseline"/>
                <w:lang w:val="en-US" w:eastAsia="zh-CN" w:bidi="ar"/>
              </w:rPr>
              <w:t>26.61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64"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kern w:val="0"/>
                <w:sz w:val="24"/>
                <w:szCs w:val="24"/>
                <w:vertAlign w:val="baseline"/>
                <w:lang w:val="en-US" w:eastAsia="zh-CN" w:bidi="ar"/>
              </w:rPr>
            </w:pPr>
            <w:r>
              <w:rPr>
                <w:rFonts w:hint="default" w:ascii="Times New Roman" w:hAnsi="Times New Roman" w:cs="Times New Roman" w:eastAsiaTheme="minorEastAsia"/>
                <w:b w:val="0"/>
                <w:bCs w:val="0"/>
                <w:color w:val="000000"/>
                <w:kern w:val="0"/>
                <w:sz w:val="24"/>
                <w:szCs w:val="24"/>
                <w:vertAlign w:val="baseline"/>
                <w:lang w:val="en-US" w:eastAsia="zh-CN" w:bidi="ar"/>
              </w:rPr>
              <w:t>4</w:t>
            </w:r>
          </w:p>
        </w:tc>
        <w:tc>
          <w:tcPr>
            <w:tcW w:w="2239"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kern w:val="0"/>
                <w:sz w:val="24"/>
                <w:szCs w:val="24"/>
                <w:vertAlign w:val="baseline"/>
                <w:lang w:val="en-US" w:eastAsia="zh-CN" w:bidi="ar"/>
              </w:rPr>
            </w:pPr>
            <w:r>
              <w:rPr>
                <w:rFonts w:hint="default" w:ascii="Times New Roman" w:hAnsi="Times New Roman" w:cs="Times New Roman" w:eastAsiaTheme="minorEastAsia"/>
                <w:b w:val="0"/>
                <w:bCs w:val="0"/>
                <w:color w:val="000000"/>
                <w:kern w:val="0"/>
                <w:sz w:val="24"/>
                <w:szCs w:val="24"/>
                <w:vertAlign w:val="baseline"/>
                <w:lang w:val="en-US" w:eastAsia="zh-CN" w:bidi="ar"/>
              </w:rPr>
              <w:t>粮食作物种植面积</w:t>
            </w:r>
          </w:p>
        </w:tc>
        <w:tc>
          <w:tcPr>
            <w:tcW w:w="761"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kern w:val="0"/>
                <w:sz w:val="24"/>
                <w:szCs w:val="24"/>
                <w:vertAlign w:val="baseline"/>
                <w:lang w:val="en-US" w:eastAsia="zh-CN" w:bidi="ar"/>
              </w:rPr>
            </w:pPr>
            <w:r>
              <w:rPr>
                <w:rFonts w:hint="default" w:ascii="Times New Roman" w:hAnsi="Times New Roman" w:cs="Times New Roman" w:eastAsiaTheme="minorEastAsia"/>
                <w:b w:val="0"/>
                <w:bCs w:val="0"/>
                <w:color w:val="000000"/>
                <w:kern w:val="0"/>
                <w:sz w:val="24"/>
                <w:szCs w:val="24"/>
                <w:vertAlign w:val="baseline"/>
                <w:lang w:val="en-US" w:eastAsia="zh-CN" w:bidi="ar"/>
              </w:rPr>
              <w:t>万亩</w:t>
            </w:r>
          </w:p>
        </w:tc>
        <w:tc>
          <w:tcPr>
            <w:tcW w:w="935"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kern w:val="0"/>
                <w:sz w:val="24"/>
                <w:szCs w:val="24"/>
                <w:vertAlign w:val="baseline"/>
                <w:lang w:val="en-US" w:eastAsia="zh-CN" w:bidi="ar"/>
              </w:rPr>
            </w:pPr>
            <w:r>
              <w:rPr>
                <w:rFonts w:hint="default" w:ascii="Times New Roman" w:hAnsi="Times New Roman" w:cs="Times New Roman" w:eastAsiaTheme="minorEastAsia"/>
                <w:b w:val="0"/>
                <w:bCs w:val="0"/>
                <w:color w:val="000000"/>
                <w:kern w:val="0"/>
                <w:sz w:val="24"/>
                <w:szCs w:val="24"/>
                <w:vertAlign w:val="baseline"/>
                <w:lang w:val="en-US" w:eastAsia="zh-CN" w:bidi="ar"/>
              </w:rPr>
              <w:t>108.04</w:t>
            </w:r>
          </w:p>
        </w:tc>
        <w:tc>
          <w:tcPr>
            <w:tcW w:w="634"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kern w:val="0"/>
                <w:sz w:val="24"/>
                <w:szCs w:val="24"/>
                <w:vertAlign w:val="baseline"/>
                <w:lang w:val="en-US" w:eastAsia="zh-CN" w:bidi="ar"/>
              </w:rPr>
            </w:pPr>
            <w:r>
              <w:rPr>
                <w:rFonts w:hint="default" w:ascii="Times New Roman" w:hAnsi="Times New Roman" w:cs="Times New Roman" w:eastAsiaTheme="minorEastAsia"/>
                <w:b w:val="0"/>
                <w:bCs w:val="0"/>
                <w:color w:val="000000"/>
                <w:kern w:val="0"/>
                <w:sz w:val="24"/>
                <w:szCs w:val="24"/>
                <w:vertAlign w:val="baseline"/>
                <w:lang w:val="en-US" w:eastAsia="zh-CN" w:bidi="ar"/>
              </w:rPr>
              <w:t>18</w:t>
            </w:r>
          </w:p>
        </w:tc>
        <w:tc>
          <w:tcPr>
            <w:tcW w:w="1804"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kern w:val="0"/>
                <w:sz w:val="24"/>
                <w:szCs w:val="24"/>
                <w:vertAlign w:val="baseline"/>
                <w:lang w:val="en-US" w:eastAsia="zh-CN" w:bidi="ar"/>
              </w:rPr>
            </w:pPr>
            <w:r>
              <w:rPr>
                <w:rFonts w:hint="default" w:ascii="Times New Roman" w:hAnsi="Times New Roman" w:cs="Times New Roman" w:eastAsiaTheme="minorEastAsia"/>
                <w:b w:val="0"/>
                <w:bCs w:val="0"/>
                <w:color w:val="000000"/>
                <w:kern w:val="0"/>
                <w:sz w:val="24"/>
                <w:szCs w:val="24"/>
                <w:vertAlign w:val="baseline"/>
                <w:lang w:val="en-US" w:eastAsia="zh-CN" w:bidi="ar"/>
              </w:rPr>
              <w:t>蔬菜种植面积</w:t>
            </w:r>
          </w:p>
        </w:tc>
        <w:tc>
          <w:tcPr>
            <w:tcW w:w="782"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kern w:val="0"/>
                <w:sz w:val="24"/>
                <w:szCs w:val="24"/>
                <w:vertAlign w:val="baseline"/>
                <w:lang w:val="en-US" w:eastAsia="zh-CN" w:bidi="ar"/>
              </w:rPr>
            </w:pPr>
            <w:r>
              <w:rPr>
                <w:rFonts w:hint="default" w:ascii="Times New Roman" w:hAnsi="Times New Roman" w:cs="Times New Roman" w:eastAsiaTheme="minorEastAsia"/>
                <w:b w:val="0"/>
                <w:bCs w:val="0"/>
                <w:color w:val="000000"/>
                <w:kern w:val="0"/>
                <w:sz w:val="24"/>
                <w:szCs w:val="24"/>
                <w:vertAlign w:val="baseline"/>
                <w:lang w:val="en-US" w:eastAsia="zh-CN" w:bidi="ar"/>
              </w:rPr>
              <w:t>万亩</w:t>
            </w:r>
          </w:p>
        </w:tc>
        <w:tc>
          <w:tcPr>
            <w:tcW w:w="906"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kern w:val="0"/>
                <w:sz w:val="24"/>
                <w:szCs w:val="24"/>
                <w:vertAlign w:val="baseline"/>
                <w:lang w:val="en-US" w:eastAsia="zh-CN" w:bidi="ar"/>
              </w:rPr>
            </w:pPr>
            <w:r>
              <w:rPr>
                <w:rFonts w:hint="default" w:ascii="Times New Roman" w:hAnsi="Times New Roman" w:cs="Times New Roman" w:eastAsiaTheme="minorEastAsia"/>
                <w:b w:val="0"/>
                <w:bCs w:val="0"/>
                <w:color w:val="000000"/>
                <w:kern w:val="0"/>
                <w:sz w:val="24"/>
                <w:szCs w:val="24"/>
                <w:vertAlign w:val="baseline"/>
                <w:lang w:val="en-US" w:eastAsia="zh-CN" w:bidi="ar"/>
              </w:rPr>
              <w:t>22.69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64"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kern w:val="0"/>
                <w:sz w:val="24"/>
                <w:szCs w:val="24"/>
                <w:vertAlign w:val="baseline"/>
                <w:lang w:val="en-US" w:eastAsia="zh-CN" w:bidi="ar"/>
              </w:rPr>
            </w:pPr>
            <w:r>
              <w:rPr>
                <w:rFonts w:hint="default" w:ascii="Times New Roman" w:hAnsi="Times New Roman" w:cs="Times New Roman" w:eastAsiaTheme="minorEastAsia"/>
                <w:b w:val="0"/>
                <w:bCs w:val="0"/>
                <w:color w:val="000000"/>
                <w:kern w:val="0"/>
                <w:sz w:val="24"/>
                <w:szCs w:val="24"/>
                <w:vertAlign w:val="baseline"/>
                <w:lang w:val="en-US" w:eastAsia="zh-CN" w:bidi="ar"/>
              </w:rPr>
              <w:t>5</w:t>
            </w:r>
          </w:p>
        </w:tc>
        <w:tc>
          <w:tcPr>
            <w:tcW w:w="2239"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kern w:val="0"/>
                <w:sz w:val="24"/>
                <w:szCs w:val="24"/>
                <w:vertAlign w:val="baseline"/>
                <w:lang w:val="en-US" w:eastAsia="zh-CN" w:bidi="ar"/>
              </w:rPr>
            </w:pPr>
            <w:r>
              <w:rPr>
                <w:rFonts w:hint="default" w:ascii="Times New Roman" w:hAnsi="Times New Roman" w:cs="Times New Roman" w:eastAsiaTheme="minorEastAsia"/>
                <w:b w:val="0"/>
                <w:bCs w:val="0"/>
                <w:color w:val="000000"/>
                <w:kern w:val="0"/>
                <w:sz w:val="24"/>
                <w:szCs w:val="24"/>
                <w:vertAlign w:val="baseline"/>
                <w:lang w:val="en-US" w:eastAsia="zh-CN" w:bidi="ar"/>
              </w:rPr>
              <w:t>粮食产量</w:t>
            </w:r>
          </w:p>
        </w:tc>
        <w:tc>
          <w:tcPr>
            <w:tcW w:w="761"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kern w:val="0"/>
                <w:sz w:val="24"/>
                <w:szCs w:val="24"/>
                <w:vertAlign w:val="baseline"/>
                <w:lang w:val="en-US" w:eastAsia="zh-CN" w:bidi="ar"/>
              </w:rPr>
            </w:pPr>
            <w:r>
              <w:rPr>
                <w:rFonts w:hint="default" w:ascii="Times New Roman" w:hAnsi="Times New Roman" w:cs="Times New Roman" w:eastAsiaTheme="minorEastAsia"/>
                <w:b w:val="0"/>
                <w:bCs w:val="0"/>
                <w:color w:val="000000"/>
                <w:kern w:val="0"/>
                <w:sz w:val="24"/>
                <w:szCs w:val="24"/>
                <w:vertAlign w:val="baseline"/>
                <w:lang w:val="en-US" w:eastAsia="zh-CN" w:bidi="ar"/>
              </w:rPr>
              <w:t>万吨</w:t>
            </w:r>
          </w:p>
        </w:tc>
        <w:tc>
          <w:tcPr>
            <w:tcW w:w="935"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kern w:val="0"/>
                <w:sz w:val="24"/>
                <w:szCs w:val="24"/>
                <w:vertAlign w:val="baseline"/>
                <w:lang w:val="en-US" w:eastAsia="zh-CN" w:bidi="ar"/>
              </w:rPr>
            </w:pPr>
            <w:r>
              <w:rPr>
                <w:rFonts w:hint="default" w:ascii="Times New Roman" w:hAnsi="Times New Roman" w:cs="Times New Roman" w:eastAsiaTheme="minorEastAsia"/>
                <w:b w:val="0"/>
                <w:bCs w:val="0"/>
                <w:color w:val="000000"/>
                <w:kern w:val="0"/>
                <w:sz w:val="24"/>
                <w:szCs w:val="24"/>
                <w:vertAlign w:val="baseline"/>
                <w:lang w:val="en-US" w:eastAsia="zh-CN" w:bidi="ar"/>
              </w:rPr>
              <w:t>30.25</w:t>
            </w:r>
          </w:p>
        </w:tc>
        <w:tc>
          <w:tcPr>
            <w:tcW w:w="634"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kern w:val="0"/>
                <w:sz w:val="24"/>
                <w:szCs w:val="24"/>
                <w:vertAlign w:val="baseline"/>
                <w:lang w:val="en-US" w:eastAsia="zh-CN" w:bidi="ar"/>
              </w:rPr>
            </w:pPr>
            <w:r>
              <w:rPr>
                <w:rFonts w:hint="default" w:ascii="Times New Roman" w:hAnsi="Times New Roman" w:cs="Times New Roman" w:eastAsiaTheme="minorEastAsia"/>
                <w:b w:val="0"/>
                <w:bCs w:val="0"/>
                <w:color w:val="000000"/>
                <w:kern w:val="0"/>
                <w:sz w:val="24"/>
                <w:szCs w:val="24"/>
                <w:vertAlign w:val="baseline"/>
                <w:lang w:val="en-US" w:eastAsia="zh-CN" w:bidi="ar"/>
              </w:rPr>
              <w:t>19</w:t>
            </w:r>
          </w:p>
        </w:tc>
        <w:tc>
          <w:tcPr>
            <w:tcW w:w="1804"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kern w:val="0"/>
                <w:sz w:val="24"/>
                <w:szCs w:val="24"/>
                <w:vertAlign w:val="baseline"/>
                <w:lang w:val="en-US" w:eastAsia="zh-CN" w:bidi="ar"/>
              </w:rPr>
            </w:pPr>
            <w:r>
              <w:rPr>
                <w:rFonts w:hint="default" w:ascii="Times New Roman" w:hAnsi="Times New Roman" w:cs="Times New Roman" w:eastAsiaTheme="minorEastAsia"/>
                <w:b w:val="0"/>
                <w:bCs w:val="0"/>
                <w:color w:val="000000"/>
                <w:kern w:val="0"/>
                <w:sz w:val="24"/>
                <w:szCs w:val="24"/>
                <w:vertAlign w:val="baseline"/>
                <w:lang w:val="en-US" w:eastAsia="zh-CN" w:bidi="ar"/>
              </w:rPr>
              <w:t>蔬菜产量</w:t>
            </w:r>
          </w:p>
        </w:tc>
        <w:tc>
          <w:tcPr>
            <w:tcW w:w="782"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kern w:val="0"/>
                <w:sz w:val="24"/>
                <w:szCs w:val="24"/>
                <w:vertAlign w:val="baseline"/>
                <w:lang w:val="en-US" w:eastAsia="zh-CN" w:bidi="ar"/>
              </w:rPr>
            </w:pPr>
            <w:r>
              <w:rPr>
                <w:rFonts w:hint="default" w:ascii="Times New Roman" w:hAnsi="Times New Roman" w:cs="Times New Roman" w:eastAsiaTheme="minorEastAsia"/>
                <w:b w:val="0"/>
                <w:bCs w:val="0"/>
                <w:color w:val="000000"/>
                <w:kern w:val="0"/>
                <w:sz w:val="24"/>
                <w:szCs w:val="24"/>
                <w:vertAlign w:val="baseline"/>
                <w:lang w:val="en-US" w:eastAsia="zh-CN" w:bidi="ar"/>
              </w:rPr>
              <w:t>万吨</w:t>
            </w:r>
          </w:p>
        </w:tc>
        <w:tc>
          <w:tcPr>
            <w:tcW w:w="906"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kern w:val="0"/>
                <w:sz w:val="24"/>
                <w:szCs w:val="24"/>
                <w:vertAlign w:val="baseline"/>
                <w:lang w:val="en-US" w:eastAsia="zh-CN" w:bidi="ar"/>
              </w:rPr>
            </w:pPr>
            <w:r>
              <w:rPr>
                <w:rFonts w:hint="default" w:ascii="Times New Roman" w:hAnsi="Times New Roman" w:cs="Times New Roman" w:eastAsiaTheme="minorEastAsia"/>
                <w:b w:val="0"/>
                <w:bCs w:val="0"/>
                <w:color w:val="000000"/>
                <w:kern w:val="0"/>
                <w:sz w:val="24"/>
                <w:szCs w:val="24"/>
                <w:vertAlign w:val="baseline"/>
                <w:lang w:val="en-US" w:eastAsia="zh-CN" w:bidi="ar"/>
              </w:rPr>
              <w:t>32.08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64"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kern w:val="0"/>
                <w:sz w:val="24"/>
                <w:szCs w:val="24"/>
                <w:vertAlign w:val="baseline"/>
                <w:lang w:val="en-US" w:eastAsia="zh-CN" w:bidi="ar"/>
              </w:rPr>
            </w:pPr>
            <w:r>
              <w:rPr>
                <w:rFonts w:hint="default" w:ascii="Times New Roman" w:hAnsi="Times New Roman" w:cs="Times New Roman" w:eastAsiaTheme="minorEastAsia"/>
                <w:b w:val="0"/>
                <w:bCs w:val="0"/>
                <w:color w:val="000000"/>
                <w:kern w:val="0"/>
                <w:sz w:val="24"/>
                <w:szCs w:val="24"/>
                <w:vertAlign w:val="baseline"/>
                <w:lang w:val="en-US" w:eastAsia="zh-CN" w:bidi="ar"/>
              </w:rPr>
              <w:t>6</w:t>
            </w:r>
          </w:p>
        </w:tc>
        <w:tc>
          <w:tcPr>
            <w:tcW w:w="2239"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kern w:val="0"/>
                <w:sz w:val="24"/>
                <w:szCs w:val="24"/>
                <w:vertAlign w:val="baseline"/>
                <w:lang w:val="en-US" w:eastAsia="zh-CN" w:bidi="ar"/>
              </w:rPr>
            </w:pPr>
            <w:r>
              <w:rPr>
                <w:rFonts w:hint="default" w:ascii="Times New Roman" w:hAnsi="Times New Roman" w:cs="Times New Roman" w:eastAsiaTheme="minorEastAsia"/>
                <w:b w:val="0"/>
                <w:bCs w:val="0"/>
                <w:color w:val="000000"/>
                <w:kern w:val="0"/>
                <w:sz w:val="24"/>
                <w:szCs w:val="24"/>
                <w:vertAlign w:val="baseline"/>
                <w:lang w:val="en-US" w:eastAsia="zh-CN" w:bidi="ar"/>
              </w:rPr>
              <w:t>烤烟种植面积</w:t>
            </w:r>
          </w:p>
        </w:tc>
        <w:tc>
          <w:tcPr>
            <w:tcW w:w="761"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kern w:val="0"/>
                <w:sz w:val="24"/>
                <w:szCs w:val="24"/>
                <w:vertAlign w:val="baseline"/>
                <w:lang w:val="en-US" w:eastAsia="zh-CN" w:bidi="ar"/>
              </w:rPr>
            </w:pPr>
            <w:r>
              <w:rPr>
                <w:rFonts w:hint="default" w:ascii="Times New Roman" w:hAnsi="Times New Roman" w:cs="Times New Roman" w:eastAsiaTheme="minorEastAsia"/>
                <w:b w:val="0"/>
                <w:bCs w:val="0"/>
                <w:color w:val="000000"/>
                <w:kern w:val="0"/>
                <w:sz w:val="24"/>
                <w:szCs w:val="24"/>
                <w:vertAlign w:val="baseline"/>
                <w:lang w:val="en-US" w:eastAsia="zh-CN" w:bidi="ar"/>
              </w:rPr>
              <w:t>万亩</w:t>
            </w:r>
          </w:p>
        </w:tc>
        <w:tc>
          <w:tcPr>
            <w:tcW w:w="935"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kern w:val="0"/>
                <w:sz w:val="24"/>
                <w:szCs w:val="24"/>
                <w:vertAlign w:val="baseline"/>
                <w:lang w:val="en-US" w:eastAsia="zh-CN" w:bidi="ar"/>
              </w:rPr>
            </w:pPr>
            <w:r>
              <w:rPr>
                <w:rFonts w:hint="default" w:ascii="Times New Roman" w:hAnsi="Times New Roman" w:cs="Times New Roman" w:eastAsiaTheme="minorEastAsia"/>
                <w:b w:val="0"/>
                <w:bCs w:val="0"/>
                <w:color w:val="000000"/>
                <w:kern w:val="0"/>
                <w:sz w:val="24"/>
                <w:szCs w:val="24"/>
                <w:vertAlign w:val="baseline"/>
                <w:lang w:val="en-US" w:eastAsia="zh-CN" w:bidi="ar"/>
              </w:rPr>
              <w:t>13.13</w:t>
            </w:r>
          </w:p>
        </w:tc>
        <w:tc>
          <w:tcPr>
            <w:tcW w:w="634"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kern w:val="0"/>
                <w:sz w:val="24"/>
                <w:szCs w:val="24"/>
                <w:vertAlign w:val="baseline"/>
                <w:lang w:val="en-US" w:eastAsia="zh-CN" w:bidi="ar"/>
              </w:rPr>
            </w:pPr>
            <w:r>
              <w:rPr>
                <w:rFonts w:hint="default" w:ascii="Times New Roman" w:hAnsi="Times New Roman" w:cs="Times New Roman" w:eastAsiaTheme="minorEastAsia"/>
                <w:b w:val="0"/>
                <w:bCs w:val="0"/>
                <w:color w:val="000000"/>
                <w:kern w:val="0"/>
                <w:sz w:val="24"/>
                <w:szCs w:val="24"/>
                <w:vertAlign w:val="baseline"/>
                <w:lang w:val="en-US" w:eastAsia="zh-CN" w:bidi="ar"/>
              </w:rPr>
              <w:t>20</w:t>
            </w:r>
          </w:p>
        </w:tc>
        <w:tc>
          <w:tcPr>
            <w:tcW w:w="1804"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kern w:val="0"/>
                <w:sz w:val="24"/>
                <w:szCs w:val="24"/>
                <w:vertAlign w:val="baseline"/>
                <w:lang w:val="en-US" w:eastAsia="zh-CN" w:bidi="ar"/>
              </w:rPr>
            </w:pPr>
            <w:r>
              <w:rPr>
                <w:rFonts w:hint="default" w:ascii="Times New Roman" w:hAnsi="Times New Roman" w:cs="Times New Roman" w:eastAsiaTheme="minorEastAsia"/>
                <w:b w:val="0"/>
                <w:bCs w:val="0"/>
                <w:color w:val="000000"/>
                <w:kern w:val="0"/>
                <w:sz w:val="24"/>
                <w:szCs w:val="24"/>
                <w:vertAlign w:val="baseline"/>
                <w:lang w:val="en-US" w:eastAsia="zh-CN" w:bidi="ar"/>
              </w:rPr>
              <w:t>蔬菜产值</w:t>
            </w:r>
          </w:p>
        </w:tc>
        <w:tc>
          <w:tcPr>
            <w:tcW w:w="782"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kern w:val="0"/>
                <w:sz w:val="24"/>
                <w:szCs w:val="24"/>
                <w:vertAlign w:val="baseline"/>
                <w:lang w:val="en-US" w:eastAsia="zh-CN" w:bidi="ar"/>
              </w:rPr>
            </w:pPr>
            <w:r>
              <w:rPr>
                <w:rFonts w:hint="default" w:ascii="Times New Roman" w:hAnsi="Times New Roman" w:cs="Times New Roman" w:eastAsiaTheme="minorEastAsia"/>
                <w:b w:val="0"/>
                <w:bCs w:val="0"/>
                <w:color w:val="000000"/>
                <w:kern w:val="0"/>
                <w:sz w:val="24"/>
                <w:szCs w:val="24"/>
                <w:vertAlign w:val="baseline"/>
                <w:lang w:val="en-US" w:eastAsia="zh-CN" w:bidi="ar"/>
              </w:rPr>
              <w:t>亿元</w:t>
            </w:r>
          </w:p>
        </w:tc>
        <w:tc>
          <w:tcPr>
            <w:tcW w:w="906"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kern w:val="0"/>
                <w:sz w:val="24"/>
                <w:szCs w:val="24"/>
                <w:vertAlign w:val="baseline"/>
                <w:lang w:val="en-US" w:eastAsia="zh-CN" w:bidi="ar"/>
              </w:rPr>
            </w:pPr>
            <w:r>
              <w:rPr>
                <w:rFonts w:hint="default" w:ascii="Times New Roman" w:hAnsi="Times New Roman" w:cs="Times New Roman" w:eastAsiaTheme="minorEastAsia"/>
                <w:b w:val="0"/>
                <w:bCs w:val="0"/>
                <w:color w:val="000000"/>
                <w:kern w:val="0"/>
                <w:sz w:val="24"/>
                <w:szCs w:val="24"/>
                <w:vertAlign w:val="baseline"/>
                <w:lang w:val="en-US" w:eastAsia="zh-CN" w:bidi="ar"/>
              </w:rPr>
              <w:t>7.28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64"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kern w:val="0"/>
                <w:sz w:val="24"/>
                <w:szCs w:val="24"/>
                <w:vertAlign w:val="baseline"/>
                <w:lang w:val="en-US" w:eastAsia="zh-CN" w:bidi="ar"/>
              </w:rPr>
            </w:pPr>
            <w:r>
              <w:rPr>
                <w:rFonts w:hint="default" w:ascii="Times New Roman" w:hAnsi="Times New Roman" w:cs="Times New Roman" w:eastAsiaTheme="minorEastAsia"/>
                <w:b w:val="0"/>
                <w:bCs w:val="0"/>
                <w:color w:val="000000"/>
                <w:kern w:val="0"/>
                <w:sz w:val="24"/>
                <w:szCs w:val="24"/>
                <w:vertAlign w:val="baseline"/>
                <w:lang w:val="en-US" w:eastAsia="zh-CN" w:bidi="ar"/>
              </w:rPr>
              <w:t>7</w:t>
            </w:r>
          </w:p>
        </w:tc>
        <w:tc>
          <w:tcPr>
            <w:tcW w:w="2239"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kern w:val="0"/>
                <w:sz w:val="24"/>
                <w:szCs w:val="24"/>
                <w:vertAlign w:val="baseline"/>
                <w:lang w:val="en-US" w:eastAsia="zh-CN" w:bidi="ar"/>
              </w:rPr>
            </w:pPr>
            <w:r>
              <w:rPr>
                <w:rFonts w:hint="default" w:ascii="Times New Roman" w:hAnsi="Times New Roman" w:cs="Times New Roman" w:eastAsiaTheme="minorEastAsia"/>
                <w:b w:val="0"/>
                <w:bCs w:val="0"/>
                <w:color w:val="000000"/>
                <w:kern w:val="0"/>
                <w:sz w:val="24"/>
                <w:szCs w:val="24"/>
                <w:vertAlign w:val="baseline"/>
                <w:lang w:val="en-US" w:eastAsia="zh-CN" w:bidi="ar"/>
              </w:rPr>
              <w:t>烤烟收购量</w:t>
            </w:r>
          </w:p>
        </w:tc>
        <w:tc>
          <w:tcPr>
            <w:tcW w:w="761"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kern w:val="0"/>
                <w:sz w:val="24"/>
                <w:szCs w:val="24"/>
                <w:vertAlign w:val="baseline"/>
                <w:lang w:val="en-US" w:eastAsia="zh-CN" w:bidi="ar"/>
              </w:rPr>
            </w:pPr>
            <w:r>
              <w:rPr>
                <w:rFonts w:hint="default" w:ascii="Times New Roman" w:hAnsi="Times New Roman" w:cs="Times New Roman" w:eastAsiaTheme="minorEastAsia"/>
                <w:b w:val="0"/>
                <w:bCs w:val="0"/>
                <w:color w:val="000000"/>
                <w:kern w:val="0"/>
                <w:sz w:val="24"/>
                <w:szCs w:val="24"/>
                <w:vertAlign w:val="baseline"/>
                <w:lang w:val="en-US" w:eastAsia="zh-CN" w:bidi="ar"/>
              </w:rPr>
              <w:t>万吨</w:t>
            </w:r>
          </w:p>
        </w:tc>
        <w:tc>
          <w:tcPr>
            <w:tcW w:w="935"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kern w:val="0"/>
                <w:sz w:val="24"/>
                <w:szCs w:val="24"/>
                <w:vertAlign w:val="baseline"/>
                <w:lang w:val="en-US" w:eastAsia="zh-CN" w:bidi="ar"/>
              </w:rPr>
            </w:pPr>
            <w:r>
              <w:rPr>
                <w:rFonts w:hint="default" w:ascii="Times New Roman" w:hAnsi="Times New Roman" w:cs="Times New Roman" w:eastAsiaTheme="minorEastAsia"/>
                <w:b w:val="0"/>
                <w:bCs w:val="0"/>
                <w:color w:val="000000"/>
                <w:kern w:val="0"/>
                <w:sz w:val="24"/>
                <w:szCs w:val="24"/>
                <w:vertAlign w:val="baseline"/>
                <w:lang w:val="en-US" w:eastAsia="zh-CN" w:bidi="ar"/>
              </w:rPr>
              <w:t>1.80</w:t>
            </w:r>
          </w:p>
        </w:tc>
        <w:tc>
          <w:tcPr>
            <w:tcW w:w="634"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kern w:val="0"/>
                <w:sz w:val="24"/>
                <w:szCs w:val="24"/>
                <w:vertAlign w:val="baseline"/>
                <w:lang w:val="en-US" w:eastAsia="zh-CN" w:bidi="ar"/>
              </w:rPr>
            </w:pPr>
            <w:r>
              <w:rPr>
                <w:rFonts w:hint="default" w:ascii="Times New Roman" w:hAnsi="Times New Roman" w:cs="Times New Roman" w:eastAsiaTheme="minorEastAsia"/>
                <w:b w:val="0"/>
                <w:bCs w:val="0"/>
                <w:color w:val="000000"/>
                <w:kern w:val="0"/>
                <w:sz w:val="24"/>
                <w:szCs w:val="24"/>
                <w:vertAlign w:val="baseline"/>
                <w:lang w:val="en-US" w:eastAsia="zh-CN" w:bidi="ar"/>
              </w:rPr>
              <w:t>21</w:t>
            </w:r>
          </w:p>
        </w:tc>
        <w:tc>
          <w:tcPr>
            <w:tcW w:w="1804"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kern w:val="0"/>
                <w:sz w:val="24"/>
                <w:szCs w:val="24"/>
                <w:vertAlign w:val="baseline"/>
                <w:lang w:val="en-US" w:eastAsia="zh-CN" w:bidi="ar"/>
              </w:rPr>
            </w:pPr>
            <w:r>
              <w:rPr>
                <w:rFonts w:hint="default" w:ascii="Times New Roman" w:hAnsi="Times New Roman" w:cs="Times New Roman" w:eastAsiaTheme="minorEastAsia"/>
                <w:b w:val="0"/>
                <w:bCs w:val="0"/>
                <w:color w:val="000000"/>
                <w:kern w:val="0"/>
                <w:sz w:val="24"/>
                <w:szCs w:val="24"/>
                <w:vertAlign w:val="baseline"/>
                <w:lang w:val="en-US" w:eastAsia="zh-CN" w:bidi="ar"/>
              </w:rPr>
              <w:t>花卉种植面积</w:t>
            </w:r>
          </w:p>
        </w:tc>
        <w:tc>
          <w:tcPr>
            <w:tcW w:w="782"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kern w:val="0"/>
                <w:sz w:val="24"/>
                <w:szCs w:val="24"/>
                <w:vertAlign w:val="baseline"/>
                <w:lang w:val="en-US" w:eastAsia="zh-CN" w:bidi="ar"/>
              </w:rPr>
            </w:pPr>
            <w:r>
              <w:rPr>
                <w:rFonts w:hint="default" w:ascii="Times New Roman" w:hAnsi="Times New Roman" w:cs="Times New Roman" w:eastAsiaTheme="minorEastAsia"/>
                <w:b w:val="0"/>
                <w:bCs w:val="0"/>
                <w:color w:val="000000"/>
                <w:kern w:val="0"/>
                <w:sz w:val="24"/>
                <w:szCs w:val="24"/>
                <w:vertAlign w:val="baseline"/>
                <w:lang w:val="en-US" w:eastAsia="zh-CN" w:bidi="ar"/>
              </w:rPr>
              <w:t>万亩</w:t>
            </w:r>
          </w:p>
        </w:tc>
        <w:tc>
          <w:tcPr>
            <w:tcW w:w="906"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kern w:val="0"/>
                <w:sz w:val="24"/>
                <w:szCs w:val="24"/>
                <w:vertAlign w:val="baseline"/>
                <w:lang w:val="en-US" w:eastAsia="zh-CN" w:bidi="ar"/>
              </w:rPr>
            </w:pPr>
            <w:r>
              <w:rPr>
                <w:rFonts w:hint="default" w:ascii="Times New Roman" w:hAnsi="Times New Roman" w:cs="Times New Roman" w:eastAsiaTheme="minorEastAsia"/>
                <w:b w:val="0"/>
                <w:bCs w:val="0"/>
                <w:color w:val="000000"/>
                <w:kern w:val="0"/>
                <w:sz w:val="24"/>
                <w:szCs w:val="24"/>
                <w:vertAlign w:val="baseline"/>
                <w:lang w:val="en-US" w:eastAsia="zh-CN" w:bidi="ar"/>
              </w:rPr>
              <w:t>2.56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64"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kern w:val="0"/>
                <w:sz w:val="24"/>
                <w:szCs w:val="24"/>
                <w:vertAlign w:val="baseline"/>
                <w:lang w:val="en-US" w:eastAsia="zh-CN" w:bidi="ar"/>
              </w:rPr>
            </w:pPr>
            <w:r>
              <w:rPr>
                <w:rFonts w:hint="default" w:ascii="Times New Roman" w:hAnsi="Times New Roman" w:cs="Times New Roman" w:eastAsiaTheme="minorEastAsia"/>
                <w:b w:val="0"/>
                <w:bCs w:val="0"/>
                <w:color w:val="000000"/>
                <w:kern w:val="0"/>
                <w:sz w:val="24"/>
                <w:szCs w:val="24"/>
                <w:vertAlign w:val="baseline"/>
                <w:lang w:val="en-US" w:eastAsia="zh-CN" w:bidi="ar"/>
              </w:rPr>
              <w:t>8</w:t>
            </w:r>
          </w:p>
        </w:tc>
        <w:tc>
          <w:tcPr>
            <w:tcW w:w="2239"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kern w:val="0"/>
                <w:sz w:val="24"/>
                <w:szCs w:val="24"/>
                <w:vertAlign w:val="baseline"/>
                <w:lang w:val="en-US" w:eastAsia="zh-CN" w:bidi="ar"/>
              </w:rPr>
            </w:pPr>
            <w:r>
              <w:rPr>
                <w:rFonts w:hint="default" w:ascii="Times New Roman" w:hAnsi="Times New Roman" w:cs="Times New Roman" w:eastAsiaTheme="minorEastAsia"/>
                <w:b w:val="0"/>
                <w:bCs w:val="0"/>
                <w:color w:val="000000"/>
                <w:kern w:val="0"/>
                <w:sz w:val="24"/>
                <w:szCs w:val="24"/>
                <w:vertAlign w:val="baseline"/>
                <w:lang w:val="en-US" w:eastAsia="zh-CN" w:bidi="ar"/>
              </w:rPr>
              <w:t>烟叶收购总值</w:t>
            </w:r>
          </w:p>
        </w:tc>
        <w:tc>
          <w:tcPr>
            <w:tcW w:w="761"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kern w:val="0"/>
                <w:sz w:val="24"/>
                <w:szCs w:val="24"/>
                <w:vertAlign w:val="baseline"/>
                <w:lang w:val="en-US" w:eastAsia="zh-CN" w:bidi="ar"/>
              </w:rPr>
            </w:pPr>
            <w:r>
              <w:rPr>
                <w:rFonts w:hint="default" w:ascii="Times New Roman" w:hAnsi="Times New Roman" w:cs="Times New Roman" w:eastAsiaTheme="minorEastAsia"/>
                <w:b w:val="0"/>
                <w:bCs w:val="0"/>
                <w:color w:val="000000"/>
                <w:kern w:val="0"/>
                <w:sz w:val="24"/>
                <w:szCs w:val="24"/>
                <w:vertAlign w:val="baseline"/>
                <w:lang w:val="en-US" w:eastAsia="zh-CN" w:bidi="ar"/>
              </w:rPr>
              <w:t>亿元</w:t>
            </w:r>
          </w:p>
        </w:tc>
        <w:tc>
          <w:tcPr>
            <w:tcW w:w="935"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kern w:val="0"/>
                <w:sz w:val="24"/>
                <w:szCs w:val="24"/>
                <w:vertAlign w:val="baseline"/>
                <w:lang w:val="en-US" w:eastAsia="zh-CN" w:bidi="ar"/>
              </w:rPr>
            </w:pPr>
            <w:r>
              <w:rPr>
                <w:rFonts w:hint="default" w:ascii="Times New Roman" w:hAnsi="Times New Roman" w:cs="Times New Roman" w:eastAsiaTheme="minorEastAsia"/>
                <w:b w:val="0"/>
                <w:bCs w:val="0"/>
                <w:color w:val="000000"/>
                <w:kern w:val="0"/>
                <w:sz w:val="24"/>
                <w:szCs w:val="24"/>
                <w:vertAlign w:val="baseline"/>
                <w:lang w:val="en-US" w:eastAsia="zh-CN" w:bidi="ar"/>
              </w:rPr>
              <w:t>4.59</w:t>
            </w:r>
          </w:p>
        </w:tc>
        <w:tc>
          <w:tcPr>
            <w:tcW w:w="634"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kern w:val="0"/>
                <w:sz w:val="24"/>
                <w:szCs w:val="24"/>
                <w:vertAlign w:val="baseline"/>
                <w:lang w:val="en-US" w:eastAsia="zh-CN" w:bidi="ar"/>
              </w:rPr>
            </w:pPr>
            <w:r>
              <w:rPr>
                <w:rFonts w:hint="default" w:ascii="Times New Roman" w:hAnsi="Times New Roman" w:cs="Times New Roman" w:eastAsiaTheme="minorEastAsia"/>
                <w:b w:val="0"/>
                <w:bCs w:val="0"/>
                <w:color w:val="000000"/>
                <w:kern w:val="0"/>
                <w:sz w:val="24"/>
                <w:szCs w:val="24"/>
                <w:vertAlign w:val="baseline"/>
                <w:lang w:val="en-US" w:eastAsia="zh-CN" w:bidi="ar"/>
              </w:rPr>
              <w:t>22</w:t>
            </w:r>
          </w:p>
        </w:tc>
        <w:tc>
          <w:tcPr>
            <w:tcW w:w="1804"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kern w:val="0"/>
                <w:sz w:val="24"/>
                <w:szCs w:val="24"/>
                <w:vertAlign w:val="baseline"/>
                <w:lang w:val="en-US" w:eastAsia="zh-CN" w:bidi="ar"/>
              </w:rPr>
            </w:pPr>
            <w:r>
              <w:rPr>
                <w:rFonts w:hint="default" w:ascii="Times New Roman" w:hAnsi="Times New Roman" w:cs="Times New Roman" w:eastAsiaTheme="minorEastAsia"/>
                <w:b w:val="0"/>
                <w:bCs w:val="0"/>
                <w:color w:val="000000"/>
                <w:kern w:val="0"/>
                <w:sz w:val="24"/>
                <w:szCs w:val="24"/>
                <w:vertAlign w:val="baseline"/>
                <w:lang w:val="en-US" w:eastAsia="zh-CN" w:bidi="ar"/>
              </w:rPr>
              <w:t>花卉产值</w:t>
            </w:r>
          </w:p>
        </w:tc>
        <w:tc>
          <w:tcPr>
            <w:tcW w:w="782"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kern w:val="0"/>
                <w:sz w:val="24"/>
                <w:szCs w:val="24"/>
                <w:vertAlign w:val="baseline"/>
                <w:lang w:val="en-US" w:eastAsia="zh-CN" w:bidi="ar"/>
              </w:rPr>
            </w:pPr>
            <w:r>
              <w:rPr>
                <w:rFonts w:hint="default" w:ascii="Times New Roman" w:hAnsi="Times New Roman" w:cs="Times New Roman" w:eastAsiaTheme="minorEastAsia"/>
                <w:b w:val="0"/>
                <w:bCs w:val="0"/>
                <w:color w:val="000000"/>
                <w:kern w:val="0"/>
                <w:sz w:val="24"/>
                <w:szCs w:val="24"/>
                <w:vertAlign w:val="baseline"/>
                <w:lang w:val="en-US" w:eastAsia="zh-CN" w:bidi="ar"/>
              </w:rPr>
              <w:t>亿元</w:t>
            </w:r>
          </w:p>
        </w:tc>
        <w:tc>
          <w:tcPr>
            <w:tcW w:w="906"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kern w:val="0"/>
                <w:sz w:val="24"/>
                <w:szCs w:val="24"/>
                <w:vertAlign w:val="baseline"/>
                <w:lang w:val="en-US" w:eastAsia="zh-CN" w:bidi="ar"/>
              </w:rPr>
            </w:pPr>
            <w:r>
              <w:rPr>
                <w:rFonts w:hint="default" w:ascii="Times New Roman" w:hAnsi="Times New Roman" w:cs="Times New Roman" w:eastAsiaTheme="minorEastAsia"/>
                <w:b w:val="0"/>
                <w:bCs w:val="0"/>
                <w:color w:val="000000"/>
                <w:kern w:val="0"/>
                <w:sz w:val="24"/>
                <w:szCs w:val="24"/>
                <w:vertAlign w:val="baseline"/>
                <w:lang w:val="en-US" w:eastAsia="zh-CN" w:bidi="ar"/>
              </w:rPr>
              <w:t>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64"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kern w:val="0"/>
                <w:sz w:val="24"/>
                <w:szCs w:val="24"/>
                <w:vertAlign w:val="baseline"/>
                <w:lang w:val="en-US" w:eastAsia="zh-CN" w:bidi="ar"/>
              </w:rPr>
            </w:pPr>
            <w:r>
              <w:rPr>
                <w:rFonts w:hint="default" w:ascii="Times New Roman" w:hAnsi="Times New Roman" w:cs="Times New Roman" w:eastAsiaTheme="minorEastAsia"/>
                <w:b w:val="0"/>
                <w:bCs w:val="0"/>
                <w:color w:val="000000"/>
                <w:kern w:val="0"/>
                <w:sz w:val="24"/>
                <w:szCs w:val="24"/>
                <w:vertAlign w:val="baseline"/>
                <w:lang w:val="en-US" w:eastAsia="zh-CN" w:bidi="ar"/>
              </w:rPr>
              <w:t>9</w:t>
            </w:r>
          </w:p>
        </w:tc>
        <w:tc>
          <w:tcPr>
            <w:tcW w:w="2239"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kern w:val="0"/>
                <w:sz w:val="24"/>
                <w:szCs w:val="24"/>
                <w:vertAlign w:val="baseline"/>
                <w:lang w:val="en-US" w:eastAsia="zh-CN" w:bidi="ar"/>
              </w:rPr>
            </w:pPr>
            <w:r>
              <w:rPr>
                <w:rFonts w:hint="default" w:ascii="Times New Roman" w:hAnsi="Times New Roman" w:cs="Times New Roman" w:eastAsiaTheme="minorEastAsia"/>
                <w:b w:val="0"/>
                <w:bCs w:val="0"/>
                <w:color w:val="000000"/>
                <w:kern w:val="0"/>
                <w:sz w:val="24"/>
                <w:szCs w:val="24"/>
                <w:vertAlign w:val="baseline"/>
                <w:lang w:val="en-US" w:eastAsia="zh-CN" w:bidi="ar"/>
              </w:rPr>
              <w:t>烟叶税金</w:t>
            </w:r>
          </w:p>
        </w:tc>
        <w:tc>
          <w:tcPr>
            <w:tcW w:w="761"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kern w:val="0"/>
                <w:sz w:val="24"/>
                <w:szCs w:val="24"/>
                <w:vertAlign w:val="baseline"/>
                <w:lang w:val="en-US" w:eastAsia="zh-CN" w:bidi="ar"/>
              </w:rPr>
            </w:pPr>
            <w:r>
              <w:rPr>
                <w:rFonts w:hint="default" w:ascii="Times New Roman" w:hAnsi="Times New Roman" w:cs="Times New Roman" w:eastAsiaTheme="minorEastAsia"/>
                <w:b w:val="0"/>
                <w:bCs w:val="0"/>
                <w:color w:val="000000"/>
                <w:kern w:val="0"/>
                <w:sz w:val="24"/>
                <w:szCs w:val="24"/>
                <w:vertAlign w:val="baseline"/>
                <w:lang w:val="en-US" w:eastAsia="zh-CN" w:bidi="ar"/>
              </w:rPr>
              <w:t>亿元</w:t>
            </w:r>
          </w:p>
        </w:tc>
        <w:tc>
          <w:tcPr>
            <w:tcW w:w="935"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kern w:val="0"/>
                <w:sz w:val="24"/>
                <w:szCs w:val="24"/>
                <w:vertAlign w:val="baseline"/>
                <w:lang w:val="en-US" w:eastAsia="zh-CN" w:bidi="ar"/>
              </w:rPr>
            </w:pPr>
            <w:r>
              <w:rPr>
                <w:rFonts w:hint="default" w:ascii="Times New Roman" w:hAnsi="Times New Roman" w:cs="Times New Roman" w:eastAsiaTheme="minorEastAsia"/>
                <w:b w:val="0"/>
                <w:bCs w:val="0"/>
                <w:color w:val="000000"/>
                <w:kern w:val="0"/>
                <w:sz w:val="24"/>
                <w:szCs w:val="24"/>
                <w:vertAlign w:val="baseline"/>
                <w:lang w:val="en-US" w:eastAsia="zh-CN" w:bidi="ar"/>
              </w:rPr>
              <w:t>1.01</w:t>
            </w:r>
          </w:p>
        </w:tc>
        <w:tc>
          <w:tcPr>
            <w:tcW w:w="634"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kern w:val="0"/>
                <w:sz w:val="24"/>
                <w:szCs w:val="24"/>
                <w:vertAlign w:val="baseline"/>
                <w:lang w:val="en-US" w:eastAsia="zh-CN" w:bidi="ar"/>
              </w:rPr>
            </w:pPr>
            <w:r>
              <w:rPr>
                <w:rFonts w:hint="default" w:ascii="Times New Roman" w:hAnsi="Times New Roman" w:cs="Times New Roman" w:eastAsiaTheme="minorEastAsia"/>
                <w:b w:val="0"/>
                <w:bCs w:val="0"/>
                <w:color w:val="000000"/>
                <w:kern w:val="0"/>
                <w:sz w:val="24"/>
                <w:szCs w:val="24"/>
                <w:vertAlign w:val="baseline"/>
                <w:lang w:val="en-US" w:eastAsia="zh-CN" w:bidi="ar"/>
              </w:rPr>
              <w:t>23</w:t>
            </w:r>
          </w:p>
        </w:tc>
        <w:tc>
          <w:tcPr>
            <w:tcW w:w="1804"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kern w:val="0"/>
                <w:sz w:val="24"/>
                <w:szCs w:val="24"/>
                <w:vertAlign w:val="baseline"/>
                <w:lang w:val="en-US" w:eastAsia="zh-CN" w:bidi="ar"/>
              </w:rPr>
            </w:pPr>
            <w:r>
              <w:rPr>
                <w:rFonts w:hint="default" w:ascii="Times New Roman" w:hAnsi="Times New Roman" w:cs="Times New Roman" w:eastAsiaTheme="minorEastAsia"/>
                <w:b w:val="0"/>
                <w:bCs w:val="0"/>
                <w:color w:val="000000"/>
                <w:kern w:val="0"/>
                <w:sz w:val="24"/>
                <w:szCs w:val="24"/>
                <w:vertAlign w:val="baseline"/>
                <w:lang w:val="en-US" w:eastAsia="zh-CN" w:bidi="ar"/>
              </w:rPr>
              <w:t>水果种植面积</w:t>
            </w:r>
          </w:p>
        </w:tc>
        <w:tc>
          <w:tcPr>
            <w:tcW w:w="782"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kern w:val="0"/>
                <w:sz w:val="24"/>
                <w:szCs w:val="24"/>
                <w:vertAlign w:val="baseline"/>
                <w:lang w:val="en-US" w:eastAsia="zh-CN" w:bidi="ar"/>
              </w:rPr>
            </w:pPr>
            <w:r>
              <w:rPr>
                <w:rFonts w:hint="default" w:ascii="Times New Roman" w:hAnsi="Times New Roman" w:cs="Times New Roman" w:eastAsiaTheme="minorEastAsia"/>
                <w:b w:val="0"/>
                <w:bCs w:val="0"/>
                <w:color w:val="000000"/>
                <w:kern w:val="0"/>
                <w:sz w:val="24"/>
                <w:szCs w:val="24"/>
                <w:vertAlign w:val="baseline"/>
                <w:lang w:val="en-US" w:eastAsia="zh-CN" w:bidi="ar"/>
              </w:rPr>
              <w:t>万亩</w:t>
            </w:r>
          </w:p>
        </w:tc>
        <w:tc>
          <w:tcPr>
            <w:tcW w:w="906"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kern w:val="0"/>
                <w:sz w:val="24"/>
                <w:szCs w:val="24"/>
                <w:vertAlign w:val="baseline"/>
                <w:lang w:val="en-US" w:eastAsia="zh-CN" w:bidi="ar"/>
              </w:rPr>
            </w:pPr>
            <w:r>
              <w:rPr>
                <w:rFonts w:hint="default" w:ascii="Times New Roman" w:hAnsi="Times New Roman" w:cs="Times New Roman" w:eastAsiaTheme="minorEastAsia"/>
                <w:b w:val="0"/>
                <w:bCs w:val="0"/>
                <w:color w:val="000000"/>
                <w:kern w:val="0"/>
                <w:sz w:val="24"/>
                <w:szCs w:val="24"/>
                <w:vertAlign w:val="baseline"/>
                <w:lang w:val="en-US" w:eastAsia="zh-CN" w:bidi="ar"/>
              </w:rPr>
              <w:t>12.64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64"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kern w:val="0"/>
                <w:sz w:val="24"/>
                <w:szCs w:val="24"/>
                <w:vertAlign w:val="baseline"/>
                <w:lang w:val="en-US" w:eastAsia="zh-CN" w:bidi="ar"/>
              </w:rPr>
            </w:pPr>
            <w:r>
              <w:rPr>
                <w:rFonts w:hint="default" w:ascii="Times New Roman" w:hAnsi="Times New Roman" w:cs="Times New Roman" w:eastAsiaTheme="minorEastAsia"/>
                <w:b w:val="0"/>
                <w:bCs w:val="0"/>
                <w:color w:val="000000"/>
                <w:kern w:val="0"/>
                <w:sz w:val="24"/>
                <w:szCs w:val="24"/>
                <w:vertAlign w:val="baseline"/>
                <w:lang w:val="en-US" w:eastAsia="zh-CN" w:bidi="ar"/>
              </w:rPr>
              <w:t>10</w:t>
            </w:r>
          </w:p>
        </w:tc>
        <w:tc>
          <w:tcPr>
            <w:tcW w:w="2239"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kern w:val="0"/>
                <w:sz w:val="24"/>
                <w:szCs w:val="24"/>
                <w:vertAlign w:val="baseline"/>
                <w:lang w:val="en-US" w:eastAsia="zh-CN" w:bidi="ar"/>
              </w:rPr>
            </w:pPr>
            <w:r>
              <w:rPr>
                <w:rFonts w:hint="default" w:ascii="Times New Roman" w:hAnsi="Times New Roman" w:cs="Times New Roman" w:eastAsiaTheme="minorEastAsia"/>
                <w:b w:val="0"/>
                <w:bCs w:val="0"/>
                <w:color w:val="000000"/>
                <w:kern w:val="0"/>
                <w:sz w:val="24"/>
                <w:szCs w:val="24"/>
                <w:vertAlign w:val="baseline"/>
                <w:lang w:val="en-US" w:eastAsia="zh-CN" w:bidi="ar"/>
              </w:rPr>
              <w:t>生猪出栏</w:t>
            </w:r>
          </w:p>
        </w:tc>
        <w:tc>
          <w:tcPr>
            <w:tcW w:w="761"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kern w:val="0"/>
                <w:sz w:val="24"/>
                <w:szCs w:val="24"/>
                <w:vertAlign w:val="baseline"/>
                <w:lang w:val="en-US" w:eastAsia="zh-CN" w:bidi="ar"/>
              </w:rPr>
            </w:pPr>
            <w:r>
              <w:rPr>
                <w:rFonts w:hint="default" w:ascii="Times New Roman" w:hAnsi="Times New Roman" w:cs="Times New Roman" w:eastAsiaTheme="minorEastAsia"/>
                <w:b w:val="0"/>
                <w:bCs w:val="0"/>
                <w:color w:val="000000"/>
                <w:kern w:val="0"/>
                <w:sz w:val="24"/>
                <w:szCs w:val="24"/>
                <w:vertAlign w:val="baseline"/>
                <w:lang w:val="en-US" w:eastAsia="zh-CN" w:bidi="ar"/>
              </w:rPr>
              <w:t>万头</w:t>
            </w:r>
          </w:p>
        </w:tc>
        <w:tc>
          <w:tcPr>
            <w:tcW w:w="935"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kern w:val="0"/>
                <w:sz w:val="24"/>
                <w:szCs w:val="24"/>
                <w:vertAlign w:val="baseline"/>
                <w:lang w:val="en-US" w:eastAsia="zh-CN" w:bidi="ar"/>
              </w:rPr>
            </w:pPr>
            <w:r>
              <w:rPr>
                <w:rFonts w:hint="default" w:ascii="Times New Roman" w:hAnsi="Times New Roman" w:cs="Times New Roman" w:eastAsiaTheme="minorEastAsia"/>
                <w:b w:val="0"/>
                <w:bCs w:val="0"/>
                <w:color w:val="000000"/>
                <w:kern w:val="0"/>
                <w:sz w:val="24"/>
                <w:szCs w:val="24"/>
                <w:vertAlign w:val="baseline"/>
                <w:lang w:val="en-US" w:eastAsia="zh-CN" w:bidi="ar"/>
              </w:rPr>
              <w:t>16.97</w:t>
            </w:r>
          </w:p>
        </w:tc>
        <w:tc>
          <w:tcPr>
            <w:tcW w:w="634"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kern w:val="0"/>
                <w:sz w:val="24"/>
                <w:szCs w:val="24"/>
                <w:vertAlign w:val="baseline"/>
                <w:lang w:val="en-US" w:eastAsia="zh-CN" w:bidi="ar"/>
              </w:rPr>
            </w:pPr>
            <w:r>
              <w:rPr>
                <w:rFonts w:hint="default" w:ascii="Times New Roman" w:hAnsi="Times New Roman" w:cs="Times New Roman" w:eastAsiaTheme="minorEastAsia"/>
                <w:b w:val="0"/>
                <w:bCs w:val="0"/>
                <w:color w:val="000000"/>
                <w:kern w:val="0"/>
                <w:sz w:val="24"/>
                <w:szCs w:val="24"/>
                <w:vertAlign w:val="baseline"/>
                <w:lang w:val="en-US" w:eastAsia="zh-CN" w:bidi="ar"/>
              </w:rPr>
              <w:t>24</w:t>
            </w:r>
          </w:p>
        </w:tc>
        <w:tc>
          <w:tcPr>
            <w:tcW w:w="1804"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kern w:val="0"/>
                <w:sz w:val="24"/>
                <w:szCs w:val="24"/>
                <w:vertAlign w:val="baseline"/>
                <w:lang w:val="en-US" w:eastAsia="zh-CN" w:bidi="ar"/>
              </w:rPr>
            </w:pPr>
            <w:r>
              <w:rPr>
                <w:rFonts w:hint="default" w:ascii="Times New Roman" w:hAnsi="Times New Roman" w:cs="Times New Roman" w:eastAsiaTheme="minorEastAsia"/>
                <w:b w:val="0"/>
                <w:bCs w:val="0"/>
                <w:color w:val="000000"/>
                <w:kern w:val="0"/>
                <w:sz w:val="24"/>
                <w:szCs w:val="24"/>
                <w:vertAlign w:val="baseline"/>
                <w:lang w:val="en-US" w:eastAsia="zh-CN" w:bidi="ar"/>
              </w:rPr>
              <w:t>水果产量</w:t>
            </w:r>
          </w:p>
        </w:tc>
        <w:tc>
          <w:tcPr>
            <w:tcW w:w="782"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kern w:val="0"/>
                <w:sz w:val="24"/>
                <w:szCs w:val="24"/>
                <w:vertAlign w:val="baseline"/>
                <w:lang w:val="en-US" w:eastAsia="zh-CN" w:bidi="ar"/>
              </w:rPr>
            </w:pPr>
            <w:r>
              <w:rPr>
                <w:rFonts w:hint="default" w:ascii="Times New Roman" w:hAnsi="Times New Roman" w:cs="Times New Roman" w:eastAsiaTheme="minorEastAsia"/>
                <w:b w:val="0"/>
                <w:bCs w:val="0"/>
                <w:color w:val="000000"/>
                <w:kern w:val="0"/>
                <w:sz w:val="24"/>
                <w:szCs w:val="24"/>
                <w:vertAlign w:val="baseline"/>
                <w:lang w:val="en-US" w:eastAsia="zh-CN" w:bidi="ar"/>
              </w:rPr>
              <w:t>万吨</w:t>
            </w:r>
          </w:p>
        </w:tc>
        <w:tc>
          <w:tcPr>
            <w:tcW w:w="906"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kern w:val="0"/>
                <w:sz w:val="24"/>
                <w:szCs w:val="24"/>
                <w:vertAlign w:val="baseline"/>
                <w:lang w:val="en-US" w:eastAsia="zh-CN" w:bidi="ar"/>
              </w:rPr>
            </w:pPr>
            <w:r>
              <w:rPr>
                <w:rFonts w:hint="default" w:ascii="Times New Roman" w:hAnsi="Times New Roman" w:cs="Times New Roman" w:eastAsiaTheme="minorEastAsia"/>
                <w:b w:val="0"/>
                <w:bCs w:val="0"/>
                <w:color w:val="000000"/>
                <w:kern w:val="0"/>
                <w:sz w:val="24"/>
                <w:szCs w:val="24"/>
                <w:vertAlign w:val="baseline"/>
                <w:lang w:val="en-US" w:eastAsia="zh-CN" w:bidi="ar"/>
              </w:rPr>
              <w:t>4.83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64"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kern w:val="0"/>
                <w:sz w:val="24"/>
                <w:szCs w:val="24"/>
                <w:vertAlign w:val="baseline"/>
                <w:lang w:val="en-US" w:eastAsia="zh-CN" w:bidi="ar"/>
              </w:rPr>
            </w:pPr>
            <w:r>
              <w:rPr>
                <w:rFonts w:hint="default" w:ascii="Times New Roman" w:hAnsi="Times New Roman" w:cs="Times New Roman" w:eastAsiaTheme="minorEastAsia"/>
                <w:b w:val="0"/>
                <w:bCs w:val="0"/>
                <w:color w:val="000000"/>
                <w:kern w:val="0"/>
                <w:sz w:val="24"/>
                <w:szCs w:val="24"/>
                <w:vertAlign w:val="baseline"/>
                <w:lang w:val="en-US" w:eastAsia="zh-CN" w:bidi="ar"/>
              </w:rPr>
              <w:t>11</w:t>
            </w:r>
          </w:p>
        </w:tc>
        <w:tc>
          <w:tcPr>
            <w:tcW w:w="2239"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kern w:val="0"/>
                <w:sz w:val="24"/>
                <w:szCs w:val="24"/>
                <w:vertAlign w:val="baseline"/>
                <w:lang w:val="en-US" w:eastAsia="zh-CN" w:bidi="ar"/>
              </w:rPr>
            </w:pPr>
            <w:r>
              <w:rPr>
                <w:rFonts w:hint="default" w:ascii="Times New Roman" w:hAnsi="Times New Roman" w:cs="Times New Roman" w:eastAsiaTheme="minorEastAsia"/>
                <w:b w:val="0"/>
                <w:bCs w:val="0"/>
                <w:color w:val="000000"/>
                <w:kern w:val="0"/>
                <w:sz w:val="24"/>
                <w:szCs w:val="24"/>
                <w:vertAlign w:val="baseline"/>
                <w:lang w:val="en-US" w:eastAsia="zh-CN" w:bidi="ar"/>
              </w:rPr>
              <w:t>肉牛出栏</w:t>
            </w:r>
          </w:p>
        </w:tc>
        <w:tc>
          <w:tcPr>
            <w:tcW w:w="761"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kern w:val="0"/>
                <w:sz w:val="24"/>
                <w:szCs w:val="24"/>
                <w:vertAlign w:val="baseline"/>
                <w:lang w:val="en-US" w:eastAsia="zh-CN" w:bidi="ar"/>
              </w:rPr>
            </w:pPr>
            <w:r>
              <w:rPr>
                <w:rFonts w:hint="default" w:ascii="Times New Roman" w:hAnsi="Times New Roman" w:cs="Times New Roman" w:eastAsiaTheme="minorEastAsia"/>
                <w:b w:val="0"/>
                <w:bCs w:val="0"/>
                <w:color w:val="000000"/>
                <w:kern w:val="0"/>
                <w:sz w:val="24"/>
                <w:szCs w:val="24"/>
                <w:vertAlign w:val="baseline"/>
                <w:lang w:val="en-US" w:eastAsia="zh-CN" w:bidi="ar"/>
              </w:rPr>
              <w:t>万头</w:t>
            </w:r>
          </w:p>
        </w:tc>
        <w:tc>
          <w:tcPr>
            <w:tcW w:w="935"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kern w:val="0"/>
                <w:sz w:val="24"/>
                <w:szCs w:val="24"/>
                <w:vertAlign w:val="baseline"/>
                <w:lang w:val="en-US" w:eastAsia="zh-CN" w:bidi="ar"/>
              </w:rPr>
            </w:pPr>
            <w:r>
              <w:rPr>
                <w:rFonts w:hint="default" w:ascii="Times New Roman" w:hAnsi="Times New Roman" w:cs="Times New Roman" w:eastAsiaTheme="minorEastAsia"/>
                <w:b w:val="0"/>
                <w:bCs w:val="0"/>
                <w:color w:val="000000"/>
                <w:kern w:val="0"/>
                <w:sz w:val="24"/>
                <w:szCs w:val="24"/>
                <w:vertAlign w:val="baseline"/>
                <w:lang w:val="en-US" w:eastAsia="zh-CN" w:bidi="ar"/>
              </w:rPr>
              <w:t>7.06</w:t>
            </w:r>
          </w:p>
        </w:tc>
        <w:tc>
          <w:tcPr>
            <w:tcW w:w="634"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kern w:val="0"/>
                <w:sz w:val="24"/>
                <w:szCs w:val="24"/>
                <w:vertAlign w:val="baseline"/>
                <w:lang w:val="en-US" w:eastAsia="zh-CN" w:bidi="ar"/>
              </w:rPr>
            </w:pPr>
            <w:r>
              <w:rPr>
                <w:rFonts w:hint="default" w:ascii="Times New Roman" w:hAnsi="Times New Roman" w:cs="Times New Roman" w:eastAsiaTheme="minorEastAsia"/>
                <w:b w:val="0"/>
                <w:bCs w:val="0"/>
                <w:color w:val="000000"/>
                <w:kern w:val="0"/>
                <w:sz w:val="24"/>
                <w:szCs w:val="24"/>
                <w:vertAlign w:val="baseline"/>
                <w:lang w:val="en-US" w:eastAsia="zh-CN" w:bidi="ar"/>
              </w:rPr>
              <w:t>25</w:t>
            </w:r>
          </w:p>
        </w:tc>
        <w:tc>
          <w:tcPr>
            <w:tcW w:w="1804"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kern w:val="0"/>
                <w:sz w:val="24"/>
                <w:szCs w:val="24"/>
                <w:vertAlign w:val="baseline"/>
                <w:lang w:val="en-US" w:eastAsia="zh-CN" w:bidi="ar"/>
              </w:rPr>
            </w:pPr>
            <w:r>
              <w:rPr>
                <w:rFonts w:hint="default" w:ascii="Times New Roman" w:hAnsi="Times New Roman" w:cs="Times New Roman" w:eastAsiaTheme="minorEastAsia"/>
                <w:b w:val="0"/>
                <w:bCs w:val="0"/>
                <w:color w:val="000000"/>
                <w:kern w:val="0"/>
                <w:sz w:val="24"/>
                <w:szCs w:val="24"/>
                <w:vertAlign w:val="baseline"/>
                <w:lang w:val="en-US" w:eastAsia="zh-CN" w:bidi="ar"/>
              </w:rPr>
              <w:t>水果产值</w:t>
            </w:r>
          </w:p>
        </w:tc>
        <w:tc>
          <w:tcPr>
            <w:tcW w:w="782"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kern w:val="0"/>
                <w:sz w:val="24"/>
                <w:szCs w:val="24"/>
                <w:vertAlign w:val="baseline"/>
                <w:lang w:val="en-US" w:eastAsia="zh-CN" w:bidi="ar"/>
              </w:rPr>
            </w:pPr>
            <w:r>
              <w:rPr>
                <w:rFonts w:hint="default" w:ascii="Times New Roman" w:hAnsi="Times New Roman" w:cs="Times New Roman" w:eastAsiaTheme="minorEastAsia"/>
                <w:b w:val="0"/>
                <w:bCs w:val="0"/>
                <w:color w:val="000000"/>
                <w:kern w:val="0"/>
                <w:sz w:val="24"/>
                <w:szCs w:val="24"/>
                <w:vertAlign w:val="baseline"/>
                <w:lang w:val="en-US" w:eastAsia="zh-CN" w:bidi="ar"/>
              </w:rPr>
              <w:t>亿元</w:t>
            </w:r>
          </w:p>
        </w:tc>
        <w:tc>
          <w:tcPr>
            <w:tcW w:w="906"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kern w:val="0"/>
                <w:sz w:val="24"/>
                <w:szCs w:val="24"/>
                <w:vertAlign w:val="baseline"/>
                <w:lang w:val="en-US" w:eastAsia="zh-CN" w:bidi="ar"/>
              </w:rPr>
            </w:pPr>
            <w:r>
              <w:rPr>
                <w:rFonts w:hint="default" w:ascii="Times New Roman" w:hAnsi="Times New Roman" w:cs="Times New Roman" w:eastAsiaTheme="minorEastAsia"/>
                <w:b w:val="0"/>
                <w:bCs w:val="0"/>
                <w:color w:val="000000"/>
                <w:kern w:val="0"/>
                <w:sz w:val="24"/>
                <w:szCs w:val="24"/>
                <w:vertAlign w:val="baseline"/>
                <w:lang w:val="en-US" w:eastAsia="zh-CN" w:bidi="ar"/>
              </w:rPr>
              <w:t>2.53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64"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kern w:val="0"/>
                <w:sz w:val="24"/>
                <w:szCs w:val="24"/>
                <w:vertAlign w:val="baseline"/>
                <w:lang w:val="en-US" w:eastAsia="zh-CN" w:bidi="ar"/>
              </w:rPr>
            </w:pPr>
            <w:r>
              <w:rPr>
                <w:rFonts w:hint="default" w:ascii="Times New Roman" w:hAnsi="Times New Roman" w:cs="Times New Roman" w:eastAsiaTheme="minorEastAsia"/>
                <w:b w:val="0"/>
                <w:bCs w:val="0"/>
                <w:color w:val="000000"/>
                <w:kern w:val="0"/>
                <w:sz w:val="24"/>
                <w:szCs w:val="24"/>
                <w:vertAlign w:val="baseline"/>
                <w:lang w:val="en-US" w:eastAsia="zh-CN" w:bidi="ar"/>
              </w:rPr>
              <w:t>12</w:t>
            </w:r>
          </w:p>
        </w:tc>
        <w:tc>
          <w:tcPr>
            <w:tcW w:w="2239"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kern w:val="0"/>
                <w:sz w:val="24"/>
                <w:szCs w:val="24"/>
                <w:vertAlign w:val="baseline"/>
                <w:lang w:val="en-US" w:eastAsia="zh-CN" w:bidi="ar"/>
              </w:rPr>
            </w:pPr>
            <w:r>
              <w:rPr>
                <w:rFonts w:hint="default" w:ascii="Times New Roman" w:hAnsi="Times New Roman" w:cs="Times New Roman" w:eastAsiaTheme="minorEastAsia"/>
                <w:b w:val="0"/>
                <w:bCs w:val="0"/>
                <w:color w:val="000000"/>
                <w:kern w:val="0"/>
                <w:sz w:val="24"/>
                <w:szCs w:val="24"/>
                <w:vertAlign w:val="baseline"/>
                <w:lang w:val="en-US" w:eastAsia="zh-CN" w:bidi="ar"/>
              </w:rPr>
              <w:t>羊出栏</w:t>
            </w:r>
          </w:p>
        </w:tc>
        <w:tc>
          <w:tcPr>
            <w:tcW w:w="761"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kern w:val="0"/>
                <w:sz w:val="24"/>
                <w:szCs w:val="24"/>
                <w:vertAlign w:val="baseline"/>
                <w:lang w:val="en-US" w:eastAsia="zh-CN" w:bidi="ar"/>
              </w:rPr>
            </w:pPr>
            <w:r>
              <w:rPr>
                <w:rFonts w:hint="default" w:ascii="Times New Roman" w:hAnsi="Times New Roman" w:cs="Times New Roman" w:eastAsiaTheme="minorEastAsia"/>
                <w:b w:val="0"/>
                <w:bCs w:val="0"/>
                <w:color w:val="000000"/>
                <w:kern w:val="0"/>
                <w:sz w:val="24"/>
                <w:szCs w:val="24"/>
                <w:vertAlign w:val="baseline"/>
                <w:lang w:val="en-US" w:eastAsia="zh-CN" w:bidi="ar"/>
              </w:rPr>
              <w:t>万头</w:t>
            </w:r>
          </w:p>
        </w:tc>
        <w:tc>
          <w:tcPr>
            <w:tcW w:w="935"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kern w:val="0"/>
                <w:sz w:val="24"/>
                <w:szCs w:val="24"/>
                <w:vertAlign w:val="baseline"/>
                <w:lang w:val="en-US" w:eastAsia="zh-CN" w:bidi="ar"/>
              </w:rPr>
            </w:pPr>
            <w:r>
              <w:rPr>
                <w:rFonts w:hint="default" w:ascii="Times New Roman" w:hAnsi="Times New Roman" w:cs="Times New Roman" w:eastAsiaTheme="minorEastAsia"/>
                <w:b w:val="0"/>
                <w:bCs w:val="0"/>
                <w:color w:val="000000"/>
                <w:kern w:val="0"/>
                <w:sz w:val="24"/>
                <w:szCs w:val="24"/>
                <w:vertAlign w:val="baseline"/>
                <w:lang w:val="en-US" w:eastAsia="zh-CN" w:bidi="ar"/>
              </w:rPr>
              <w:t>9.52</w:t>
            </w:r>
          </w:p>
        </w:tc>
        <w:tc>
          <w:tcPr>
            <w:tcW w:w="634"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kern w:val="0"/>
                <w:sz w:val="24"/>
                <w:szCs w:val="24"/>
                <w:vertAlign w:val="baseline"/>
                <w:lang w:val="en-US" w:eastAsia="zh-CN" w:bidi="ar"/>
              </w:rPr>
            </w:pPr>
          </w:p>
        </w:tc>
        <w:tc>
          <w:tcPr>
            <w:tcW w:w="1804"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kern w:val="0"/>
                <w:sz w:val="24"/>
                <w:szCs w:val="24"/>
                <w:vertAlign w:val="baseline"/>
                <w:lang w:val="en-US" w:eastAsia="zh-CN" w:bidi="ar"/>
              </w:rPr>
            </w:pPr>
          </w:p>
        </w:tc>
        <w:tc>
          <w:tcPr>
            <w:tcW w:w="782"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kern w:val="0"/>
                <w:sz w:val="24"/>
                <w:szCs w:val="24"/>
                <w:vertAlign w:val="baseline"/>
                <w:lang w:val="en-US" w:eastAsia="zh-CN" w:bidi="ar"/>
              </w:rPr>
            </w:pPr>
          </w:p>
        </w:tc>
        <w:tc>
          <w:tcPr>
            <w:tcW w:w="906"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cs="Times New Roman" w:eastAsiaTheme="minorEastAsia"/>
                <w:b w:val="0"/>
                <w:bCs w:val="0"/>
                <w:color w:val="000000"/>
                <w:kern w:val="0"/>
                <w:sz w:val="24"/>
                <w:szCs w:val="24"/>
                <w:vertAlign w:val="baseline"/>
                <w:lang w:val="en-US" w:eastAsia="zh-CN" w:bidi="ar"/>
              </w:rPr>
            </w:pPr>
          </w:p>
        </w:tc>
      </w:tr>
    </w:tbl>
    <w:p>
      <w:pPr>
        <w:keepNext w:val="0"/>
        <w:keepLines w:val="0"/>
        <w:widowControl/>
        <w:numPr>
          <w:ilvl w:val="0"/>
          <w:numId w:val="3"/>
        </w:numPr>
        <w:suppressLineNumbers w:val="0"/>
        <w:jc w:val="left"/>
        <w:rPr>
          <w:rFonts w:hint="default" w:ascii="Times New Roman" w:hAnsi="Times New Roman" w:cs="Times New Roman"/>
          <w:color w:val="000000"/>
          <w:kern w:val="0"/>
          <w:sz w:val="24"/>
          <w:szCs w:val="24"/>
          <w:lang w:val="en-US" w:eastAsia="zh-CN" w:bidi="ar"/>
        </w:rPr>
      </w:pPr>
      <w:r>
        <w:rPr>
          <w:rFonts w:hint="default" w:ascii="Times New Roman" w:hAnsi="Times New Roman" w:cs="Times New Roman"/>
          <w:color w:val="000000"/>
          <w:kern w:val="0"/>
          <w:sz w:val="24"/>
          <w:szCs w:val="24"/>
          <w:lang w:val="en-US" w:eastAsia="zh-CN" w:bidi="ar"/>
        </w:rPr>
        <w:t>农作物分布情况。水稻主要分布于者腊、阿猛、盘龙、江那、维摩、八嘎、干河等水源条件较好的乡镇；玉米、小麦主要分布在平远、阿舍、维摩、稼依、阿猛、干河、江那等乡镇山区和半山区</w:t>
      </w:r>
      <w:r>
        <w:rPr>
          <w:rFonts w:hint="eastAsia" w:cs="Times New Roman"/>
          <w:color w:val="000000"/>
          <w:kern w:val="0"/>
          <w:sz w:val="24"/>
          <w:szCs w:val="24"/>
          <w:lang w:val="en-US" w:eastAsia="zh-CN" w:bidi="ar"/>
        </w:rPr>
        <w:t>；</w:t>
      </w:r>
      <w:r>
        <w:rPr>
          <w:rFonts w:hint="default" w:ascii="Times New Roman" w:hAnsi="Times New Roman" w:cs="Times New Roman"/>
          <w:color w:val="000000"/>
          <w:kern w:val="0"/>
          <w:sz w:val="24"/>
          <w:szCs w:val="24"/>
          <w:lang w:val="en-US" w:eastAsia="zh-CN" w:bidi="ar"/>
        </w:rPr>
        <w:t>马铃薯主要分布于平远、阿舍、稼依、维摩、江那、干河等乡镇</w:t>
      </w:r>
      <w:r>
        <w:rPr>
          <w:rFonts w:hint="eastAsia" w:cs="Times New Roman"/>
          <w:color w:val="000000"/>
          <w:kern w:val="0"/>
          <w:sz w:val="24"/>
          <w:szCs w:val="24"/>
          <w:lang w:val="en-US" w:eastAsia="zh-CN" w:bidi="ar"/>
        </w:rPr>
        <w:t>，辣椒主要分布于</w:t>
      </w:r>
      <w:r>
        <w:rPr>
          <w:rFonts w:hint="default" w:ascii="Times New Roman" w:hAnsi="Times New Roman" w:cs="Times New Roman" w:eastAsiaTheme="minorEastAsia"/>
          <w:sz w:val="24"/>
          <w:szCs w:val="24"/>
          <w:vertAlign w:val="baseline"/>
          <w:lang w:val="en-US" w:eastAsia="zh-CN"/>
        </w:rPr>
        <w:t>江那、平远、稼依、维摩、干河、盘龙</w:t>
      </w:r>
      <w:r>
        <w:rPr>
          <w:rFonts w:hint="eastAsia" w:cs="Times New Roman" w:eastAsiaTheme="minorEastAsia"/>
          <w:sz w:val="24"/>
          <w:szCs w:val="24"/>
          <w:vertAlign w:val="baseline"/>
          <w:lang w:val="en-US" w:eastAsia="zh-CN"/>
        </w:rPr>
        <w:t>等乡镇</w:t>
      </w:r>
      <w:r>
        <w:rPr>
          <w:rFonts w:hint="eastAsia" w:cs="Times New Roman"/>
          <w:color w:val="000000"/>
          <w:kern w:val="0"/>
          <w:sz w:val="24"/>
          <w:szCs w:val="24"/>
          <w:lang w:val="en-US" w:eastAsia="zh-CN" w:bidi="ar"/>
        </w:rPr>
        <w:t>；叶菜主要分布于</w:t>
      </w:r>
      <w:r>
        <w:rPr>
          <w:rFonts w:hint="default" w:ascii="Times New Roman" w:hAnsi="Times New Roman" w:cs="Times New Roman" w:eastAsiaTheme="minorEastAsia"/>
          <w:sz w:val="24"/>
          <w:szCs w:val="24"/>
          <w:vertAlign w:val="baseline"/>
          <w:lang w:val="en-US" w:eastAsia="zh-CN"/>
        </w:rPr>
        <w:t>平远、稼依、者腊、干河、阿猛等</w:t>
      </w:r>
      <w:r>
        <w:rPr>
          <w:rFonts w:hint="eastAsia" w:cs="Times New Roman" w:eastAsiaTheme="minorEastAsia"/>
          <w:sz w:val="24"/>
          <w:szCs w:val="24"/>
          <w:vertAlign w:val="baseline"/>
          <w:lang w:val="en-US" w:eastAsia="zh-CN"/>
        </w:rPr>
        <w:t>乡镇。</w:t>
      </w:r>
    </w:p>
    <w:p>
      <w:pPr>
        <w:pStyle w:val="2"/>
        <w:numPr>
          <w:ilvl w:val="0"/>
          <w:numId w:val="0"/>
        </w:numPr>
        <w:jc w:val="center"/>
        <w:rPr>
          <w:rFonts w:hint="default" w:ascii="Times New Roman" w:hAnsi="Times New Roman" w:cs="Times New Roman"/>
          <w:lang w:val="en-US" w:eastAsia="zh-CN"/>
        </w:rPr>
      </w:pPr>
      <w:r>
        <w:rPr>
          <w:rFonts w:hint="default" w:ascii="Times New Roman" w:hAnsi="Times New Roman" w:cs="Times New Roman"/>
          <w:lang w:val="en-US" w:eastAsia="zh-CN"/>
        </w:rPr>
        <w:t>表2-2  2020年主要农作物播种面积及产量</w:t>
      </w:r>
    </w:p>
    <w:tbl>
      <w:tblPr>
        <w:tblStyle w:val="12"/>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1290"/>
        <w:gridCol w:w="1095"/>
        <w:gridCol w:w="51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center"/>
          </w:tcPr>
          <w:p>
            <w:pPr>
              <w:pStyle w:val="2"/>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cs="Times New Roman" w:eastAsiaTheme="minorEastAsia"/>
                <w:sz w:val="24"/>
                <w:szCs w:val="24"/>
                <w:vertAlign w:val="baseline"/>
                <w:lang w:val="en-US" w:eastAsia="zh-CN"/>
              </w:rPr>
            </w:pPr>
            <w:r>
              <w:rPr>
                <w:rFonts w:hint="default" w:ascii="Times New Roman" w:hAnsi="Times New Roman" w:cs="Times New Roman" w:eastAsiaTheme="minorEastAsia"/>
                <w:sz w:val="24"/>
                <w:szCs w:val="24"/>
                <w:vertAlign w:val="baseline"/>
                <w:lang w:val="en-US" w:eastAsia="zh-CN"/>
              </w:rPr>
              <w:t>主要农作物</w:t>
            </w:r>
          </w:p>
        </w:tc>
        <w:tc>
          <w:tcPr>
            <w:tcW w:w="1290" w:type="dxa"/>
            <w:vAlign w:val="center"/>
          </w:tcPr>
          <w:p>
            <w:pPr>
              <w:pStyle w:val="2"/>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cs="Times New Roman" w:eastAsiaTheme="minorEastAsia"/>
                <w:sz w:val="24"/>
                <w:szCs w:val="24"/>
                <w:vertAlign w:val="baseline"/>
                <w:lang w:val="en-US" w:eastAsia="zh-CN"/>
              </w:rPr>
            </w:pPr>
            <w:r>
              <w:rPr>
                <w:rFonts w:hint="default" w:ascii="Times New Roman" w:hAnsi="Times New Roman" w:cs="Times New Roman" w:eastAsiaTheme="minorEastAsia"/>
                <w:sz w:val="24"/>
                <w:szCs w:val="24"/>
                <w:vertAlign w:val="baseline"/>
                <w:lang w:val="en-US" w:eastAsia="zh-CN"/>
              </w:rPr>
              <w:t>播种面积（万亩）</w:t>
            </w:r>
          </w:p>
        </w:tc>
        <w:tc>
          <w:tcPr>
            <w:tcW w:w="1095" w:type="dxa"/>
            <w:vAlign w:val="center"/>
          </w:tcPr>
          <w:p>
            <w:pPr>
              <w:pStyle w:val="2"/>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cs="Times New Roman" w:eastAsiaTheme="minorEastAsia"/>
                <w:sz w:val="24"/>
                <w:szCs w:val="24"/>
                <w:vertAlign w:val="baseline"/>
                <w:lang w:val="en-US" w:eastAsia="zh-CN"/>
              </w:rPr>
            </w:pPr>
            <w:r>
              <w:rPr>
                <w:rFonts w:hint="default" w:ascii="Times New Roman" w:hAnsi="Times New Roman" w:cs="Times New Roman" w:eastAsiaTheme="minorEastAsia"/>
                <w:sz w:val="24"/>
                <w:szCs w:val="24"/>
                <w:vertAlign w:val="baseline"/>
                <w:lang w:val="en-US" w:eastAsia="zh-CN"/>
              </w:rPr>
              <w:t>产量（万吨）</w:t>
            </w:r>
          </w:p>
        </w:tc>
        <w:tc>
          <w:tcPr>
            <w:tcW w:w="5197" w:type="dxa"/>
            <w:vAlign w:val="center"/>
          </w:tcPr>
          <w:p>
            <w:pPr>
              <w:pStyle w:val="2"/>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cs="Times New Roman" w:eastAsiaTheme="minorEastAsia"/>
                <w:sz w:val="24"/>
                <w:szCs w:val="24"/>
                <w:vertAlign w:val="baseline"/>
                <w:lang w:val="en-US" w:eastAsia="zh-CN"/>
              </w:rPr>
            </w:pPr>
            <w:r>
              <w:rPr>
                <w:rFonts w:hint="default" w:ascii="Times New Roman" w:hAnsi="Times New Roman" w:cs="Times New Roman" w:eastAsiaTheme="minorEastAsia"/>
                <w:sz w:val="24"/>
                <w:szCs w:val="24"/>
                <w:vertAlign w:val="baseline"/>
                <w:lang w:val="en-US" w:eastAsia="zh-CN"/>
              </w:rPr>
              <w:t>主要分布乡镇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center"/>
          </w:tcPr>
          <w:p>
            <w:pPr>
              <w:pStyle w:val="2"/>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cs="Times New Roman" w:eastAsiaTheme="minorEastAsia"/>
                <w:sz w:val="24"/>
                <w:szCs w:val="24"/>
                <w:vertAlign w:val="baseline"/>
                <w:lang w:val="en-US" w:eastAsia="zh-CN"/>
              </w:rPr>
            </w:pPr>
            <w:r>
              <w:rPr>
                <w:rFonts w:hint="default" w:ascii="Times New Roman" w:hAnsi="Times New Roman" w:cs="Times New Roman" w:eastAsiaTheme="minorEastAsia"/>
                <w:sz w:val="24"/>
                <w:szCs w:val="24"/>
                <w:vertAlign w:val="baseline"/>
                <w:lang w:val="en-US" w:eastAsia="zh-CN"/>
              </w:rPr>
              <w:t>水稻</w:t>
            </w:r>
          </w:p>
        </w:tc>
        <w:tc>
          <w:tcPr>
            <w:tcW w:w="1290" w:type="dxa"/>
            <w:vAlign w:val="center"/>
          </w:tcPr>
          <w:p>
            <w:pPr>
              <w:pStyle w:val="2"/>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cs="Times New Roman" w:eastAsiaTheme="minorEastAsia"/>
                <w:sz w:val="24"/>
                <w:szCs w:val="24"/>
                <w:vertAlign w:val="baseline"/>
                <w:lang w:val="en-US" w:eastAsia="zh-CN"/>
              </w:rPr>
            </w:pPr>
            <w:r>
              <w:rPr>
                <w:rFonts w:hint="default" w:ascii="Times New Roman" w:hAnsi="Times New Roman" w:cs="Times New Roman" w:eastAsiaTheme="minorEastAsia"/>
                <w:sz w:val="24"/>
                <w:szCs w:val="24"/>
                <w:vertAlign w:val="baseline"/>
                <w:lang w:val="en-US" w:eastAsia="zh-CN"/>
              </w:rPr>
              <w:t>14.92</w:t>
            </w:r>
          </w:p>
        </w:tc>
        <w:tc>
          <w:tcPr>
            <w:tcW w:w="1095" w:type="dxa"/>
            <w:vAlign w:val="center"/>
          </w:tcPr>
          <w:p>
            <w:pPr>
              <w:pStyle w:val="2"/>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cs="Times New Roman" w:eastAsiaTheme="minorEastAsia"/>
                <w:sz w:val="24"/>
                <w:szCs w:val="24"/>
                <w:vertAlign w:val="baseline"/>
                <w:lang w:val="en-US" w:eastAsia="zh-CN"/>
              </w:rPr>
            </w:pPr>
            <w:r>
              <w:rPr>
                <w:rFonts w:hint="default" w:ascii="Times New Roman" w:hAnsi="Times New Roman" w:cs="Times New Roman" w:eastAsiaTheme="minorEastAsia"/>
                <w:sz w:val="24"/>
                <w:szCs w:val="24"/>
                <w:vertAlign w:val="baseline"/>
                <w:lang w:val="en-US" w:eastAsia="zh-CN"/>
              </w:rPr>
              <w:t>6.44</w:t>
            </w:r>
          </w:p>
        </w:tc>
        <w:tc>
          <w:tcPr>
            <w:tcW w:w="5197" w:type="dxa"/>
            <w:vAlign w:val="center"/>
          </w:tcPr>
          <w:p>
            <w:pPr>
              <w:pStyle w:val="2"/>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cs="Times New Roman" w:eastAsiaTheme="minorEastAsia"/>
                <w:sz w:val="24"/>
                <w:szCs w:val="24"/>
                <w:vertAlign w:val="baseline"/>
                <w:lang w:val="en-US" w:eastAsia="zh-CN"/>
              </w:rPr>
            </w:pPr>
            <w:r>
              <w:rPr>
                <w:rFonts w:hint="default" w:ascii="Times New Roman" w:hAnsi="Times New Roman" w:cs="Times New Roman" w:eastAsiaTheme="minorEastAsia"/>
                <w:sz w:val="24"/>
                <w:szCs w:val="24"/>
                <w:vertAlign w:val="baseline"/>
                <w:lang w:val="en-US" w:eastAsia="zh-CN"/>
              </w:rPr>
              <w:t>者腊、阿猛、盘龙、江那、维摩、八嘎、干河等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center"/>
          </w:tcPr>
          <w:p>
            <w:pPr>
              <w:pStyle w:val="2"/>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cs="Times New Roman" w:eastAsiaTheme="minorEastAsia"/>
                <w:sz w:val="24"/>
                <w:szCs w:val="24"/>
                <w:vertAlign w:val="baseline"/>
                <w:lang w:val="en-US" w:eastAsia="zh-CN"/>
              </w:rPr>
            </w:pPr>
            <w:r>
              <w:rPr>
                <w:rFonts w:hint="default" w:ascii="Times New Roman" w:hAnsi="Times New Roman" w:cs="Times New Roman" w:eastAsiaTheme="minorEastAsia"/>
                <w:sz w:val="24"/>
                <w:szCs w:val="24"/>
                <w:vertAlign w:val="baseline"/>
                <w:lang w:val="en-US" w:eastAsia="zh-CN"/>
              </w:rPr>
              <w:t>玉米</w:t>
            </w:r>
          </w:p>
        </w:tc>
        <w:tc>
          <w:tcPr>
            <w:tcW w:w="1290" w:type="dxa"/>
            <w:vAlign w:val="center"/>
          </w:tcPr>
          <w:p>
            <w:pPr>
              <w:pStyle w:val="2"/>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cs="Times New Roman" w:eastAsiaTheme="minorEastAsia"/>
                <w:sz w:val="24"/>
                <w:szCs w:val="24"/>
                <w:vertAlign w:val="baseline"/>
                <w:lang w:val="en-US" w:eastAsia="zh-CN"/>
              </w:rPr>
            </w:pPr>
            <w:r>
              <w:rPr>
                <w:rFonts w:hint="default" w:ascii="Times New Roman" w:hAnsi="Times New Roman" w:cs="Times New Roman" w:eastAsiaTheme="minorEastAsia"/>
                <w:sz w:val="24"/>
                <w:szCs w:val="24"/>
                <w:vertAlign w:val="baseline"/>
                <w:lang w:val="en-US" w:eastAsia="zh-CN"/>
              </w:rPr>
              <w:t>59.51</w:t>
            </w:r>
          </w:p>
        </w:tc>
        <w:tc>
          <w:tcPr>
            <w:tcW w:w="1095" w:type="dxa"/>
            <w:vAlign w:val="center"/>
          </w:tcPr>
          <w:p>
            <w:pPr>
              <w:pStyle w:val="2"/>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cs="Times New Roman" w:eastAsiaTheme="minorEastAsia"/>
                <w:sz w:val="24"/>
                <w:szCs w:val="24"/>
                <w:vertAlign w:val="baseline"/>
                <w:lang w:val="en-US" w:eastAsia="zh-CN"/>
              </w:rPr>
            </w:pPr>
            <w:r>
              <w:rPr>
                <w:rFonts w:hint="default" w:ascii="Times New Roman" w:hAnsi="Times New Roman" w:cs="Times New Roman" w:eastAsiaTheme="minorEastAsia"/>
                <w:sz w:val="24"/>
                <w:szCs w:val="24"/>
                <w:vertAlign w:val="baseline"/>
                <w:lang w:val="en-US" w:eastAsia="zh-CN"/>
              </w:rPr>
              <w:t>19.57</w:t>
            </w:r>
          </w:p>
        </w:tc>
        <w:tc>
          <w:tcPr>
            <w:tcW w:w="5197" w:type="dxa"/>
            <w:vAlign w:val="center"/>
          </w:tcPr>
          <w:p>
            <w:pPr>
              <w:pStyle w:val="2"/>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cs="Times New Roman" w:eastAsiaTheme="minorEastAsia"/>
                <w:sz w:val="24"/>
                <w:szCs w:val="24"/>
                <w:vertAlign w:val="baseline"/>
                <w:lang w:val="en-US" w:eastAsia="zh-CN"/>
              </w:rPr>
            </w:pPr>
            <w:r>
              <w:rPr>
                <w:rFonts w:hint="default" w:ascii="Times New Roman" w:hAnsi="Times New Roman" w:cs="Times New Roman" w:eastAsiaTheme="minorEastAsia"/>
                <w:sz w:val="24"/>
                <w:szCs w:val="24"/>
                <w:vertAlign w:val="baseline"/>
                <w:lang w:val="en-US" w:eastAsia="zh-CN"/>
              </w:rPr>
              <w:t>平远、阿舍、维摩、稼依、阿猛、干河、江那等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center"/>
          </w:tcPr>
          <w:p>
            <w:pPr>
              <w:pStyle w:val="2"/>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cs="Times New Roman" w:eastAsiaTheme="minorEastAsia"/>
                <w:sz w:val="24"/>
                <w:szCs w:val="24"/>
                <w:vertAlign w:val="baseline"/>
                <w:lang w:val="en-US" w:eastAsia="zh-CN"/>
              </w:rPr>
            </w:pPr>
            <w:r>
              <w:rPr>
                <w:rFonts w:hint="default" w:ascii="Times New Roman" w:hAnsi="Times New Roman" w:cs="Times New Roman" w:eastAsiaTheme="minorEastAsia"/>
                <w:sz w:val="24"/>
                <w:szCs w:val="24"/>
                <w:vertAlign w:val="baseline"/>
                <w:lang w:val="en-US" w:eastAsia="zh-CN"/>
              </w:rPr>
              <w:t>小麦</w:t>
            </w:r>
          </w:p>
        </w:tc>
        <w:tc>
          <w:tcPr>
            <w:tcW w:w="1290" w:type="dxa"/>
            <w:vAlign w:val="center"/>
          </w:tcPr>
          <w:p>
            <w:pPr>
              <w:pStyle w:val="2"/>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cs="Times New Roman" w:eastAsiaTheme="minorEastAsia"/>
                <w:sz w:val="24"/>
                <w:szCs w:val="24"/>
                <w:vertAlign w:val="baseline"/>
                <w:lang w:val="en-US" w:eastAsia="zh-CN"/>
              </w:rPr>
            </w:pPr>
            <w:r>
              <w:rPr>
                <w:rFonts w:hint="default" w:ascii="Times New Roman" w:hAnsi="Times New Roman" w:cs="Times New Roman" w:eastAsiaTheme="minorEastAsia"/>
                <w:sz w:val="24"/>
                <w:szCs w:val="24"/>
                <w:vertAlign w:val="baseline"/>
                <w:lang w:val="en-US" w:eastAsia="zh-CN"/>
              </w:rPr>
              <w:t>15.07</w:t>
            </w:r>
          </w:p>
        </w:tc>
        <w:tc>
          <w:tcPr>
            <w:tcW w:w="1095" w:type="dxa"/>
            <w:vAlign w:val="center"/>
          </w:tcPr>
          <w:p>
            <w:pPr>
              <w:pStyle w:val="2"/>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cs="Times New Roman" w:eastAsiaTheme="minorEastAsia"/>
                <w:sz w:val="24"/>
                <w:szCs w:val="24"/>
                <w:vertAlign w:val="baseline"/>
                <w:lang w:val="en-US" w:eastAsia="zh-CN"/>
              </w:rPr>
            </w:pPr>
            <w:r>
              <w:rPr>
                <w:rFonts w:hint="default" w:ascii="Times New Roman" w:hAnsi="Times New Roman" w:cs="Times New Roman" w:eastAsiaTheme="minorEastAsia"/>
                <w:sz w:val="24"/>
                <w:szCs w:val="24"/>
                <w:vertAlign w:val="baseline"/>
                <w:lang w:val="en-US" w:eastAsia="zh-CN"/>
              </w:rPr>
              <w:t>1.51</w:t>
            </w:r>
          </w:p>
        </w:tc>
        <w:tc>
          <w:tcPr>
            <w:tcW w:w="5197" w:type="dxa"/>
            <w:vAlign w:val="center"/>
          </w:tcPr>
          <w:p>
            <w:pPr>
              <w:pStyle w:val="2"/>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cs="Times New Roman" w:eastAsiaTheme="minorEastAsia"/>
                <w:sz w:val="24"/>
                <w:szCs w:val="24"/>
                <w:vertAlign w:val="baseline"/>
                <w:lang w:val="en-US" w:eastAsia="zh-CN"/>
              </w:rPr>
            </w:pPr>
            <w:r>
              <w:rPr>
                <w:rFonts w:hint="default" w:ascii="Times New Roman" w:hAnsi="Times New Roman" w:cs="Times New Roman" w:eastAsiaTheme="minorEastAsia"/>
                <w:sz w:val="24"/>
                <w:szCs w:val="24"/>
                <w:vertAlign w:val="baseline"/>
                <w:lang w:val="en-US" w:eastAsia="zh-CN"/>
              </w:rPr>
              <w:t>平远、阿舍、维摩、稼依、阿猛、干河、江那等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center"/>
          </w:tcPr>
          <w:p>
            <w:pPr>
              <w:pStyle w:val="2"/>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cs="Times New Roman" w:eastAsiaTheme="minorEastAsia"/>
                <w:sz w:val="24"/>
                <w:szCs w:val="24"/>
                <w:vertAlign w:val="baseline"/>
                <w:lang w:val="en-US" w:eastAsia="zh-CN"/>
              </w:rPr>
            </w:pPr>
            <w:r>
              <w:rPr>
                <w:rFonts w:hint="default" w:ascii="Times New Roman" w:hAnsi="Times New Roman" w:cs="Times New Roman" w:eastAsiaTheme="minorEastAsia"/>
                <w:sz w:val="24"/>
                <w:szCs w:val="24"/>
                <w:vertAlign w:val="baseline"/>
                <w:lang w:val="en-US" w:eastAsia="zh-CN"/>
              </w:rPr>
              <w:t>马铃薯</w:t>
            </w:r>
          </w:p>
        </w:tc>
        <w:tc>
          <w:tcPr>
            <w:tcW w:w="1290" w:type="dxa"/>
            <w:vAlign w:val="center"/>
          </w:tcPr>
          <w:p>
            <w:pPr>
              <w:pStyle w:val="2"/>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cs="Times New Roman" w:eastAsiaTheme="minorEastAsia"/>
                <w:sz w:val="24"/>
                <w:szCs w:val="24"/>
                <w:vertAlign w:val="baseline"/>
                <w:lang w:val="en-US" w:eastAsia="zh-CN"/>
              </w:rPr>
            </w:pPr>
            <w:r>
              <w:rPr>
                <w:rFonts w:hint="default" w:ascii="Times New Roman" w:hAnsi="Times New Roman" w:cs="Times New Roman" w:eastAsiaTheme="minorEastAsia"/>
                <w:sz w:val="24"/>
                <w:szCs w:val="24"/>
                <w:vertAlign w:val="baseline"/>
                <w:lang w:val="en-US" w:eastAsia="zh-CN"/>
              </w:rPr>
              <w:t>6.87</w:t>
            </w:r>
          </w:p>
        </w:tc>
        <w:tc>
          <w:tcPr>
            <w:tcW w:w="1095" w:type="dxa"/>
            <w:vAlign w:val="center"/>
          </w:tcPr>
          <w:p>
            <w:pPr>
              <w:pStyle w:val="2"/>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cs="Times New Roman" w:eastAsiaTheme="minorEastAsia"/>
                <w:sz w:val="24"/>
                <w:szCs w:val="24"/>
                <w:vertAlign w:val="baseline"/>
                <w:lang w:val="en-US" w:eastAsia="zh-CN"/>
              </w:rPr>
            </w:pPr>
            <w:r>
              <w:rPr>
                <w:rFonts w:hint="default" w:ascii="Times New Roman" w:hAnsi="Times New Roman" w:cs="Times New Roman" w:eastAsiaTheme="minorEastAsia"/>
                <w:sz w:val="24"/>
                <w:szCs w:val="24"/>
                <w:vertAlign w:val="baseline"/>
                <w:lang w:val="en-US" w:eastAsia="zh-CN"/>
              </w:rPr>
              <w:t>1.22</w:t>
            </w:r>
          </w:p>
        </w:tc>
        <w:tc>
          <w:tcPr>
            <w:tcW w:w="5197" w:type="dxa"/>
            <w:vAlign w:val="center"/>
          </w:tcPr>
          <w:p>
            <w:pPr>
              <w:pStyle w:val="2"/>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cs="Times New Roman" w:eastAsiaTheme="minorEastAsia"/>
                <w:sz w:val="24"/>
                <w:szCs w:val="24"/>
                <w:vertAlign w:val="baseline"/>
                <w:lang w:val="en-US" w:eastAsia="zh-CN"/>
              </w:rPr>
            </w:pPr>
            <w:r>
              <w:rPr>
                <w:rFonts w:hint="default" w:ascii="Times New Roman" w:hAnsi="Times New Roman" w:cs="Times New Roman" w:eastAsiaTheme="minorEastAsia"/>
                <w:sz w:val="24"/>
                <w:szCs w:val="24"/>
                <w:vertAlign w:val="baseline"/>
                <w:lang w:val="en-US" w:eastAsia="zh-CN"/>
              </w:rPr>
              <w:t>平远、阿舍、稼依、维摩、江那、干河等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center"/>
          </w:tcPr>
          <w:p>
            <w:pPr>
              <w:pStyle w:val="2"/>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cs="Times New Roman" w:eastAsiaTheme="minorEastAsia"/>
                <w:sz w:val="24"/>
                <w:szCs w:val="24"/>
                <w:vertAlign w:val="baseline"/>
                <w:lang w:val="en-US" w:eastAsia="zh-CN"/>
              </w:rPr>
            </w:pPr>
            <w:r>
              <w:rPr>
                <w:rFonts w:hint="default" w:ascii="Times New Roman" w:hAnsi="Times New Roman" w:cs="Times New Roman" w:eastAsiaTheme="minorEastAsia"/>
                <w:sz w:val="24"/>
                <w:szCs w:val="24"/>
                <w:vertAlign w:val="baseline"/>
                <w:lang w:val="en-US" w:eastAsia="zh-CN"/>
              </w:rPr>
              <w:t>叶菜</w:t>
            </w:r>
          </w:p>
        </w:tc>
        <w:tc>
          <w:tcPr>
            <w:tcW w:w="1290" w:type="dxa"/>
            <w:vAlign w:val="center"/>
          </w:tcPr>
          <w:p>
            <w:pPr>
              <w:pStyle w:val="2"/>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cs="Times New Roman" w:eastAsiaTheme="minorEastAsia"/>
                <w:sz w:val="24"/>
                <w:szCs w:val="24"/>
                <w:vertAlign w:val="baseline"/>
                <w:lang w:val="en-US" w:eastAsia="zh-CN"/>
              </w:rPr>
            </w:pPr>
            <w:r>
              <w:rPr>
                <w:rFonts w:hint="default" w:ascii="Times New Roman" w:hAnsi="Times New Roman" w:cs="Times New Roman" w:eastAsiaTheme="minorEastAsia"/>
                <w:sz w:val="24"/>
                <w:szCs w:val="24"/>
                <w:vertAlign w:val="baseline"/>
                <w:lang w:val="en-US" w:eastAsia="zh-CN"/>
              </w:rPr>
              <w:t>19.64</w:t>
            </w:r>
          </w:p>
        </w:tc>
        <w:tc>
          <w:tcPr>
            <w:tcW w:w="1095" w:type="dxa"/>
            <w:vAlign w:val="center"/>
          </w:tcPr>
          <w:p>
            <w:pPr>
              <w:pStyle w:val="2"/>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cs="Times New Roman" w:eastAsiaTheme="minorEastAsia"/>
                <w:sz w:val="24"/>
                <w:szCs w:val="24"/>
                <w:vertAlign w:val="baseline"/>
                <w:lang w:val="en-US" w:eastAsia="zh-CN"/>
              </w:rPr>
            </w:pPr>
            <w:r>
              <w:rPr>
                <w:rFonts w:hint="default" w:ascii="Times New Roman" w:hAnsi="Times New Roman" w:cs="Times New Roman" w:eastAsiaTheme="minorEastAsia"/>
                <w:sz w:val="24"/>
                <w:szCs w:val="24"/>
                <w:vertAlign w:val="baseline"/>
                <w:lang w:val="en-US" w:eastAsia="zh-CN"/>
              </w:rPr>
              <w:t>28.24</w:t>
            </w:r>
          </w:p>
        </w:tc>
        <w:tc>
          <w:tcPr>
            <w:tcW w:w="5197" w:type="dxa"/>
            <w:vAlign w:val="center"/>
          </w:tcPr>
          <w:p>
            <w:pPr>
              <w:pStyle w:val="2"/>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cs="Times New Roman" w:eastAsiaTheme="minorEastAsia"/>
                <w:sz w:val="24"/>
                <w:szCs w:val="24"/>
                <w:vertAlign w:val="baseline"/>
                <w:lang w:val="en-US" w:eastAsia="zh-CN"/>
              </w:rPr>
            </w:pPr>
            <w:r>
              <w:rPr>
                <w:rFonts w:hint="default" w:ascii="Times New Roman" w:hAnsi="Times New Roman" w:cs="Times New Roman" w:eastAsiaTheme="minorEastAsia"/>
                <w:sz w:val="24"/>
                <w:szCs w:val="24"/>
                <w:vertAlign w:val="baseline"/>
                <w:lang w:val="en-US" w:eastAsia="zh-CN"/>
              </w:rPr>
              <w:t>平远、稼依、者腊、干河、阿猛等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center"/>
          </w:tcPr>
          <w:p>
            <w:pPr>
              <w:pStyle w:val="2"/>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cs="Times New Roman" w:eastAsiaTheme="minorEastAsia"/>
                <w:sz w:val="24"/>
                <w:szCs w:val="24"/>
                <w:vertAlign w:val="baseline"/>
                <w:lang w:val="en-US" w:eastAsia="zh-CN"/>
              </w:rPr>
            </w:pPr>
            <w:r>
              <w:rPr>
                <w:rFonts w:hint="default" w:ascii="Times New Roman" w:hAnsi="Times New Roman" w:cs="Times New Roman" w:eastAsiaTheme="minorEastAsia"/>
                <w:sz w:val="24"/>
                <w:szCs w:val="24"/>
                <w:vertAlign w:val="baseline"/>
                <w:lang w:val="en-US" w:eastAsia="zh-CN"/>
              </w:rPr>
              <w:t>辣椒</w:t>
            </w:r>
          </w:p>
        </w:tc>
        <w:tc>
          <w:tcPr>
            <w:tcW w:w="1290" w:type="dxa"/>
            <w:vAlign w:val="center"/>
          </w:tcPr>
          <w:p>
            <w:pPr>
              <w:pStyle w:val="2"/>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cs="Times New Roman" w:eastAsiaTheme="minorEastAsia"/>
                <w:sz w:val="24"/>
                <w:szCs w:val="24"/>
                <w:vertAlign w:val="baseline"/>
                <w:lang w:val="en-US" w:eastAsia="zh-CN"/>
              </w:rPr>
            </w:pPr>
            <w:r>
              <w:rPr>
                <w:rFonts w:hint="default" w:ascii="Times New Roman" w:hAnsi="Times New Roman" w:cs="Times New Roman" w:eastAsiaTheme="minorEastAsia"/>
                <w:sz w:val="24"/>
                <w:szCs w:val="24"/>
                <w:vertAlign w:val="baseline"/>
                <w:lang w:val="en-US" w:eastAsia="zh-CN"/>
              </w:rPr>
              <w:t>53.67</w:t>
            </w:r>
          </w:p>
        </w:tc>
        <w:tc>
          <w:tcPr>
            <w:tcW w:w="1095" w:type="dxa"/>
            <w:vAlign w:val="center"/>
          </w:tcPr>
          <w:p>
            <w:pPr>
              <w:pStyle w:val="2"/>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cs="Times New Roman" w:eastAsiaTheme="minorEastAsia"/>
                <w:sz w:val="24"/>
                <w:szCs w:val="24"/>
                <w:vertAlign w:val="baseline"/>
                <w:lang w:val="en-US" w:eastAsia="zh-CN"/>
              </w:rPr>
            </w:pPr>
            <w:r>
              <w:rPr>
                <w:rFonts w:hint="default" w:ascii="Times New Roman" w:hAnsi="Times New Roman" w:cs="Times New Roman" w:eastAsiaTheme="minorEastAsia"/>
                <w:sz w:val="24"/>
                <w:szCs w:val="24"/>
                <w:vertAlign w:val="baseline"/>
                <w:lang w:val="en-US" w:eastAsia="zh-CN"/>
              </w:rPr>
              <w:t>48.54</w:t>
            </w:r>
          </w:p>
        </w:tc>
        <w:tc>
          <w:tcPr>
            <w:tcW w:w="5197" w:type="dxa"/>
            <w:vAlign w:val="center"/>
          </w:tcPr>
          <w:p>
            <w:pPr>
              <w:pStyle w:val="2"/>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tLeast"/>
              <w:jc w:val="center"/>
              <w:textAlignment w:val="auto"/>
              <w:rPr>
                <w:rFonts w:hint="default" w:ascii="Times New Roman" w:hAnsi="Times New Roman" w:cs="Times New Roman" w:eastAsiaTheme="minorEastAsia"/>
                <w:sz w:val="24"/>
                <w:szCs w:val="24"/>
                <w:vertAlign w:val="baseline"/>
                <w:lang w:val="en-US" w:eastAsia="zh-CN"/>
              </w:rPr>
            </w:pPr>
            <w:r>
              <w:rPr>
                <w:rFonts w:hint="default" w:ascii="Times New Roman" w:hAnsi="Times New Roman" w:cs="Times New Roman" w:eastAsiaTheme="minorEastAsia"/>
                <w:sz w:val="24"/>
                <w:szCs w:val="24"/>
                <w:vertAlign w:val="baseline"/>
                <w:lang w:val="en-US" w:eastAsia="zh-CN"/>
              </w:rPr>
              <w:t>江那、平远、稼依、维摩、干河、盘龙</w:t>
            </w:r>
          </w:p>
        </w:tc>
      </w:tr>
    </w:tbl>
    <w:p>
      <w:pPr>
        <w:pStyle w:val="2"/>
        <w:numPr>
          <w:ilvl w:val="0"/>
          <w:numId w:val="0"/>
        </w:numPr>
        <w:jc w:val="center"/>
        <w:rPr>
          <w:rFonts w:hint="default" w:ascii="Times New Roman" w:hAnsi="Times New Roman" w:cs="Times New Roman"/>
          <w:lang w:val="en-US" w:eastAsia="zh-CN"/>
        </w:rPr>
      </w:pPr>
    </w:p>
    <w:p>
      <w:pPr>
        <w:pStyle w:val="4"/>
        <w:rPr>
          <w:rFonts w:hint="default" w:ascii="Times New Roman" w:hAnsi="Times New Roman" w:cs="Times New Roman" w:eastAsiaTheme="minorEastAsia"/>
          <w:color w:val="000000"/>
        </w:rPr>
      </w:pPr>
      <w:bookmarkStart w:id="16" w:name="_Toc32074"/>
      <w:r>
        <w:rPr>
          <w:rFonts w:hint="default" w:ascii="Times New Roman" w:hAnsi="Times New Roman" w:cs="Times New Roman" w:eastAsiaTheme="minorEastAsia"/>
          <w:color w:val="000000"/>
        </w:rPr>
        <w:t>交通</w:t>
      </w:r>
      <w:bookmarkEnd w:id="16"/>
    </w:p>
    <w:p>
      <w:pPr>
        <w:keepNext w:val="0"/>
        <w:keepLines w:val="0"/>
        <w:widowControl/>
        <w:suppressLineNumbers w:val="0"/>
        <w:jc w:val="left"/>
        <w:rPr>
          <w:rFonts w:hint="default" w:ascii="Times New Roman" w:hAnsi="Times New Roman" w:cs="Times New Roman"/>
          <w:color w:val="000000"/>
          <w:kern w:val="0"/>
          <w:sz w:val="24"/>
          <w:szCs w:val="24"/>
          <w:lang w:val="en-US" w:eastAsia="zh-CN" w:bidi="ar"/>
        </w:rPr>
      </w:pPr>
      <w:r>
        <w:rPr>
          <w:rFonts w:hint="default" w:ascii="Times New Roman" w:hAnsi="Times New Roman" w:cs="Times New Roman"/>
          <w:color w:val="000000"/>
          <w:kern w:val="0"/>
          <w:sz w:val="24"/>
          <w:szCs w:val="24"/>
          <w:lang w:val="en-US" w:eastAsia="zh-CN" w:bidi="ar"/>
        </w:rPr>
        <w:t>砚山县地处滇、桂、黔干线要冲，交通便利，四通八达，323国道线贯穿全境。高速公路有砚山—平远高速公路、平远—锁龙寺高速公路、罗村口—砚山高速公路；二级公路有砚山—文山二级公路砚山段，平远—文山二级公路砚山段。境内村（居）民委员会通路率100%。县城距文山砚山机场5km。</w:t>
      </w:r>
    </w:p>
    <w:p>
      <w:pPr>
        <w:keepNext w:val="0"/>
        <w:keepLines w:val="0"/>
        <w:widowControl/>
        <w:numPr>
          <w:ilvl w:val="0"/>
          <w:numId w:val="4"/>
        </w:numPr>
        <w:suppressLineNumbers w:val="0"/>
        <w:jc w:val="left"/>
        <w:rPr>
          <w:rFonts w:hint="default" w:ascii="Times New Roman" w:hAnsi="Times New Roman" w:cs="Times New Roman"/>
          <w:color w:val="000000"/>
          <w:kern w:val="0"/>
          <w:sz w:val="24"/>
          <w:szCs w:val="24"/>
          <w:lang w:val="en-US" w:eastAsia="zh-CN" w:bidi="ar"/>
        </w:rPr>
      </w:pPr>
      <w:r>
        <w:rPr>
          <w:rFonts w:hint="default" w:ascii="Times New Roman" w:hAnsi="Times New Roman" w:cs="Times New Roman"/>
          <w:color w:val="000000"/>
          <w:kern w:val="0"/>
          <w:sz w:val="24"/>
          <w:szCs w:val="24"/>
          <w:lang w:val="en-US" w:eastAsia="zh-CN" w:bidi="ar"/>
        </w:rPr>
        <w:t>公路。截止2019年底，全县公路通车里程3504.675公里。按行政等级划分：国道311.86公里，省道42.201公里，县道680.95公里，乡道513.968公里，村道1955.696公里。按技术等级划分：高速公路145.795公里，一级公路23.637公里，二级公路168.967公里，三级公路113.116公里，四级公路1480.91公里，等外公路1572.25公里。全县11个乡镇全部通沥青或水泥路面，“通畅率”达100%。107个村委会（社区）全部通沥青或水泥路面，硬化率为100%，1033个自然村全部通等外以上公路，“通路率”为100%。</w:t>
      </w:r>
    </w:p>
    <w:p>
      <w:pPr>
        <w:keepNext w:val="0"/>
        <w:keepLines w:val="0"/>
        <w:widowControl/>
        <w:numPr>
          <w:ilvl w:val="0"/>
          <w:numId w:val="4"/>
        </w:numPr>
        <w:suppressLineNumbers w:val="0"/>
        <w:jc w:val="left"/>
        <w:rPr>
          <w:rFonts w:hint="default" w:ascii="Times New Roman" w:hAnsi="Times New Roman" w:cs="Times New Roman"/>
          <w:color w:val="000000"/>
          <w:kern w:val="0"/>
          <w:sz w:val="24"/>
          <w:szCs w:val="24"/>
          <w:lang w:val="en-US" w:eastAsia="zh-CN" w:bidi="ar"/>
        </w:rPr>
      </w:pPr>
      <w:r>
        <w:rPr>
          <w:rFonts w:hint="default" w:ascii="Times New Roman" w:hAnsi="Times New Roman" w:cs="Times New Roman"/>
          <w:color w:val="000000"/>
          <w:kern w:val="0"/>
          <w:sz w:val="24"/>
          <w:szCs w:val="24"/>
          <w:lang w:val="en-US" w:eastAsia="zh-CN" w:bidi="ar"/>
        </w:rPr>
        <w:t>铁路。云贵铁路从砚山境内通过，经普者黑高铁站形成公铁联运体系，其中砚山境内长为22.49公里。</w:t>
      </w:r>
    </w:p>
    <w:p>
      <w:pPr>
        <w:keepNext w:val="0"/>
        <w:keepLines w:val="0"/>
        <w:widowControl/>
        <w:numPr>
          <w:ilvl w:val="0"/>
          <w:numId w:val="4"/>
        </w:numPr>
        <w:suppressLineNumbers w:val="0"/>
        <w:jc w:val="left"/>
        <w:rPr>
          <w:rFonts w:hint="default" w:ascii="Times New Roman" w:hAnsi="Times New Roman" w:cs="Times New Roman"/>
          <w:color w:val="000000"/>
          <w:kern w:val="0"/>
          <w:sz w:val="24"/>
          <w:szCs w:val="24"/>
          <w:lang w:val="en-US" w:eastAsia="zh-CN" w:bidi="ar"/>
        </w:rPr>
      </w:pPr>
      <w:r>
        <w:rPr>
          <w:rFonts w:hint="default" w:ascii="Times New Roman" w:hAnsi="Times New Roman" w:cs="Times New Roman"/>
          <w:color w:val="000000"/>
          <w:kern w:val="0"/>
          <w:sz w:val="24"/>
          <w:szCs w:val="24"/>
          <w:lang w:val="en-US" w:eastAsia="zh-CN" w:bidi="ar"/>
        </w:rPr>
        <w:t>航空运输。航空运输依托文山砚山机场，文山砚山机场飞行区等级为4C，可起降B737、A319等机型。航站区按满足良率和吞吐量15万人次设计。</w:t>
      </w:r>
    </w:p>
    <w:p>
      <w:pPr>
        <w:pStyle w:val="2"/>
        <w:rPr>
          <w:rFonts w:hint="default" w:ascii="Times New Roman" w:hAnsi="Times New Roman" w:cs="Times New Roman"/>
          <w:color w:val="000000"/>
          <w:kern w:val="0"/>
          <w:sz w:val="24"/>
          <w:szCs w:val="24"/>
          <w:lang w:val="en-US" w:eastAsia="zh-CN" w:bidi="ar"/>
        </w:rPr>
        <w:sectPr>
          <w:pgSz w:w="11906" w:h="16838"/>
          <w:pgMar w:top="1440" w:right="1797" w:bottom="1440" w:left="1797" w:header="851" w:footer="992" w:gutter="0"/>
          <w:cols w:space="720" w:num="1"/>
          <w:docGrid w:type="lines" w:linePitch="312" w:charSpace="0"/>
        </w:sectPr>
      </w:pPr>
    </w:p>
    <w:p>
      <w:pPr>
        <w:pStyle w:val="3"/>
        <w:ind w:firstLine="643"/>
        <w:rPr>
          <w:rFonts w:hint="default" w:ascii="Times New Roman" w:hAnsi="Times New Roman" w:cs="Times New Roman" w:eastAsiaTheme="minorEastAsia"/>
          <w:color w:val="000000"/>
        </w:rPr>
      </w:pPr>
      <w:bookmarkStart w:id="17" w:name="_Toc14297"/>
      <w:r>
        <w:rPr>
          <w:rFonts w:hint="default" w:ascii="Times New Roman" w:hAnsi="Times New Roman" w:cs="Times New Roman" w:eastAsiaTheme="minorEastAsia"/>
          <w:color w:val="000000"/>
        </w:rPr>
        <w:t>秸秆垃圾禁烧区和限烧区划定方案及成果</w:t>
      </w:r>
      <w:bookmarkEnd w:id="17"/>
    </w:p>
    <w:p>
      <w:pPr>
        <w:pStyle w:val="4"/>
        <w:rPr>
          <w:rFonts w:hint="default" w:ascii="Times New Roman" w:hAnsi="Times New Roman" w:cs="Times New Roman" w:eastAsiaTheme="minorEastAsia"/>
          <w:color w:val="000000"/>
        </w:rPr>
      </w:pPr>
      <w:bookmarkStart w:id="18" w:name="_Toc22382"/>
      <w:r>
        <w:rPr>
          <w:rFonts w:hint="default" w:ascii="Times New Roman" w:hAnsi="Times New Roman" w:cs="Times New Roman" w:eastAsiaTheme="minorEastAsia"/>
          <w:color w:val="000000"/>
        </w:rPr>
        <w:t>秸秆垃圾禁烧区划定方法</w:t>
      </w:r>
      <w:bookmarkEnd w:id="18"/>
    </w:p>
    <w:p>
      <w:pPr>
        <w:pStyle w:val="5"/>
        <w:rPr>
          <w:rFonts w:hint="default" w:ascii="Times New Roman" w:hAnsi="Times New Roman" w:cs="Times New Roman" w:eastAsiaTheme="minorEastAsia"/>
          <w:color w:val="000000"/>
          <w:sz w:val="28"/>
          <w:szCs w:val="28"/>
        </w:rPr>
      </w:pPr>
      <w:r>
        <w:rPr>
          <w:rFonts w:hint="default" w:ascii="Times New Roman" w:hAnsi="Times New Roman" w:cs="Times New Roman" w:eastAsiaTheme="minorEastAsia"/>
          <w:color w:val="000000"/>
          <w:sz w:val="28"/>
          <w:szCs w:val="28"/>
        </w:rPr>
        <w:t>要素选取</w:t>
      </w:r>
    </w:p>
    <w:p>
      <w:pPr>
        <w:keepNext w:val="0"/>
        <w:keepLines w:val="0"/>
        <w:widowControl/>
        <w:suppressLineNumbers w:val="0"/>
        <w:jc w:val="left"/>
        <w:rPr>
          <w:rFonts w:hint="default" w:ascii="Times New Roman" w:hAnsi="Times New Roman" w:cs="Times New Roman" w:eastAsiaTheme="minorEastAsia"/>
          <w:color w:val="000000"/>
          <w:kern w:val="0"/>
          <w:sz w:val="24"/>
          <w:szCs w:val="24"/>
          <w:lang w:val="en-US" w:eastAsia="zh-CN" w:bidi="ar"/>
        </w:rPr>
      </w:pPr>
      <w:r>
        <w:rPr>
          <w:rFonts w:hint="default" w:ascii="Times New Roman" w:hAnsi="Times New Roman" w:cs="Times New Roman" w:eastAsiaTheme="minorEastAsia"/>
          <w:color w:val="000000"/>
        </w:rPr>
        <w:t>（</w:t>
      </w:r>
      <w:r>
        <w:rPr>
          <w:rFonts w:hint="default" w:ascii="Times New Roman" w:hAnsi="Times New Roman" w:cs="Times New Roman" w:eastAsiaTheme="minorEastAsia"/>
          <w:color w:val="000000"/>
          <w:kern w:val="0"/>
          <w:sz w:val="24"/>
          <w:szCs w:val="24"/>
          <w:lang w:val="en-US" w:eastAsia="zh-CN" w:bidi="ar"/>
        </w:rPr>
        <w:t>1）城市建成区（城市开发边界）：从城乡规划、土地利用规划、国土空间规划、国土三调数据或卫星地图中划分出已建成区的区域。</w:t>
      </w:r>
    </w:p>
    <w:p>
      <w:pPr>
        <w:keepNext w:val="0"/>
        <w:keepLines w:val="0"/>
        <w:widowControl/>
        <w:suppressLineNumbers w:val="0"/>
        <w:jc w:val="left"/>
        <w:rPr>
          <w:rFonts w:hint="default" w:ascii="Times New Roman" w:hAnsi="Times New Roman" w:cs="Times New Roman" w:eastAsiaTheme="minorEastAsia"/>
          <w:color w:val="000000"/>
          <w:kern w:val="0"/>
          <w:sz w:val="24"/>
          <w:szCs w:val="24"/>
          <w:lang w:val="en-US" w:eastAsia="zh-CN" w:bidi="ar"/>
        </w:rPr>
      </w:pPr>
      <w:r>
        <w:rPr>
          <w:rFonts w:hint="default" w:ascii="Times New Roman" w:hAnsi="Times New Roman" w:cs="Times New Roman" w:eastAsiaTheme="minorEastAsia"/>
          <w:color w:val="000000"/>
          <w:kern w:val="0"/>
          <w:sz w:val="24"/>
          <w:szCs w:val="24"/>
          <w:lang w:val="en-US" w:eastAsia="zh-CN" w:bidi="ar"/>
        </w:rPr>
        <w:t>（2）主导风向：根据相关气象资料，可知砚山县的主导风向为南风。</w:t>
      </w:r>
    </w:p>
    <w:p>
      <w:pPr>
        <w:keepNext w:val="0"/>
        <w:keepLines w:val="0"/>
        <w:widowControl/>
        <w:suppressLineNumbers w:val="0"/>
        <w:jc w:val="left"/>
        <w:rPr>
          <w:rFonts w:hint="default" w:ascii="Times New Roman" w:hAnsi="Times New Roman" w:cs="Times New Roman" w:eastAsiaTheme="minorEastAsia"/>
          <w:color w:val="000000"/>
          <w:kern w:val="0"/>
          <w:sz w:val="24"/>
          <w:szCs w:val="24"/>
          <w:lang w:val="en-US" w:eastAsia="zh-CN" w:bidi="ar"/>
        </w:rPr>
      </w:pPr>
      <w:r>
        <w:rPr>
          <w:rFonts w:hint="default" w:ascii="Times New Roman" w:hAnsi="Times New Roman" w:cs="Times New Roman" w:eastAsiaTheme="minorEastAsia"/>
          <w:color w:val="000000"/>
          <w:kern w:val="0"/>
          <w:sz w:val="24"/>
          <w:szCs w:val="24"/>
          <w:lang w:val="en-US" w:eastAsia="zh-CN" w:bidi="ar"/>
        </w:rPr>
        <w:t>（3）高速公路：砚山县境内高速公路分布情况见下表。</w:t>
      </w:r>
    </w:p>
    <w:p>
      <w:pPr>
        <w:ind w:firstLine="0" w:firstLineChars="0"/>
        <w:jc w:val="center"/>
        <w:rPr>
          <w:rFonts w:hint="default" w:ascii="Times New Roman" w:hAnsi="Times New Roman" w:cs="Times New Roman" w:eastAsiaTheme="minorEastAsia"/>
          <w:b/>
          <w:bCs/>
          <w:sz w:val="24"/>
        </w:rPr>
      </w:pPr>
      <w:r>
        <w:rPr>
          <w:rFonts w:hint="default" w:ascii="Times New Roman" w:hAnsi="Times New Roman" w:cs="Times New Roman" w:eastAsiaTheme="minorEastAsia"/>
          <w:b/>
          <w:bCs/>
          <w:sz w:val="24"/>
        </w:rPr>
        <w:t>表3</w:t>
      </w:r>
      <w:r>
        <w:rPr>
          <w:rFonts w:hint="default" w:ascii="Times New Roman" w:hAnsi="Times New Roman" w:cs="Times New Roman" w:eastAsiaTheme="minorEastAsia"/>
          <w:b/>
          <w:bCs/>
          <w:sz w:val="24"/>
          <w:lang w:val="en-US" w:eastAsia="zh-CN"/>
        </w:rPr>
        <w:t>-</w:t>
      </w:r>
      <w:r>
        <w:rPr>
          <w:rFonts w:hint="default" w:ascii="Times New Roman" w:hAnsi="Times New Roman" w:cs="Times New Roman" w:eastAsiaTheme="minorEastAsia"/>
          <w:b/>
          <w:bCs/>
          <w:sz w:val="24"/>
        </w:rPr>
        <w:fldChar w:fldCharType="begin"/>
      </w:r>
      <w:r>
        <w:rPr>
          <w:rFonts w:hint="default" w:ascii="Times New Roman" w:hAnsi="Times New Roman" w:cs="Times New Roman" w:eastAsiaTheme="minorEastAsia"/>
          <w:b/>
          <w:bCs/>
          <w:sz w:val="24"/>
        </w:rPr>
        <w:instrText xml:space="preserve"> SEQ 表3. \* ARABIC </w:instrText>
      </w:r>
      <w:r>
        <w:rPr>
          <w:rFonts w:hint="default" w:ascii="Times New Roman" w:hAnsi="Times New Roman" w:cs="Times New Roman" w:eastAsiaTheme="minorEastAsia"/>
          <w:b/>
          <w:bCs/>
          <w:sz w:val="24"/>
        </w:rPr>
        <w:fldChar w:fldCharType="separate"/>
      </w:r>
      <w:r>
        <w:rPr>
          <w:rFonts w:hint="default" w:ascii="Times New Roman" w:hAnsi="Times New Roman" w:cs="Times New Roman" w:eastAsiaTheme="minorEastAsia"/>
          <w:b/>
          <w:bCs/>
          <w:sz w:val="24"/>
        </w:rPr>
        <w:t>1</w:t>
      </w:r>
      <w:r>
        <w:rPr>
          <w:rFonts w:hint="default" w:ascii="Times New Roman" w:hAnsi="Times New Roman" w:cs="Times New Roman" w:eastAsiaTheme="minorEastAsia"/>
          <w:b/>
          <w:bCs/>
          <w:sz w:val="24"/>
        </w:rPr>
        <w:fldChar w:fldCharType="end"/>
      </w:r>
      <w:r>
        <w:rPr>
          <w:rFonts w:hint="default" w:ascii="Times New Roman" w:hAnsi="Times New Roman" w:cs="Times New Roman" w:eastAsiaTheme="minorEastAsia"/>
          <w:b/>
          <w:bCs/>
          <w:sz w:val="24"/>
        </w:rPr>
        <w:t>砚山县高速公路分布情况汇总表</w:t>
      </w:r>
    </w:p>
    <w:tbl>
      <w:tblPr>
        <w:tblStyle w:val="11"/>
        <w:tblW w:w="85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2"/>
        <w:gridCol w:w="3190"/>
        <w:gridCol w:w="2376"/>
        <w:gridCol w:w="19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2" w:type="dxa"/>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序号</w:t>
            </w:r>
          </w:p>
        </w:tc>
        <w:tc>
          <w:tcPr>
            <w:tcW w:w="3190" w:type="dxa"/>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公路名称</w:t>
            </w:r>
          </w:p>
        </w:tc>
        <w:tc>
          <w:tcPr>
            <w:tcW w:w="2376" w:type="dxa"/>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公路简称</w:t>
            </w:r>
          </w:p>
        </w:tc>
        <w:tc>
          <w:tcPr>
            <w:tcW w:w="1927" w:type="dxa"/>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道路编号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2" w:type="dxa"/>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w:t>
            </w:r>
          </w:p>
        </w:tc>
        <w:tc>
          <w:tcPr>
            <w:tcW w:w="3190" w:type="dxa"/>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广州-昆明高速公路</w:t>
            </w:r>
          </w:p>
        </w:tc>
        <w:tc>
          <w:tcPr>
            <w:tcW w:w="2376" w:type="dxa"/>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广昆高速</w:t>
            </w:r>
          </w:p>
        </w:tc>
        <w:tc>
          <w:tcPr>
            <w:tcW w:w="1927" w:type="dxa"/>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G80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2" w:type="dxa"/>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w:t>
            </w:r>
          </w:p>
        </w:tc>
        <w:tc>
          <w:tcPr>
            <w:tcW w:w="3190" w:type="dxa"/>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砚山-文山高速公路</w:t>
            </w:r>
          </w:p>
        </w:tc>
        <w:tc>
          <w:tcPr>
            <w:tcW w:w="2376" w:type="dxa"/>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砚文高速</w:t>
            </w:r>
          </w:p>
        </w:tc>
        <w:tc>
          <w:tcPr>
            <w:tcW w:w="1927" w:type="dxa"/>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G8013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2" w:type="dxa"/>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3</w:t>
            </w:r>
          </w:p>
        </w:tc>
        <w:tc>
          <w:tcPr>
            <w:tcW w:w="3190" w:type="dxa"/>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平远街-云峰高速公路</w:t>
            </w:r>
          </w:p>
        </w:tc>
        <w:tc>
          <w:tcPr>
            <w:tcW w:w="2376" w:type="dxa"/>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平文高速</w:t>
            </w:r>
          </w:p>
        </w:tc>
        <w:tc>
          <w:tcPr>
            <w:tcW w:w="1927" w:type="dxa"/>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S023</w:t>
            </w:r>
          </w:p>
        </w:tc>
      </w:tr>
    </w:tbl>
    <w:p>
      <w:pPr>
        <w:keepNext w:val="0"/>
        <w:keepLines w:val="0"/>
        <w:widowControl/>
        <w:suppressLineNumbers w:val="0"/>
        <w:jc w:val="left"/>
        <w:rPr>
          <w:rFonts w:hint="default" w:ascii="Times New Roman" w:hAnsi="Times New Roman" w:cs="Times New Roman" w:eastAsiaTheme="minorEastAsia"/>
          <w:color w:val="000000"/>
          <w:kern w:val="0"/>
          <w:sz w:val="24"/>
          <w:szCs w:val="24"/>
          <w:lang w:val="en-US" w:eastAsia="zh-CN" w:bidi="ar"/>
        </w:rPr>
      </w:pPr>
    </w:p>
    <w:p>
      <w:pPr>
        <w:keepNext w:val="0"/>
        <w:keepLines w:val="0"/>
        <w:widowControl/>
        <w:suppressLineNumbers w:val="0"/>
        <w:jc w:val="left"/>
        <w:rPr>
          <w:rFonts w:hint="default" w:ascii="Times New Roman" w:hAnsi="Times New Roman" w:cs="Times New Roman" w:eastAsiaTheme="minorEastAsia"/>
          <w:color w:val="000000"/>
          <w:kern w:val="0"/>
          <w:sz w:val="24"/>
          <w:szCs w:val="24"/>
          <w:lang w:val="en-US" w:eastAsia="zh-CN" w:bidi="ar"/>
        </w:rPr>
      </w:pPr>
      <w:r>
        <w:rPr>
          <w:rFonts w:hint="default" w:ascii="Times New Roman" w:hAnsi="Times New Roman" w:cs="Times New Roman" w:eastAsiaTheme="minorEastAsia"/>
          <w:color w:val="000000"/>
          <w:kern w:val="0"/>
          <w:sz w:val="24"/>
          <w:szCs w:val="24"/>
          <w:lang w:val="en-US" w:eastAsia="zh-CN" w:bidi="ar"/>
        </w:rPr>
        <w:t>（4）国、省干道：砚山县境内国、省干道分布情况见下表。</w:t>
      </w:r>
    </w:p>
    <w:p>
      <w:pPr>
        <w:ind w:firstLine="0" w:firstLineChars="0"/>
        <w:jc w:val="center"/>
        <w:rPr>
          <w:rFonts w:hint="default" w:ascii="Times New Roman" w:hAnsi="Times New Roman" w:cs="Times New Roman" w:eastAsiaTheme="minorEastAsia"/>
          <w:b/>
          <w:bCs/>
          <w:sz w:val="24"/>
        </w:rPr>
      </w:pPr>
      <w:r>
        <w:rPr>
          <w:rFonts w:hint="default" w:ascii="Times New Roman" w:hAnsi="Times New Roman" w:cs="Times New Roman" w:eastAsiaTheme="minorEastAsia"/>
          <w:b/>
          <w:bCs/>
          <w:sz w:val="24"/>
        </w:rPr>
        <w:t>表3</w:t>
      </w:r>
      <w:r>
        <w:rPr>
          <w:rFonts w:hint="default" w:ascii="Times New Roman" w:hAnsi="Times New Roman" w:cs="Times New Roman" w:eastAsiaTheme="minorEastAsia"/>
          <w:b/>
          <w:bCs/>
          <w:sz w:val="24"/>
          <w:lang w:val="en-US" w:eastAsia="zh-CN"/>
        </w:rPr>
        <w:t>-</w:t>
      </w:r>
      <w:r>
        <w:rPr>
          <w:rFonts w:hint="default" w:ascii="Times New Roman" w:hAnsi="Times New Roman" w:cs="Times New Roman" w:eastAsiaTheme="minorEastAsia"/>
          <w:b/>
          <w:bCs/>
          <w:sz w:val="24"/>
        </w:rPr>
        <w:fldChar w:fldCharType="begin"/>
      </w:r>
      <w:r>
        <w:rPr>
          <w:rFonts w:hint="default" w:ascii="Times New Roman" w:hAnsi="Times New Roman" w:cs="Times New Roman" w:eastAsiaTheme="minorEastAsia"/>
          <w:b/>
          <w:bCs/>
          <w:sz w:val="24"/>
        </w:rPr>
        <w:instrText xml:space="preserve"> SEQ 表3. \* ARABIC </w:instrText>
      </w:r>
      <w:r>
        <w:rPr>
          <w:rFonts w:hint="default" w:ascii="Times New Roman" w:hAnsi="Times New Roman" w:cs="Times New Roman" w:eastAsiaTheme="minorEastAsia"/>
          <w:b/>
          <w:bCs/>
          <w:sz w:val="24"/>
        </w:rPr>
        <w:fldChar w:fldCharType="separate"/>
      </w:r>
      <w:r>
        <w:rPr>
          <w:rFonts w:hint="default" w:ascii="Times New Roman" w:hAnsi="Times New Roman" w:cs="Times New Roman" w:eastAsiaTheme="minorEastAsia"/>
          <w:b/>
          <w:bCs/>
          <w:sz w:val="24"/>
        </w:rPr>
        <w:t>2</w:t>
      </w:r>
      <w:r>
        <w:rPr>
          <w:rFonts w:hint="default" w:ascii="Times New Roman" w:hAnsi="Times New Roman" w:cs="Times New Roman" w:eastAsiaTheme="minorEastAsia"/>
          <w:b/>
          <w:bCs/>
          <w:sz w:val="24"/>
        </w:rPr>
        <w:fldChar w:fldCharType="end"/>
      </w:r>
      <w:r>
        <w:rPr>
          <w:rFonts w:hint="default" w:ascii="Times New Roman" w:hAnsi="Times New Roman" w:cs="Times New Roman" w:eastAsiaTheme="minorEastAsia"/>
          <w:b/>
          <w:bCs/>
          <w:sz w:val="24"/>
        </w:rPr>
        <w:t xml:space="preserve"> 砚山县国、省干道分布情况汇总表</w:t>
      </w:r>
    </w:p>
    <w:tbl>
      <w:tblPr>
        <w:tblStyle w:val="11"/>
        <w:tblW w:w="85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
        <w:gridCol w:w="4071"/>
        <w:gridCol w:w="1672"/>
        <w:gridCol w:w="1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3" w:type="dxa"/>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序号</w:t>
            </w:r>
          </w:p>
        </w:tc>
        <w:tc>
          <w:tcPr>
            <w:tcW w:w="4071" w:type="dxa"/>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公路名称</w:t>
            </w:r>
          </w:p>
        </w:tc>
        <w:tc>
          <w:tcPr>
            <w:tcW w:w="1672" w:type="dxa"/>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公路简称</w:t>
            </w:r>
          </w:p>
        </w:tc>
        <w:tc>
          <w:tcPr>
            <w:tcW w:w="1819" w:type="dxa"/>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道路编号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3" w:type="dxa"/>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w:t>
            </w:r>
          </w:p>
        </w:tc>
        <w:tc>
          <w:tcPr>
            <w:tcW w:w="4071" w:type="dxa"/>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兰州-马关公路</w:t>
            </w:r>
          </w:p>
        </w:tc>
        <w:tc>
          <w:tcPr>
            <w:tcW w:w="1672" w:type="dxa"/>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兰马线</w:t>
            </w:r>
          </w:p>
        </w:tc>
        <w:tc>
          <w:tcPr>
            <w:tcW w:w="1819" w:type="dxa"/>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G248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3" w:type="dxa"/>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w:t>
            </w:r>
          </w:p>
        </w:tc>
        <w:tc>
          <w:tcPr>
            <w:tcW w:w="4071" w:type="dxa"/>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瑞金-清水河公路</w:t>
            </w:r>
          </w:p>
        </w:tc>
        <w:tc>
          <w:tcPr>
            <w:tcW w:w="1672" w:type="dxa"/>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瑞清线</w:t>
            </w:r>
          </w:p>
        </w:tc>
        <w:tc>
          <w:tcPr>
            <w:tcW w:w="1819" w:type="dxa"/>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G323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3" w:type="dxa"/>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3</w:t>
            </w:r>
          </w:p>
        </w:tc>
        <w:tc>
          <w:tcPr>
            <w:tcW w:w="4071" w:type="dxa"/>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阿岗-铁厂公路</w:t>
            </w:r>
          </w:p>
        </w:tc>
        <w:tc>
          <w:tcPr>
            <w:tcW w:w="1672" w:type="dxa"/>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阿铁线</w:t>
            </w:r>
          </w:p>
        </w:tc>
        <w:tc>
          <w:tcPr>
            <w:tcW w:w="1819" w:type="dxa"/>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S241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3" w:type="dxa"/>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4</w:t>
            </w:r>
          </w:p>
        </w:tc>
        <w:tc>
          <w:tcPr>
            <w:tcW w:w="4071" w:type="dxa"/>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西畴-河口公路</w:t>
            </w:r>
          </w:p>
        </w:tc>
        <w:tc>
          <w:tcPr>
            <w:tcW w:w="1672" w:type="dxa"/>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西河线</w:t>
            </w:r>
          </w:p>
        </w:tc>
        <w:tc>
          <w:tcPr>
            <w:tcW w:w="1819" w:type="dxa"/>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S242</w:t>
            </w:r>
          </w:p>
        </w:tc>
      </w:tr>
    </w:tbl>
    <w:p>
      <w:pPr>
        <w:keepNext w:val="0"/>
        <w:keepLines w:val="0"/>
        <w:widowControl/>
        <w:suppressLineNumbers w:val="0"/>
        <w:jc w:val="left"/>
        <w:rPr>
          <w:rFonts w:hint="default" w:ascii="Times New Roman" w:hAnsi="Times New Roman" w:cs="Times New Roman" w:eastAsiaTheme="minorEastAsia"/>
          <w:color w:val="000000"/>
          <w:kern w:val="0"/>
          <w:sz w:val="24"/>
          <w:szCs w:val="24"/>
          <w:lang w:val="en-US" w:eastAsia="zh-CN" w:bidi="ar"/>
        </w:rPr>
      </w:pPr>
    </w:p>
    <w:p>
      <w:pPr>
        <w:keepNext w:val="0"/>
        <w:keepLines w:val="0"/>
        <w:widowControl/>
        <w:suppressLineNumbers w:val="0"/>
        <w:jc w:val="left"/>
        <w:rPr>
          <w:rFonts w:hint="default" w:ascii="Times New Roman" w:hAnsi="Times New Roman" w:cs="Times New Roman" w:eastAsiaTheme="minorEastAsia"/>
          <w:color w:val="000000"/>
          <w:kern w:val="0"/>
          <w:sz w:val="24"/>
          <w:szCs w:val="24"/>
          <w:lang w:val="en-US" w:eastAsia="zh-CN" w:bidi="ar"/>
        </w:rPr>
      </w:pPr>
      <w:r>
        <w:rPr>
          <w:rFonts w:hint="default" w:ascii="Times New Roman" w:hAnsi="Times New Roman" w:cs="Times New Roman" w:eastAsiaTheme="minorEastAsia"/>
          <w:color w:val="000000"/>
          <w:kern w:val="0"/>
          <w:sz w:val="24"/>
          <w:szCs w:val="24"/>
          <w:lang w:val="en-US" w:eastAsia="zh-CN" w:bidi="ar"/>
        </w:rPr>
        <w:t>（5）铁路：砚山县境内铁路分布情况见下表。</w:t>
      </w:r>
    </w:p>
    <w:p>
      <w:pPr>
        <w:ind w:firstLine="0" w:firstLineChars="0"/>
        <w:jc w:val="center"/>
        <w:rPr>
          <w:rFonts w:hint="default" w:ascii="Times New Roman" w:hAnsi="Times New Roman" w:cs="Times New Roman" w:eastAsiaTheme="minorEastAsia"/>
          <w:b/>
          <w:bCs/>
          <w:sz w:val="24"/>
        </w:rPr>
      </w:pPr>
      <w:r>
        <w:rPr>
          <w:rFonts w:hint="default" w:ascii="Times New Roman" w:hAnsi="Times New Roman" w:cs="Times New Roman" w:eastAsiaTheme="minorEastAsia"/>
          <w:b/>
          <w:bCs/>
          <w:sz w:val="24"/>
        </w:rPr>
        <w:t>表3</w:t>
      </w:r>
      <w:r>
        <w:rPr>
          <w:rFonts w:hint="default" w:ascii="Times New Roman" w:hAnsi="Times New Roman" w:cs="Times New Roman" w:eastAsiaTheme="minorEastAsia"/>
          <w:b/>
          <w:bCs/>
          <w:sz w:val="24"/>
          <w:lang w:val="en-US" w:eastAsia="zh-CN"/>
        </w:rPr>
        <w:t>-</w:t>
      </w:r>
      <w:r>
        <w:rPr>
          <w:rFonts w:hint="default" w:ascii="Times New Roman" w:hAnsi="Times New Roman" w:cs="Times New Roman" w:eastAsiaTheme="minorEastAsia"/>
          <w:b/>
          <w:bCs/>
          <w:sz w:val="24"/>
        </w:rPr>
        <w:fldChar w:fldCharType="begin"/>
      </w:r>
      <w:r>
        <w:rPr>
          <w:rFonts w:hint="default" w:ascii="Times New Roman" w:hAnsi="Times New Roman" w:cs="Times New Roman" w:eastAsiaTheme="minorEastAsia"/>
          <w:b/>
          <w:bCs/>
          <w:sz w:val="24"/>
        </w:rPr>
        <w:instrText xml:space="preserve"> SEQ 表3. \* ARABIC </w:instrText>
      </w:r>
      <w:r>
        <w:rPr>
          <w:rFonts w:hint="default" w:ascii="Times New Roman" w:hAnsi="Times New Roman" w:cs="Times New Roman" w:eastAsiaTheme="minorEastAsia"/>
          <w:b/>
          <w:bCs/>
          <w:sz w:val="24"/>
        </w:rPr>
        <w:fldChar w:fldCharType="separate"/>
      </w:r>
      <w:r>
        <w:rPr>
          <w:rFonts w:hint="default" w:ascii="Times New Roman" w:hAnsi="Times New Roman" w:cs="Times New Roman" w:eastAsiaTheme="minorEastAsia"/>
          <w:b/>
          <w:bCs/>
          <w:sz w:val="24"/>
        </w:rPr>
        <w:t>3</w:t>
      </w:r>
      <w:r>
        <w:rPr>
          <w:rFonts w:hint="default" w:ascii="Times New Roman" w:hAnsi="Times New Roman" w:cs="Times New Roman" w:eastAsiaTheme="minorEastAsia"/>
          <w:b/>
          <w:bCs/>
          <w:sz w:val="24"/>
        </w:rPr>
        <w:fldChar w:fldCharType="end"/>
      </w:r>
      <w:r>
        <w:rPr>
          <w:rFonts w:hint="default" w:ascii="Times New Roman" w:hAnsi="Times New Roman" w:cs="Times New Roman" w:eastAsiaTheme="minorEastAsia"/>
          <w:b/>
          <w:bCs/>
          <w:sz w:val="24"/>
        </w:rPr>
        <w:t xml:space="preserve"> 砚山县铁路分布情况汇总表</w:t>
      </w:r>
    </w:p>
    <w:tbl>
      <w:tblPr>
        <w:tblStyle w:val="11"/>
        <w:tblW w:w="85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8"/>
        <w:gridCol w:w="2221"/>
        <w:gridCol w:w="2768"/>
        <w:gridCol w:w="1334"/>
        <w:gridCol w:w="1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68" w:type="dxa"/>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序号</w:t>
            </w:r>
          </w:p>
        </w:tc>
        <w:tc>
          <w:tcPr>
            <w:tcW w:w="2221" w:type="dxa"/>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铁路名称</w:t>
            </w:r>
          </w:p>
        </w:tc>
        <w:tc>
          <w:tcPr>
            <w:tcW w:w="2768" w:type="dxa"/>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类型</w:t>
            </w:r>
          </w:p>
        </w:tc>
        <w:tc>
          <w:tcPr>
            <w:tcW w:w="1334" w:type="dxa"/>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起点</w:t>
            </w:r>
          </w:p>
        </w:tc>
        <w:tc>
          <w:tcPr>
            <w:tcW w:w="1334" w:type="dxa"/>
            <w:vAlign w:val="center"/>
          </w:tcPr>
          <w:p>
            <w:pPr>
              <w:tabs>
                <w:tab w:val="left" w:pos="452"/>
              </w:tabs>
              <w:spacing w:line="240" w:lineRule="auto"/>
              <w:ind w:firstLine="0" w:firstLineChars="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ab/>
            </w:r>
            <w:r>
              <w:rPr>
                <w:rFonts w:hint="default" w:ascii="Times New Roman" w:hAnsi="Times New Roman" w:cs="Times New Roman" w:eastAsiaTheme="minorEastAsia"/>
                <w:sz w:val="21"/>
                <w:szCs w:val="21"/>
              </w:rPr>
              <w:t>终点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8" w:type="dxa"/>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w:t>
            </w:r>
          </w:p>
        </w:tc>
        <w:tc>
          <w:tcPr>
            <w:tcW w:w="2221" w:type="dxa"/>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云桂铁路</w:t>
            </w:r>
          </w:p>
        </w:tc>
        <w:tc>
          <w:tcPr>
            <w:tcW w:w="2768" w:type="dxa"/>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高速</w:t>
            </w:r>
          </w:p>
        </w:tc>
        <w:tc>
          <w:tcPr>
            <w:tcW w:w="1334" w:type="dxa"/>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昆明</w:t>
            </w:r>
          </w:p>
        </w:tc>
        <w:tc>
          <w:tcPr>
            <w:tcW w:w="1334" w:type="dxa"/>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南宁</w:t>
            </w:r>
          </w:p>
        </w:tc>
      </w:tr>
    </w:tbl>
    <w:p>
      <w:pPr>
        <w:keepNext w:val="0"/>
        <w:keepLines w:val="0"/>
        <w:widowControl/>
        <w:suppressLineNumbers w:val="0"/>
        <w:jc w:val="left"/>
        <w:rPr>
          <w:rFonts w:hint="default" w:ascii="Times New Roman" w:hAnsi="Times New Roman" w:cs="Times New Roman" w:eastAsiaTheme="minorEastAsia"/>
          <w:color w:val="000000"/>
          <w:kern w:val="0"/>
          <w:sz w:val="24"/>
          <w:szCs w:val="24"/>
          <w:lang w:val="en-US" w:eastAsia="zh-CN" w:bidi="ar"/>
        </w:rPr>
      </w:pPr>
    </w:p>
    <w:p>
      <w:pPr>
        <w:keepNext w:val="0"/>
        <w:keepLines w:val="0"/>
        <w:widowControl/>
        <w:suppressLineNumbers w:val="0"/>
        <w:jc w:val="left"/>
        <w:rPr>
          <w:rFonts w:hint="default" w:ascii="Times New Roman" w:hAnsi="Times New Roman" w:cs="Times New Roman" w:eastAsiaTheme="minorEastAsia"/>
          <w:color w:val="000000"/>
          <w:kern w:val="0"/>
          <w:sz w:val="24"/>
          <w:szCs w:val="24"/>
          <w:lang w:val="en-US" w:eastAsia="zh-CN" w:bidi="ar"/>
        </w:rPr>
      </w:pPr>
      <w:r>
        <w:rPr>
          <w:rFonts w:hint="default" w:ascii="Times New Roman" w:hAnsi="Times New Roman" w:cs="Times New Roman" w:eastAsiaTheme="minorEastAsia"/>
          <w:color w:val="000000"/>
          <w:kern w:val="0"/>
          <w:sz w:val="24"/>
          <w:szCs w:val="24"/>
          <w:lang w:val="en-US" w:eastAsia="zh-CN" w:bidi="ar"/>
        </w:rPr>
        <w:t>（6）机场：文山砚山机场。</w:t>
      </w:r>
    </w:p>
    <w:p>
      <w:pPr>
        <w:keepNext w:val="0"/>
        <w:keepLines w:val="0"/>
        <w:widowControl/>
        <w:suppressLineNumbers w:val="0"/>
        <w:jc w:val="left"/>
        <w:rPr>
          <w:rFonts w:hint="default" w:ascii="Times New Roman" w:hAnsi="Times New Roman" w:cs="Times New Roman" w:eastAsiaTheme="minorEastAsia"/>
          <w:color w:val="000000"/>
          <w:kern w:val="0"/>
          <w:sz w:val="24"/>
          <w:szCs w:val="24"/>
          <w:lang w:val="en-US" w:eastAsia="zh-CN" w:bidi="ar"/>
        </w:rPr>
      </w:pPr>
      <w:r>
        <w:rPr>
          <w:rFonts w:hint="default" w:ascii="Times New Roman" w:hAnsi="Times New Roman" w:cs="Times New Roman" w:eastAsiaTheme="minorEastAsia"/>
          <w:color w:val="000000"/>
          <w:kern w:val="0"/>
          <w:sz w:val="24"/>
          <w:szCs w:val="24"/>
          <w:lang w:val="en-US" w:eastAsia="zh-CN" w:bidi="ar"/>
        </w:rPr>
        <w:t>（7）自然保护区：无。</w:t>
      </w:r>
    </w:p>
    <w:p>
      <w:pPr>
        <w:keepNext w:val="0"/>
        <w:keepLines w:val="0"/>
        <w:widowControl/>
        <w:suppressLineNumbers w:val="0"/>
        <w:jc w:val="left"/>
        <w:rPr>
          <w:rFonts w:hint="default" w:ascii="Times New Roman" w:hAnsi="Times New Roman" w:cs="Times New Roman" w:eastAsiaTheme="minorEastAsia"/>
          <w:color w:val="000000"/>
          <w:kern w:val="0"/>
          <w:sz w:val="24"/>
          <w:szCs w:val="24"/>
          <w:lang w:val="en-US" w:eastAsia="zh-CN" w:bidi="ar"/>
        </w:rPr>
      </w:pPr>
      <w:r>
        <w:rPr>
          <w:rFonts w:hint="default" w:ascii="Times New Roman" w:hAnsi="Times New Roman" w:cs="Times New Roman" w:eastAsiaTheme="minorEastAsia"/>
          <w:color w:val="000000"/>
          <w:kern w:val="0"/>
          <w:sz w:val="24"/>
          <w:szCs w:val="24"/>
          <w:lang w:val="en-US" w:eastAsia="zh-CN" w:bidi="ar"/>
        </w:rPr>
        <w:t>（8）人口集中区：八嘎乡、盘龙彝族乡、江那镇、阿舍彝族乡、者腊乡、稼依镇、干河彝族乡、阿猛镇、蚌峨乡、平远镇、维摩彝族乡的乡镇驻地。</w:t>
      </w:r>
    </w:p>
    <w:p>
      <w:pPr>
        <w:keepNext w:val="0"/>
        <w:keepLines w:val="0"/>
        <w:widowControl/>
        <w:suppressLineNumbers w:val="0"/>
        <w:jc w:val="left"/>
        <w:rPr>
          <w:rFonts w:hint="default" w:ascii="Times New Roman" w:hAnsi="Times New Roman" w:cs="Times New Roman" w:eastAsiaTheme="minorEastAsia"/>
          <w:color w:val="000000"/>
          <w:kern w:val="0"/>
          <w:sz w:val="24"/>
          <w:szCs w:val="24"/>
          <w:lang w:val="en-US" w:eastAsia="zh-CN" w:bidi="ar"/>
        </w:rPr>
      </w:pPr>
      <w:r>
        <w:rPr>
          <w:rFonts w:hint="default" w:ascii="Times New Roman" w:hAnsi="Times New Roman" w:cs="Times New Roman" w:eastAsiaTheme="minorEastAsia"/>
          <w:color w:val="000000"/>
          <w:kern w:val="0"/>
          <w:sz w:val="24"/>
          <w:szCs w:val="24"/>
          <w:lang w:val="en-US" w:eastAsia="zh-CN" w:bidi="ar"/>
        </w:rPr>
        <w:t>（9）各级风景名胜区、文物保护单位等其他区域禁烧区分布较分散，边界难于界定，部分与城市、交通干线禁烧区范围重叠，部分面积较小不易标注，因此，本方案的数据、图件不标注各级风景名胜区、文物保护单位等其他禁烧区。</w:t>
      </w:r>
    </w:p>
    <w:p>
      <w:pPr>
        <w:keepNext w:val="0"/>
        <w:keepLines w:val="0"/>
        <w:widowControl/>
        <w:suppressLineNumbers w:val="0"/>
        <w:jc w:val="left"/>
        <w:rPr>
          <w:rFonts w:hint="default" w:ascii="Times New Roman" w:hAnsi="Times New Roman" w:cs="Times New Roman" w:eastAsiaTheme="minorEastAsia"/>
          <w:color w:val="000000"/>
          <w:kern w:val="0"/>
          <w:sz w:val="24"/>
          <w:szCs w:val="24"/>
          <w:lang w:val="en-US" w:eastAsia="zh-CN" w:bidi="ar"/>
        </w:rPr>
      </w:pPr>
      <w:r>
        <w:rPr>
          <w:rFonts w:hint="default" w:ascii="Times New Roman" w:hAnsi="Times New Roman" w:cs="Times New Roman" w:eastAsiaTheme="minorEastAsia"/>
          <w:color w:val="000000"/>
          <w:kern w:val="0"/>
          <w:sz w:val="24"/>
          <w:szCs w:val="24"/>
          <w:lang w:val="en-US" w:eastAsia="zh-CN" w:bidi="ar"/>
        </w:rPr>
        <w:t>划定过程</w:t>
      </w:r>
    </w:p>
    <w:p>
      <w:pPr>
        <w:keepNext w:val="0"/>
        <w:keepLines w:val="0"/>
        <w:widowControl/>
        <w:suppressLineNumbers w:val="0"/>
        <w:jc w:val="left"/>
        <w:rPr>
          <w:rFonts w:hint="default" w:ascii="Times New Roman" w:hAnsi="Times New Roman" w:cs="Times New Roman" w:eastAsiaTheme="minorEastAsia"/>
          <w:color w:val="000000"/>
          <w:kern w:val="0"/>
          <w:sz w:val="24"/>
          <w:szCs w:val="24"/>
          <w:lang w:val="en-US" w:eastAsia="zh-CN" w:bidi="ar"/>
        </w:rPr>
      </w:pPr>
      <w:r>
        <w:rPr>
          <w:rFonts w:hint="default" w:ascii="Times New Roman" w:hAnsi="Times New Roman" w:cs="Times New Roman" w:eastAsiaTheme="minorEastAsia"/>
          <w:color w:val="000000"/>
          <w:kern w:val="0"/>
          <w:sz w:val="24"/>
          <w:szCs w:val="24"/>
          <w:lang w:val="en-US" w:eastAsia="zh-CN" w:bidi="ar"/>
        </w:rPr>
        <w:t>（1）城市建成区：根据砚山县气象资料表明，砚山县主导风向为</w:t>
      </w:r>
      <w:r>
        <w:rPr>
          <w:rFonts w:hint="default" w:ascii="Times New Roman" w:hAnsi="Times New Roman" w:cs="Times New Roman" w:eastAsiaTheme="minorEastAsia"/>
          <w:color w:val="FF0000"/>
          <w:kern w:val="0"/>
          <w:sz w:val="24"/>
          <w:szCs w:val="24"/>
          <w:lang w:val="en-US" w:eastAsia="zh-CN" w:bidi="ar"/>
        </w:rPr>
        <w:t>南风</w:t>
      </w:r>
      <w:r>
        <w:rPr>
          <w:rFonts w:hint="default" w:ascii="Times New Roman" w:hAnsi="Times New Roman" w:cs="Times New Roman" w:eastAsiaTheme="minorEastAsia"/>
          <w:color w:val="000000"/>
          <w:kern w:val="0"/>
          <w:sz w:val="24"/>
          <w:szCs w:val="24"/>
          <w:lang w:val="en-US" w:eastAsia="zh-CN" w:bidi="ar"/>
        </w:rPr>
        <w:t>。按照砚山县城市建成区外围南侧不少于15公里，北侧不少于10公里的要求进行划分，绘制成建成区外围禁烧区范围。</w:t>
      </w:r>
    </w:p>
    <w:p>
      <w:pPr>
        <w:keepNext w:val="0"/>
        <w:keepLines w:val="0"/>
        <w:widowControl/>
        <w:suppressLineNumbers w:val="0"/>
        <w:jc w:val="left"/>
        <w:rPr>
          <w:rFonts w:hint="default" w:ascii="Times New Roman" w:hAnsi="Times New Roman" w:cs="Times New Roman" w:eastAsiaTheme="minorEastAsia"/>
          <w:color w:val="000000"/>
          <w:kern w:val="0"/>
          <w:sz w:val="24"/>
          <w:szCs w:val="24"/>
          <w:lang w:val="en-US" w:eastAsia="zh-CN" w:bidi="ar"/>
        </w:rPr>
      </w:pPr>
      <w:r>
        <w:rPr>
          <w:rFonts w:hint="default" w:ascii="Times New Roman" w:hAnsi="Times New Roman" w:cs="Times New Roman" w:eastAsiaTheme="minorEastAsia"/>
          <w:color w:val="000000"/>
          <w:kern w:val="0"/>
          <w:sz w:val="24"/>
          <w:szCs w:val="24"/>
          <w:lang w:val="en-US" w:eastAsia="zh-CN" w:bidi="ar"/>
        </w:rPr>
        <w:t>（2）高速公路：广昆高速G80、砚文高速G8013、平文高速S023，沿线两侧各 2 km，划入禁烧区范围。</w:t>
      </w:r>
    </w:p>
    <w:p>
      <w:pPr>
        <w:keepNext w:val="0"/>
        <w:keepLines w:val="0"/>
        <w:widowControl/>
        <w:suppressLineNumbers w:val="0"/>
        <w:jc w:val="left"/>
        <w:rPr>
          <w:rFonts w:hint="default" w:ascii="Times New Roman" w:hAnsi="Times New Roman" w:cs="Times New Roman" w:eastAsiaTheme="minorEastAsia"/>
          <w:color w:val="000000"/>
          <w:kern w:val="0"/>
          <w:sz w:val="24"/>
          <w:szCs w:val="24"/>
          <w:lang w:val="en-US" w:eastAsia="zh-CN" w:bidi="ar"/>
        </w:rPr>
      </w:pPr>
      <w:r>
        <w:rPr>
          <w:rFonts w:hint="default" w:ascii="Times New Roman" w:hAnsi="Times New Roman" w:cs="Times New Roman" w:eastAsiaTheme="minorEastAsia"/>
          <w:color w:val="000000"/>
          <w:kern w:val="0"/>
          <w:sz w:val="24"/>
          <w:szCs w:val="24"/>
          <w:lang w:val="en-US" w:eastAsia="zh-CN" w:bidi="ar"/>
        </w:rPr>
        <w:t>（3）国、省干道：兰马线G248、瑞清线G323、阿铁线S241、西河线S242，沿线两侧各1km，划入禁烧区范围。</w:t>
      </w:r>
    </w:p>
    <w:p>
      <w:pPr>
        <w:keepNext w:val="0"/>
        <w:keepLines w:val="0"/>
        <w:widowControl/>
        <w:suppressLineNumbers w:val="0"/>
        <w:jc w:val="left"/>
        <w:rPr>
          <w:rFonts w:hint="default" w:ascii="Times New Roman" w:hAnsi="Times New Roman" w:cs="Times New Roman" w:eastAsiaTheme="minorEastAsia"/>
          <w:color w:val="000000"/>
          <w:kern w:val="0"/>
          <w:sz w:val="24"/>
          <w:szCs w:val="24"/>
          <w:lang w:val="en-US" w:eastAsia="zh-CN" w:bidi="ar"/>
        </w:rPr>
      </w:pPr>
      <w:r>
        <w:rPr>
          <w:rFonts w:hint="default" w:ascii="Times New Roman" w:hAnsi="Times New Roman" w:cs="Times New Roman" w:eastAsiaTheme="minorEastAsia"/>
          <w:color w:val="000000"/>
          <w:kern w:val="0"/>
          <w:sz w:val="24"/>
          <w:szCs w:val="24"/>
          <w:lang w:val="en-US" w:eastAsia="zh-CN" w:bidi="ar"/>
        </w:rPr>
        <w:t>（4）铁路：云桂铁路，沿线两侧各2km，划入禁烧区范围。</w:t>
      </w:r>
    </w:p>
    <w:p>
      <w:pPr>
        <w:keepNext w:val="0"/>
        <w:keepLines w:val="0"/>
        <w:widowControl/>
        <w:suppressLineNumbers w:val="0"/>
        <w:jc w:val="left"/>
        <w:rPr>
          <w:rFonts w:hint="default" w:ascii="Times New Roman" w:hAnsi="Times New Roman" w:cs="Times New Roman" w:eastAsiaTheme="minorEastAsia"/>
          <w:color w:val="000000"/>
          <w:kern w:val="0"/>
          <w:sz w:val="24"/>
          <w:szCs w:val="24"/>
          <w:lang w:val="en-US" w:eastAsia="zh-CN" w:bidi="ar"/>
        </w:rPr>
      </w:pPr>
      <w:r>
        <w:rPr>
          <w:rFonts w:hint="default" w:ascii="Times New Roman" w:hAnsi="Times New Roman" w:cs="Times New Roman" w:eastAsiaTheme="minorEastAsia"/>
          <w:color w:val="000000"/>
          <w:kern w:val="0"/>
          <w:sz w:val="24"/>
          <w:szCs w:val="24"/>
          <w:lang w:val="en-US" w:eastAsia="zh-CN" w:bidi="ar"/>
        </w:rPr>
        <w:t>（5）机场：文山砚山机场周围外延不少于15公里范围内的区域，划入禁烧区范围。</w:t>
      </w:r>
    </w:p>
    <w:p>
      <w:pPr>
        <w:keepNext w:val="0"/>
        <w:keepLines w:val="0"/>
        <w:widowControl/>
        <w:suppressLineNumbers w:val="0"/>
        <w:jc w:val="left"/>
        <w:rPr>
          <w:rFonts w:hint="default" w:ascii="Times New Roman" w:hAnsi="Times New Roman" w:cs="Times New Roman" w:eastAsiaTheme="minorEastAsia"/>
          <w:color w:val="000000"/>
          <w:kern w:val="0"/>
          <w:sz w:val="24"/>
          <w:szCs w:val="24"/>
          <w:lang w:val="en-US" w:eastAsia="zh-CN" w:bidi="ar"/>
        </w:rPr>
      </w:pPr>
      <w:r>
        <w:rPr>
          <w:rFonts w:hint="default" w:ascii="Times New Roman" w:hAnsi="Times New Roman" w:cs="Times New Roman" w:eastAsiaTheme="minorEastAsia"/>
          <w:color w:val="000000"/>
          <w:kern w:val="0"/>
          <w:sz w:val="24"/>
          <w:szCs w:val="24"/>
          <w:lang w:val="en-US" w:eastAsia="zh-CN" w:bidi="ar"/>
        </w:rPr>
        <w:t>（6）自然保护区：砚山县境内无自然保护区需划入。</w:t>
      </w:r>
    </w:p>
    <w:p>
      <w:pPr>
        <w:keepNext w:val="0"/>
        <w:keepLines w:val="0"/>
        <w:widowControl/>
        <w:suppressLineNumbers w:val="0"/>
        <w:jc w:val="left"/>
        <w:rPr>
          <w:rFonts w:hint="default" w:ascii="Times New Roman" w:hAnsi="Times New Roman" w:cs="Times New Roman" w:eastAsiaTheme="minorEastAsia"/>
          <w:color w:val="000000"/>
          <w:kern w:val="0"/>
          <w:sz w:val="24"/>
          <w:szCs w:val="24"/>
          <w:lang w:val="en-US" w:eastAsia="zh-CN" w:bidi="ar"/>
        </w:rPr>
      </w:pPr>
      <w:r>
        <w:rPr>
          <w:rFonts w:hint="default" w:ascii="Times New Roman" w:hAnsi="Times New Roman" w:cs="Times New Roman" w:eastAsiaTheme="minorEastAsia"/>
          <w:color w:val="000000"/>
          <w:kern w:val="0"/>
          <w:sz w:val="24"/>
          <w:szCs w:val="24"/>
          <w:lang w:val="en-US" w:eastAsia="zh-CN" w:bidi="ar"/>
        </w:rPr>
        <w:t>（7）人口集中区：八嘎乡、盘龙彝族乡、江那镇、阿舍彝族乡、者腊乡、稼依镇、干河彝族乡、阿猛镇、蚌峨乡、平远镇、维摩彝族乡的11个乡镇驻地居住地周围2km以内的区域划入。</w:t>
      </w:r>
    </w:p>
    <w:p>
      <w:pPr>
        <w:keepNext w:val="0"/>
        <w:keepLines w:val="0"/>
        <w:widowControl/>
        <w:suppressLineNumbers w:val="0"/>
        <w:jc w:val="left"/>
        <w:rPr>
          <w:rFonts w:hint="default" w:ascii="Times New Roman" w:hAnsi="Times New Roman" w:cs="Times New Roman" w:eastAsiaTheme="minorEastAsia"/>
          <w:color w:val="000000"/>
          <w:kern w:val="0"/>
          <w:sz w:val="24"/>
          <w:szCs w:val="24"/>
          <w:lang w:val="en-US" w:eastAsia="zh-CN" w:bidi="ar"/>
        </w:rPr>
      </w:pPr>
      <w:r>
        <w:rPr>
          <w:rFonts w:hint="default" w:ascii="Times New Roman" w:hAnsi="Times New Roman" w:cs="Times New Roman" w:eastAsiaTheme="minorEastAsia"/>
          <w:color w:val="000000"/>
          <w:kern w:val="0"/>
          <w:sz w:val="24"/>
          <w:szCs w:val="24"/>
          <w:lang w:val="en-US" w:eastAsia="zh-CN" w:bidi="ar"/>
        </w:rPr>
        <w:t>（8）与土地利用相协调，结合山脉、河流、地貌单元、植被等要素保留自然地理边界，保持森林、农田、草地、湿地、河流等生态系统的完整性（在秸秆禁烧区范围内包含河流的，以</w:t>
      </w:r>
      <w:r>
        <w:rPr>
          <w:rFonts w:hint="eastAsia" w:cs="Times New Roman" w:eastAsiaTheme="minorEastAsia"/>
          <w:color w:val="000000"/>
          <w:kern w:val="0"/>
          <w:sz w:val="24"/>
          <w:szCs w:val="24"/>
          <w:lang w:val="en-US" w:eastAsia="zh-CN" w:bidi="ar"/>
        </w:rPr>
        <w:t>秸秆</w:t>
      </w:r>
      <w:r>
        <w:rPr>
          <w:rFonts w:hint="default" w:ascii="Times New Roman" w:hAnsi="Times New Roman" w:cs="Times New Roman" w:eastAsiaTheme="minorEastAsia"/>
          <w:color w:val="000000"/>
          <w:kern w:val="0"/>
          <w:sz w:val="24"/>
          <w:szCs w:val="24"/>
          <w:lang w:val="en-US" w:eastAsia="zh-CN" w:bidi="ar"/>
        </w:rPr>
        <w:t>禁烧区外围为边界；秸秆禁烧区横跨河流的，以河流为边界；秸秆禁烧区包含山区或丘陵的，以山脊为边界）。</w:t>
      </w:r>
    </w:p>
    <w:p>
      <w:pPr>
        <w:pStyle w:val="4"/>
        <w:rPr>
          <w:rFonts w:hint="default" w:ascii="Times New Roman" w:hAnsi="Times New Roman" w:cs="Times New Roman" w:eastAsiaTheme="minorEastAsia"/>
          <w:color w:val="000000"/>
        </w:rPr>
      </w:pPr>
      <w:bookmarkStart w:id="19" w:name="_Toc30934"/>
      <w:r>
        <w:rPr>
          <w:rFonts w:hint="default" w:ascii="Times New Roman" w:hAnsi="Times New Roman" w:cs="Times New Roman" w:eastAsiaTheme="minorEastAsia"/>
          <w:color w:val="000000"/>
        </w:rPr>
        <w:t>秸秆垃圾限烧区划定方案</w:t>
      </w:r>
      <w:bookmarkEnd w:id="19"/>
    </w:p>
    <w:p>
      <w:pPr>
        <w:keepNext w:val="0"/>
        <w:keepLines w:val="0"/>
        <w:widowControl/>
        <w:suppressLineNumbers w:val="0"/>
        <w:jc w:val="left"/>
        <w:rPr>
          <w:rFonts w:hint="default" w:ascii="Times New Roman" w:hAnsi="Times New Roman" w:cs="Times New Roman" w:eastAsiaTheme="minorEastAsia"/>
          <w:color w:val="000000"/>
          <w:kern w:val="0"/>
          <w:sz w:val="24"/>
          <w:szCs w:val="24"/>
          <w:lang w:val="en-US" w:eastAsia="zh-CN" w:bidi="ar"/>
        </w:rPr>
      </w:pPr>
      <w:r>
        <w:rPr>
          <w:rFonts w:hint="default" w:ascii="Times New Roman" w:hAnsi="Times New Roman" w:cs="Times New Roman" w:eastAsiaTheme="minorEastAsia"/>
          <w:color w:val="000000"/>
          <w:kern w:val="0"/>
          <w:sz w:val="24"/>
          <w:szCs w:val="24"/>
          <w:lang w:val="en-US" w:eastAsia="zh-CN" w:bidi="ar"/>
        </w:rPr>
        <w:t>秸秆垃圾禁烧区以外的所有区域为秸秆垃圾限烧区。</w:t>
      </w:r>
    </w:p>
    <w:p>
      <w:pPr>
        <w:pStyle w:val="4"/>
        <w:rPr>
          <w:rFonts w:hint="default" w:ascii="Times New Roman" w:hAnsi="Times New Roman" w:cs="Times New Roman" w:eastAsiaTheme="minorEastAsia"/>
          <w:color w:val="000000"/>
        </w:rPr>
      </w:pPr>
      <w:bookmarkStart w:id="20" w:name="_Toc2648"/>
      <w:r>
        <w:rPr>
          <w:rFonts w:hint="default" w:ascii="Times New Roman" w:hAnsi="Times New Roman" w:cs="Times New Roman" w:eastAsiaTheme="minorEastAsia"/>
          <w:color w:val="000000"/>
        </w:rPr>
        <w:t>秸秆垃圾禁烧区和限烧区划定成果</w:t>
      </w:r>
      <w:bookmarkEnd w:id="20"/>
    </w:p>
    <w:p>
      <w:pPr>
        <w:pStyle w:val="5"/>
        <w:rPr>
          <w:rFonts w:hint="default" w:ascii="Times New Roman" w:hAnsi="Times New Roman" w:cs="Times New Roman" w:eastAsiaTheme="minorEastAsia"/>
          <w:color w:val="000000"/>
          <w:sz w:val="28"/>
          <w:szCs w:val="28"/>
        </w:rPr>
      </w:pPr>
      <w:r>
        <w:rPr>
          <w:rFonts w:hint="default" w:ascii="Times New Roman" w:hAnsi="Times New Roman" w:cs="Times New Roman" w:eastAsiaTheme="minorEastAsia"/>
          <w:color w:val="000000"/>
          <w:sz w:val="28"/>
          <w:szCs w:val="28"/>
        </w:rPr>
        <w:t>秸秆垃圾禁烧区范围</w:t>
      </w:r>
    </w:p>
    <w:p>
      <w:pPr>
        <w:keepNext w:val="0"/>
        <w:keepLines w:val="0"/>
        <w:widowControl/>
        <w:suppressLineNumbers w:val="0"/>
        <w:jc w:val="left"/>
        <w:rPr>
          <w:rFonts w:hint="default" w:ascii="Times New Roman" w:hAnsi="Times New Roman" w:cs="Times New Roman" w:eastAsiaTheme="minorEastAsia"/>
          <w:color w:val="000000"/>
          <w:kern w:val="0"/>
          <w:sz w:val="24"/>
          <w:szCs w:val="24"/>
          <w:lang w:val="en-US" w:eastAsia="zh-CN" w:bidi="ar"/>
        </w:rPr>
      </w:pPr>
      <w:r>
        <w:rPr>
          <w:rFonts w:hint="default" w:ascii="Times New Roman" w:hAnsi="Times New Roman" w:cs="Times New Roman" w:eastAsiaTheme="minorEastAsia"/>
          <w:color w:val="000000"/>
          <w:kern w:val="0"/>
          <w:sz w:val="24"/>
          <w:szCs w:val="24"/>
          <w:lang w:val="en-US" w:eastAsia="zh-CN" w:bidi="ar"/>
        </w:rPr>
        <w:t>砚山县涉及3条已建成高速公路（广昆高速G80、砚文高速G8013、平文高速S023），2条国道（兰马线G248、瑞清线G323），2条省道（阿铁线S241、西河线S242），1条铁路线（云桂铁路），1个机场（文山砚山机场），11个乡镇驻地（八嘎乡、盘龙彝族乡、江那镇、阿舍彝族乡、者腊乡、稼依镇、干河彝族乡、阿猛镇、蚌峨乡、平远镇、维摩彝族乡）。根据砚山县气象资料，砚山县主导风向为南风，按照相关要求划定砚山县秸秆垃圾禁烧区，详细信息见附表3</w:t>
      </w:r>
      <w:r>
        <w:rPr>
          <w:rFonts w:hint="eastAsia" w:cs="Times New Roman" w:eastAsiaTheme="minorEastAsia"/>
          <w:color w:val="000000"/>
          <w:kern w:val="0"/>
          <w:sz w:val="24"/>
          <w:szCs w:val="24"/>
          <w:lang w:val="en-US" w:eastAsia="zh-CN" w:bidi="ar"/>
        </w:rPr>
        <w:t>-</w:t>
      </w:r>
      <w:r>
        <w:rPr>
          <w:rFonts w:hint="default" w:ascii="Times New Roman" w:hAnsi="Times New Roman" w:cs="Times New Roman" w:eastAsiaTheme="minorEastAsia"/>
          <w:color w:val="000000"/>
          <w:kern w:val="0"/>
          <w:sz w:val="24"/>
          <w:szCs w:val="24"/>
          <w:lang w:val="en-US" w:eastAsia="zh-CN" w:bidi="ar"/>
        </w:rPr>
        <w:t>4。</w:t>
      </w:r>
    </w:p>
    <w:p>
      <w:pPr>
        <w:ind w:firstLine="482"/>
        <w:jc w:val="center"/>
        <w:rPr>
          <w:rFonts w:hint="default" w:ascii="Times New Roman" w:hAnsi="Times New Roman" w:cs="Times New Roman" w:eastAsiaTheme="minorEastAsia"/>
          <w:b/>
          <w:bCs/>
          <w:sz w:val="24"/>
        </w:rPr>
      </w:pPr>
      <w:r>
        <w:rPr>
          <w:rFonts w:hint="default" w:ascii="Times New Roman" w:hAnsi="Times New Roman" w:cs="Times New Roman" w:eastAsiaTheme="minorEastAsia"/>
          <w:b/>
          <w:bCs/>
          <w:sz w:val="24"/>
        </w:rPr>
        <w:t>表3</w:t>
      </w:r>
      <w:r>
        <w:rPr>
          <w:rFonts w:hint="eastAsia" w:cs="Times New Roman" w:eastAsiaTheme="minorEastAsia"/>
          <w:b/>
          <w:bCs/>
          <w:sz w:val="24"/>
          <w:lang w:val="en-US" w:eastAsia="zh-CN"/>
        </w:rPr>
        <w:t>-</w:t>
      </w:r>
      <w:r>
        <w:rPr>
          <w:rFonts w:hint="default" w:ascii="Times New Roman" w:hAnsi="Times New Roman" w:cs="Times New Roman" w:eastAsiaTheme="minorEastAsia"/>
          <w:b/>
          <w:bCs/>
          <w:sz w:val="24"/>
        </w:rPr>
        <w:t>4 砚山县铁路分布情况汇总表</w:t>
      </w:r>
    </w:p>
    <w:tbl>
      <w:tblPr>
        <w:tblStyle w:val="11"/>
        <w:tblpPr w:leftFromText="180" w:rightFromText="180" w:vertAnchor="text" w:horzAnchor="page" w:tblpX="1947" w:tblpY="271"/>
        <w:tblOverlap w:val="never"/>
        <w:tblW w:w="8339" w:type="dxa"/>
        <w:tblInd w:w="0" w:type="dxa"/>
        <w:tblLayout w:type="fixed"/>
        <w:tblCellMar>
          <w:top w:w="0" w:type="dxa"/>
          <w:left w:w="0" w:type="dxa"/>
          <w:bottom w:w="0" w:type="dxa"/>
          <w:right w:w="0" w:type="dxa"/>
        </w:tblCellMar>
      </w:tblPr>
      <w:tblGrid>
        <w:gridCol w:w="796"/>
        <w:gridCol w:w="1603"/>
        <w:gridCol w:w="1914"/>
        <w:gridCol w:w="1944"/>
        <w:gridCol w:w="2082"/>
      </w:tblGrid>
      <w:tr>
        <w:tblPrEx>
          <w:tblCellMar>
            <w:top w:w="0" w:type="dxa"/>
            <w:left w:w="0" w:type="dxa"/>
            <w:bottom w:w="0" w:type="dxa"/>
            <w:right w:w="0" w:type="dxa"/>
          </w:tblCellMar>
        </w:tblPrEx>
        <w:trPr>
          <w:trHeight w:val="460" w:hRule="atLeast"/>
        </w:trPr>
        <w:tc>
          <w:tcPr>
            <w:tcW w:w="7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序号</w:t>
            </w:r>
          </w:p>
        </w:tc>
        <w:tc>
          <w:tcPr>
            <w:tcW w:w="16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行政区</w:t>
            </w:r>
          </w:p>
        </w:tc>
        <w:tc>
          <w:tcPr>
            <w:tcW w:w="19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行政区面积（km²）</w:t>
            </w:r>
          </w:p>
        </w:tc>
        <w:tc>
          <w:tcPr>
            <w:tcW w:w="19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禁烧区面积（km²）</w:t>
            </w:r>
          </w:p>
        </w:tc>
        <w:tc>
          <w:tcPr>
            <w:tcW w:w="20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禁烧区所占比例</w:t>
            </w:r>
          </w:p>
        </w:tc>
      </w:tr>
      <w:tr>
        <w:tblPrEx>
          <w:tblCellMar>
            <w:top w:w="0" w:type="dxa"/>
            <w:left w:w="0" w:type="dxa"/>
            <w:bottom w:w="0" w:type="dxa"/>
            <w:right w:w="0" w:type="dxa"/>
          </w:tblCellMar>
        </w:tblPrEx>
        <w:trPr>
          <w:trHeight w:val="300" w:hRule="atLeast"/>
        </w:trPr>
        <w:tc>
          <w:tcPr>
            <w:tcW w:w="7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w:t>
            </w:r>
          </w:p>
        </w:tc>
        <w:tc>
          <w:tcPr>
            <w:tcW w:w="16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八嘎乡</w:t>
            </w:r>
          </w:p>
        </w:tc>
        <w:tc>
          <w:tcPr>
            <w:tcW w:w="19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376.37 </w:t>
            </w:r>
          </w:p>
        </w:tc>
        <w:tc>
          <w:tcPr>
            <w:tcW w:w="19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66.25 </w:t>
            </w:r>
          </w:p>
        </w:tc>
        <w:tc>
          <w:tcPr>
            <w:tcW w:w="20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17.60%</w:t>
            </w:r>
          </w:p>
        </w:tc>
      </w:tr>
      <w:tr>
        <w:tblPrEx>
          <w:tblCellMar>
            <w:top w:w="0" w:type="dxa"/>
            <w:left w:w="0" w:type="dxa"/>
            <w:bottom w:w="0" w:type="dxa"/>
            <w:right w:w="0" w:type="dxa"/>
          </w:tblCellMar>
        </w:tblPrEx>
        <w:trPr>
          <w:trHeight w:val="300" w:hRule="atLeast"/>
        </w:trPr>
        <w:tc>
          <w:tcPr>
            <w:tcW w:w="7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w:t>
            </w:r>
          </w:p>
        </w:tc>
        <w:tc>
          <w:tcPr>
            <w:tcW w:w="16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平远镇</w:t>
            </w:r>
          </w:p>
        </w:tc>
        <w:tc>
          <w:tcPr>
            <w:tcW w:w="19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581.51 </w:t>
            </w:r>
          </w:p>
        </w:tc>
        <w:tc>
          <w:tcPr>
            <w:tcW w:w="19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249.97 </w:t>
            </w:r>
          </w:p>
        </w:tc>
        <w:tc>
          <w:tcPr>
            <w:tcW w:w="20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42.99%</w:t>
            </w:r>
          </w:p>
        </w:tc>
      </w:tr>
      <w:tr>
        <w:tblPrEx>
          <w:tblCellMar>
            <w:top w:w="0" w:type="dxa"/>
            <w:left w:w="0" w:type="dxa"/>
            <w:bottom w:w="0" w:type="dxa"/>
            <w:right w:w="0" w:type="dxa"/>
          </w:tblCellMar>
        </w:tblPrEx>
        <w:trPr>
          <w:trHeight w:val="300" w:hRule="atLeast"/>
        </w:trPr>
        <w:tc>
          <w:tcPr>
            <w:tcW w:w="7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3</w:t>
            </w:r>
          </w:p>
        </w:tc>
        <w:tc>
          <w:tcPr>
            <w:tcW w:w="16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盘龙彝族乡</w:t>
            </w:r>
          </w:p>
        </w:tc>
        <w:tc>
          <w:tcPr>
            <w:tcW w:w="19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243.20 </w:t>
            </w:r>
          </w:p>
        </w:tc>
        <w:tc>
          <w:tcPr>
            <w:tcW w:w="19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241.60 </w:t>
            </w:r>
          </w:p>
        </w:tc>
        <w:tc>
          <w:tcPr>
            <w:tcW w:w="20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99.34%</w:t>
            </w:r>
          </w:p>
        </w:tc>
      </w:tr>
      <w:tr>
        <w:tblPrEx>
          <w:tblCellMar>
            <w:top w:w="0" w:type="dxa"/>
            <w:left w:w="0" w:type="dxa"/>
            <w:bottom w:w="0" w:type="dxa"/>
            <w:right w:w="0" w:type="dxa"/>
          </w:tblCellMar>
        </w:tblPrEx>
        <w:trPr>
          <w:trHeight w:val="300" w:hRule="atLeast"/>
        </w:trPr>
        <w:tc>
          <w:tcPr>
            <w:tcW w:w="7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4</w:t>
            </w:r>
          </w:p>
        </w:tc>
        <w:tc>
          <w:tcPr>
            <w:tcW w:w="16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江那镇</w:t>
            </w:r>
          </w:p>
        </w:tc>
        <w:tc>
          <w:tcPr>
            <w:tcW w:w="19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309.75 </w:t>
            </w:r>
          </w:p>
        </w:tc>
        <w:tc>
          <w:tcPr>
            <w:tcW w:w="19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309.28 </w:t>
            </w:r>
          </w:p>
        </w:tc>
        <w:tc>
          <w:tcPr>
            <w:tcW w:w="20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99.85%</w:t>
            </w:r>
          </w:p>
        </w:tc>
      </w:tr>
      <w:tr>
        <w:tblPrEx>
          <w:tblCellMar>
            <w:top w:w="0" w:type="dxa"/>
            <w:left w:w="0" w:type="dxa"/>
            <w:bottom w:w="0" w:type="dxa"/>
            <w:right w:w="0" w:type="dxa"/>
          </w:tblCellMar>
        </w:tblPrEx>
        <w:trPr>
          <w:trHeight w:val="300" w:hRule="atLeast"/>
        </w:trPr>
        <w:tc>
          <w:tcPr>
            <w:tcW w:w="7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5</w:t>
            </w:r>
          </w:p>
        </w:tc>
        <w:tc>
          <w:tcPr>
            <w:tcW w:w="16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阿舍彝族乡</w:t>
            </w:r>
          </w:p>
        </w:tc>
        <w:tc>
          <w:tcPr>
            <w:tcW w:w="19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258.93 </w:t>
            </w:r>
          </w:p>
        </w:tc>
        <w:tc>
          <w:tcPr>
            <w:tcW w:w="19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17.63 </w:t>
            </w:r>
          </w:p>
        </w:tc>
        <w:tc>
          <w:tcPr>
            <w:tcW w:w="20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6.81%</w:t>
            </w:r>
          </w:p>
        </w:tc>
      </w:tr>
      <w:tr>
        <w:tblPrEx>
          <w:tblCellMar>
            <w:top w:w="0" w:type="dxa"/>
            <w:left w:w="0" w:type="dxa"/>
            <w:bottom w:w="0" w:type="dxa"/>
            <w:right w:w="0" w:type="dxa"/>
          </w:tblCellMar>
        </w:tblPrEx>
        <w:trPr>
          <w:trHeight w:val="300" w:hRule="atLeast"/>
        </w:trPr>
        <w:tc>
          <w:tcPr>
            <w:tcW w:w="7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6</w:t>
            </w:r>
          </w:p>
        </w:tc>
        <w:tc>
          <w:tcPr>
            <w:tcW w:w="16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者腊乡</w:t>
            </w:r>
          </w:p>
        </w:tc>
        <w:tc>
          <w:tcPr>
            <w:tcW w:w="19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268.24 </w:t>
            </w:r>
          </w:p>
        </w:tc>
        <w:tc>
          <w:tcPr>
            <w:tcW w:w="19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183.52 </w:t>
            </w:r>
          </w:p>
        </w:tc>
        <w:tc>
          <w:tcPr>
            <w:tcW w:w="20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68.42%</w:t>
            </w:r>
          </w:p>
        </w:tc>
      </w:tr>
      <w:tr>
        <w:tblPrEx>
          <w:tblCellMar>
            <w:top w:w="0" w:type="dxa"/>
            <w:left w:w="0" w:type="dxa"/>
            <w:bottom w:w="0" w:type="dxa"/>
            <w:right w:w="0" w:type="dxa"/>
          </w:tblCellMar>
        </w:tblPrEx>
        <w:trPr>
          <w:trHeight w:val="300" w:hRule="atLeast"/>
        </w:trPr>
        <w:tc>
          <w:tcPr>
            <w:tcW w:w="7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7</w:t>
            </w:r>
          </w:p>
        </w:tc>
        <w:tc>
          <w:tcPr>
            <w:tcW w:w="16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稼依镇</w:t>
            </w:r>
          </w:p>
        </w:tc>
        <w:tc>
          <w:tcPr>
            <w:tcW w:w="19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235.95 </w:t>
            </w:r>
          </w:p>
        </w:tc>
        <w:tc>
          <w:tcPr>
            <w:tcW w:w="19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93.66 </w:t>
            </w:r>
          </w:p>
        </w:tc>
        <w:tc>
          <w:tcPr>
            <w:tcW w:w="20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39.70%</w:t>
            </w:r>
          </w:p>
        </w:tc>
      </w:tr>
      <w:tr>
        <w:tblPrEx>
          <w:tblCellMar>
            <w:top w:w="0" w:type="dxa"/>
            <w:left w:w="0" w:type="dxa"/>
            <w:bottom w:w="0" w:type="dxa"/>
            <w:right w:w="0" w:type="dxa"/>
          </w:tblCellMar>
        </w:tblPrEx>
        <w:trPr>
          <w:trHeight w:val="300" w:hRule="atLeast"/>
        </w:trPr>
        <w:tc>
          <w:tcPr>
            <w:tcW w:w="7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8</w:t>
            </w:r>
          </w:p>
        </w:tc>
        <w:tc>
          <w:tcPr>
            <w:tcW w:w="16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干河彝族乡</w:t>
            </w:r>
          </w:p>
        </w:tc>
        <w:tc>
          <w:tcPr>
            <w:tcW w:w="19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231.31 </w:t>
            </w:r>
          </w:p>
        </w:tc>
        <w:tc>
          <w:tcPr>
            <w:tcW w:w="19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90.26 </w:t>
            </w:r>
          </w:p>
        </w:tc>
        <w:tc>
          <w:tcPr>
            <w:tcW w:w="20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39.02%</w:t>
            </w:r>
          </w:p>
        </w:tc>
      </w:tr>
      <w:tr>
        <w:tblPrEx>
          <w:tblCellMar>
            <w:top w:w="0" w:type="dxa"/>
            <w:left w:w="0" w:type="dxa"/>
            <w:bottom w:w="0" w:type="dxa"/>
            <w:right w:w="0" w:type="dxa"/>
          </w:tblCellMar>
        </w:tblPrEx>
        <w:trPr>
          <w:trHeight w:val="300" w:hRule="atLeast"/>
        </w:trPr>
        <w:tc>
          <w:tcPr>
            <w:tcW w:w="7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9</w:t>
            </w:r>
          </w:p>
        </w:tc>
        <w:tc>
          <w:tcPr>
            <w:tcW w:w="16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阿猛镇</w:t>
            </w:r>
          </w:p>
        </w:tc>
        <w:tc>
          <w:tcPr>
            <w:tcW w:w="19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532.84 </w:t>
            </w:r>
          </w:p>
        </w:tc>
        <w:tc>
          <w:tcPr>
            <w:tcW w:w="19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172.57 </w:t>
            </w:r>
          </w:p>
        </w:tc>
        <w:tc>
          <w:tcPr>
            <w:tcW w:w="20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32.39%</w:t>
            </w:r>
          </w:p>
        </w:tc>
      </w:tr>
      <w:tr>
        <w:tblPrEx>
          <w:tblCellMar>
            <w:top w:w="0" w:type="dxa"/>
            <w:left w:w="0" w:type="dxa"/>
            <w:bottom w:w="0" w:type="dxa"/>
            <w:right w:w="0" w:type="dxa"/>
          </w:tblCellMar>
        </w:tblPrEx>
        <w:trPr>
          <w:trHeight w:val="300" w:hRule="atLeast"/>
        </w:trPr>
        <w:tc>
          <w:tcPr>
            <w:tcW w:w="7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10</w:t>
            </w:r>
          </w:p>
        </w:tc>
        <w:tc>
          <w:tcPr>
            <w:tcW w:w="16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蚌峨乡</w:t>
            </w:r>
          </w:p>
        </w:tc>
        <w:tc>
          <w:tcPr>
            <w:tcW w:w="19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237.87 </w:t>
            </w:r>
          </w:p>
        </w:tc>
        <w:tc>
          <w:tcPr>
            <w:tcW w:w="19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50.10 </w:t>
            </w:r>
          </w:p>
        </w:tc>
        <w:tc>
          <w:tcPr>
            <w:tcW w:w="20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21.06%</w:t>
            </w:r>
          </w:p>
        </w:tc>
      </w:tr>
      <w:tr>
        <w:tblPrEx>
          <w:tblCellMar>
            <w:top w:w="0" w:type="dxa"/>
            <w:left w:w="0" w:type="dxa"/>
            <w:bottom w:w="0" w:type="dxa"/>
            <w:right w:w="0" w:type="dxa"/>
          </w:tblCellMar>
        </w:tblPrEx>
        <w:trPr>
          <w:trHeight w:val="300" w:hRule="atLeast"/>
        </w:trPr>
        <w:tc>
          <w:tcPr>
            <w:tcW w:w="7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11</w:t>
            </w:r>
          </w:p>
        </w:tc>
        <w:tc>
          <w:tcPr>
            <w:tcW w:w="16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维摩彝族乡</w:t>
            </w:r>
          </w:p>
        </w:tc>
        <w:tc>
          <w:tcPr>
            <w:tcW w:w="19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593.09 </w:t>
            </w:r>
          </w:p>
        </w:tc>
        <w:tc>
          <w:tcPr>
            <w:tcW w:w="19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169.79 </w:t>
            </w:r>
          </w:p>
        </w:tc>
        <w:tc>
          <w:tcPr>
            <w:tcW w:w="20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28.63%</w:t>
            </w:r>
          </w:p>
        </w:tc>
      </w:tr>
      <w:tr>
        <w:tblPrEx>
          <w:tblCellMar>
            <w:top w:w="0" w:type="dxa"/>
            <w:left w:w="0" w:type="dxa"/>
            <w:bottom w:w="0" w:type="dxa"/>
            <w:right w:w="0" w:type="dxa"/>
          </w:tblCellMar>
        </w:tblPrEx>
        <w:trPr>
          <w:trHeight w:val="300" w:hRule="atLeast"/>
        </w:trPr>
        <w:tc>
          <w:tcPr>
            <w:tcW w:w="239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合计</w:t>
            </w:r>
          </w:p>
        </w:tc>
        <w:tc>
          <w:tcPr>
            <w:tcW w:w="19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3869.05 </w:t>
            </w:r>
          </w:p>
        </w:tc>
        <w:tc>
          <w:tcPr>
            <w:tcW w:w="19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1644.64 </w:t>
            </w:r>
          </w:p>
        </w:tc>
        <w:tc>
          <w:tcPr>
            <w:tcW w:w="20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42.51%</w:t>
            </w:r>
          </w:p>
        </w:tc>
      </w:tr>
    </w:tbl>
    <w:p>
      <w:pPr>
        <w:keepNext w:val="0"/>
        <w:keepLines w:val="0"/>
        <w:widowControl/>
        <w:suppressLineNumbers w:val="0"/>
        <w:jc w:val="left"/>
        <w:rPr>
          <w:rFonts w:hint="default" w:ascii="Times New Roman" w:hAnsi="Times New Roman" w:cs="Times New Roman" w:eastAsiaTheme="minorEastAsia"/>
          <w:color w:val="000000"/>
          <w:kern w:val="0"/>
          <w:sz w:val="24"/>
          <w:szCs w:val="24"/>
          <w:lang w:val="en-US" w:eastAsia="zh-CN" w:bidi="ar"/>
        </w:rPr>
      </w:pPr>
    </w:p>
    <w:p>
      <w:pPr>
        <w:keepNext w:val="0"/>
        <w:keepLines w:val="0"/>
        <w:widowControl/>
        <w:suppressLineNumbers w:val="0"/>
        <w:jc w:val="left"/>
        <w:rPr>
          <w:rFonts w:hint="default" w:cs="Times New Roman" w:eastAsiaTheme="minorEastAsia"/>
          <w:color w:val="000000"/>
          <w:kern w:val="0"/>
          <w:sz w:val="24"/>
          <w:szCs w:val="24"/>
          <w:lang w:val="en-US" w:eastAsia="zh-CN" w:bidi="ar"/>
        </w:rPr>
      </w:pPr>
      <w:r>
        <w:rPr>
          <w:rFonts w:hint="default" w:ascii="Times New Roman" w:hAnsi="Times New Roman" w:cs="Times New Roman" w:eastAsiaTheme="minorEastAsia"/>
          <w:color w:val="000000"/>
          <w:kern w:val="0"/>
          <w:sz w:val="24"/>
          <w:szCs w:val="24"/>
          <w:lang w:val="en-US" w:eastAsia="zh-CN" w:bidi="ar"/>
        </w:rPr>
        <w:t>砚山县秸秆垃圾禁烧区总面积为1644.64 km</w:t>
      </w:r>
      <w:r>
        <w:rPr>
          <w:rFonts w:hint="default" w:ascii="Times New Roman" w:hAnsi="Times New Roman" w:cs="Times New Roman" w:eastAsiaTheme="minorEastAsia"/>
          <w:color w:val="000000"/>
          <w:kern w:val="0"/>
          <w:sz w:val="24"/>
          <w:szCs w:val="24"/>
          <w:vertAlign w:val="superscript"/>
          <w:lang w:val="en-US" w:eastAsia="zh-CN" w:bidi="ar"/>
        </w:rPr>
        <w:t>2</w:t>
      </w:r>
      <w:r>
        <w:rPr>
          <w:rFonts w:hint="default" w:ascii="Times New Roman" w:hAnsi="Times New Roman" w:cs="Times New Roman" w:eastAsiaTheme="minorEastAsia"/>
          <w:color w:val="000000"/>
          <w:kern w:val="0"/>
          <w:sz w:val="24"/>
          <w:szCs w:val="24"/>
          <w:lang w:val="en-US" w:eastAsia="zh-CN" w:bidi="ar"/>
        </w:rPr>
        <w:t>，占砚山县行政区的42.51%</w:t>
      </w:r>
      <w:r>
        <w:rPr>
          <w:rFonts w:hint="eastAsia" w:cs="Times New Roman" w:eastAsiaTheme="minorEastAsia"/>
          <w:color w:val="000000"/>
          <w:kern w:val="0"/>
          <w:sz w:val="24"/>
          <w:szCs w:val="24"/>
          <w:lang w:val="en-US" w:eastAsia="zh-CN" w:bidi="ar"/>
        </w:rPr>
        <w:t>，共涉及11个乡镇，59个村（社）。其中，平远镇、盘龙乡、江那镇、者腊县、阿猛镇、维摩乡，以上6个乡镇禁烧区区面积为1326.73km</w:t>
      </w:r>
      <w:r>
        <w:rPr>
          <w:rFonts w:hint="eastAsia" w:cs="Times New Roman" w:eastAsiaTheme="minorEastAsia"/>
          <w:color w:val="000000"/>
          <w:kern w:val="0"/>
          <w:sz w:val="24"/>
          <w:szCs w:val="24"/>
          <w:vertAlign w:val="superscript"/>
          <w:lang w:val="en-US" w:eastAsia="zh-CN" w:bidi="ar"/>
        </w:rPr>
        <w:t>2</w:t>
      </w:r>
      <w:r>
        <w:rPr>
          <w:rFonts w:hint="eastAsia" w:cs="Times New Roman" w:eastAsiaTheme="minorEastAsia"/>
          <w:color w:val="000000"/>
          <w:kern w:val="0"/>
          <w:sz w:val="24"/>
          <w:szCs w:val="24"/>
          <w:lang w:val="en-US" w:eastAsia="zh-CN" w:bidi="ar"/>
        </w:rPr>
        <w:t>，占全县禁烧区总面积的80.67%。</w:t>
      </w:r>
    </w:p>
    <w:p>
      <w:pPr>
        <w:pStyle w:val="2"/>
        <w:rPr>
          <w:rFonts w:hint="eastAsia" w:cs="Times New Roman" w:eastAsiaTheme="minorEastAsia"/>
          <w:color w:val="000000"/>
          <w:kern w:val="0"/>
          <w:sz w:val="24"/>
          <w:szCs w:val="24"/>
          <w:lang w:val="en-US" w:eastAsia="zh-CN" w:bidi="ar"/>
        </w:rPr>
      </w:pPr>
    </w:p>
    <w:p>
      <w:pPr>
        <w:pStyle w:val="2"/>
        <w:rPr>
          <w:rFonts w:hint="eastAsia" w:cs="Times New Roman" w:eastAsiaTheme="minorEastAsia"/>
          <w:color w:val="000000"/>
          <w:kern w:val="0"/>
          <w:sz w:val="24"/>
          <w:szCs w:val="24"/>
          <w:lang w:val="en-US" w:eastAsia="zh-CN" w:bidi="ar"/>
        </w:rPr>
      </w:pPr>
    </w:p>
    <w:p>
      <w:pPr>
        <w:pStyle w:val="2"/>
        <w:rPr>
          <w:rFonts w:hint="default" w:cs="Times New Roman" w:eastAsiaTheme="minorEastAsia"/>
          <w:color w:val="000000"/>
          <w:kern w:val="0"/>
          <w:sz w:val="24"/>
          <w:szCs w:val="24"/>
          <w:lang w:val="en-US" w:eastAsia="zh-CN" w:bidi="ar"/>
        </w:rPr>
      </w:pPr>
    </w:p>
    <w:p>
      <w:pPr>
        <w:ind w:firstLine="482"/>
        <w:jc w:val="center"/>
        <w:rPr>
          <w:rFonts w:hint="default" w:ascii="Times New Roman" w:hAnsi="Times New Roman" w:cs="Times New Roman" w:eastAsiaTheme="minorEastAsia"/>
          <w:b/>
          <w:bCs/>
          <w:sz w:val="24"/>
        </w:rPr>
      </w:pPr>
      <w:r>
        <w:rPr>
          <w:rFonts w:hint="default" w:ascii="Times New Roman" w:hAnsi="Times New Roman" w:cs="Times New Roman" w:eastAsiaTheme="minorEastAsia"/>
          <w:b/>
          <w:bCs/>
          <w:sz w:val="24"/>
          <w:lang w:val="en-US" w:eastAsia="zh-CN"/>
        </w:rPr>
        <w:t>附表3</w:t>
      </w:r>
      <w:r>
        <w:rPr>
          <w:rFonts w:hint="eastAsia" w:cs="Times New Roman" w:eastAsiaTheme="minorEastAsia"/>
          <w:b/>
          <w:bCs/>
          <w:sz w:val="24"/>
          <w:lang w:val="en-US" w:eastAsia="zh-CN"/>
        </w:rPr>
        <w:t>-6</w:t>
      </w:r>
      <w:r>
        <w:rPr>
          <w:rFonts w:hint="default" w:ascii="Times New Roman" w:hAnsi="Times New Roman" w:cs="Times New Roman" w:eastAsiaTheme="minorEastAsia"/>
          <w:b/>
          <w:bCs/>
          <w:sz w:val="24"/>
          <w:lang w:val="en-US" w:eastAsia="zh-CN"/>
        </w:rPr>
        <w:t xml:space="preserve">  </w:t>
      </w:r>
      <w:r>
        <w:rPr>
          <w:rFonts w:hint="default" w:ascii="Times New Roman" w:hAnsi="Times New Roman" w:cs="Times New Roman" w:eastAsiaTheme="minorEastAsia"/>
          <w:b/>
          <w:bCs/>
          <w:sz w:val="24"/>
        </w:rPr>
        <w:t>砚山县秸秆垃圾禁烧区划定范围统计表</w:t>
      </w:r>
    </w:p>
    <w:tbl>
      <w:tblPr>
        <w:tblStyle w:val="11"/>
        <w:tblW w:w="83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1276"/>
        <w:gridCol w:w="2126"/>
        <w:gridCol w:w="42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718" w:type="dxa"/>
            <w:vAlign w:val="center"/>
          </w:tcPr>
          <w:p>
            <w:pPr>
              <w:spacing w:line="240" w:lineRule="auto"/>
              <w:ind w:firstLine="0" w:firstLineChars="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序号</w:t>
            </w:r>
          </w:p>
        </w:tc>
        <w:tc>
          <w:tcPr>
            <w:tcW w:w="1276" w:type="dxa"/>
            <w:vAlign w:val="center"/>
          </w:tcPr>
          <w:p>
            <w:pPr>
              <w:spacing w:line="240" w:lineRule="auto"/>
              <w:ind w:firstLine="0" w:firstLineChars="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区（县）</w:t>
            </w:r>
          </w:p>
        </w:tc>
        <w:tc>
          <w:tcPr>
            <w:tcW w:w="2126" w:type="dxa"/>
            <w:vAlign w:val="center"/>
          </w:tcPr>
          <w:p>
            <w:pPr>
              <w:spacing w:line="240" w:lineRule="auto"/>
              <w:ind w:firstLine="0" w:firstLineChars="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乡（镇）</w:t>
            </w:r>
          </w:p>
        </w:tc>
        <w:tc>
          <w:tcPr>
            <w:tcW w:w="4210" w:type="dxa"/>
            <w:vAlign w:val="center"/>
          </w:tcPr>
          <w:p>
            <w:pPr>
              <w:spacing w:line="240" w:lineRule="auto"/>
              <w:ind w:firstLine="0" w:firstLineChars="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划定为秸秆垃圾禁烧区的行政单元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18" w:type="dxa"/>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w:t>
            </w:r>
          </w:p>
        </w:tc>
        <w:tc>
          <w:tcPr>
            <w:tcW w:w="1276" w:type="dxa"/>
            <w:vMerge w:val="restart"/>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砚山县</w:t>
            </w:r>
          </w:p>
        </w:tc>
        <w:tc>
          <w:tcPr>
            <w:tcW w:w="2126" w:type="dxa"/>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八嘎乡</w:t>
            </w:r>
          </w:p>
        </w:tc>
        <w:tc>
          <w:tcPr>
            <w:tcW w:w="4210" w:type="dxa"/>
            <w:vAlign w:val="center"/>
          </w:tcPr>
          <w:p>
            <w:pPr>
              <w:spacing w:line="240" w:lineRule="auto"/>
              <w:ind w:firstLine="0" w:firstLineChars="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牛落洞村、八嘎村、三星村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9" w:hRule="atLeast"/>
          <w:jc w:val="center"/>
        </w:trPr>
        <w:tc>
          <w:tcPr>
            <w:tcW w:w="718" w:type="dxa"/>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w:t>
            </w:r>
          </w:p>
        </w:tc>
        <w:tc>
          <w:tcPr>
            <w:tcW w:w="1276" w:type="dxa"/>
            <w:vMerge w:val="continue"/>
            <w:vAlign w:val="center"/>
          </w:tcPr>
          <w:p>
            <w:pPr>
              <w:spacing w:line="240" w:lineRule="auto"/>
              <w:ind w:firstLine="0" w:firstLineChars="0"/>
              <w:jc w:val="center"/>
              <w:rPr>
                <w:rFonts w:hint="default" w:ascii="Times New Roman" w:hAnsi="Times New Roman" w:cs="Times New Roman" w:eastAsiaTheme="minorEastAsia"/>
                <w:sz w:val="21"/>
                <w:szCs w:val="21"/>
              </w:rPr>
            </w:pPr>
          </w:p>
        </w:tc>
        <w:tc>
          <w:tcPr>
            <w:tcW w:w="2126" w:type="dxa"/>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平远镇</w:t>
            </w:r>
          </w:p>
        </w:tc>
        <w:tc>
          <w:tcPr>
            <w:tcW w:w="4210" w:type="dxa"/>
            <w:vAlign w:val="center"/>
          </w:tcPr>
          <w:p>
            <w:pPr>
              <w:spacing w:line="240" w:lineRule="auto"/>
              <w:ind w:firstLine="0" w:firstLineChars="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新平社区、田心社区、丰湖社区、</w:t>
            </w:r>
            <w:r>
              <w:rPr>
                <w:rFonts w:hint="default" w:ascii="Times New Roman" w:hAnsi="Times New Roman" w:cs="Times New Roman" w:eastAsiaTheme="minorEastAsia"/>
                <w:color w:val="FF0000"/>
                <w:sz w:val="21"/>
                <w:szCs w:val="21"/>
              </w:rPr>
              <w:t>富侨社区</w:t>
            </w:r>
            <w:r>
              <w:rPr>
                <w:rFonts w:hint="default" w:ascii="Times New Roman" w:hAnsi="Times New Roman" w:cs="Times New Roman" w:eastAsiaTheme="minorEastAsia"/>
                <w:sz w:val="21"/>
                <w:szCs w:val="21"/>
              </w:rPr>
              <w:t>、</w:t>
            </w:r>
            <w:r>
              <w:rPr>
                <w:rFonts w:hint="default" w:ascii="Times New Roman" w:hAnsi="Times New Roman" w:cs="Times New Roman" w:eastAsiaTheme="minorEastAsia"/>
                <w:color w:val="FF0000"/>
                <w:sz w:val="21"/>
                <w:szCs w:val="21"/>
              </w:rPr>
              <w:t>和侨社区</w:t>
            </w:r>
            <w:r>
              <w:rPr>
                <w:rFonts w:hint="default" w:ascii="Times New Roman" w:hAnsi="Times New Roman" w:cs="Times New Roman" w:eastAsiaTheme="minorEastAsia"/>
                <w:sz w:val="21"/>
                <w:szCs w:val="21"/>
              </w:rPr>
              <w:t>、回龙社区、大新社区、</w:t>
            </w:r>
            <w:r>
              <w:rPr>
                <w:rFonts w:hint="default" w:ascii="Times New Roman" w:hAnsi="Times New Roman" w:cs="Times New Roman" w:eastAsiaTheme="minorEastAsia"/>
                <w:color w:val="FF0000"/>
                <w:sz w:val="21"/>
                <w:szCs w:val="21"/>
              </w:rPr>
              <w:t>农垦社区</w:t>
            </w:r>
            <w:r>
              <w:rPr>
                <w:rFonts w:hint="default" w:ascii="Times New Roman" w:hAnsi="Times New Roman" w:cs="Times New Roman" w:eastAsiaTheme="minorEastAsia"/>
                <w:sz w:val="21"/>
                <w:szCs w:val="21"/>
              </w:rPr>
              <w:t>、尧房村、车白泥村、木瓜铺村、阿三龙村、洪</w:t>
            </w:r>
            <w:r>
              <w:rPr>
                <w:rFonts w:hint="eastAsia" w:cs="Times New Roman" w:eastAsiaTheme="minorEastAsia"/>
                <w:color w:val="FF0000"/>
                <w:sz w:val="21"/>
                <w:szCs w:val="21"/>
                <w:lang w:val="en-US" w:eastAsia="zh-CN"/>
              </w:rPr>
              <w:t>福</w:t>
            </w:r>
            <w:r>
              <w:rPr>
                <w:rFonts w:hint="default" w:ascii="Times New Roman" w:hAnsi="Times New Roman" w:cs="Times New Roman" w:eastAsiaTheme="minorEastAsia"/>
                <w:sz w:val="21"/>
                <w:szCs w:val="21"/>
              </w:rPr>
              <w:t>村、大白户村、拖嘎村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18" w:type="dxa"/>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3</w:t>
            </w:r>
          </w:p>
        </w:tc>
        <w:tc>
          <w:tcPr>
            <w:tcW w:w="1276" w:type="dxa"/>
            <w:vMerge w:val="continue"/>
            <w:vAlign w:val="center"/>
          </w:tcPr>
          <w:p>
            <w:pPr>
              <w:spacing w:line="240" w:lineRule="auto"/>
              <w:ind w:firstLine="0" w:firstLineChars="0"/>
              <w:jc w:val="center"/>
              <w:rPr>
                <w:rFonts w:hint="default" w:ascii="Times New Roman" w:hAnsi="Times New Roman" w:cs="Times New Roman" w:eastAsiaTheme="minorEastAsia"/>
                <w:sz w:val="21"/>
                <w:szCs w:val="21"/>
              </w:rPr>
            </w:pPr>
          </w:p>
        </w:tc>
        <w:tc>
          <w:tcPr>
            <w:tcW w:w="2126" w:type="dxa"/>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盘龙彝族乡</w:t>
            </w:r>
          </w:p>
        </w:tc>
        <w:tc>
          <w:tcPr>
            <w:tcW w:w="4210" w:type="dxa"/>
            <w:vAlign w:val="center"/>
          </w:tcPr>
          <w:p>
            <w:pPr>
              <w:spacing w:line="240" w:lineRule="auto"/>
              <w:ind w:firstLine="0" w:firstLineChars="0"/>
              <w:jc w:val="left"/>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腻姐村、盘龙村、三合村、明德村、翁达村</w:t>
            </w:r>
            <w:r>
              <w:rPr>
                <w:rFonts w:hint="eastAsia" w:cs="Times New Roman" w:eastAsiaTheme="minorEastAsia"/>
                <w:sz w:val="21"/>
                <w:szCs w:val="21"/>
                <w:lang w:eastAsia="zh-CN"/>
              </w:rPr>
              <w:t>、</w:t>
            </w:r>
            <w:r>
              <w:rPr>
                <w:rFonts w:hint="eastAsia" w:cs="Times New Roman" w:eastAsiaTheme="minorEastAsia"/>
                <w:color w:val="0000FF"/>
                <w:sz w:val="21"/>
                <w:szCs w:val="21"/>
                <w:lang w:val="en-US" w:eastAsia="zh-CN"/>
              </w:rPr>
              <w:t>桑源社区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0" w:hRule="atLeast"/>
          <w:jc w:val="center"/>
        </w:trPr>
        <w:tc>
          <w:tcPr>
            <w:tcW w:w="718" w:type="dxa"/>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4</w:t>
            </w:r>
          </w:p>
        </w:tc>
        <w:tc>
          <w:tcPr>
            <w:tcW w:w="1276" w:type="dxa"/>
            <w:vMerge w:val="continue"/>
            <w:vAlign w:val="center"/>
          </w:tcPr>
          <w:p>
            <w:pPr>
              <w:spacing w:line="240" w:lineRule="auto"/>
              <w:ind w:firstLine="0" w:firstLineChars="0"/>
              <w:jc w:val="center"/>
              <w:rPr>
                <w:rFonts w:hint="default" w:ascii="Times New Roman" w:hAnsi="Times New Roman" w:cs="Times New Roman" w:eastAsiaTheme="minorEastAsia"/>
                <w:sz w:val="21"/>
                <w:szCs w:val="21"/>
              </w:rPr>
            </w:pPr>
          </w:p>
        </w:tc>
        <w:tc>
          <w:tcPr>
            <w:tcW w:w="2126" w:type="dxa"/>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江那镇</w:t>
            </w:r>
          </w:p>
        </w:tc>
        <w:tc>
          <w:tcPr>
            <w:tcW w:w="4210" w:type="dxa"/>
            <w:vAlign w:val="center"/>
          </w:tcPr>
          <w:p>
            <w:pPr>
              <w:spacing w:line="240" w:lineRule="auto"/>
              <w:ind w:firstLine="0" w:firstLineChars="0"/>
              <w:jc w:val="left"/>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秀源社区、羊街社区、书院社区、郊址社区、锦山社区、嘉禾社区、新民社区、子马社区、铳卡村、</w:t>
            </w:r>
            <w:r>
              <w:rPr>
                <w:rFonts w:hint="default" w:ascii="Times New Roman" w:hAnsi="Times New Roman" w:cs="Times New Roman" w:eastAsiaTheme="minorEastAsia"/>
                <w:color w:val="FF0000"/>
                <w:sz w:val="21"/>
                <w:szCs w:val="21"/>
              </w:rPr>
              <w:t>路德村、芦柴冲村、舍木那村、</w:t>
            </w:r>
            <w:r>
              <w:rPr>
                <w:rFonts w:hint="default" w:ascii="Times New Roman" w:hAnsi="Times New Roman" w:cs="Times New Roman" w:eastAsiaTheme="minorEastAsia"/>
                <w:sz w:val="21"/>
                <w:szCs w:val="21"/>
              </w:rPr>
              <w:t>听湖村</w:t>
            </w:r>
            <w:r>
              <w:rPr>
                <w:rFonts w:hint="eastAsia" w:cs="Times New Roman" w:eastAsiaTheme="minorEastAsia"/>
                <w:sz w:val="21"/>
                <w:szCs w:val="21"/>
                <w:lang w:eastAsia="zh-CN"/>
              </w:rPr>
              <w:t>、</w:t>
            </w:r>
            <w:r>
              <w:rPr>
                <w:rFonts w:hint="eastAsia" w:cs="Times New Roman" w:eastAsiaTheme="minorEastAsia"/>
                <w:color w:val="00B0F0"/>
                <w:sz w:val="21"/>
                <w:szCs w:val="21"/>
                <w:lang w:val="en-US" w:eastAsia="zh-CN"/>
              </w:rPr>
              <w:t>三七社区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18" w:type="dxa"/>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5</w:t>
            </w:r>
          </w:p>
        </w:tc>
        <w:tc>
          <w:tcPr>
            <w:tcW w:w="1276" w:type="dxa"/>
            <w:vMerge w:val="continue"/>
            <w:vAlign w:val="center"/>
          </w:tcPr>
          <w:p>
            <w:pPr>
              <w:spacing w:line="240" w:lineRule="auto"/>
              <w:ind w:firstLine="0" w:firstLineChars="0"/>
              <w:jc w:val="center"/>
              <w:rPr>
                <w:rFonts w:hint="default" w:ascii="Times New Roman" w:hAnsi="Times New Roman" w:cs="Times New Roman" w:eastAsiaTheme="minorEastAsia"/>
                <w:sz w:val="21"/>
                <w:szCs w:val="21"/>
              </w:rPr>
            </w:pPr>
          </w:p>
        </w:tc>
        <w:tc>
          <w:tcPr>
            <w:tcW w:w="2126" w:type="dxa"/>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阿舍彝族乡</w:t>
            </w:r>
          </w:p>
        </w:tc>
        <w:tc>
          <w:tcPr>
            <w:tcW w:w="4210" w:type="dxa"/>
            <w:vAlign w:val="center"/>
          </w:tcPr>
          <w:p>
            <w:pPr>
              <w:spacing w:line="240" w:lineRule="auto"/>
              <w:ind w:firstLine="0" w:firstLineChars="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阿舍村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5" w:hRule="atLeast"/>
          <w:jc w:val="center"/>
        </w:trPr>
        <w:tc>
          <w:tcPr>
            <w:tcW w:w="718" w:type="dxa"/>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6</w:t>
            </w:r>
          </w:p>
        </w:tc>
        <w:tc>
          <w:tcPr>
            <w:tcW w:w="1276" w:type="dxa"/>
            <w:vMerge w:val="continue"/>
            <w:vAlign w:val="center"/>
          </w:tcPr>
          <w:p>
            <w:pPr>
              <w:spacing w:line="240" w:lineRule="auto"/>
              <w:ind w:firstLine="0" w:firstLineChars="0"/>
              <w:jc w:val="center"/>
              <w:rPr>
                <w:rFonts w:hint="default" w:ascii="Times New Roman" w:hAnsi="Times New Roman" w:cs="Times New Roman" w:eastAsiaTheme="minorEastAsia"/>
                <w:sz w:val="21"/>
                <w:szCs w:val="21"/>
              </w:rPr>
            </w:pPr>
          </w:p>
        </w:tc>
        <w:tc>
          <w:tcPr>
            <w:tcW w:w="2126" w:type="dxa"/>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者腊乡</w:t>
            </w:r>
          </w:p>
        </w:tc>
        <w:tc>
          <w:tcPr>
            <w:tcW w:w="4210" w:type="dxa"/>
            <w:vAlign w:val="center"/>
          </w:tcPr>
          <w:p>
            <w:pPr>
              <w:spacing w:line="240" w:lineRule="auto"/>
              <w:ind w:firstLine="0" w:firstLineChars="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羊革村、者腊村、克丘村、夸溪村、老龙村、六诏村、布那村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9" w:hRule="atLeast"/>
          <w:jc w:val="center"/>
        </w:trPr>
        <w:tc>
          <w:tcPr>
            <w:tcW w:w="718" w:type="dxa"/>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7</w:t>
            </w:r>
          </w:p>
        </w:tc>
        <w:tc>
          <w:tcPr>
            <w:tcW w:w="1276" w:type="dxa"/>
            <w:vMerge w:val="continue"/>
            <w:vAlign w:val="center"/>
          </w:tcPr>
          <w:p>
            <w:pPr>
              <w:spacing w:line="240" w:lineRule="auto"/>
              <w:ind w:firstLine="0" w:firstLineChars="0"/>
              <w:jc w:val="center"/>
              <w:rPr>
                <w:rFonts w:hint="default" w:ascii="Times New Roman" w:hAnsi="Times New Roman" w:cs="Times New Roman" w:eastAsiaTheme="minorEastAsia"/>
                <w:sz w:val="21"/>
                <w:szCs w:val="21"/>
              </w:rPr>
            </w:pPr>
          </w:p>
        </w:tc>
        <w:tc>
          <w:tcPr>
            <w:tcW w:w="2126" w:type="dxa"/>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稼依镇</w:t>
            </w:r>
          </w:p>
        </w:tc>
        <w:tc>
          <w:tcPr>
            <w:tcW w:w="4210" w:type="dxa"/>
            <w:vAlign w:val="center"/>
          </w:tcPr>
          <w:p>
            <w:pPr>
              <w:spacing w:line="240" w:lineRule="auto"/>
              <w:ind w:firstLine="0" w:firstLineChars="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小石桥社区、侨园社区、大稼依社区、小稼依村、新寨村、店房村、大尼尼村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18" w:type="dxa"/>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8</w:t>
            </w:r>
          </w:p>
        </w:tc>
        <w:tc>
          <w:tcPr>
            <w:tcW w:w="1276" w:type="dxa"/>
            <w:vMerge w:val="continue"/>
            <w:vAlign w:val="center"/>
          </w:tcPr>
          <w:p>
            <w:pPr>
              <w:spacing w:line="240" w:lineRule="auto"/>
              <w:ind w:firstLine="0" w:firstLineChars="0"/>
              <w:jc w:val="center"/>
              <w:rPr>
                <w:rFonts w:hint="default" w:ascii="Times New Roman" w:hAnsi="Times New Roman" w:cs="Times New Roman" w:eastAsiaTheme="minorEastAsia"/>
                <w:sz w:val="21"/>
                <w:szCs w:val="21"/>
              </w:rPr>
            </w:pPr>
          </w:p>
        </w:tc>
        <w:tc>
          <w:tcPr>
            <w:tcW w:w="2126" w:type="dxa"/>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干河彝族乡</w:t>
            </w:r>
          </w:p>
        </w:tc>
        <w:tc>
          <w:tcPr>
            <w:tcW w:w="4210" w:type="dxa"/>
            <w:vAlign w:val="center"/>
          </w:tcPr>
          <w:p>
            <w:pPr>
              <w:spacing w:line="240" w:lineRule="auto"/>
              <w:ind w:firstLine="0" w:firstLineChars="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红舍克村、碧云村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18" w:type="dxa"/>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9</w:t>
            </w:r>
          </w:p>
        </w:tc>
        <w:tc>
          <w:tcPr>
            <w:tcW w:w="1276" w:type="dxa"/>
            <w:vMerge w:val="continue"/>
            <w:vAlign w:val="center"/>
          </w:tcPr>
          <w:p>
            <w:pPr>
              <w:spacing w:line="240" w:lineRule="auto"/>
              <w:ind w:firstLine="0" w:firstLineChars="0"/>
              <w:jc w:val="center"/>
              <w:rPr>
                <w:rFonts w:hint="default" w:ascii="Times New Roman" w:hAnsi="Times New Roman" w:cs="Times New Roman" w:eastAsiaTheme="minorEastAsia"/>
                <w:sz w:val="21"/>
                <w:szCs w:val="21"/>
              </w:rPr>
            </w:pPr>
          </w:p>
        </w:tc>
        <w:tc>
          <w:tcPr>
            <w:tcW w:w="2126" w:type="dxa"/>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阿猛镇</w:t>
            </w:r>
          </w:p>
        </w:tc>
        <w:tc>
          <w:tcPr>
            <w:tcW w:w="4210" w:type="dxa"/>
            <w:vAlign w:val="center"/>
          </w:tcPr>
          <w:p>
            <w:pPr>
              <w:spacing w:line="240" w:lineRule="auto"/>
              <w:ind w:firstLine="0" w:firstLineChars="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顶丘村、上拱村、阿绞村、千庄村、阿猛村、倮居黑村、迷法村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18" w:type="dxa"/>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10</w:t>
            </w:r>
          </w:p>
        </w:tc>
        <w:tc>
          <w:tcPr>
            <w:tcW w:w="1276" w:type="dxa"/>
            <w:vMerge w:val="continue"/>
            <w:vAlign w:val="center"/>
          </w:tcPr>
          <w:p>
            <w:pPr>
              <w:spacing w:line="240" w:lineRule="auto"/>
              <w:ind w:firstLine="0" w:firstLineChars="0"/>
              <w:jc w:val="center"/>
              <w:rPr>
                <w:rFonts w:hint="default" w:ascii="Times New Roman" w:hAnsi="Times New Roman" w:cs="Times New Roman" w:eastAsiaTheme="minorEastAsia"/>
                <w:sz w:val="21"/>
                <w:szCs w:val="21"/>
              </w:rPr>
            </w:pPr>
          </w:p>
        </w:tc>
        <w:tc>
          <w:tcPr>
            <w:tcW w:w="2126" w:type="dxa"/>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蚌峨乡</w:t>
            </w:r>
          </w:p>
        </w:tc>
        <w:tc>
          <w:tcPr>
            <w:tcW w:w="4210" w:type="dxa"/>
            <w:vAlign w:val="center"/>
          </w:tcPr>
          <w:p>
            <w:pPr>
              <w:spacing w:line="240" w:lineRule="auto"/>
              <w:ind w:firstLine="0" w:firstLineChars="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南屏村、六掌村、凹掌村、蚌峨村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18" w:type="dxa"/>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11</w:t>
            </w:r>
          </w:p>
        </w:tc>
        <w:tc>
          <w:tcPr>
            <w:tcW w:w="1276" w:type="dxa"/>
            <w:vMerge w:val="continue"/>
            <w:vAlign w:val="center"/>
          </w:tcPr>
          <w:p>
            <w:pPr>
              <w:spacing w:line="240" w:lineRule="auto"/>
              <w:ind w:firstLine="0" w:firstLineChars="0"/>
              <w:jc w:val="center"/>
              <w:rPr>
                <w:rFonts w:hint="default" w:ascii="Times New Roman" w:hAnsi="Times New Roman" w:cs="Times New Roman" w:eastAsiaTheme="minorEastAsia"/>
                <w:sz w:val="21"/>
                <w:szCs w:val="21"/>
              </w:rPr>
            </w:pPr>
          </w:p>
        </w:tc>
        <w:tc>
          <w:tcPr>
            <w:tcW w:w="2126" w:type="dxa"/>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维摩彝族乡</w:t>
            </w:r>
          </w:p>
        </w:tc>
        <w:tc>
          <w:tcPr>
            <w:tcW w:w="4210" w:type="dxa"/>
            <w:vAlign w:val="center"/>
          </w:tcPr>
          <w:p>
            <w:pPr>
              <w:spacing w:line="240" w:lineRule="auto"/>
              <w:ind w:firstLine="0" w:firstLineChars="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碳房社区、倮可者村、海子边村、长岭街村</w:t>
            </w:r>
          </w:p>
        </w:tc>
      </w:tr>
    </w:tbl>
    <w:p>
      <w:pPr>
        <w:pStyle w:val="2"/>
        <w:rPr>
          <w:rFonts w:hint="default"/>
          <w:lang w:val="en-US" w:eastAsia="zh-CN"/>
        </w:rPr>
      </w:pPr>
    </w:p>
    <w:p>
      <w:pPr>
        <w:pStyle w:val="5"/>
        <w:rPr>
          <w:rFonts w:hint="default" w:ascii="Times New Roman" w:hAnsi="Times New Roman" w:cs="Times New Roman" w:eastAsiaTheme="minorEastAsia"/>
          <w:color w:val="000000"/>
          <w:sz w:val="28"/>
          <w:szCs w:val="28"/>
        </w:rPr>
      </w:pPr>
      <w:r>
        <w:rPr>
          <w:rFonts w:hint="default" w:ascii="Times New Roman" w:hAnsi="Times New Roman" w:cs="Times New Roman" w:eastAsiaTheme="minorEastAsia"/>
          <w:color w:val="000000"/>
          <w:sz w:val="28"/>
          <w:szCs w:val="28"/>
        </w:rPr>
        <w:t>秸秆垃圾限烧区范围</w:t>
      </w:r>
    </w:p>
    <w:p>
      <w:pPr>
        <w:keepNext w:val="0"/>
        <w:keepLines w:val="0"/>
        <w:widowControl/>
        <w:suppressLineNumbers w:val="0"/>
        <w:jc w:val="left"/>
        <w:rPr>
          <w:rFonts w:hint="default" w:ascii="Times New Roman" w:hAnsi="Times New Roman" w:cs="Times New Roman" w:eastAsiaTheme="minorEastAsia"/>
          <w:color w:val="000000"/>
          <w:kern w:val="0"/>
          <w:sz w:val="24"/>
          <w:szCs w:val="24"/>
          <w:lang w:val="en-US" w:eastAsia="zh-CN" w:bidi="ar"/>
        </w:rPr>
      </w:pPr>
      <w:r>
        <w:rPr>
          <w:rFonts w:hint="default" w:ascii="Times New Roman" w:hAnsi="Times New Roman" w:cs="Times New Roman" w:eastAsiaTheme="minorEastAsia"/>
          <w:color w:val="000000"/>
          <w:kern w:val="0"/>
          <w:sz w:val="24"/>
          <w:szCs w:val="24"/>
          <w:lang w:val="en-US" w:eastAsia="zh-CN" w:bidi="ar"/>
        </w:rPr>
        <w:t>砚山县已划定的禁烧区以外的所有区域定义为秸秆垃圾限烧区，即在特定环境条件下，按管控要求允许进行秸秆垃圾露天焚烧活动的区域。</w:t>
      </w:r>
    </w:p>
    <w:p>
      <w:pPr>
        <w:pStyle w:val="4"/>
        <w:rPr>
          <w:rFonts w:hint="default" w:ascii="Times New Roman" w:hAnsi="Times New Roman" w:cs="Times New Roman" w:eastAsiaTheme="minorEastAsia"/>
          <w:color w:val="000000"/>
          <w:lang w:val="en-US" w:eastAsia="zh-CN"/>
        </w:rPr>
      </w:pPr>
      <w:bookmarkStart w:id="21" w:name="_Toc21015"/>
      <w:r>
        <w:rPr>
          <w:rFonts w:hint="eastAsia" w:ascii="Times New Roman" w:hAnsi="Times New Roman" w:cs="Times New Roman" w:eastAsiaTheme="minorEastAsia"/>
          <w:color w:val="000000"/>
          <w:lang w:val="en-US" w:eastAsia="zh-CN"/>
        </w:rPr>
        <w:t>边界定界</w:t>
      </w:r>
      <w:bookmarkEnd w:id="21"/>
    </w:p>
    <w:p>
      <w:pPr>
        <w:keepNext w:val="0"/>
        <w:keepLines w:val="0"/>
        <w:widowControl/>
        <w:suppressLineNumbers w:val="0"/>
        <w:jc w:val="left"/>
        <w:rPr>
          <w:rFonts w:hint="eastAsia" w:cs="Times New Roman" w:eastAsiaTheme="minorEastAsia"/>
          <w:color w:val="000000"/>
          <w:kern w:val="0"/>
          <w:sz w:val="24"/>
          <w:szCs w:val="24"/>
          <w:lang w:val="en-US" w:eastAsia="zh-CN" w:bidi="ar"/>
        </w:rPr>
      </w:pPr>
      <w:r>
        <w:rPr>
          <w:rFonts w:hint="default" w:ascii="Times New Roman" w:hAnsi="Times New Roman" w:cs="Times New Roman" w:eastAsiaTheme="minorEastAsia"/>
          <w:color w:val="000000"/>
          <w:kern w:val="0"/>
          <w:sz w:val="24"/>
          <w:szCs w:val="24"/>
          <w:lang w:val="en-US" w:eastAsia="zh-CN" w:bidi="ar"/>
        </w:rPr>
        <w:t>秸秆垃圾禁烧区和限烧区的划定应根据当地土地利用类型及环境空气质量状况，结合地方实际与管理需求，尽可能避免破碎化，尽量连续成片，确定秸秆禁烧区的界线。秸秆禁烧区和限烧区划定与其他法律法规中关于区域划分冲突的，以其他法律法规为准。</w:t>
      </w:r>
      <w:r>
        <w:rPr>
          <w:rFonts w:hint="eastAsia" w:cs="Times New Roman" w:eastAsiaTheme="minorEastAsia"/>
          <w:color w:val="000000"/>
          <w:kern w:val="0"/>
          <w:sz w:val="24"/>
          <w:szCs w:val="24"/>
          <w:lang w:val="en-US" w:eastAsia="zh-CN" w:bidi="ar"/>
        </w:rPr>
        <w:t>划定后禁烧区、限烧区边界坐标见表3-6、3-7。</w:t>
      </w:r>
    </w:p>
    <w:p>
      <w:pPr>
        <w:ind w:firstLine="482"/>
        <w:jc w:val="center"/>
        <w:rPr>
          <w:rFonts w:hint="default" w:ascii="Times New Roman" w:hAnsi="Times New Roman" w:cs="Times New Roman" w:eastAsiaTheme="minorEastAsia"/>
          <w:b/>
          <w:bCs/>
          <w:color w:val="FF0000"/>
          <w:sz w:val="24"/>
          <w:lang w:val="en-US" w:eastAsia="zh-CN"/>
        </w:rPr>
      </w:pPr>
      <w:r>
        <w:rPr>
          <w:rFonts w:hint="eastAsia" w:ascii="Times New Roman" w:hAnsi="Times New Roman" w:cs="Times New Roman" w:eastAsiaTheme="minorEastAsia"/>
          <w:b/>
          <w:bCs/>
          <w:color w:val="FF0000"/>
          <w:sz w:val="24"/>
          <w:lang w:val="en-US" w:eastAsia="zh-CN"/>
        </w:rPr>
        <w:t>表3-</w:t>
      </w:r>
      <w:r>
        <w:rPr>
          <w:rFonts w:hint="eastAsia" w:cs="Times New Roman" w:eastAsiaTheme="minorEastAsia"/>
          <w:b/>
          <w:bCs/>
          <w:color w:val="FF0000"/>
          <w:sz w:val="24"/>
          <w:lang w:val="en-US" w:eastAsia="zh-CN"/>
        </w:rPr>
        <w:t>6</w:t>
      </w:r>
      <w:r>
        <w:rPr>
          <w:rFonts w:hint="eastAsia" w:ascii="Times New Roman" w:hAnsi="Times New Roman" w:cs="Times New Roman" w:eastAsiaTheme="minorEastAsia"/>
          <w:b/>
          <w:bCs/>
          <w:color w:val="FF0000"/>
          <w:sz w:val="24"/>
          <w:lang w:val="en-US" w:eastAsia="zh-CN"/>
        </w:rPr>
        <w:t xml:space="preserve"> 禁烧区边界拐点坐标</w:t>
      </w:r>
      <w:r>
        <w:rPr>
          <w:rFonts w:hint="eastAsia" w:cs="Times New Roman" w:eastAsiaTheme="minorEastAsia"/>
          <w:b/>
          <w:bCs/>
          <w:color w:val="FF0000"/>
          <w:sz w:val="24"/>
          <w:lang w:val="en-US" w:eastAsia="zh-CN"/>
        </w:rPr>
        <w:t>等信息表（确定无误后再由第三方补充完善）</w:t>
      </w:r>
    </w:p>
    <w:tbl>
      <w:tblPr>
        <w:tblStyle w:val="11"/>
        <w:tblpPr w:leftFromText="180" w:rightFromText="180" w:vertAnchor="text" w:horzAnchor="page" w:tblpXSpec="center" w:tblpY="142"/>
        <w:tblW w:w="85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3"/>
        <w:gridCol w:w="1119"/>
        <w:gridCol w:w="1146"/>
        <w:gridCol w:w="1009"/>
        <w:gridCol w:w="697"/>
        <w:gridCol w:w="697"/>
        <w:gridCol w:w="1247"/>
        <w:gridCol w:w="20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563" w:type="dxa"/>
            <w:vMerge w:val="restart"/>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序号</w:t>
            </w:r>
          </w:p>
        </w:tc>
        <w:tc>
          <w:tcPr>
            <w:tcW w:w="1119" w:type="dxa"/>
            <w:vMerge w:val="restart"/>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乡（镇）</w:t>
            </w:r>
          </w:p>
        </w:tc>
        <w:tc>
          <w:tcPr>
            <w:tcW w:w="1146" w:type="dxa"/>
            <w:vMerge w:val="restart"/>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行政区划面积</w:t>
            </w:r>
          </w:p>
          <w:p>
            <w:pPr>
              <w:wordWrap w:val="0"/>
              <w:spacing w:line="240" w:lineRule="auto"/>
              <w:ind w:firstLine="0" w:firstLineChars="0"/>
              <w:jc w:val="center"/>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（km</w:t>
            </w:r>
            <w:r>
              <w:rPr>
                <w:rFonts w:hint="default" w:ascii="Times New Roman" w:hAnsi="Times New Roman" w:cs="Times New Roman" w:eastAsiaTheme="minorEastAsia"/>
                <w:b w:val="0"/>
                <w:bCs w:val="0"/>
                <w:sz w:val="21"/>
                <w:szCs w:val="21"/>
                <w:vertAlign w:val="superscript"/>
              </w:rPr>
              <w:t>2</w:t>
            </w:r>
            <w:r>
              <w:rPr>
                <w:rFonts w:hint="default" w:ascii="Times New Roman" w:hAnsi="Times New Roman" w:cs="Times New Roman" w:eastAsiaTheme="minorEastAsia"/>
                <w:b w:val="0"/>
                <w:bCs w:val="0"/>
                <w:sz w:val="21"/>
                <w:szCs w:val="21"/>
              </w:rPr>
              <w:t>）</w:t>
            </w:r>
          </w:p>
        </w:tc>
        <w:tc>
          <w:tcPr>
            <w:tcW w:w="1009" w:type="dxa"/>
            <w:vMerge w:val="restart"/>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禁烧区面积</w:t>
            </w:r>
          </w:p>
          <w:p>
            <w:pPr>
              <w:wordWrap w:val="0"/>
              <w:spacing w:line="240" w:lineRule="auto"/>
              <w:ind w:firstLine="0" w:firstLineChars="0"/>
              <w:jc w:val="center"/>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（km</w:t>
            </w:r>
            <w:r>
              <w:rPr>
                <w:rFonts w:hint="default" w:ascii="Times New Roman" w:hAnsi="Times New Roman" w:cs="Times New Roman" w:eastAsiaTheme="minorEastAsia"/>
                <w:b w:val="0"/>
                <w:bCs w:val="0"/>
                <w:sz w:val="21"/>
                <w:szCs w:val="21"/>
                <w:vertAlign w:val="superscript"/>
              </w:rPr>
              <w:t>2</w:t>
            </w:r>
            <w:r>
              <w:rPr>
                <w:rFonts w:hint="default" w:ascii="Times New Roman" w:hAnsi="Times New Roman" w:cs="Times New Roman" w:eastAsiaTheme="minorEastAsia"/>
                <w:b w:val="0"/>
                <w:bCs w:val="0"/>
                <w:sz w:val="21"/>
                <w:szCs w:val="21"/>
              </w:rPr>
              <w:t>）</w:t>
            </w:r>
          </w:p>
        </w:tc>
        <w:tc>
          <w:tcPr>
            <w:tcW w:w="1394" w:type="dxa"/>
            <w:gridSpan w:val="2"/>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边界点地理坐标</w:t>
            </w:r>
          </w:p>
        </w:tc>
        <w:tc>
          <w:tcPr>
            <w:tcW w:w="1247" w:type="dxa"/>
            <w:vMerge w:val="restart"/>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主要农作物种类</w:t>
            </w:r>
          </w:p>
        </w:tc>
        <w:tc>
          <w:tcPr>
            <w:tcW w:w="2050" w:type="dxa"/>
            <w:vMerge w:val="restart"/>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主要农作物种植面积（km</w:t>
            </w:r>
            <w:r>
              <w:rPr>
                <w:rFonts w:hint="default" w:ascii="Times New Roman" w:hAnsi="Times New Roman" w:cs="Times New Roman" w:eastAsiaTheme="minorEastAsia"/>
                <w:b w:val="0"/>
                <w:bCs w:val="0"/>
                <w:sz w:val="21"/>
                <w:szCs w:val="21"/>
                <w:vertAlign w:val="superscript"/>
              </w:rPr>
              <w:t>2</w:t>
            </w:r>
            <w:r>
              <w:rPr>
                <w:rFonts w:hint="default" w:ascii="Times New Roman" w:hAnsi="Times New Roman" w:cs="Times New Roman" w:eastAsiaTheme="minorEastAsia"/>
                <w:b w:val="0"/>
                <w:bCs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563" w:type="dxa"/>
            <w:vMerge w:val="continue"/>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p>
        </w:tc>
        <w:tc>
          <w:tcPr>
            <w:tcW w:w="1119" w:type="dxa"/>
            <w:vMerge w:val="continue"/>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p>
        </w:tc>
        <w:tc>
          <w:tcPr>
            <w:tcW w:w="1146" w:type="dxa"/>
            <w:vMerge w:val="continue"/>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p>
        </w:tc>
        <w:tc>
          <w:tcPr>
            <w:tcW w:w="1009" w:type="dxa"/>
            <w:vMerge w:val="continue"/>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p>
        </w:tc>
        <w:tc>
          <w:tcPr>
            <w:tcW w:w="697"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经度</w:t>
            </w:r>
          </w:p>
        </w:tc>
        <w:tc>
          <w:tcPr>
            <w:tcW w:w="697"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纬度</w:t>
            </w:r>
          </w:p>
        </w:tc>
        <w:tc>
          <w:tcPr>
            <w:tcW w:w="1247" w:type="dxa"/>
            <w:vMerge w:val="continue"/>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p>
        </w:tc>
        <w:tc>
          <w:tcPr>
            <w:tcW w:w="2050" w:type="dxa"/>
            <w:vMerge w:val="continue"/>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63"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1</w:t>
            </w:r>
          </w:p>
        </w:tc>
        <w:tc>
          <w:tcPr>
            <w:tcW w:w="1119"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八嘎乡</w:t>
            </w:r>
          </w:p>
        </w:tc>
        <w:tc>
          <w:tcPr>
            <w:tcW w:w="1146"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376.37</w:t>
            </w:r>
          </w:p>
        </w:tc>
        <w:tc>
          <w:tcPr>
            <w:tcW w:w="1009"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66.25</w:t>
            </w:r>
          </w:p>
        </w:tc>
        <w:tc>
          <w:tcPr>
            <w:tcW w:w="697"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p>
        </w:tc>
        <w:tc>
          <w:tcPr>
            <w:tcW w:w="697"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p>
        </w:tc>
        <w:tc>
          <w:tcPr>
            <w:tcW w:w="1247"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p>
        </w:tc>
        <w:tc>
          <w:tcPr>
            <w:tcW w:w="2050"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63"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2</w:t>
            </w:r>
          </w:p>
        </w:tc>
        <w:tc>
          <w:tcPr>
            <w:tcW w:w="1119"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平远镇</w:t>
            </w:r>
          </w:p>
        </w:tc>
        <w:tc>
          <w:tcPr>
            <w:tcW w:w="1146"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581.51</w:t>
            </w:r>
          </w:p>
        </w:tc>
        <w:tc>
          <w:tcPr>
            <w:tcW w:w="1009"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249.97</w:t>
            </w:r>
          </w:p>
        </w:tc>
        <w:tc>
          <w:tcPr>
            <w:tcW w:w="697"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p>
        </w:tc>
        <w:tc>
          <w:tcPr>
            <w:tcW w:w="697"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p>
        </w:tc>
        <w:tc>
          <w:tcPr>
            <w:tcW w:w="1247"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p>
        </w:tc>
        <w:tc>
          <w:tcPr>
            <w:tcW w:w="2050"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63"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3</w:t>
            </w:r>
          </w:p>
        </w:tc>
        <w:tc>
          <w:tcPr>
            <w:tcW w:w="1119"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盘龙彝族乡</w:t>
            </w:r>
          </w:p>
        </w:tc>
        <w:tc>
          <w:tcPr>
            <w:tcW w:w="1146"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243.20</w:t>
            </w:r>
          </w:p>
        </w:tc>
        <w:tc>
          <w:tcPr>
            <w:tcW w:w="1009"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241.60</w:t>
            </w:r>
          </w:p>
        </w:tc>
        <w:tc>
          <w:tcPr>
            <w:tcW w:w="697"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p>
        </w:tc>
        <w:tc>
          <w:tcPr>
            <w:tcW w:w="697"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p>
        </w:tc>
        <w:tc>
          <w:tcPr>
            <w:tcW w:w="1247"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p>
        </w:tc>
        <w:tc>
          <w:tcPr>
            <w:tcW w:w="2050"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63"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4</w:t>
            </w:r>
          </w:p>
        </w:tc>
        <w:tc>
          <w:tcPr>
            <w:tcW w:w="1119"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江那镇</w:t>
            </w:r>
          </w:p>
        </w:tc>
        <w:tc>
          <w:tcPr>
            <w:tcW w:w="1146"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309.75</w:t>
            </w:r>
          </w:p>
        </w:tc>
        <w:tc>
          <w:tcPr>
            <w:tcW w:w="1009"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309.28</w:t>
            </w:r>
          </w:p>
        </w:tc>
        <w:tc>
          <w:tcPr>
            <w:tcW w:w="697"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p>
        </w:tc>
        <w:tc>
          <w:tcPr>
            <w:tcW w:w="697"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p>
        </w:tc>
        <w:tc>
          <w:tcPr>
            <w:tcW w:w="1247"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p>
        </w:tc>
        <w:tc>
          <w:tcPr>
            <w:tcW w:w="2050"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63"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5</w:t>
            </w:r>
          </w:p>
        </w:tc>
        <w:tc>
          <w:tcPr>
            <w:tcW w:w="1119"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阿舍彝族乡</w:t>
            </w:r>
          </w:p>
        </w:tc>
        <w:tc>
          <w:tcPr>
            <w:tcW w:w="1146"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258.93</w:t>
            </w:r>
          </w:p>
        </w:tc>
        <w:tc>
          <w:tcPr>
            <w:tcW w:w="1009"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17.63</w:t>
            </w:r>
          </w:p>
        </w:tc>
        <w:tc>
          <w:tcPr>
            <w:tcW w:w="697"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p>
        </w:tc>
        <w:tc>
          <w:tcPr>
            <w:tcW w:w="697"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p>
        </w:tc>
        <w:tc>
          <w:tcPr>
            <w:tcW w:w="1247" w:type="dxa"/>
            <w:vAlign w:val="center"/>
          </w:tcPr>
          <w:p>
            <w:pPr>
              <w:widowControl/>
              <w:spacing w:line="240" w:lineRule="auto"/>
              <w:ind w:firstLine="0" w:firstLineChars="0"/>
              <w:jc w:val="center"/>
              <w:rPr>
                <w:rFonts w:hint="default" w:ascii="Times New Roman" w:hAnsi="Times New Roman" w:cs="Times New Roman" w:eastAsiaTheme="minorEastAsia"/>
                <w:b w:val="0"/>
                <w:bCs w:val="0"/>
                <w:color w:val="000000"/>
                <w:kern w:val="0"/>
                <w:sz w:val="21"/>
                <w:szCs w:val="21"/>
              </w:rPr>
            </w:pPr>
          </w:p>
        </w:tc>
        <w:tc>
          <w:tcPr>
            <w:tcW w:w="2050" w:type="dxa"/>
            <w:vAlign w:val="center"/>
          </w:tcPr>
          <w:p>
            <w:pPr>
              <w:widowControl/>
              <w:spacing w:line="240" w:lineRule="auto"/>
              <w:ind w:firstLine="0" w:firstLineChars="0"/>
              <w:jc w:val="center"/>
              <w:rPr>
                <w:rFonts w:hint="default" w:ascii="Times New Roman" w:hAnsi="Times New Roman" w:cs="Times New Roman" w:eastAsiaTheme="minorEastAsia"/>
                <w:b w:val="0"/>
                <w:bCs w:val="0"/>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63"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6</w:t>
            </w:r>
          </w:p>
        </w:tc>
        <w:tc>
          <w:tcPr>
            <w:tcW w:w="1119" w:type="dxa"/>
            <w:vAlign w:val="center"/>
          </w:tcPr>
          <w:p>
            <w:pPr>
              <w:wordWrap w:val="0"/>
              <w:spacing w:line="240" w:lineRule="auto"/>
              <w:ind w:firstLine="0" w:firstLineChars="0"/>
              <w:jc w:val="center"/>
              <w:rPr>
                <w:rFonts w:hint="default" w:ascii="Times New Roman" w:hAnsi="Times New Roman" w:cs="Times New Roman" w:eastAsiaTheme="minorEastAsia"/>
                <w:b w:val="0"/>
                <w:bCs w:val="0"/>
                <w:color w:val="000000"/>
                <w:sz w:val="21"/>
                <w:szCs w:val="21"/>
              </w:rPr>
            </w:pPr>
            <w:r>
              <w:rPr>
                <w:rFonts w:hint="default" w:ascii="Times New Roman" w:hAnsi="Times New Roman" w:cs="Times New Roman" w:eastAsiaTheme="minorEastAsia"/>
                <w:b w:val="0"/>
                <w:bCs w:val="0"/>
                <w:color w:val="000000"/>
                <w:sz w:val="21"/>
                <w:szCs w:val="21"/>
              </w:rPr>
              <w:t>者腊乡</w:t>
            </w:r>
          </w:p>
        </w:tc>
        <w:tc>
          <w:tcPr>
            <w:tcW w:w="1146" w:type="dxa"/>
            <w:vAlign w:val="center"/>
          </w:tcPr>
          <w:p>
            <w:pPr>
              <w:wordWrap w:val="0"/>
              <w:spacing w:line="240" w:lineRule="auto"/>
              <w:ind w:firstLine="0" w:firstLineChars="0"/>
              <w:jc w:val="center"/>
              <w:rPr>
                <w:rFonts w:hint="default" w:ascii="Times New Roman" w:hAnsi="Times New Roman" w:cs="Times New Roman" w:eastAsiaTheme="minorEastAsia"/>
                <w:b w:val="0"/>
                <w:bCs w:val="0"/>
                <w:color w:val="000000"/>
                <w:sz w:val="21"/>
                <w:szCs w:val="21"/>
              </w:rPr>
            </w:pPr>
            <w:r>
              <w:rPr>
                <w:rFonts w:hint="default" w:ascii="Times New Roman" w:hAnsi="Times New Roman" w:cs="Times New Roman" w:eastAsiaTheme="minorEastAsia"/>
                <w:b w:val="0"/>
                <w:bCs w:val="0"/>
                <w:color w:val="000000"/>
                <w:sz w:val="21"/>
                <w:szCs w:val="21"/>
              </w:rPr>
              <w:t>268.24</w:t>
            </w:r>
          </w:p>
        </w:tc>
        <w:tc>
          <w:tcPr>
            <w:tcW w:w="1009" w:type="dxa"/>
            <w:vAlign w:val="center"/>
          </w:tcPr>
          <w:p>
            <w:pPr>
              <w:wordWrap w:val="0"/>
              <w:spacing w:line="240" w:lineRule="auto"/>
              <w:ind w:firstLine="0" w:firstLineChars="0"/>
              <w:jc w:val="center"/>
              <w:rPr>
                <w:rFonts w:hint="default" w:ascii="Times New Roman" w:hAnsi="Times New Roman" w:cs="Times New Roman" w:eastAsiaTheme="minorEastAsia"/>
                <w:b w:val="0"/>
                <w:bCs w:val="0"/>
                <w:color w:val="000000"/>
                <w:sz w:val="21"/>
                <w:szCs w:val="21"/>
              </w:rPr>
            </w:pPr>
            <w:r>
              <w:rPr>
                <w:rFonts w:hint="default" w:ascii="Times New Roman" w:hAnsi="Times New Roman" w:cs="Times New Roman" w:eastAsiaTheme="minorEastAsia"/>
                <w:b w:val="0"/>
                <w:bCs w:val="0"/>
                <w:color w:val="000000"/>
                <w:sz w:val="21"/>
                <w:szCs w:val="21"/>
              </w:rPr>
              <w:t>183.52</w:t>
            </w:r>
          </w:p>
        </w:tc>
        <w:tc>
          <w:tcPr>
            <w:tcW w:w="697"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p>
        </w:tc>
        <w:tc>
          <w:tcPr>
            <w:tcW w:w="697"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p>
        </w:tc>
        <w:tc>
          <w:tcPr>
            <w:tcW w:w="1247" w:type="dxa"/>
            <w:vAlign w:val="center"/>
          </w:tcPr>
          <w:p>
            <w:pPr>
              <w:widowControl/>
              <w:spacing w:line="240" w:lineRule="auto"/>
              <w:ind w:firstLine="0" w:firstLineChars="0"/>
              <w:jc w:val="center"/>
              <w:rPr>
                <w:rFonts w:hint="default" w:ascii="Times New Roman" w:hAnsi="Times New Roman" w:cs="Times New Roman" w:eastAsiaTheme="minorEastAsia"/>
                <w:b w:val="0"/>
                <w:bCs w:val="0"/>
                <w:color w:val="000000"/>
                <w:sz w:val="21"/>
                <w:szCs w:val="21"/>
              </w:rPr>
            </w:pPr>
          </w:p>
        </w:tc>
        <w:tc>
          <w:tcPr>
            <w:tcW w:w="2050" w:type="dxa"/>
            <w:vAlign w:val="center"/>
          </w:tcPr>
          <w:p>
            <w:pPr>
              <w:widowControl/>
              <w:spacing w:line="240" w:lineRule="auto"/>
              <w:ind w:firstLine="0" w:firstLineChars="0"/>
              <w:jc w:val="center"/>
              <w:rPr>
                <w:rFonts w:hint="default" w:ascii="Times New Roman" w:hAnsi="Times New Roman" w:cs="Times New Roman" w:eastAsiaTheme="minorEastAsia"/>
                <w:b w:val="0"/>
                <w:bCs w:val="0"/>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63"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7</w:t>
            </w:r>
          </w:p>
        </w:tc>
        <w:tc>
          <w:tcPr>
            <w:tcW w:w="1119"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稼依镇</w:t>
            </w:r>
          </w:p>
        </w:tc>
        <w:tc>
          <w:tcPr>
            <w:tcW w:w="1146"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235.95</w:t>
            </w:r>
          </w:p>
        </w:tc>
        <w:tc>
          <w:tcPr>
            <w:tcW w:w="1009"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93.66</w:t>
            </w:r>
          </w:p>
        </w:tc>
        <w:tc>
          <w:tcPr>
            <w:tcW w:w="697"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p>
        </w:tc>
        <w:tc>
          <w:tcPr>
            <w:tcW w:w="697"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p>
        </w:tc>
        <w:tc>
          <w:tcPr>
            <w:tcW w:w="1247"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p>
        </w:tc>
        <w:tc>
          <w:tcPr>
            <w:tcW w:w="2050"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63"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8</w:t>
            </w:r>
          </w:p>
        </w:tc>
        <w:tc>
          <w:tcPr>
            <w:tcW w:w="1119"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干河彝族乡</w:t>
            </w:r>
          </w:p>
        </w:tc>
        <w:tc>
          <w:tcPr>
            <w:tcW w:w="1146"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231.31</w:t>
            </w:r>
          </w:p>
        </w:tc>
        <w:tc>
          <w:tcPr>
            <w:tcW w:w="1009"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90.26</w:t>
            </w:r>
          </w:p>
        </w:tc>
        <w:tc>
          <w:tcPr>
            <w:tcW w:w="697"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p>
        </w:tc>
        <w:tc>
          <w:tcPr>
            <w:tcW w:w="697"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p>
        </w:tc>
        <w:tc>
          <w:tcPr>
            <w:tcW w:w="1247"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p>
        </w:tc>
        <w:tc>
          <w:tcPr>
            <w:tcW w:w="2050"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63"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9</w:t>
            </w:r>
          </w:p>
        </w:tc>
        <w:tc>
          <w:tcPr>
            <w:tcW w:w="1119"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阿猛镇</w:t>
            </w:r>
          </w:p>
        </w:tc>
        <w:tc>
          <w:tcPr>
            <w:tcW w:w="1146"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532.84</w:t>
            </w:r>
          </w:p>
        </w:tc>
        <w:tc>
          <w:tcPr>
            <w:tcW w:w="1009"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172.57</w:t>
            </w:r>
          </w:p>
        </w:tc>
        <w:tc>
          <w:tcPr>
            <w:tcW w:w="697"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p>
        </w:tc>
        <w:tc>
          <w:tcPr>
            <w:tcW w:w="697"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p>
        </w:tc>
        <w:tc>
          <w:tcPr>
            <w:tcW w:w="1247"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p>
        </w:tc>
        <w:tc>
          <w:tcPr>
            <w:tcW w:w="2050"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63"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10</w:t>
            </w:r>
          </w:p>
        </w:tc>
        <w:tc>
          <w:tcPr>
            <w:tcW w:w="1119"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蚌峨乡</w:t>
            </w:r>
          </w:p>
        </w:tc>
        <w:tc>
          <w:tcPr>
            <w:tcW w:w="1146"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237.87</w:t>
            </w:r>
          </w:p>
        </w:tc>
        <w:tc>
          <w:tcPr>
            <w:tcW w:w="1009"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50.10</w:t>
            </w:r>
          </w:p>
        </w:tc>
        <w:tc>
          <w:tcPr>
            <w:tcW w:w="697"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p>
        </w:tc>
        <w:tc>
          <w:tcPr>
            <w:tcW w:w="697"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p>
        </w:tc>
        <w:tc>
          <w:tcPr>
            <w:tcW w:w="1247"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p>
        </w:tc>
        <w:tc>
          <w:tcPr>
            <w:tcW w:w="2050"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63"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11</w:t>
            </w:r>
          </w:p>
        </w:tc>
        <w:tc>
          <w:tcPr>
            <w:tcW w:w="1119"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维摩彝族乡</w:t>
            </w:r>
          </w:p>
        </w:tc>
        <w:tc>
          <w:tcPr>
            <w:tcW w:w="1146"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593.09</w:t>
            </w:r>
          </w:p>
        </w:tc>
        <w:tc>
          <w:tcPr>
            <w:tcW w:w="1009"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169.79</w:t>
            </w:r>
          </w:p>
        </w:tc>
        <w:tc>
          <w:tcPr>
            <w:tcW w:w="697"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p>
        </w:tc>
        <w:tc>
          <w:tcPr>
            <w:tcW w:w="697"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p>
        </w:tc>
        <w:tc>
          <w:tcPr>
            <w:tcW w:w="1247"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p>
        </w:tc>
        <w:tc>
          <w:tcPr>
            <w:tcW w:w="2050"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p>
        </w:tc>
      </w:tr>
    </w:tbl>
    <w:p>
      <w:pPr>
        <w:pStyle w:val="2"/>
        <w:rPr>
          <w:rFonts w:hint="eastAsia"/>
          <w:lang w:val="en-US" w:eastAsia="zh-CN"/>
        </w:rPr>
      </w:pPr>
    </w:p>
    <w:p>
      <w:pPr>
        <w:ind w:firstLine="482"/>
        <w:jc w:val="center"/>
        <w:rPr>
          <w:rFonts w:hint="default" w:ascii="Times New Roman" w:hAnsi="Times New Roman" w:cs="Times New Roman" w:eastAsiaTheme="minorEastAsia"/>
          <w:b/>
          <w:bCs/>
          <w:color w:val="FF0000"/>
          <w:sz w:val="24"/>
          <w:lang w:val="en-US" w:eastAsia="zh-CN"/>
        </w:rPr>
      </w:pPr>
      <w:r>
        <w:rPr>
          <w:rFonts w:hint="eastAsia"/>
          <w:lang w:val="en-US" w:eastAsia="zh-CN"/>
        </w:rPr>
        <w:t>表3-7  限烧区边界坐标等信息表</w:t>
      </w:r>
      <w:r>
        <w:rPr>
          <w:rFonts w:hint="eastAsia" w:cs="Times New Roman" w:eastAsiaTheme="minorEastAsia"/>
          <w:b/>
          <w:bCs/>
          <w:color w:val="FF0000"/>
          <w:sz w:val="24"/>
          <w:lang w:val="en-US" w:eastAsia="zh-CN"/>
        </w:rPr>
        <w:t>（确定无误后再由第三方补充完善）</w:t>
      </w:r>
    </w:p>
    <w:p>
      <w:pPr>
        <w:pStyle w:val="2"/>
        <w:jc w:val="center"/>
        <w:rPr>
          <w:rFonts w:hint="default"/>
          <w:lang w:val="en-US" w:eastAsia="zh-CN"/>
        </w:rPr>
      </w:pPr>
    </w:p>
    <w:tbl>
      <w:tblPr>
        <w:tblStyle w:val="11"/>
        <w:tblpPr w:leftFromText="180" w:rightFromText="180" w:vertAnchor="text" w:horzAnchor="page" w:tblpX="1781" w:tblpY="394"/>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3"/>
        <w:gridCol w:w="1119"/>
        <w:gridCol w:w="1146"/>
        <w:gridCol w:w="1009"/>
        <w:gridCol w:w="697"/>
        <w:gridCol w:w="697"/>
        <w:gridCol w:w="1247"/>
        <w:gridCol w:w="20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563" w:type="dxa"/>
            <w:vMerge w:val="restart"/>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序号</w:t>
            </w:r>
          </w:p>
        </w:tc>
        <w:tc>
          <w:tcPr>
            <w:tcW w:w="1119" w:type="dxa"/>
            <w:vMerge w:val="restart"/>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乡（镇）</w:t>
            </w:r>
          </w:p>
        </w:tc>
        <w:tc>
          <w:tcPr>
            <w:tcW w:w="1146" w:type="dxa"/>
            <w:vMerge w:val="restart"/>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行政区划面积</w:t>
            </w:r>
          </w:p>
          <w:p>
            <w:pPr>
              <w:wordWrap w:val="0"/>
              <w:spacing w:line="240" w:lineRule="auto"/>
              <w:ind w:firstLine="0" w:firstLineChars="0"/>
              <w:jc w:val="center"/>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（km</w:t>
            </w:r>
            <w:r>
              <w:rPr>
                <w:rFonts w:hint="default" w:ascii="Times New Roman" w:hAnsi="Times New Roman" w:cs="Times New Roman" w:eastAsiaTheme="minorEastAsia"/>
                <w:b w:val="0"/>
                <w:bCs w:val="0"/>
                <w:sz w:val="21"/>
                <w:szCs w:val="21"/>
                <w:vertAlign w:val="superscript"/>
              </w:rPr>
              <w:t>2</w:t>
            </w:r>
            <w:r>
              <w:rPr>
                <w:rFonts w:hint="default" w:ascii="Times New Roman" w:hAnsi="Times New Roman" w:cs="Times New Roman" w:eastAsiaTheme="minorEastAsia"/>
                <w:b w:val="0"/>
                <w:bCs w:val="0"/>
                <w:sz w:val="21"/>
                <w:szCs w:val="21"/>
              </w:rPr>
              <w:t>）</w:t>
            </w:r>
          </w:p>
        </w:tc>
        <w:tc>
          <w:tcPr>
            <w:tcW w:w="1009" w:type="dxa"/>
            <w:vMerge w:val="restart"/>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限烧区面积</w:t>
            </w:r>
          </w:p>
          <w:p>
            <w:pPr>
              <w:wordWrap w:val="0"/>
              <w:spacing w:line="240" w:lineRule="auto"/>
              <w:ind w:firstLine="0" w:firstLineChars="0"/>
              <w:jc w:val="center"/>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（km</w:t>
            </w:r>
            <w:r>
              <w:rPr>
                <w:rFonts w:hint="default" w:ascii="Times New Roman" w:hAnsi="Times New Roman" w:cs="Times New Roman" w:eastAsiaTheme="minorEastAsia"/>
                <w:b w:val="0"/>
                <w:bCs w:val="0"/>
                <w:sz w:val="21"/>
                <w:szCs w:val="21"/>
                <w:vertAlign w:val="superscript"/>
              </w:rPr>
              <w:t>2</w:t>
            </w:r>
            <w:r>
              <w:rPr>
                <w:rFonts w:hint="default" w:ascii="Times New Roman" w:hAnsi="Times New Roman" w:cs="Times New Roman" w:eastAsiaTheme="minorEastAsia"/>
                <w:b w:val="0"/>
                <w:bCs w:val="0"/>
                <w:sz w:val="21"/>
                <w:szCs w:val="21"/>
              </w:rPr>
              <w:t>）</w:t>
            </w:r>
          </w:p>
        </w:tc>
        <w:tc>
          <w:tcPr>
            <w:tcW w:w="1394" w:type="dxa"/>
            <w:gridSpan w:val="2"/>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边界点地理坐标</w:t>
            </w:r>
          </w:p>
        </w:tc>
        <w:tc>
          <w:tcPr>
            <w:tcW w:w="1247" w:type="dxa"/>
            <w:vMerge w:val="restart"/>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主要农作物种类</w:t>
            </w:r>
          </w:p>
        </w:tc>
        <w:tc>
          <w:tcPr>
            <w:tcW w:w="2050" w:type="dxa"/>
            <w:vMerge w:val="restart"/>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主要农作物种植面积（km</w:t>
            </w:r>
            <w:r>
              <w:rPr>
                <w:rFonts w:hint="default" w:ascii="Times New Roman" w:hAnsi="Times New Roman" w:cs="Times New Roman" w:eastAsiaTheme="minorEastAsia"/>
                <w:b w:val="0"/>
                <w:bCs w:val="0"/>
                <w:sz w:val="21"/>
                <w:szCs w:val="21"/>
                <w:vertAlign w:val="superscript"/>
              </w:rPr>
              <w:t>2</w:t>
            </w:r>
            <w:r>
              <w:rPr>
                <w:rFonts w:hint="default" w:ascii="Times New Roman" w:hAnsi="Times New Roman" w:cs="Times New Roman" w:eastAsiaTheme="minorEastAsia"/>
                <w:b w:val="0"/>
                <w:bCs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563" w:type="dxa"/>
            <w:vMerge w:val="continue"/>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p>
        </w:tc>
        <w:tc>
          <w:tcPr>
            <w:tcW w:w="1119" w:type="dxa"/>
            <w:vMerge w:val="continue"/>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p>
        </w:tc>
        <w:tc>
          <w:tcPr>
            <w:tcW w:w="1146" w:type="dxa"/>
            <w:vMerge w:val="continue"/>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p>
        </w:tc>
        <w:tc>
          <w:tcPr>
            <w:tcW w:w="1009" w:type="dxa"/>
            <w:vMerge w:val="continue"/>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p>
        </w:tc>
        <w:tc>
          <w:tcPr>
            <w:tcW w:w="697"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经度</w:t>
            </w:r>
          </w:p>
        </w:tc>
        <w:tc>
          <w:tcPr>
            <w:tcW w:w="697"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纬度</w:t>
            </w:r>
          </w:p>
        </w:tc>
        <w:tc>
          <w:tcPr>
            <w:tcW w:w="1247" w:type="dxa"/>
            <w:vMerge w:val="continue"/>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p>
        </w:tc>
        <w:tc>
          <w:tcPr>
            <w:tcW w:w="2050" w:type="dxa"/>
            <w:vMerge w:val="continue"/>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63"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1</w:t>
            </w:r>
          </w:p>
        </w:tc>
        <w:tc>
          <w:tcPr>
            <w:tcW w:w="1119"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八嘎乡</w:t>
            </w:r>
          </w:p>
        </w:tc>
        <w:tc>
          <w:tcPr>
            <w:tcW w:w="1146"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376.37</w:t>
            </w:r>
          </w:p>
        </w:tc>
        <w:tc>
          <w:tcPr>
            <w:tcW w:w="1009"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310.12</w:t>
            </w:r>
          </w:p>
        </w:tc>
        <w:tc>
          <w:tcPr>
            <w:tcW w:w="697"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p>
        </w:tc>
        <w:tc>
          <w:tcPr>
            <w:tcW w:w="697"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p>
        </w:tc>
        <w:tc>
          <w:tcPr>
            <w:tcW w:w="1247"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p>
        </w:tc>
        <w:tc>
          <w:tcPr>
            <w:tcW w:w="2050"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63"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2</w:t>
            </w:r>
          </w:p>
        </w:tc>
        <w:tc>
          <w:tcPr>
            <w:tcW w:w="1119"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平远镇</w:t>
            </w:r>
          </w:p>
        </w:tc>
        <w:tc>
          <w:tcPr>
            <w:tcW w:w="1146"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581.51</w:t>
            </w:r>
          </w:p>
        </w:tc>
        <w:tc>
          <w:tcPr>
            <w:tcW w:w="1009"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331.54</w:t>
            </w:r>
          </w:p>
        </w:tc>
        <w:tc>
          <w:tcPr>
            <w:tcW w:w="697"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p>
        </w:tc>
        <w:tc>
          <w:tcPr>
            <w:tcW w:w="697"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p>
        </w:tc>
        <w:tc>
          <w:tcPr>
            <w:tcW w:w="1247"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p>
        </w:tc>
        <w:tc>
          <w:tcPr>
            <w:tcW w:w="2050"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63"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3</w:t>
            </w:r>
          </w:p>
        </w:tc>
        <w:tc>
          <w:tcPr>
            <w:tcW w:w="1119"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盘龙彝族乡</w:t>
            </w:r>
          </w:p>
        </w:tc>
        <w:tc>
          <w:tcPr>
            <w:tcW w:w="1146"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243.20</w:t>
            </w:r>
          </w:p>
        </w:tc>
        <w:tc>
          <w:tcPr>
            <w:tcW w:w="1009"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1.60</w:t>
            </w:r>
          </w:p>
        </w:tc>
        <w:tc>
          <w:tcPr>
            <w:tcW w:w="697"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p>
        </w:tc>
        <w:tc>
          <w:tcPr>
            <w:tcW w:w="697"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p>
        </w:tc>
        <w:tc>
          <w:tcPr>
            <w:tcW w:w="1247"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p>
        </w:tc>
        <w:tc>
          <w:tcPr>
            <w:tcW w:w="2050"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63"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4</w:t>
            </w:r>
          </w:p>
        </w:tc>
        <w:tc>
          <w:tcPr>
            <w:tcW w:w="1119"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江那镇</w:t>
            </w:r>
          </w:p>
        </w:tc>
        <w:tc>
          <w:tcPr>
            <w:tcW w:w="1146"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309.75</w:t>
            </w:r>
          </w:p>
        </w:tc>
        <w:tc>
          <w:tcPr>
            <w:tcW w:w="1009"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0.47</w:t>
            </w:r>
          </w:p>
        </w:tc>
        <w:tc>
          <w:tcPr>
            <w:tcW w:w="697"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p>
        </w:tc>
        <w:tc>
          <w:tcPr>
            <w:tcW w:w="697"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p>
        </w:tc>
        <w:tc>
          <w:tcPr>
            <w:tcW w:w="1247"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p>
        </w:tc>
        <w:tc>
          <w:tcPr>
            <w:tcW w:w="2050"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63"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5</w:t>
            </w:r>
          </w:p>
        </w:tc>
        <w:tc>
          <w:tcPr>
            <w:tcW w:w="1119"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阿舍彝族乡</w:t>
            </w:r>
          </w:p>
        </w:tc>
        <w:tc>
          <w:tcPr>
            <w:tcW w:w="1146"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258.93</w:t>
            </w:r>
          </w:p>
        </w:tc>
        <w:tc>
          <w:tcPr>
            <w:tcW w:w="1009"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241.31</w:t>
            </w:r>
          </w:p>
        </w:tc>
        <w:tc>
          <w:tcPr>
            <w:tcW w:w="697"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p>
        </w:tc>
        <w:tc>
          <w:tcPr>
            <w:tcW w:w="697"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p>
        </w:tc>
        <w:tc>
          <w:tcPr>
            <w:tcW w:w="1247" w:type="dxa"/>
            <w:vAlign w:val="center"/>
          </w:tcPr>
          <w:p>
            <w:pPr>
              <w:widowControl/>
              <w:spacing w:line="240" w:lineRule="auto"/>
              <w:ind w:firstLine="0" w:firstLineChars="0"/>
              <w:jc w:val="center"/>
              <w:rPr>
                <w:rFonts w:hint="default" w:ascii="Times New Roman" w:hAnsi="Times New Roman" w:cs="Times New Roman" w:eastAsiaTheme="minorEastAsia"/>
                <w:b w:val="0"/>
                <w:bCs w:val="0"/>
                <w:color w:val="000000"/>
                <w:kern w:val="0"/>
                <w:sz w:val="21"/>
                <w:szCs w:val="21"/>
              </w:rPr>
            </w:pPr>
          </w:p>
        </w:tc>
        <w:tc>
          <w:tcPr>
            <w:tcW w:w="2050" w:type="dxa"/>
            <w:vAlign w:val="center"/>
          </w:tcPr>
          <w:p>
            <w:pPr>
              <w:widowControl/>
              <w:spacing w:line="240" w:lineRule="auto"/>
              <w:ind w:firstLine="0" w:firstLineChars="0"/>
              <w:jc w:val="center"/>
              <w:rPr>
                <w:rFonts w:hint="default" w:ascii="Times New Roman" w:hAnsi="Times New Roman" w:cs="Times New Roman" w:eastAsiaTheme="minorEastAsia"/>
                <w:b w:val="0"/>
                <w:bCs w:val="0"/>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63"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6</w:t>
            </w:r>
          </w:p>
        </w:tc>
        <w:tc>
          <w:tcPr>
            <w:tcW w:w="1119" w:type="dxa"/>
            <w:vAlign w:val="center"/>
          </w:tcPr>
          <w:p>
            <w:pPr>
              <w:wordWrap w:val="0"/>
              <w:spacing w:line="240" w:lineRule="auto"/>
              <w:ind w:firstLine="0" w:firstLineChars="0"/>
              <w:jc w:val="center"/>
              <w:rPr>
                <w:rFonts w:hint="default" w:ascii="Times New Roman" w:hAnsi="Times New Roman" w:cs="Times New Roman" w:eastAsiaTheme="minorEastAsia"/>
                <w:b w:val="0"/>
                <w:bCs w:val="0"/>
                <w:color w:val="000000"/>
                <w:sz w:val="21"/>
                <w:szCs w:val="21"/>
              </w:rPr>
            </w:pPr>
            <w:r>
              <w:rPr>
                <w:rFonts w:hint="default" w:ascii="Times New Roman" w:hAnsi="Times New Roman" w:cs="Times New Roman" w:eastAsiaTheme="minorEastAsia"/>
                <w:b w:val="0"/>
                <w:bCs w:val="0"/>
                <w:color w:val="000000"/>
                <w:sz w:val="21"/>
                <w:szCs w:val="21"/>
              </w:rPr>
              <w:t>者腊乡</w:t>
            </w:r>
          </w:p>
        </w:tc>
        <w:tc>
          <w:tcPr>
            <w:tcW w:w="1146" w:type="dxa"/>
            <w:vAlign w:val="center"/>
          </w:tcPr>
          <w:p>
            <w:pPr>
              <w:wordWrap w:val="0"/>
              <w:spacing w:line="240" w:lineRule="auto"/>
              <w:ind w:firstLine="0" w:firstLineChars="0"/>
              <w:jc w:val="center"/>
              <w:rPr>
                <w:rFonts w:hint="default" w:ascii="Times New Roman" w:hAnsi="Times New Roman" w:cs="Times New Roman" w:eastAsiaTheme="minorEastAsia"/>
                <w:b w:val="0"/>
                <w:bCs w:val="0"/>
                <w:color w:val="000000"/>
                <w:sz w:val="21"/>
                <w:szCs w:val="21"/>
              </w:rPr>
            </w:pPr>
            <w:r>
              <w:rPr>
                <w:rFonts w:hint="default" w:ascii="Times New Roman" w:hAnsi="Times New Roman" w:cs="Times New Roman" w:eastAsiaTheme="minorEastAsia"/>
                <w:b w:val="0"/>
                <w:bCs w:val="0"/>
                <w:color w:val="000000"/>
                <w:sz w:val="21"/>
                <w:szCs w:val="21"/>
              </w:rPr>
              <w:t>268.24</w:t>
            </w:r>
          </w:p>
        </w:tc>
        <w:tc>
          <w:tcPr>
            <w:tcW w:w="1009" w:type="dxa"/>
            <w:vAlign w:val="center"/>
          </w:tcPr>
          <w:p>
            <w:pPr>
              <w:wordWrap w:val="0"/>
              <w:spacing w:line="240" w:lineRule="auto"/>
              <w:ind w:firstLine="0" w:firstLineChars="0"/>
              <w:jc w:val="center"/>
              <w:rPr>
                <w:rFonts w:hint="default" w:ascii="Times New Roman" w:hAnsi="Times New Roman" w:cs="Times New Roman" w:eastAsiaTheme="minorEastAsia"/>
                <w:b w:val="0"/>
                <w:bCs w:val="0"/>
                <w:color w:val="000000"/>
                <w:sz w:val="21"/>
                <w:szCs w:val="21"/>
              </w:rPr>
            </w:pPr>
            <w:r>
              <w:rPr>
                <w:rFonts w:hint="default" w:ascii="Times New Roman" w:hAnsi="Times New Roman" w:cs="Times New Roman" w:eastAsiaTheme="minorEastAsia"/>
                <w:b w:val="0"/>
                <w:bCs w:val="0"/>
                <w:color w:val="000000"/>
                <w:sz w:val="21"/>
                <w:szCs w:val="21"/>
              </w:rPr>
              <w:t>84.71</w:t>
            </w:r>
          </w:p>
        </w:tc>
        <w:tc>
          <w:tcPr>
            <w:tcW w:w="697"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p>
        </w:tc>
        <w:tc>
          <w:tcPr>
            <w:tcW w:w="697"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p>
        </w:tc>
        <w:tc>
          <w:tcPr>
            <w:tcW w:w="1247" w:type="dxa"/>
            <w:vAlign w:val="center"/>
          </w:tcPr>
          <w:p>
            <w:pPr>
              <w:widowControl/>
              <w:spacing w:line="240" w:lineRule="auto"/>
              <w:ind w:firstLine="0" w:firstLineChars="0"/>
              <w:jc w:val="center"/>
              <w:rPr>
                <w:rFonts w:hint="default" w:ascii="Times New Roman" w:hAnsi="Times New Roman" w:cs="Times New Roman" w:eastAsiaTheme="minorEastAsia"/>
                <w:b w:val="0"/>
                <w:bCs w:val="0"/>
                <w:color w:val="000000"/>
                <w:sz w:val="21"/>
                <w:szCs w:val="21"/>
              </w:rPr>
            </w:pPr>
          </w:p>
        </w:tc>
        <w:tc>
          <w:tcPr>
            <w:tcW w:w="2050" w:type="dxa"/>
            <w:vAlign w:val="center"/>
          </w:tcPr>
          <w:p>
            <w:pPr>
              <w:widowControl/>
              <w:spacing w:line="240" w:lineRule="auto"/>
              <w:ind w:firstLine="0" w:firstLineChars="0"/>
              <w:jc w:val="center"/>
              <w:rPr>
                <w:rFonts w:hint="default" w:ascii="Times New Roman" w:hAnsi="Times New Roman" w:cs="Times New Roman" w:eastAsiaTheme="minorEastAsia"/>
                <w:b w:val="0"/>
                <w:bCs w:val="0"/>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63"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7</w:t>
            </w:r>
          </w:p>
        </w:tc>
        <w:tc>
          <w:tcPr>
            <w:tcW w:w="1119"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稼依镇</w:t>
            </w:r>
          </w:p>
        </w:tc>
        <w:tc>
          <w:tcPr>
            <w:tcW w:w="1146"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235.95</w:t>
            </w:r>
          </w:p>
        </w:tc>
        <w:tc>
          <w:tcPr>
            <w:tcW w:w="1009"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142.29</w:t>
            </w:r>
          </w:p>
        </w:tc>
        <w:tc>
          <w:tcPr>
            <w:tcW w:w="697"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p>
        </w:tc>
        <w:tc>
          <w:tcPr>
            <w:tcW w:w="697"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p>
        </w:tc>
        <w:tc>
          <w:tcPr>
            <w:tcW w:w="1247"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p>
        </w:tc>
        <w:tc>
          <w:tcPr>
            <w:tcW w:w="2050"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63"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8</w:t>
            </w:r>
          </w:p>
        </w:tc>
        <w:tc>
          <w:tcPr>
            <w:tcW w:w="1119"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干河彝族乡</w:t>
            </w:r>
          </w:p>
        </w:tc>
        <w:tc>
          <w:tcPr>
            <w:tcW w:w="1146"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231.31</w:t>
            </w:r>
          </w:p>
        </w:tc>
        <w:tc>
          <w:tcPr>
            <w:tcW w:w="1009"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141.05</w:t>
            </w:r>
          </w:p>
        </w:tc>
        <w:tc>
          <w:tcPr>
            <w:tcW w:w="697"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p>
        </w:tc>
        <w:tc>
          <w:tcPr>
            <w:tcW w:w="697"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p>
        </w:tc>
        <w:tc>
          <w:tcPr>
            <w:tcW w:w="1247"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p>
        </w:tc>
        <w:tc>
          <w:tcPr>
            <w:tcW w:w="2050"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63"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9</w:t>
            </w:r>
          </w:p>
        </w:tc>
        <w:tc>
          <w:tcPr>
            <w:tcW w:w="1119"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阿猛镇</w:t>
            </w:r>
          </w:p>
        </w:tc>
        <w:tc>
          <w:tcPr>
            <w:tcW w:w="1146"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532.84</w:t>
            </w:r>
          </w:p>
        </w:tc>
        <w:tc>
          <w:tcPr>
            <w:tcW w:w="1009"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360.27</w:t>
            </w:r>
          </w:p>
        </w:tc>
        <w:tc>
          <w:tcPr>
            <w:tcW w:w="697"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p>
        </w:tc>
        <w:tc>
          <w:tcPr>
            <w:tcW w:w="697"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p>
        </w:tc>
        <w:tc>
          <w:tcPr>
            <w:tcW w:w="1247"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p>
        </w:tc>
        <w:tc>
          <w:tcPr>
            <w:tcW w:w="2050"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63"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10</w:t>
            </w:r>
          </w:p>
        </w:tc>
        <w:tc>
          <w:tcPr>
            <w:tcW w:w="1119"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蚌峨乡</w:t>
            </w:r>
          </w:p>
        </w:tc>
        <w:tc>
          <w:tcPr>
            <w:tcW w:w="1146"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237.87</w:t>
            </w:r>
          </w:p>
        </w:tc>
        <w:tc>
          <w:tcPr>
            <w:tcW w:w="1009"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187.76</w:t>
            </w:r>
          </w:p>
        </w:tc>
        <w:tc>
          <w:tcPr>
            <w:tcW w:w="697"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p>
        </w:tc>
        <w:tc>
          <w:tcPr>
            <w:tcW w:w="697"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p>
        </w:tc>
        <w:tc>
          <w:tcPr>
            <w:tcW w:w="1247"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p>
        </w:tc>
        <w:tc>
          <w:tcPr>
            <w:tcW w:w="2050"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63"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11</w:t>
            </w:r>
          </w:p>
        </w:tc>
        <w:tc>
          <w:tcPr>
            <w:tcW w:w="1119"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维摩彝族乡</w:t>
            </w:r>
          </w:p>
        </w:tc>
        <w:tc>
          <w:tcPr>
            <w:tcW w:w="1146"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593.09</w:t>
            </w:r>
          </w:p>
        </w:tc>
        <w:tc>
          <w:tcPr>
            <w:tcW w:w="1009"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423.29</w:t>
            </w:r>
          </w:p>
        </w:tc>
        <w:tc>
          <w:tcPr>
            <w:tcW w:w="697"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p>
        </w:tc>
        <w:tc>
          <w:tcPr>
            <w:tcW w:w="697"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p>
        </w:tc>
        <w:tc>
          <w:tcPr>
            <w:tcW w:w="1247"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p>
        </w:tc>
        <w:tc>
          <w:tcPr>
            <w:tcW w:w="2050" w:type="dxa"/>
            <w:vAlign w:val="center"/>
          </w:tcPr>
          <w:p>
            <w:pPr>
              <w:wordWrap w:val="0"/>
              <w:spacing w:line="240" w:lineRule="auto"/>
              <w:ind w:firstLine="0" w:firstLineChars="0"/>
              <w:jc w:val="center"/>
              <w:rPr>
                <w:rFonts w:hint="default" w:ascii="Times New Roman" w:hAnsi="Times New Roman" w:cs="Times New Roman" w:eastAsiaTheme="minorEastAsia"/>
                <w:b w:val="0"/>
                <w:bCs w:val="0"/>
                <w:sz w:val="21"/>
                <w:szCs w:val="21"/>
              </w:rPr>
            </w:pPr>
          </w:p>
        </w:tc>
      </w:tr>
    </w:tbl>
    <w:p>
      <w:pPr>
        <w:pStyle w:val="2"/>
        <w:rPr>
          <w:rFonts w:hint="eastAsia"/>
          <w:lang w:val="en-US" w:eastAsia="zh-CN"/>
        </w:rPr>
      </w:pPr>
    </w:p>
    <w:p>
      <w:pPr>
        <w:rPr>
          <w:rFonts w:hint="eastAsia"/>
          <w:lang w:val="en-US" w:eastAsia="zh-CN"/>
        </w:rPr>
      </w:pPr>
    </w:p>
    <w:p>
      <w:pPr>
        <w:pStyle w:val="2"/>
        <w:rPr>
          <w:rFonts w:hint="default"/>
          <w:lang w:val="en-US" w:eastAsia="zh-CN"/>
        </w:rPr>
        <w:sectPr>
          <w:pgSz w:w="11906" w:h="16838"/>
          <w:pgMar w:top="1440" w:right="1797" w:bottom="1440" w:left="1797" w:header="851" w:footer="992" w:gutter="0"/>
          <w:cols w:space="720" w:num="1"/>
          <w:docGrid w:type="lines" w:linePitch="312" w:charSpace="0"/>
        </w:sectPr>
      </w:pPr>
    </w:p>
    <w:p>
      <w:pPr>
        <w:pStyle w:val="3"/>
        <w:ind w:firstLine="643"/>
        <w:rPr>
          <w:rFonts w:hint="default" w:ascii="Times New Roman" w:hAnsi="Times New Roman" w:cs="Times New Roman" w:eastAsiaTheme="minorEastAsia"/>
          <w:color w:val="000000"/>
          <w:lang w:val="en-US"/>
        </w:rPr>
      </w:pPr>
      <w:bookmarkStart w:id="22" w:name="_Toc11702"/>
      <w:r>
        <w:rPr>
          <w:rFonts w:hint="default" w:ascii="Times New Roman" w:hAnsi="Times New Roman" w:cs="Times New Roman" w:eastAsiaTheme="minorEastAsia"/>
          <w:color w:val="000000"/>
        </w:rPr>
        <w:t>管控要求及</w:t>
      </w:r>
      <w:r>
        <w:rPr>
          <w:rFonts w:hint="default" w:ascii="Times New Roman" w:hAnsi="Times New Roman" w:cs="Times New Roman" w:eastAsiaTheme="minorEastAsia"/>
          <w:color w:val="000000"/>
          <w:lang w:val="en-US" w:eastAsia="zh-CN"/>
        </w:rPr>
        <w:t>管理办法</w:t>
      </w:r>
      <w:bookmarkEnd w:id="22"/>
    </w:p>
    <w:p>
      <w:pPr>
        <w:pStyle w:val="4"/>
        <w:rPr>
          <w:rFonts w:hint="default" w:ascii="Times New Roman" w:hAnsi="Times New Roman" w:cs="Times New Roman" w:eastAsiaTheme="minorEastAsia"/>
          <w:color w:val="000000"/>
        </w:rPr>
      </w:pPr>
      <w:bookmarkStart w:id="23" w:name="_Toc19251"/>
      <w:r>
        <w:rPr>
          <w:rFonts w:hint="default" w:ascii="Times New Roman" w:hAnsi="Times New Roman" w:cs="Times New Roman" w:eastAsiaTheme="minorEastAsia"/>
          <w:color w:val="000000"/>
        </w:rPr>
        <w:t>秸秆垃圾禁烧区管控要求</w:t>
      </w:r>
      <w:bookmarkEnd w:id="23"/>
    </w:p>
    <w:p>
      <w:pPr>
        <w:keepNext w:val="0"/>
        <w:keepLines w:val="0"/>
        <w:widowControl/>
        <w:suppressLineNumbers w:val="0"/>
        <w:jc w:val="left"/>
        <w:rPr>
          <w:rFonts w:hint="default" w:ascii="Times New Roman" w:hAnsi="Times New Roman" w:cs="Times New Roman"/>
        </w:rPr>
      </w:pPr>
      <w:r>
        <w:rPr>
          <w:rFonts w:hint="default" w:ascii="Times New Roman" w:hAnsi="Times New Roman" w:cs="Times New Roman" w:eastAsiaTheme="minorEastAsia"/>
          <w:color w:val="000000"/>
          <w:kern w:val="0"/>
          <w:sz w:val="24"/>
          <w:szCs w:val="24"/>
          <w:lang w:val="en-US" w:eastAsia="zh-CN" w:bidi="ar"/>
        </w:rPr>
        <w:t>及时向社会公布辖区内划定的秸秆禁烧区。对秸秆垃圾禁烧区实行强制性禁烧政策和管理措施，在任何时间、任何气象条件及空气质量状况下，都不允许进行秸秆露天焚烧。在秸秆禁烧区设立</w:t>
      </w:r>
      <w:r>
        <w:rPr>
          <w:rFonts w:hint="eastAsia" w:cs="Times New Roman" w:eastAsiaTheme="minorEastAsia"/>
          <w:color w:val="000000"/>
          <w:kern w:val="0"/>
          <w:sz w:val="24"/>
          <w:szCs w:val="24"/>
          <w:lang w:val="en-US" w:eastAsia="zh-CN" w:bidi="ar"/>
        </w:rPr>
        <w:t>“秸秆垃圾禁烧区”</w:t>
      </w:r>
      <w:r>
        <w:rPr>
          <w:rFonts w:hint="default" w:ascii="Times New Roman" w:hAnsi="Times New Roman" w:cs="Times New Roman" w:eastAsiaTheme="minorEastAsia"/>
          <w:color w:val="000000"/>
          <w:kern w:val="0"/>
          <w:sz w:val="24"/>
          <w:szCs w:val="24"/>
          <w:lang w:val="en-US" w:eastAsia="zh-CN" w:bidi="ar"/>
        </w:rPr>
        <w:t>明显警示标志</w:t>
      </w:r>
      <w:r>
        <w:rPr>
          <w:rFonts w:hint="eastAsia" w:cs="Times New Roman" w:eastAsiaTheme="minorEastAsia"/>
          <w:color w:val="000000"/>
          <w:kern w:val="0"/>
          <w:sz w:val="24"/>
          <w:szCs w:val="24"/>
          <w:lang w:val="en-US" w:eastAsia="zh-CN" w:bidi="ar"/>
        </w:rPr>
        <w:t>，</w:t>
      </w:r>
      <w:r>
        <w:rPr>
          <w:rFonts w:hint="default" w:ascii="Times New Roman" w:hAnsi="Times New Roman" w:cs="Times New Roman" w:eastAsiaTheme="minorEastAsia"/>
          <w:color w:val="000000"/>
          <w:kern w:val="0"/>
          <w:sz w:val="24"/>
          <w:szCs w:val="24"/>
          <w:lang w:val="en-US" w:eastAsia="zh-CN" w:bidi="ar"/>
        </w:rPr>
        <w:t>明确禁烧</w:t>
      </w:r>
      <w:r>
        <w:rPr>
          <w:rFonts w:hint="eastAsia" w:cs="Times New Roman" w:eastAsiaTheme="minorEastAsia"/>
          <w:color w:val="000000"/>
          <w:kern w:val="0"/>
          <w:sz w:val="24"/>
          <w:szCs w:val="24"/>
          <w:lang w:val="en-US" w:eastAsia="zh-CN" w:bidi="ar"/>
        </w:rPr>
        <w:t>种类、</w:t>
      </w:r>
      <w:r>
        <w:rPr>
          <w:rFonts w:hint="default" w:ascii="Times New Roman" w:hAnsi="Times New Roman" w:cs="Times New Roman" w:eastAsiaTheme="minorEastAsia"/>
          <w:color w:val="000000"/>
          <w:kern w:val="0"/>
          <w:sz w:val="24"/>
          <w:szCs w:val="24"/>
          <w:lang w:val="en-US" w:eastAsia="zh-CN" w:bidi="ar"/>
        </w:rPr>
        <w:t>管控要求。</w:t>
      </w:r>
      <w:r>
        <w:rPr>
          <w:rFonts w:hint="default" w:ascii="Times New Roman" w:hAnsi="Times New Roman" w:eastAsia="宋体" w:cs="Times New Roman"/>
          <w:color w:val="000000"/>
          <w:kern w:val="0"/>
          <w:sz w:val="24"/>
          <w:szCs w:val="24"/>
          <w:lang w:val="en-US" w:eastAsia="zh-CN" w:bidi="ar"/>
        </w:rPr>
        <w:t>违反本方案规定，在秸秆禁烧划定范围内露天焚烧秸秆的行为，依据《中华人民共和国大气污染防治法》第一百一十九条规定，由县级以上地方人民政府确定的监督管理部门责令改正，并处五百元以上二千元以下的罚款。</w:t>
      </w:r>
    </w:p>
    <w:p>
      <w:pPr>
        <w:pStyle w:val="4"/>
        <w:rPr>
          <w:rFonts w:hint="default" w:ascii="Times New Roman" w:hAnsi="Times New Roman" w:cs="Times New Roman" w:eastAsiaTheme="minorEastAsia"/>
          <w:color w:val="000000"/>
        </w:rPr>
      </w:pPr>
      <w:bookmarkStart w:id="24" w:name="_Toc18149"/>
      <w:r>
        <w:rPr>
          <w:rFonts w:hint="default" w:ascii="Times New Roman" w:hAnsi="Times New Roman" w:cs="Times New Roman" w:eastAsiaTheme="minorEastAsia"/>
          <w:color w:val="000000"/>
        </w:rPr>
        <w:t>秸秆垃圾限烧区管控要求</w:t>
      </w:r>
      <w:bookmarkEnd w:id="24"/>
    </w:p>
    <w:p>
      <w:pPr>
        <w:keepNext w:val="0"/>
        <w:keepLines w:val="0"/>
        <w:widowControl/>
        <w:suppressLineNumbers w:val="0"/>
        <w:jc w:val="left"/>
        <w:rPr>
          <w:rFonts w:hint="default" w:ascii="Times New Roman" w:hAnsi="Times New Roman" w:cs="Times New Roman" w:eastAsiaTheme="minorEastAsia"/>
          <w:color w:val="000000"/>
          <w:kern w:val="0"/>
          <w:sz w:val="24"/>
          <w:szCs w:val="24"/>
          <w:lang w:val="en-US" w:eastAsia="zh-CN" w:bidi="ar"/>
        </w:rPr>
      </w:pPr>
      <w:r>
        <w:rPr>
          <w:rFonts w:hint="default" w:ascii="Times New Roman" w:hAnsi="Times New Roman" w:cs="Times New Roman" w:eastAsiaTheme="minorEastAsia"/>
          <w:color w:val="000000"/>
          <w:kern w:val="0"/>
          <w:sz w:val="24"/>
          <w:szCs w:val="24"/>
          <w:lang w:val="en-US" w:eastAsia="zh-CN" w:bidi="ar"/>
        </w:rPr>
        <w:t xml:space="preserve">（1）符合的环境条件 </w:t>
      </w:r>
    </w:p>
    <w:p>
      <w:pPr>
        <w:keepNext w:val="0"/>
        <w:keepLines w:val="0"/>
        <w:widowControl/>
        <w:suppressLineNumbers w:val="0"/>
        <w:jc w:val="left"/>
        <w:rPr>
          <w:rFonts w:hint="default" w:ascii="Times New Roman" w:hAnsi="Times New Roman" w:cs="Times New Roman" w:eastAsiaTheme="minorEastAsia"/>
          <w:color w:val="000000"/>
          <w:kern w:val="0"/>
          <w:sz w:val="24"/>
          <w:szCs w:val="24"/>
          <w:lang w:val="en-US" w:eastAsia="zh-CN" w:bidi="ar"/>
        </w:rPr>
      </w:pPr>
      <w:r>
        <w:rPr>
          <w:rFonts w:hint="default" w:ascii="Times New Roman" w:hAnsi="Times New Roman" w:cs="Times New Roman" w:eastAsiaTheme="minorEastAsia"/>
          <w:color w:val="000000"/>
          <w:kern w:val="0"/>
          <w:sz w:val="24"/>
          <w:szCs w:val="24"/>
          <w:lang w:val="en-US" w:eastAsia="zh-CN" w:bidi="ar"/>
        </w:rPr>
        <w:t xml:space="preserve">1.风速条件合适（大于2级，且小于5级），且空气质量较好（空气质量为优或者良）。 </w:t>
      </w:r>
    </w:p>
    <w:p>
      <w:pPr>
        <w:keepNext w:val="0"/>
        <w:keepLines w:val="0"/>
        <w:widowControl/>
        <w:suppressLineNumbers w:val="0"/>
        <w:jc w:val="left"/>
        <w:rPr>
          <w:rFonts w:hint="default" w:ascii="Times New Roman" w:hAnsi="Times New Roman" w:cs="Times New Roman" w:eastAsiaTheme="minorEastAsia"/>
          <w:color w:val="000000"/>
          <w:kern w:val="0"/>
          <w:sz w:val="24"/>
          <w:szCs w:val="24"/>
          <w:lang w:val="en-US" w:eastAsia="zh-CN" w:bidi="ar"/>
        </w:rPr>
      </w:pPr>
      <w:r>
        <w:rPr>
          <w:rFonts w:hint="default" w:ascii="Times New Roman" w:hAnsi="Times New Roman" w:cs="Times New Roman" w:eastAsiaTheme="minorEastAsia"/>
          <w:color w:val="000000"/>
          <w:kern w:val="0"/>
          <w:sz w:val="24"/>
          <w:szCs w:val="24"/>
          <w:lang w:val="en-US" w:eastAsia="zh-CN" w:bidi="ar"/>
        </w:rPr>
        <w:t>2.未来一天有冷空气或未来8小时后有</w:t>
      </w:r>
      <w:r>
        <w:rPr>
          <w:rFonts w:hint="eastAsia" w:ascii="Times New Roman" w:hAnsi="Times New Roman" w:cs="Times New Roman" w:eastAsiaTheme="minorEastAsia"/>
          <w:color w:val="000000"/>
          <w:kern w:val="0"/>
          <w:sz w:val="24"/>
          <w:szCs w:val="24"/>
          <w:lang w:val="en-US" w:eastAsia="zh-CN" w:bidi="ar"/>
        </w:rPr>
        <w:t>有降雨的有利大气扩散的条件</w:t>
      </w:r>
      <w:r>
        <w:rPr>
          <w:rFonts w:hint="default" w:ascii="Times New Roman" w:hAnsi="Times New Roman" w:cs="Times New Roman" w:eastAsiaTheme="minorEastAsia"/>
          <w:color w:val="000000"/>
          <w:kern w:val="0"/>
          <w:sz w:val="24"/>
          <w:szCs w:val="24"/>
          <w:lang w:val="en-US" w:eastAsia="zh-CN" w:bidi="ar"/>
        </w:rPr>
        <w:t xml:space="preserve">。 </w:t>
      </w:r>
    </w:p>
    <w:p>
      <w:pPr>
        <w:keepNext w:val="0"/>
        <w:keepLines w:val="0"/>
        <w:widowControl/>
        <w:suppressLineNumbers w:val="0"/>
        <w:jc w:val="left"/>
        <w:rPr>
          <w:rFonts w:hint="default" w:ascii="Times New Roman" w:hAnsi="Times New Roman" w:cs="Times New Roman" w:eastAsiaTheme="minorEastAsia"/>
          <w:color w:val="000000"/>
          <w:kern w:val="0"/>
          <w:sz w:val="24"/>
          <w:szCs w:val="24"/>
          <w:lang w:val="en-US" w:eastAsia="zh-CN" w:bidi="ar"/>
        </w:rPr>
      </w:pPr>
      <w:r>
        <w:rPr>
          <w:rFonts w:hint="default" w:ascii="Times New Roman" w:hAnsi="Times New Roman" w:cs="Times New Roman" w:eastAsiaTheme="minorEastAsia"/>
          <w:color w:val="000000"/>
          <w:kern w:val="0"/>
          <w:sz w:val="24"/>
          <w:szCs w:val="24"/>
          <w:lang w:val="en-US" w:eastAsia="zh-CN" w:bidi="ar"/>
        </w:rPr>
        <w:t xml:space="preserve">3.受强冷空气（日降温幅度在6°C以上）影响的当日或次日。 </w:t>
      </w:r>
    </w:p>
    <w:p>
      <w:pPr>
        <w:keepNext w:val="0"/>
        <w:keepLines w:val="0"/>
        <w:widowControl/>
        <w:suppressLineNumbers w:val="0"/>
        <w:jc w:val="left"/>
        <w:rPr>
          <w:rFonts w:hint="default" w:ascii="Times New Roman" w:hAnsi="Times New Roman" w:cs="Times New Roman" w:eastAsiaTheme="minorEastAsia"/>
          <w:color w:val="000000"/>
          <w:kern w:val="0"/>
          <w:sz w:val="24"/>
          <w:szCs w:val="24"/>
          <w:lang w:val="en-US" w:eastAsia="zh-CN" w:bidi="ar"/>
        </w:rPr>
      </w:pPr>
      <w:r>
        <w:rPr>
          <w:rFonts w:hint="eastAsia" w:ascii="Times New Roman" w:hAnsi="Times New Roman" w:cs="Times New Roman" w:eastAsiaTheme="minorEastAsia"/>
          <w:color w:val="000000"/>
          <w:kern w:val="0"/>
          <w:sz w:val="24"/>
          <w:szCs w:val="24"/>
          <w:lang w:val="en-US" w:eastAsia="zh-CN" w:bidi="ar"/>
        </w:rPr>
        <w:t>4.</w:t>
      </w:r>
      <w:r>
        <w:rPr>
          <w:rFonts w:hint="eastAsia" w:cs="Times New Roman" w:eastAsiaTheme="minorEastAsia"/>
          <w:color w:val="000000"/>
          <w:kern w:val="0"/>
          <w:sz w:val="24"/>
          <w:szCs w:val="24"/>
          <w:lang w:val="en-US" w:eastAsia="zh-CN" w:bidi="ar"/>
        </w:rPr>
        <w:t>在秸秆垃圾限烧区设立“秸秆垃圾限烧区”</w:t>
      </w:r>
      <w:r>
        <w:rPr>
          <w:rFonts w:hint="default" w:ascii="Times New Roman" w:hAnsi="Times New Roman" w:cs="Times New Roman" w:eastAsiaTheme="minorEastAsia"/>
          <w:color w:val="000000"/>
          <w:kern w:val="0"/>
          <w:sz w:val="24"/>
          <w:szCs w:val="24"/>
          <w:lang w:val="en-US" w:eastAsia="zh-CN" w:bidi="ar"/>
        </w:rPr>
        <w:t>明显警示标志</w:t>
      </w:r>
      <w:r>
        <w:rPr>
          <w:rFonts w:hint="eastAsia" w:cs="Times New Roman" w:eastAsiaTheme="minorEastAsia"/>
          <w:color w:val="000000"/>
          <w:kern w:val="0"/>
          <w:sz w:val="24"/>
          <w:szCs w:val="24"/>
          <w:lang w:val="en-US" w:eastAsia="zh-CN" w:bidi="ar"/>
        </w:rPr>
        <w:t>，</w:t>
      </w:r>
      <w:r>
        <w:rPr>
          <w:rFonts w:hint="default" w:ascii="Times New Roman" w:hAnsi="Times New Roman" w:cs="Times New Roman" w:eastAsiaTheme="minorEastAsia"/>
          <w:color w:val="000000"/>
          <w:kern w:val="0"/>
          <w:sz w:val="24"/>
          <w:szCs w:val="24"/>
          <w:lang w:val="en-US" w:eastAsia="zh-CN" w:bidi="ar"/>
        </w:rPr>
        <w:t>明确禁烧</w:t>
      </w:r>
      <w:r>
        <w:rPr>
          <w:rFonts w:hint="eastAsia" w:cs="Times New Roman" w:eastAsiaTheme="minorEastAsia"/>
          <w:color w:val="000000"/>
          <w:kern w:val="0"/>
          <w:sz w:val="24"/>
          <w:szCs w:val="24"/>
          <w:lang w:val="en-US" w:eastAsia="zh-CN" w:bidi="ar"/>
        </w:rPr>
        <w:t>种类、时段、</w:t>
      </w:r>
      <w:r>
        <w:rPr>
          <w:rFonts w:hint="default" w:ascii="Times New Roman" w:hAnsi="Times New Roman" w:cs="Times New Roman" w:eastAsiaTheme="minorEastAsia"/>
          <w:color w:val="000000"/>
          <w:kern w:val="0"/>
          <w:sz w:val="24"/>
          <w:szCs w:val="24"/>
          <w:lang w:val="en-US" w:eastAsia="zh-CN" w:bidi="ar"/>
        </w:rPr>
        <w:t>管控要求。</w:t>
      </w:r>
    </w:p>
    <w:p>
      <w:pPr>
        <w:keepNext w:val="0"/>
        <w:keepLines w:val="0"/>
        <w:widowControl/>
        <w:suppressLineNumbers w:val="0"/>
        <w:jc w:val="left"/>
        <w:rPr>
          <w:rFonts w:hint="eastAsia" w:cs="Times New Roman" w:eastAsiaTheme="minorEastAsia"/>
          <w:color w:val="000000"/>
          <w:kern w:val="0"/>
          <w:sz w:val="24"/>
          <w:szCs w:val="24"/>
          <w:lang w:val="en-US" w:eastAsia="zh-CN" w:bidi="ar"/>
        </w:rPr>
      </w:pPr>
      <w:r>
        <w:rPr>
          <w:rFonts w:hint="default" w:ascii="Times New Roman" w:hAnsi="Times New Roman" w:cs="Times New Roman" w:eastAsiaTheme="minorEastAsia"/>
          <w:color w:val="000000"/>
          <w:kern w:val="0"/>
          <w:sz w:val="24"/>
          <w:szCs w:val="24"/>
          <w:lang w:val="en-US" w:eastAsia="zh-CN" w:bidi="ar"/>
        </w:rPr>
        <w:t>（2）</w:t>
      </w:r>
      <w:r>
        <w:rPr>
          <w:rFonts w:hint="eastAsia" w:cs="Times New Roman" w:eastAsiaTheme="minorEastAsia"/>
          <w:color w:val="000000"/>
          <w:kern w:val="0"/>
          <w:sz w:val="24"/>
          <w:szCs w:val="24"/>
          <w:lang w:val="en-US" w:eastAsia="zh-CN" w:bidi="ar"/>
        </w:rPr>
        <w:t>管理要求</w:t>
      </w:r>
    </w:p>
    <w:p>
      <w:pPr>
        <w:keepNext w:val="0"/>
        <w:keepLines w:val="0"/>
        <w:widowControl/>
        <w:suppressLineNumbers w:val="0"/>
        <w:jc w:val="left"/>
        <w:rPr>
          <w:rFonts w:hint="default" w:ascii="Times New Roman" w:hAnsi="Times New Roman" w:cs="Times New Roman" w:eastAsiaTheme="minorEastAsia"/>
          <w:color w:val="000000"/>
          <w:kern w:val="0"/>
          <w:sz w:val="24"/>
          <w:szCs w:val="24"/>
          <w:lang w:val="en-US" w:eastAsia="zh-CN" w:bidi="ar"/>
        </w:rPr>
      </w:pPr>
      <w:r>
        <w:rPr>
          <w:rFonts w:hint="default" w:ascii="Times New Roman" w:hAnsi="Times New Roman" w:cs="Times New Roman" w:eastAsiaTheme="minorEastAsia"/>
          <w:color w:val="000000"/>
          <w:kern w:val="0"/>
          <w:sz w:val="24"/>
          <w:szCs w:val="24"/>
          <w:lang w:val="en-US" w:eastAsia="zh-CN" w:bidi="ar"/>
        </w:rPr>
        <w:t>1.</w:t>
      </w:r>
      <w:r>
        <w:rPr>
          <w:rFonts w:hint="eastAsia" w:cs="Times New Roman" w:eastAsiaTheme="minorEastAsia"/>
          <w:color w:val="000000"/>
          <w:kern w:val="0"/>
          <w:sz w:val="24"/>
          <w:szCs w:val="24"/>
          <w:lang w:val="en-US" w:eastAsia="zh-CN" w:bidi="ar"/>
        </w:rPr>
        <w:t>制定春、秋、冬季焚烧计划，经批准后，</w:t>
      </w:r>
      <w:r>
        <w:rPr>
          <w:rFonts w:hint="default" w:ascii="Times New Roman" w:hAnsi="Times New Roman" w:cs="Times New Roman" w:eastAsiaTheme="minorEastAsia"/>
          <w:color w:val="000000"/>
          <w:kern w:val="0"/>
          <w:sz w:val="24"/>
          <w:szCs w:val="24"/>
          <w:lang w:val="en-US" w:eastAsia="zh-CN" w:bidi="ar"/>
        </w:rPr>
        <w:t>以行政村为单位组织进行有序焚烧，以防止大面积集中焚烧带来区域大气污染。</w:t>
      </w:r>
    </w:p>
    <w:p>
      <w:pPr>
        <w:keepNext w:val="0"/>
        <w:keepLines w:val="0"/>
        <w:widowControl/>
        <w:suppressLineNumbers w:val="0"/>
        <w:jc w:val="left"/>
        <w:rPr>
          <w:rFonts w:hint="default" w:ascii="Times New Roman" w:hAnsi="Times New Roman" w:cs="Times New Roman" w:eastAsiaTheme="minorEastAsia"/>
          <w:color w:val="000000"/>
          <w:kern w:val="0"/>
          <w:sz w:val="24"/>
          <w:szCs w:val="24"/>
          <w:lang w:val="en-US" w:eastAsia="zh-CN" w:bidi="ar"/>
        </w:rPr>
      </w:pPr>
      <w:r>
        <w:rPr>
          <w:rFonts w:hint="default" w:ascii="Times New Roman" w:hAnsi="Times New Roman" w:cs="Times New Roman" w:eastAsiaTheme="minorEastAsia"/>
          <w:color w:val="000000"/>
          <w:kern w:val="0"/>
          <w:sz w:val="24"/>
          <w:szCs w:val="24"/>
          <w:lang w:val="en-US" w:eastAsia="zh-CN" w:bidi="ar"/>
        </w:rPr>
        <w:t>2.秸秆焚烧时段应根据当地气象部门提供的气象条件进行。一般选择在上午</w:t>
      </w:r>
      <w:r>
        <w:rPr>
          <w:rFonts w:hint="eastAsia" w:cs="Times New Roman" w:eastAsiaTheme="minorEastAsia"/>
          <w:color w:val="000000"/>
          <w:kern w:val="0"/>
          <w:sz w:val="24"/>
          <w:szCs w:val="24"/>
          <w:lang w:val="en-US" w:eastAsia="zh-CN" w:bidi="ar"/>
        </w:rPr>
        <w:t>1</w:t>
      </w:r>
      <w:r>
        <w:rPr>
          <w:rFonts w:hint="default" w:ascii="Times New Roman" w:hAnsi="Times New Roman" w:cs="Times New Roman" w:eastAsiaTheme="minorEastAsia"/>
          <w:color w:val="000000"/>
          <w:kern w:val="0"/>
          <w:sz w:val="24"/>
          <w:szCs w:val="24"/>
          <w:lang w:val="en-US" w:eastAsia="zh-CN" w:bidi="ar"/>
        </w:rPr>
        <w:t xml:space="preserve">0点到下午3点之间进行焚烧，清晨、傍晚及夜间禁烧。 </w:t>
      </w:r>
    </w:p>
    <w:p>
      <w:pPr>
        <w:keepNext w:val="0"/>
        <w:keepLines w:val="0"/>
        <w:widowControl/>
        <w:suppressLineNumbers w:val="0"/>
        <w:jc w:val="left"/>
        <w:rPr>
          <w:rFonts w:hint="default" w:ascii="Times New Roman" w:hAnsi="Times New Roman" w:cs="Times New Roman" w:eastAsiaTheme="minorEastAsia"/>
          <w:color w:val="000000"/>
          <w:kern w:val="0"/>
          <w:sz w:val="24"/>
          <w:szCs w:val="24"/>
          <w:lang w:val="en-US" w:eastAsia="zh-CN" w:bidi="ar"/>
        </w:rPr>
      </w:pPr>
      <w:r>
        <w:rPr>
          <w:rFonts w:hint="default" w:ascii="Times New Roman" w:hAnsi="Times New Roman" w:cs="Times New Roman" w:eastAsiaTheme="minorEastAsia"/>
          <w:color w:val="000000"/>
          <w:kern w:val="0"/>
          <w:sz w:val="24"/>
          <w:szCs w:val="24"/>
          <w:lang w:val="en-US" w:eastAsia="zh-CN" w:bidi="ar"/>
        </w:rPr>
        <w:t xml:space="preserve">3.在启动重污染天气预警期间，限烧区全面禁止露天焚烧秸秆。 </w:t>
      </w:r>
    </w:p>
    <w:p>
      <w:pPr>
        <w:keepNext w:val="0"/>
        <w:keepLines w:val="0"/>
        <w:widowControl/>
        <w:suppressLineNumbers w:val="0"/>
        <w:jc w:val="left"/>
        <w:rPr>
          <w:rFonts w:hint="default" w:ascii="Times New Roman" w:hAnsi="Times New Roman" w:cs="Times New Roman"/>
        </w:rPr>
      </w:pPr>
      <w:r>
        <w:rPr>
          <w:rFonts w:hint="eastAsia" w:cs="Times New Roman"/>
          <w:color w:val="000000"/>
          <w:kern w:val="0"/>
          <w:sz w:val="24"/>
          <w:szCs w:val="24"/>
          <w:lang w:val="en-US" w:eastAsia="zh-CN" w:bidi="ar"/>
        </w:rPr>
        <w:t>4.</w:t>
      </w:r>
      <w:r>
        <w:rPr>
          <w:rFonts w:hint="default" w:ascii="Times New Roman" w:hAnsi="Times New Roman" w:eastAsia="宋体" w:cs="Times New Roman"/>
          <w:color w:val="000000"/>
          <w:kern w:val="0"/>
          <w:sz w:val="24"/>
          <w:szCs w:val="24"/>
          <w:lang w:val="en-US" w:eastAsia="zh-CN" w:bidi="ar"/>
        </w:rPr>
        <w:t>违反本方案规定，在秸秆禁烧划定范围内露天焚烧秸秆的行为，依据《中华人民共和国大气污染防治法》第一百一十九条规定，由县级以上地方人民政府确定的监督管理部门责令改正，并处五百元以上二千元以下的罚款。</w:t>
      </w:r>
    </w:p>
    <w:p>
      <w:pPr>
        <w:pStyle w:val="4"/>
        <w:rPr>
          <w:rFonts w:hint="default" w:ascii="Times New Roman" w:hAnsi="Times New Roman" w:cs="Times New Roman" w:eastAsiaTheme="minorEastAsia"/>
          <w:color w:val="000000"/>
          <w:lang w:val="en-US" w:eastAsia="zh-CN"/>
        </w:rPr>
      </w:pPr>
      <w:bookmarkStart w:id="25" w:name="_Toc26561"/>
      <w:r>
        <w:rPr>
          <w:rFonts w:hint="default" w:ascii="Times New Roman" w:hAnsi="Times New Roman" w:cs="Times New Roman" w:eastAsiaTheme="minorEastAsia"/>
          <w:color w:val="000000"/>
          <w:lang w:val="en-US" w:eastAsia="zh-CN"/>
        </w:rPr>
        <w:t>管理办法</w:t>
      </w:r>
      <w:bookmarkEnd w:id="25"/>
    </w:p>
    <w:p>
      <w:pPr>
        <w:keepNext w:val="0"/>
        <w:keepLines w:val="0"/>
        <w:widowControl/>
        <w:suppressLineNumbers w:val="0"/>
        <w:jc w:val="left"/>
        <w:rPr>
          <w:rFonts w:hint="default" w:ascii="Times New Roman" w:hAnsi="Times New Roman" w:cs="Times New Roman" w:eastAsiaTheme="minorEastAsia"/>
          <w:color w:val="000000"/>
          <w:kern w:val="0"/>
          <w:sz w:val="24"/>
          <w:szCs w:val="24"/>
          <w:lang w:val="en-US" w:eastAsia="zh-CN" w:bidi="ar"/>
        </w:rPr>
      </w:pPr>
      <w:r>
        <w:rPr>
          <w:rFonts w:hint="default" w:ascii="Times New Roman" w:hAnsi="Times New Roman" w:cs="Times New Roman" w:eastAsiaTheme="minorEastAsia"/>
          <w:color w:val="000000"/>
          <w:kern w:val="0"/>
          <w:sz w:val="24"/>
          <w:szCs w:val="24"/>
          <w:lang w:val="en-US" w:eastAsia="zh-CN" w:bidi="ar"/>
        </w:rPr>
        <w:t xml:space="preserve">（1）重点管控区域 </w:t>
      </w:r>
    </w:p>
    <w:p>
      <w:pPr>
        <w:keepNext w:val="0"/>
        <w:keepLines w:val="0"/>
        <w:widowControl/>
        <w:suppressLineNumbers w:val="0"/>
        <w:jc w:val="left"/>
        <w:rPr>
          <w:rFonts w:hint="default" w:ascii="Times New Roman" w:hAnsi="Times New Roman" w:cs="Times New Roman" w:eastAsiaTheme="minorEastAsia"/>
          <w:color w:val="000000"/>
          <w:kern w:val="0"/>
          <w:sz w:val="24"/>
          <w:szCs w:val="24"/>
          <w:lang w:val="en-US" w:eastAsia="zh-CN" w:bidi="ar"/>
        </w:rPr>
      </w:pPr>
      <w:r>
        <w:rPr>
          <w:rFonts w:hint="default" w:ascii="Times New Roman" w:hAnsi="Times New Roman" w:cs="Times New Roman" w:eastAsiaTheme="minorEastAsia"/>
          <w:color w:val="000000"/>
          <w:kern w:val="0"/>
          <w:sz w:val="24"/>
          <w:szCs w:val="24"/>
          <w:lang w:val="en-US" w:eastAsia="zh-CN" w:bidi="ar"/>
        </w:rPr>
        <w:t>全县 11个乡镇农作物种植区和人口集中区等重点区</w:t>
      </w:r>
      <w:r>
        <w:rPr>
          <w:rFonts w:hint="eastAsia" w:cs="Times New Roman" w:eastAsiaTheme="minorEastAsia"/>
          <w:color w:val="000000"/>
          <w:kern w:val="0"/>
          <w:sz w:val="24"/>
          <w:szCs w:val="24"/>
          <w:lang w:val="en-US" w:eastAsia="zh-CN" w:bidi="ar"/>
        </w:rPr>
        <w:t>域</w:t>
      </w:r>
      <w:r>
        <w:rPr>
          <w:rFonts w:hint="default" w:ascii="Times New Roman" w:hAnsi="Times New Roman" w:cs="Times New Roman" w:eastAsiaTheme="minorEastAsia"/>
          <w:color w:val="000000"/>
          <w:kern w:val="0"/>
          <w:sz w:val="24"/>
          <w:szCs w:val="24"/>
          <w:lang w:val="en-US" w:eastAsia="zh-CN" w:bidi="ar"/>
        </w:rPr>
        <w:t xml:space="preserve">。 </w:t>
      </w:r>
    </w:p>
    <w:p>
      <w:pPr>
        <w:keepNext w:val="0"/>
        <w:keepLines w:val="0"/>
        <w:widowControl/>
        <w:suppressLineNumbers w:val="0"/>
        <w:jc w:val="left"/>
        <w:rPr>
          <w:rFonts w:hint="default" w:ascii="Times New Roman" w:hAnsi="Times New Roman" w:cs="Times New Roman" w:eastAsiaTheme="minorEastAsia"/>
          <w:color w:val="000000"/>
          <w:kern w:val="0"/>
          <w:sz w:val="24"/>
          <w:szCs w:val="24"/>
          <w:lang w:val="en-US" w:eastAsia="zh-CN" w:bidi="ar"/>
        </w:rPr>
      </w:pPr>
      <w:r>
        <w:rPr>
          <w:rFonts w:hint="default" w:ascii="Times New Roman" w:hAnsi="Times New Roman" w:cs="Times New Roman" w:eastAsiaTheme="minorEastAsia"/>
          <w:color w:val="000000"/>
          <w:kern w:val="0"/>
          <w:sz w:val="24"/>
          <w:szCs w:val="24"/>
          <w:lang w:val="en-US" w:eastAsia="zh-CN" w:bidi="ar"/>
        </w:rPr>
        <w:t xml:space="preserve">（2）重点管控时段 </w:t>
      </w:r>
    </w:p>
    <w:p>
      <w:pPr>
        <w:keepNext w:val="0"/>
        <w:keepLines w:val="0"/>
        <w:widowControl/>
        <w:suppressLineNumbers w:val="0"/>
        <w:jc w:val="left"/>
        <w:rPr>
          <w:rFonts w:hint="default" w:ascii="Times New Roman" w:hAnsi="Times New Roman" w:cs="Times New Roman" w:eastAsiaTheme="minorEastAsia"/>
          <w:color w:val="000000"/>
          <w:kern w:val="0"/>
          <w:sz w:val="24"/>
          <w:szCs w:val="24"/>
          <w:lang w:val="en-US" w:eastAsia="zh-CN" w:bidi="ar"/>
        </w:rPr>
      </w:pPr>
      <w:r>
        <w:rPr>
          <w:rFonts w:hint="eastAsia" w:ascii="Times New Roman" w:hAnsi="Times New Roman" w:cs="Times New Roman" w:eastAsiaTheme="minorEastAsia"/>
          <w:color w:val="000000"/>
          <w:kern w:val="0"/>
          <w:sz w:val="24"/>
          <w:szCs w:val="24"/>
          <w:lang w:val="en-US" w:eastAsia="zh-CN" w:bidi="ar"/>
        </w:rPr>
        <w:t>砚山县</w:t>
      </w:r>
      <w:r>
        <w:rPr>
          <w:rFonts w:hint="default" w:ascii="Times New Roman" w:hAnsi="Times New Roman" w:cs="Times New Roman" w:eastAsiaTheme="minorEastAsia"/>
          <w:color w:val="000000"/>
          <w:kern w:val="0"/>
          <w:sz w:val="24"/>
          <w:szCs w:val="24"/>
          <w:lang w:val="en-US" w:eastAsia="zh-CN" w:bidi="ar"/>
        </w:rPr>
        <w:t>为传统农业县，农作物以水稻、玉米</w:t>
      </w:r>
      <w:r>
        <w:rPr>
          <w:rFonts w:hint="eastAsia" w:ascii="Times New Roman" w:hAnsi="Times New Roman" w:cs="Times New Roman" w:eastAsiaTheme="minorEastAsia"/>
          <w:color w:val="000000"/>
          <w:kern w:val="0"/>
          <w:sz w:val="24"/>
          <w:szCs w:val="24"/>
          <w:lang w:val="en-US" w:eastAsia="zh-CN" w:bidi="ar"/>
        </w:rPr>
        <w:t>、辣椒</w:t>
      </w:r>
      <w:r>
        <w:rPr>
          <w:rFonts w:hint="default" w:ascii="Times New Roman" w:hAnsi="Times New Roman" w:cs="Times New Roman" w:eastAsiaTheme="minorEastAsia"/>
          <w:color w:val="000000"/>
          <w:kern w:val="0"/>
          <w:sz w:val="24"/>
          <w:szCs w:val="24"/>
          <w:lang w:val="en-US" w:eastAsia="zh-CN" w:bidi="ar"/>
        </w:rPr>
        <w:t>种植为主，</w:t>
      </w:r>
      <w:r>
        <w:rPr>
          <w:rFonts w:hint="eastAsia" w:cs="Times New Roman" w:eastAsiaTheme="minorEastAsia"/>
          <w:color w:val="000000"/>
          <w:kern w:val="0"/>
          <w:sz w:val="24"/>
          <w:szCs w:val="24"/>
          <w:lang w:val="en-US" w:eastAsia="zh-CN" w:bidi="ar"/>
        </w:rPr>
        <w:t>辣椒、</w:t>
      </w:r>
      <w:r>
        <w:rPr>
          <w:rFonts w:hint="default" w:ascii="Times New Roman" w:hAnsi="Times New Roman" w:cs="Times New Roman" w:eastAsiaTheme="minorEastAsia"/>
          <w:color w:val="000000"/>
          <w:kern w:val="0"/>
          <w:sz w:val="24"/>
          <w:szCs w:val="24"/>
          <w:lang w:val="en-US" w:eastAsia="zh-CN" w:bidi="ar"/>
        </w:rPr>
        <w:t>晚稻收割期一般为当年的 11 月左右，均正值大气污染过程高发季节。因此，重点管控时段为每年的11月至次年3月。</w:t>
      </w:r>
    </w:p>
    <w:p>
      <w:pPr>
        <w:keepNext w:val="0"/>
        <w:keepLines w:val="0"/>
        <w:widowControl/>
        <w:suppressLineNumbers w:val="0"/>
        <w:jc w:val="left"/>
        <w:rPr>
          <w:rFonts w:hint="default" w:ascii="Times New Roman" w:hAnsi="Times New Roman" w:cs="Times New Roman" w:eastAsiaTheme="minorEastAsia"/>
          <w:color w:val="000000"/>
          <w:kern w:val="0"/>
          <w:sz w:val="24"/>
          <w:szCs w:val="24"/>
          <w:lang w:val="en-US" w:eastAsia="zh-CN" w:bidi="ar"/>
        </w:rPr>
      </w:pPr>
      <w:r>
        <w:rPr>
          <w:rFonts w:hint="default" w:ascii="Times New Roman" w:hAnsi="Times New Roman" w:cs="Times New Roman" w:eastAsiaTheme="minorEastAsia"/>
          <w:color w:val="000000"/>
          <w:kern w:val="0"/>
          <w:sz w:val="24"/>
          <w:szCs w:val="24"/>
          <w:lang w:val="en-US" w:eastAsia="zh-CN" w:bidi="ar"/>
        </w:rPr>
        <w:t xml:space="preserve">（3）管控手段 </w:t>
      </w:r>
    </w:p>
    <w:p>
      <w:pPr>
        <w:keepNext w:val="0"/>
        <w:keepLines w:val="0"/>
        <w:widowControl/>
        <w:suppressLineNumbers w:val="0"/>
        <w:jc w:val="left"/>
        <w:rPr>
          <w:rFonts w:hint="default" w:ascii="Times New Roman" w:hAnsi="Times New Roman" w:cs="Times New Roman" w:eastAsiaTheme="minorEastAsia"/>
          <w:color w:val="000000"/>
          <w:kern w:val="0"/>
          <w:sz w:val="24"/>
          <w:szCs w:val="24"/>
          <w:lang w:val="en-US" w:eastAsia="zh-CN" w:bidi="ar"/>
        </w:rPr>
      </w:pPr>
      <w:r>
        <w:rPr>
          <w:rFonts w:hint="eastAsia" w:cs="Times New Roman" w:eastAsiaTheme="minorEastAsia"/>
          <w:color w:val="000000"/>
          <w:kern w:val="0"/>
          <w:sz w:val="24"/>
          <w:szCs w:val="24"/>
          <w:lang w:val="en-US" w:eastAsia="zh-CN" w:bidi="ar"/>
        </w:rPr>
        <w:t>1.</w:t>
      </w:r>
      <w:r>
        <w:rPr>
          <w:rFonts w:hint="default" w:ascii="Times New Roman" w:hAnsi="Times New Roman" w:cs="Times New Roman" w:eastAsiaTheme="minorEastAsia"/>
          <w:color w:val="000000"/>
          <w:kern w:val="0"/>
          <w:sz w:val="24"/>
          <w:szCs w:val="24"/>
          <w:lang w:val="en-US" w:eastAsia="zh-CN" w:bidi="ar"/>
        </w:rPr>
        <w:t>细化部门、乡镇、村</w:t>
      </w:r>
      <w:r>
        <w:rPr>
          <w:rFonts w:hint="eastAsia" w:cs="Times New Roman" w:eastAsiaTheme="minorEastAsia"/>
          <w:color w:val="000000"/>
          <w:kern w:val="0"/>
          <w:sz w:val="24"/>
          <w:szCs w:val="24"/>
          <w:lang w:val="en-US" w:eastAsia="zh-CN" w:bidi="ar"/>
        </w:rPr>
        <w:t>组</w:t>
      </w:r>
      <w:r>
        <w:rPr>
          <w:rFonts w:hint="default" w:ascii="Times New Roman" w:hAnsi="Times New Roman" w:cs="Times New Roman" w:eastAsiaTheme="minorEastAsia"/>
          <w:color w:val="000000"/>
          <w:kern w:val="0"/>
          <w:sz w:val="24"/>
          <w:szCs w:val="24"/>
          <w:lang w:val="en-US" w:eastAsia="zh-CN" w:bidi="ar"/>
        </w:rPr>
        <w:t>的监管责任，充分发挥基层组织作用，加强联防联控。</w:t>
      </w:r>
    </w:p>
    <w:p>
      <w:pPr>
        <w:keepNext w:val="0"/>
        <w:keepLines w:val="0"/>
        <w:widowControl/>
        <w:suppressLineNumbers w:val="0"/>
        <w:jc w:val="left"/>
        <w:rPr>
          <w:rFonts w:hint="default" w:ascii="Times New Roman" w:hAnsi="Times New Roman" w:cs="Times New Roman" w:eastAsiaTheme="minorEastAsia"/>
          <w:color w:val="000000"/>
          <w:kern w:val="0"/>
          <w:sz w:val="24"/>
          <w:szCs w:val="24"/>
          <w:lang w:val="en-US" w:eastAsia="zh-CN" w:bidi="ar"/>
        </w:rPr>
      </w:pPr>
      <w:r>
        <w:rPr>
          <w:rFonts w:hint="eastAsia" w:cs="Times New Roman" w:eastAsiaTheme="minorEastAsia"/>
          <w:color w:val="000000"/>
          <w:kern w:val="0"/>
          <w:sz w:val="24"/>
          <w:szCs w:val="24"/>
          <w:lang w:val="en-US" w:eastAsia="zh-CN" w:bidi="ar"/>
        </w:rPr>
        <w:t>2.</w:t>
      </w:r>
      <w:r>
        <w:rPr>
          <w:rFonts w:hint="default" w:ascii="Times New Roman" w:hAnsi="Times New Roman" w:cs="Times New Roman" w:eastAsiaTheme="minorEastAsia"/>
          <w:color w:val="000000"/>
          <w:kern w:val="0"/>
          <w:sz w:val="24"/>
          <w:szCs w:val="24"/>
          <w:lang w:val="en-US" w:eastAsia="zh-CN" w:bidi="ar"/>
        </w:rPr>
        <w:t xml:space="preserve">实行“定点、定时、定人、定责”管控，建立全覆盖、无死角的网格化监管体系，切实将监管责任落实到具体单位和个人，充分利用高架视频、卫星 遥感、信息化网格监控平台等多种手段密切监测秸秆焚烧情况，发现火情，及时联动查处。 </w:t>
      </w:r>
    </w:p>
    <w:p>
      <w:pPr>
        <w:keepNext w:val="0"/>
        <w:keepLines w:val="0"/>
        <w:widowControl/>
        <w:suppressLineNumbers w:val="0"/>
        <w:jc w:val="left"/>
        <w:rPr>
          <w:rFonts w:hint="default" w:ascii="Times New Roman" w:hAnsi="Times New Roman" w:cs="Times New Roman" w:eastAsiaTheme="minorEastAsia"/>
          <w:color w:val="000000"/>
          <w:kern w:val="0"/>
          <w:sz w:val="24"/>
          <w:szCs w:val="24"/>
          <w:lang w:val="en-US" w:eastAsia="zh-CN" w:bidi="ar"/>
        </w:rPr>
      </w:pPr>
      <w:r>
        <w:rPr>
          <w:rFonts w:hint="eastAsia" w:cs="Times New Roman" w:eastAsiaTheme="minorEastAsia"/>
          <w:color w:val="000000"/>
          <w:kern w:val="0"/>
          <w:sz w:val="24"/>
          <w:szCs w:val="24"/>
          <w:lang w:val="en-US" w:eastAsia="zh-CN" w:bidi="ar"/>
        </w:rPr>
        <w:t>3.</w:t>
      </w:r>
      <w:r>
        <w:rPr>
          <w:rFonts w:hint="default" w:ascii="Times New Roman" w:hAnsi="Times New Roman" w:cs="Times New Roman" w:eastAsiaTheme="minorEastAsia"/>
          <w:color w:val="000000"/>
          <w:kern w:val="0"/>
          <w:sz w:val="24"/>
          <w:szCs w:val="24"/>
          <w:lang w:val="en-US" w:eastAsia="zh-CN" w:bidi="ar"/>
        </w:rPr>
        <w:t xml:space="preserve">加强巡查检查执法力度，对重点区域实行24小时不间断巡查检查，严厉查处禁燃区内露天焚烧秸秆行为。根据限烧区和限烧区的划定情况，按照行政区划进行网格划分，组织安排相应的网格长及监管队，每个乡镇的网格长1名， 巡查监管人员1名，每个行政村网格长1名，巡查监管队员2名，确保网格内焚烧区限烧区监管无盲区。网格长及监管队要及时发现和制止露天焚烧秸秆行为。同时明确专人填写巡查台账，并向上级网络进行报告。网格长巡查或者下级网格员报告发现秸秆焚烧问题后，及时调查，对属于本地本部门管辖的，按照规定进行处理；对不属于本级本部门管辖的，要及时上报。对秸秆露天焚烧的，达到规定处罚标准的，要及时调查处理，按要求进行公开，并告知相应网格责任主体。 </w:t>
      </w:r>
    </w:p>
    <w:p>
      <w:pPr>
        <w:keepNext w:val="0"/>
        <w:keepLines w:val="0"/>
        <w:widowControl/>
        <w:suppressLineNumbers w:val="0"/>
        <w:jc w:val="left"/>
        <w:rPr>
          <w:rFonts w:hint="default" w:ascii="Times New Roman" w:hAnsi="Times New Roman" w:cs="Times New Roman" w:eastAsiaTheme="minorEastAsia"/>
          <w:color w:val="000000"/>
          <w:kern w:val="0"/>
          <w:sz w:val="24"/>
          <w:szCs w:val="24"/>
          <w:lang w:val="en-US" w:eastAsia="zh-CN" w:bidi="ar"/>
        </w:rPr>
      </w:pPr>
      <w:r>
        <w:rPr>
          <w:rFonts w:hint="eastAsia" w:cs="Times New Roman" w:eastAsiaTheme="minorEastAsia"/>
          <w:color w:val="000000"/>
          <w:kern w:val="0"/>
          <w:sz w:val="24"/>
          <w:szCs w:val="24"/>
          <w:lang w:val="en-US" w:eastAsia="zh-CN" w:bidi="ar"/>
        </w:rPr>
        <w:t>（4）</w:t>
      </w:r>
      <w:r>
        <w:rPr>
          <w:rFonts w:hint="default" w:ascii="Times New Roman" w:hAnsi="Times New Roman" w:cs="Times New Roman" w:eastAsiaTheme="minorEastAsia"/>
          <w:color w:val="000000"/>
          <w:kern w:val="0"/>
          <w:sz w:val="24"/>
          <w:szCs w:val="24"/>
          <w:lang w:val="en-US" w:eastAsia="zh-CN" w:bidi="ar"/>
        </w:rPr>
        <w:t xml:space="preserve">管控保障措施 </w:t>
      </w:r>
    </w:p>
    <w:p>
      <w:pPr>
        <w:keepNext w:val="0"/>
        <w:keepLines w:val="0"/>
        <w:widowControl/>
        <w:suppressLineNumbers w:val="0"/>
        <w:jc w:val="left"/>
        <w:rPr>
          <w:rFonts w:hint="default" w:ascii="Times New Roman" w:hAnsi="Times New Roman" w:cs="Times New Roman" w:eastAsiaTheme="minorEastAsia"/>
          <w:color w:val="000000"/>
          <w:kern w:val="0"/>
          <w:sz w:val="24"/>
          <w:szCs w:val="24"/>
          <w:lang w:val="en-US" w:eastAsia="zh-CN" w:bidi="ar"/>
        </w:rPr>
      </w:pPr>
      <w:r>
        <w:rPr>
          <w:rFonts w:hint="eastAsia" w:cs="Times New Roman" w:eastAsiaTheme="minorEastAsia"/>
          <w:color w:val="000000"/>
          <w:kern w:val="0"/>
          <w:sz w:val="24"/>
          <w:szCs w:val="24"/>
          <w:lang w:val="en-US" w:eastAsia="zh-CN" w:bidi="ar"/>
        </w:rPr>
        <w:t>1.</w:t>
      </w:r>
      <w:r>
        <w:rPr>
          <w:rFonts w:hint="default" w:ascii="Times New Roman" w:hAnsi="Times New Roman" w:cs="Times New Roman" w:eastAsiaTheme="minorEastAsia"/>
          <w:color w:val="000000"/>
          <w:kern w:val="0"/>
          <w:sz w:val="24"/>
          <w:szCs w:val="24"/>
          <w:lang w:val="en-US" w:eastAsia="zh-CN" w:bidi="ar"/>
        </w:rPr>
        <w:t>秸秆</w:t>
      </w:r>
      <w:r>
        <w:rPr>
          <w:rFonts w:hint="eastAsia" w:cs="Times New Roman" w:eastAsiaTheme="minorEastAsia"/>
          <w:color w:val="000000"/>
          <w:kern w:val="0"/>
          <w:sz w:val="24"/>
          <w:szCs w:val="24"/>
          <w:lang w:val="en-US" w:eastAsia="zh-CN" w:bidi="ar"/>
        </w:rPr>
        <w:t>垃圾</w:t>
      </w:r>
      <w:r>
        <w:rPr>
          <w:rFonts w:hint="default" w:ascii="Times New Roman" w:hAnsi="Times New Roman" w:cs="Times New Roman" w:eastAsiaTheme="minorEastAsia"/>
          <w:color w:val="000000"/>
          <w:kern w:val="0"/>
          <w:sz w:val="24"/>
          <w:szCs w:val="24"/>
          <w:lang w:val="en-US" w:eastAsia="zh-CN" w:bidi="ar"/>
        </w:rPr>
        <w:t xml:space="preserve">禁烧区必须设置能够显示区域范围及管理规定的警示牌，禁止任何时间露天焚烧秸秆； </w:t>
      </w:r>
    </w:p>
    <w:p>
      <w:pPr>
        <w:keepNext w:val="0"/>
        <w:keepLines w:val="0"/>
        <w:widowControl/>
        <w:suppressLineNumbers w:val="0"/>
        <w:jc w:val="left"/>
        <w:rPr>
          <w:rFonts w:hint="default" w:ascii="Times New Roman" w:hAnsi="Times New Roman" w:cs="Times New Roman" w:eastAsiaTheme="minorEastAsia"/>
          <w:color w:val="000000"/>
          <w:kern w:val="0"/>
          <w:sz w:val="24"/>
          <w:szCs w:val="24"/>
          <w:lang w:val="en-US" w:eastAsia="zh-CN" w:bidi="ar"/>
        </w:rPr>
      </w:pPr>
      <w:r>
        <w:rPr>
          <w:rFonts w:hint="eastAsia" w:cs="Times New Roman" w:eastAsiaTheme="minorEastAsia"/>
          <w:color w:val="000000"/>
          <w:kern w:val="0"/>
          <w:sz w:val="24"/>
          <w:szCs w:val="24"/>
          <w:lang w:val="en-US" w:eastAsia="zh-CN" w:bidi="ar"/>
        </w:rPr>
        <w:t>2.</w:t>
      </w:r>
      <w:r>
        <w:rPr>
          <w:rFonts w:hint="default" w:ascii="Times New Roman" w:hAnsi="Times New Roman" w:cs="Times New Roman" w:eastAsiaTheme="minorEastAsia"/>
          <w:color w:val="000000"/>
          <w:kern w:val="0"/>
          <w:sz w:val="24"/>
          <w:szCs w:val="24"/>
          <w:lang w:val="en-US" w:eastAsia="zh-CN" w:bidi="ar"/>
        </w:rPr>
        <w:t>秸秆</w:t>
      </w:r>
      <w:r>
        <w:rPr>
          <w:rFonts w:hint="eastAsia" w:cs="Times New Roman" w:eastAsiaTheme="minorEastAsia"/>
          <w:color w:val="000000"/>
          <w:kern w:val="0"/>
          <w:sz w:val="24"/>
          <w:szCs w:val="24"/>
          <w:lang w:val="en-US" w:eastAsia="zh-CN" w:bidi="ar"/>
        </w:rPr>
        <w:t>垃圾</w:t>
      </w:r>
      <w:r>
        <w:rPr>
          <w:rFonts w:hint="default" w:ascii="Times New Roman" w:hAnsi="Times New Roman" w:cs="Times New Roman" w:eastAsiaTheme="minorEastAsia"/>
          <w:color w:val="000000"/>
          <w:kern w:val="0"/>
          <w:sz w:val="24"/>
          <w:szCs w:val="24"/>
          <w:lang w:val="en-US" w:eastAsia="zh-CN" w:bidi="ar"/>
        </w:rPr>
        <w:t xml:space="preserve">限烧区设置显示限烧区范围及限烧管控要求的警示牌，在特定时间，特定范围有组织、有秩序的焚烧秸秆； </w:t>
      </w:r>
    </w:p>
    <w:p>
      <w:pPr>
        <w:keepNext w:val="0"/>
        <w:keepLines w:val="0"/>
        <w:widowControl/>
        <w:suppressLineNumbers w:val="0"/>
        <w:jc w:val="left"/>
        <w:rPr>
          <w:rFonts w:hint="default" w:ascii="Times New Roman" w:hAnsi="Times New Roman" w:cs="Times New Roman" w:eastAsiaTheme="minorEastAsia"/>
          <w:color w:val="000000"/>
          <w:kern w:val="0"/>
          <w:sz w:val="24"/>
          <w:szCs w:val="24"/>
          <w:lang w:val="en-US" w:eastAsia="zh-CN" w:bidi="ar"/>
        </w:rPr>
      </w:pPr>
      <w:r>
        <w:rPr>
          <w:rFonts w:hint="eastAsia" w:cs="Times New Roman" w:eastAsiaTheme="minorEastAsia"/>
          <w:color w:val="000000"/>
          <w:kern w:val="0"/>
          <w:sz w:val="24"/>
          <w:szCs w:val="24"/>
          <w:lang w:val="en-US" w:eastAsia="zh-CN" w:bidi="ar"/>
        </w:rPr>
        <w:t>3.</w:t>
      </w:r>
      <w:r>
        <w:rPr>
          <w:rFonts w:hint="default" w:ascii="Times New Roman" w:hAnsi="Times New Roman" w:cs="Times New Roman" w:eastAsiaTheme="minorEastAsia"/>
          <w:color w:val="000000"/>
          <w:kern w:val="0"/>
          <w:sz w:val="24"/>
          <w:szCs w:val="24"/>
          <w:lang w:val="en-US" w:eastAsia="zh-CN" w:bidi="ar"/>
        </w:rPr>
        <w:t>秸秆</w:t>
      </w:r>
      <w:r>
        <w:rPr>
          <w:rFonts w:hint="eastAsia" w:cs="Times New Roman" w:eastAsiaTheme="minorEastAsia"/>
          <w:color w:val="000000"/>
          <w:kern w:val="0"/>
          <w:sz w:val="24"/>
          <w:szCs w:val="24"/>
          <w:lang w:val="en-US" w:eastAsia="zh-CN" w:bidi="ar"/>
        </w:rPr>
        <w:t>垃圾</w:t>
      </w:r>
      <w:r>
        <w:rPr>
          <w:rFonts w:hint="default" w:ascii="Times New Roman" w:hAnsi="Times New Roman" w:cs="Times New Roman" w:eastAsiaTheme="minorEastAsia"/>
          <w:color w:val="000000"/>
          <w:kern w:val="0"/>
          <w:sz w:val="24"/>
          <w:szCs w:val="24"/>
          <w:lang w:val="en-US" w:eastAsia="zh-CN" w:bidi="ar"/>
        </w:rPr>
        <w:t xml:space="preserve">焚烧区、限烧区警示牌设置在所涉及范围边界附近的最容易被观察到的地方； </w:t>
      </w:r>
    </w:p>
    <w:p>
      <w:pPr>
        <w:keepNext w:val="0"/>
        <w:keepLines w:val="0"/>
        <w:widowControl/>
        <w:suppressLineNumbers w:val="0"/>
        <w:jc w:val="left"/>
        <w:rPr>
          <w:rFonts w:hint="default" w:ascii="Times New Roman" w:hAnsi="Times New Roman" w:cs="Times New Roman" w:eastAsiaTheme="minorEastAsia"/>
          <w:color w:val="000000"/>
          <w:kern w:val="0"/>
          <w:sz w:val="24"/>
          <w:szCs w:val="24"/>
          <w:lang w:val="en-US" w:eastAsia="zh-CN" w:bidi="ar"/>
        </w:rPr>
      </w:pPr>
      <w:r>
        <w:rPr>
          <w:rFonts w:hint="eastAsia" w:cs="Times New Roman" w:eastAsiaTheme="minorEastAsia"/>
          <w:color w:val="000000"/>
          <w:kern w:val="0"/>
          <w:sz w:val="24"/>
          <w:szCs w:val="24"/>
          <w:lang w:val="en-US" w:eastAsia="zh-CN" w:bidi="ar"/>
        </w:rPr>
        <w:t>4.</w:t>
      </w:r>
      <w:r>
        <w:rPr>
          <w:rFonts w:hint="default" w:ascii="Times New Roman" w:hAnsi="Times New Roman" w:cs="Times New Roman" w:eastAsiaTheme="minorEastAsia"/>
          <w:color w:val="000000"/>
          <w:kern w:val="0"/>
          <w:sz w:val="24"/>
          <w:szCs w:val="24"/>
          <w:lang w:val="en-US" w:eastAsia="zh-CN" w:bidi="ar"/>
        </w:rPr>
        <w:t xml:space="preserve">警示牌应牢固的固定在依托物上，不能产生倾斜、卷翘、摆动等现象， 高度就尽量与人眼的视线高度相一致； </w:t>
      </w:r>
    </w:p>
    <w:p>
      <w:pPr>
        <w:keepNext w:val="0"/>
        <w:keepLines w:val="0"/>
        <w:widowControl/>
        <w:suppressLineNumbers w:val="0"/>
        <w:jc w:val="left"/>
        <w:rPr>
          <w:rFonts w:hint="default" w:ascii="Times New Roman" w:hAnsi="Times New Roman" w:cs="Times New Roman" w:eastAsiaTheme="minorEastAsia"/>
          <w:color w:val="000000"/>
          <w:kern w:val="0"/>
          <w:sz w:val="24"/>
          <w:szCs w:val="24"/>
          <w:lang w:val="en-US" w:eastAsia="zh-CN" w:bidi="ar"/>
        </w:rPr>
      </w:pPr>
      <w:r>
        <w:rPr>
          <w:rFonts w:hint="default" w:ascii="Times New Roman" w:hAnsi="Times New Roman" w:cs="Times New Roman" w:eastAsiaTheme="minorEastAsia"/>
          <w:color w:val="000000"/>
          <w:kern w:val="0"/>
          <w:sz w:val="24"/>
          <w:szCs w:val="24"/>
          <w:lang w:val="en-US" w:eastAsia="zh-CN" w:bidi="ar"/>
        </w:rPr>
        <w:t xml:space="preserve">（5）禁烧区、限烧区警示牌未经允许任何人不得私自进行挪动、移位、拆除或拆换。 </w:t>
      </w:r>
    </w:p>
    <w:p>
      <w:pPr>
        <w:pStyle w:val="4"/>
        <w:rPr>
          <w:rFonts w:hint="default" w:ascii="Times New Roman" w:hAnsi="Times New Roman" w:cs="Times New Roman" w:eastAsiaTheme="minorEastAsia"/>
          <w:color w:val="000000"/>
        </w:rPr>
      </w:pPr>
      <w:bookmarkStart w:id="26" w:name="_Toc22530"/>
      <w:r>
        <w:rPr>
          <w:rFonts w:hint="default" w:ascii="Times New Roman" w:hAnsi="Times New Roman" w:cs="Times New Roman" w:eastAsiaTheme="minorEastAsia"/>
          <w:color w:val="000000"/>
        </w:rPr>
        <w:t>秸秆垃圾</w:t>
      </w:r>
      <w:r>
        <w:rPr>
          <w:rFonts w:hint="eastAsia" w:ascii="Times New Roman" w:hAnsi="Times New Roman" w:cs="Times New Roman" w:eastAsiaTheme="minorEastAsia"/>
          <w:color w:val="000000"/>
          <w:lang w:val="en-US" w:eastAsia="zh-CN"/>
        </w:rPr>
        <w:t>处置</w:t>
      </w:r>
      <w:r>
        <w:rPr>
          <w:rFonts w:hint="default" w:ascii="Times New Roman" w:hAnsi="Times New Roman" w:cs="Times New Roman" w:eastAsiaTheme="minorEastAsia"/>
          <w:color w:val="000000"/>
        </w:rPr>
        <w:t>保障措施</w:t>
      </w:r>
      <w:bookmarkEnd w:id="26"/>
    </w:p>
    <w:p>
      <w:pPr>
        <w:pStyle w:val="5"/>
        <w:rPr>
          <w:rFonts w:hint="default" w:ascii="Times New Roman" w:hAnsi="Times New Roman" w:cs="Times New Roman" w:eastAsiaTheme="minorEastAsia"/>
          <w:color w:val="000000"/>
          <w:sz w:val="28"/>
          <w:szCs w:val="28"/>
          <w:lang w:val="en-US" w:eastAsia="zh-CN"/>
        </w:rPr>
      </w:pPr>
      <w:r>
        <w:rPr>
          <w:rFonts w:hint="eastAsia" w:cs="Times New Roman" w:eastAsiaTheme="minorEastAsia"/>
          <w:color w:val="000000"/>
          <w:sz w:val="28"/>
          <w:szCs w:val="28"/>
          <w:lang w:val="en-US" w:eastAsia="zh-CN"/>
        </w:rPr>
        <w:t>秸秆处置保障措施</w:t>
      </w:r>
    </w:p>
    <w:p>
      <w:pPr>
        <w:keepNext w:val="0"/>
        <w:keepLines w:val="0"/>
        <w:widowControl/>
        <w:suppressLineNumbers w:val="0"/>
        <w:jc w:val="left"/>
        <w:rPr>
          <w:rFonts w:hint="default" w:ascii="Times New Roman" w:hAnsi="Times New Roman" w:cs="Times New Roman"/>
        </w:rPr>
      </w:pPr>
      <w:r>
        <w:rPr>
          <w:rFonts w:hint="default" w:ascii="Times New Roman" w:hAnsi="Times New Roman" w:eastAsia="宋体" w:cs="Times New Roman"/>
          <w:color w:val="FF0000"/>
          <w:kern w:val="0"/>
          <w:sz w:val="24"/>
          <w:szCs w:val="24"/>
          <w:lang w:val="en-US" w:eastAsia="zh-CN" w:bidi="ar"/>
        </w:rPr>
        <w:t>各乡镇制定禁烧区秸秆离田工作方案，充分利用闲置土地和空闲场地，设置临时贮存场所，确保农作物收获后，除需要还田秸秆外，未机收打捆和散落田间的秸秆得到及时清除。</w:t>
      </w:r>
      <w:r>
        <w:rPr>
          <w:rFonts w:hint="default" w:ascii="Times New Roman" w:hAnsi="Times New Roman" w:eastAsia="宋体" w:cs="Times New Roman"/>
          <w:color w:val="000000"/>
          <w:kern w:val="0"/>
          <w:sz w:val="24"/>
          <w:szCs w:val="24"/>
          <w:lang w:val="en-US" w:eastAsia="zh-CN" w:bidi="ar"/>
        </w:rPr>
        <w:t xml:space="preserve">根据各乡镇农业种植结构特点，提出以下管理措施： </w:t>
      </w:r>
    </w:p>
    <w:p>
      <w:pPr>
        <w:keepNext w:val="0"/>
        <w:keepLines w:val="0"/>
        <w:widowControl/>
        <w:numPr>
          <w:ilvl w:val="0"/>
          <w:numId w:val="5"/>
        </w:numPr>
        <w:suppressLineNumbers w:val="0"/>
        <w:jc w:val="left"/>
        <w:rPr>
          <w:rFonts w:hint="eastAsia" w:cs="Times New Roman"/>
          <w:color w:val="000000"/>
          <w:kern w:val="0"/>
          <w:sz w:val="24"/>
          <w:szCs w:val="24"/>
          <w:lang w:val="en-US" w:eastAsia="zh-CN" w:bidi="ar"/>
        </w:rPr>
      </w:pPr>
      <w:r>
        <w:rPr>
          <w:rFonts w:hint="eastAsia" w:cs="Times New Roman"/>
          <w:color w:val="000000"/>
          <w:kern w:val="0"/>
          <w:sz w:val="24"/>
          <w:szCs w:val="24"/>
          <w:lang w:val="en-US" w:eastAsia="zh-CN" w:bidi="ar"/>
        </w:rPr>
        <w:t>重点推进秸秆肥料化利用。围绕实施乡村振兴战略，在秸秆深翻还田、堆沤还田和秸秆有机肥还田的基础上，重点实施秸秆覆盖还田保护性耕作，建立“点、片、区”梯次结合示范区。强化科技支撑，加快推广秸秆覆盖还田保护性耕作技术，建立农民骨干专业队伍和科技专家团队。</w:t>
      </w:r>
    </w:p>
    <w:p>
      <w:pPr>
        <w:keepNext w:val="0"/>
        <w:keepLines w:val="0"/>
        <w:widowControl/>
        <w:numPr>
          <w:ilvl w:val="0"/>
          <w:numId w:val="5"/>
        </w:numPr>
        <w:suppressLineNumbers w:val="0"/>
        <w:jc w:val="left"/>
        <w:rPr>
          <w:rFonts w:hint="eastAsia" w:cs="Times New Roman"/>
          <w:color w:val="000000"/>
          <w:kern w:val="0"/>
          <w:sz w:val="24"/>
          <w:szCs w:val="24"/>
          <w:lang w:val="en-US" w:eastAsia="zh-CN" w:bidi="ar"/>
        </w:rPr>
      </w:pPr>
      <w:r>
        <w:rPr>
          <w:rFonts w:hint="eastAsia" w:cs="Times New Roman"/>
          <w:color w:val="000000"/>
          <w:kern w:val="0"/>
          <w:sz w:val="24"/>
          <w:szCs w:val="24"/>
          <w:lang w:val="en-US" w:eastAsia="zh-CN" w:bidi="ar"/>
        </w:rPr>
        <w:t>加快推进秸秆饲料化利用。夯实秸秆饲料化利用基础设施建设，重点支持大型养殖场建设标准化贮窖。加大秸秆饲料化新技术推广，逐步扩大青贮玉米种植面积，推广秸秆饲料膨化技术。稳步推进粮改饲试点，抓好饲草种植、收贮、利用三个关键环节，扩大粮改饲政策覆盖面积和实施规模。加快发展牛羊鹿等草食畜牧业，扩大秸秆饲料化利用需求。</w:t>
      </w:r>
    </w:p>
    <w:p>
      <w:pPr>
        <w:keepNext w:val="0"/>
        <w:keepLines w:val="0"/>
        <w:widowControl/>
        <w:numPr>
          <w:ilvl w:val="0"/>
          <w:numId w:val="0"/>
        </w:numPr>
        <w:suppressLineNumbers w:val="0"/>
        <w:jc w:val="left"/>
        <w:rPr>
          <w:rFonts w:hint="default" w:ascii="Times New Roman" w:hAnsi="Times New Roman" w:cs="Times New Roman"/>
        </w:rPr>
      </w:pPr>
    </w:p>
    <w:p>
      <w:pPr>
        <w:keepNext w:val="0"/>
        <w:keepLines w:val="0"/>
        <w:widowControl/>
        <w:numPr>
          <w:ilvl w:val="0"/>
          <w:numId w:val="5"/>
        </w:numPr>
        <w:suppressLineNumbers w:val="0"/>
        <w:jc w:val="left"/>
        <w:rPr>
          <w:rFonts w:hint="default" w:cs="Times New Roman"/>
          <w:color w:val="000000"/>
          <w:kern w:val="0"/>
          <w:sz w:val="24"/>
          <w:szCs w:val="24"/>
          <w:lang w:val="en-US" w:eastAsia="zh-CN" w:bidi="ar"/>
        </w:rPr>
      </w:pPr>
      <w:r>
        <w:rPr>
          <w:rFonts w:hint="default" w:cs="Times New Roman"/>
          <w:color w:val="000000"/>
          <w:kern w:val="0"/>
          <w:sz w:val="24"/>
          <w:szCs w:val="24"/>
          <w:lang w:val="en-US" w:eastAsia="zh-CN" w:bidi="ar"/>
        </w:rPr>
        <w:t>大力推广秸秆捡拾打捆、离田机械化作业技术，认真做好秸秆离田、集中清运工作，通过秸秆离田解决秸秆禁烧难题。动员老百姓积极开展肥料化、饲料化、燃料化、工业化利用，变废为宝，提高秸秆综合利用率。</w:t>
      </w:r>
    </w:p>
    <w:p>
      <w:pPr>
        <w:pStyle w:val="5"/>
        <w:rPr>
          <w:rFonts w:hint="default" w:cs="Times New Roman" w:eastAsiaTheme="minorEastAsia"/>
          <w:color w:val="000000"/>
          <w:sz w:val="28"/>
          <w:szCs w:val="28"/>
          <w:lang w:val="en-US" w:eastAsia="zh-CN"/>
        </w:rPr>
      </w:pPr>
      <w:r>
        <w:rPr>
          <w:rFonts w:hint="default" w:cs="Times New Roman" w:eastAsiaTheme="minorEastAsia"/>
          <w:color w:val="000000"/>
          <w:sz w:val="28"/>
          <w:szCs w:val="28"/>
          <w:lang w:val="en-US" w:eastAsia="zh-CN"/>
        </w:rPr>
        <w:t xml:space="preserve"> </w:t>
      </w:r>
      <w:r>
        <w:rPr>
          <w:rFonts w:hint="eastAsia" w:cs="Times New Roman" w:eastAsiaTheme="minorEastAsia"/>
          <w:color w:val="000000"/>
          <w:sz w:val="28"/>
          <w:szCs w:val="28"/>
          <w:lang w:val="en-US" w:eastAsia="zh-CN"/>
        </w:rPr>
        <w:t>垃圾处置保障措施</w:t>
      </w:r>
    </w:p>
    <w:p>
      <w:pPr>
        <w:keepNext w:val="0"/>
        <w:keepLines w:val="0"/>
        <w:widowControl/>
        <w:numPr>
          <w:ilvl w:val="0"/>
          <w:numId w:val="6"/>
        </w:numPr>
        <w:suppressLineNumbers w:val="0"/>
        <w:jc w:val="left"/>
        <w:rPr>
          <w:rFonts w:hint="eastAsia" w:ascii="Times New Roman" w:hAnsi="Times New Roman" w:cs="Times New Roman" w:eastAsiaTheme="minorEastAsia"/>
          <w:color w:val="000000"/>
          <w:kern w:val="0"/>
          <w:sz w:val="24"/>
          <w:szCs w:val="24"/>
          <w:lang w:val="en-US" w:eastAsia="zh-CN" w:bidi="ar"/>
        </w:rPr>
      </w:pPr>
      <w:r>
        <w:rPr>
          <w:rFonts w:hint="eastAsia" w:ascii="Times New Roman" w:hAnsi="Times New Roman" w:cs="Times New Roman" w:eastAsiaTheme="minorEastAsia"/>
          <w:color w:val="000000"/>
          <w:kern w:val="0"/>
          <w:sz w:val="24"/>
          <w:szCs w:val="24"/>
          <w:lang w:val="en-US" w:eastAsia="zh-CN" w:bidi="ar"/>
        </w:rPr>
        <w:t>完善各乡镇垃圾转运站及村庄垃圾收集设施建设，</w:t>
      </w:r>
      <w:r>
        <w:rPr>
          <w:rFonts w:hint="eastAsia" w:cs="Times New Roman" w:eastAsiaTheme="minorEastAsia"/>
          <w:color w:val="000000"/>
          <w:kern w:val="0"/>
          <w:sz w:val="24"/>
          <w:szCs w:val="24"/>
          <w:lang w:val="en-US" w:eastAsia="zh-CN" w:bidi="ar"/>
        </w:rPr>
        <w:t>距离乡镇较近的</w:t>
      </w:r>
      <w:r>
        <w:rPr>
          <w:rFonts w:hint="eastAsia" w:ascii="Times New Roman" w:hAnsi="Times New Roman" w:cs="Times New Roman" w:eastAsiaTheme="minorEastAsia"/>
          <w:color w:val="000000"/>
          <w:kern w:val="0"/>
          <w:sz w:val="24"/>
          <w:szCs w:val="24"/>
          <w:lang w:val="en-US" w:eastAsia="zh-CN" w:bidi="ar"/>
        </w:rPr>
        <w:t>村庄</w:t>
      </w:r>
      <w:r>
        <w:rPr>
          <w:rFonts w:hint="eastAsia" w:cs="Times New Roman" w:eastAsiaTheme="minorEastAsia"/>
          <w:color w:val="000000"/>
          <w:kern w:val="0"/>
          <w:sz w:val="24"/>
          <w:szCs w:val="24"/>
          <w:lang w:val="en-US" w:eastAsia="zh-CN" w:bidi="ar"/>
        </w:rPr>
        <w:t>，</w:t>
      </w:r>
      <w:r>
        <w:rPr>
          <w:rFonts w:hint="eastAsia" w:ascii="Times New Roman" w:hAnsi="Times New Roman" w:cs="Times New Roman" w:eastAsiaTheme="minorEastAsia"/>
          <w:color w:val="000000"/>
          <w:kern w:val="0"/>
          <w:sz w:val="24"/>
          <w:szCs w:val="24"/>
          <w:lang w:val="en-US" w:eastAsia="zh-CN" w:bidi="ar"/>
        </w:rPr>
        <w:t>生活垃圾收集后，统一运至各乡镇垃圾中转站。由清运公司统一清运至砚山县海创垃圾焚烧发电有限公司进行焚烧发电。</w:t>
      </w:r>
    </w:p>
    <w:p>
      <w:pPr>
        <w:keepNext w:val="0"/>
        <w:keepLines w:val="0"/>
        <w:widowControl/>
        <w:numPr>
          <w:ilvl w:val="0"/>
          <w:numId w:val="6"/>
        </w:numPr>
        <w:suppressLineNumbers w:val="0"/>
        <w:jc w:val="left"/>
        <w:rPr>
          <w:rFonts w:hint="default" w:ascii="Times New Roman" w:hAnsi="Times New Roman" w:cs="Times New Roman" w:eastAsiaTheme="minorEastAsia"/>
          <w:color w:val="000000"/>
          <w:kern w:val="0"/>
          <w:sz w:val="24"/>
          <w:szCs w:val="24"/>
          <w:lang w:val="en-US" w:eastAsia="zh-CN" w:bidi="ar"/>
        </w:rPr>
      </w:pPr>
      <w:r>
        <w:rPr>
          <w:rFonts w:hint="eastAsia" w:ascii="Times New Roman" w:hAnsi="Times New Roman" w:cs="Times New Roman" w:eastAsiaTheme="minorEastAsia"/>
          <w:color w:val="000000"/>
          <w:kern w:val="0"/>
          <w:sz w:val="24"/>
          <w:szCs w:val="24"/>
          <w:lang w:val="en-US" w:eastAsia="zh-CN" w:bidi="ar"/>
        </w:rPr>
        <w:t>距离乡镇较远</w:t>
      </w:r>
      <w:r>
        <w:rPr>
          <w:rFonts w:hint="eastAsia" w:cs="Times New Roman" w:eastAsiaTheme="minorEastAsia"/>
          <w:color w:val="000000"/>
          <w:kern w:val="0"/>
          <w:sz w:val="24"/>
          <w:szCs w:val="24"/>
          <w:lang w:val="en-US" w:eastAsia="zh-CN" w:bidi="ar"/>
        </w:rPr>
        <w:t>、地处偏僻、交通不便、人口较少的村庄，采用“户分类-组集中-村收集-村处理”模式进行处理。对农作物秸秆、菜叶、畜禽粪便等，采用农田免耕技术、发酵堆肥、沼气净化等处理方式，还田还园；金属器物、纸板、书报、塑料制品、玻璃等废弃物，可由废旧物资回收人员进行回收利用。建筑垃圾、陶片渣土等采取就地填坑铺路、定点倾倒方式处理。</w:t>
      </w:r>
    </w:p>
    <w:p>
      <w:pPr>
        <w:pStyle w:val="4"/>
        <w:rPr>
          <w:rFonts w:hint="default" w:ascii="Times New Roman" w:hAnsi="Times New Roman" w:cs="Times New Roman" w:eastAsiaTheme="minorEastAsia"/>
          <w:color w:val="000000"/>
          <w:lang w:val="en-US" w:eastAsia="zh-CN"/>
        </w:rPr>
      </w:pPr>
      <w:bookmarkStart w:id="27" w:name="_Toc8883"/>
      <w:r>
        <w:rPr>
          <w:rFonts w:hint="default" w:ascii="Times New Roman" w:hAnsi="Times New Roman" w:cs="Times New Roman" w:eastAsiaTheme="minorEastAsia"/>
          <w:color w:val="000000"/>
          <w:lang w:val="en-US" w:eastAsia="zh-CN"/>
        </w:rPr>
        <w:t>保障措施</w:t>
      </w:r>
      <w:bookmarkEnd w:id="27"/>
    </w:p>
    <w:p>
      <w:pPr>
        <w:pStyle w:val="5"/>
        <w:rPr>
          <w:rFonts w:hint="default" w:cs="Times New Roman" w:eastAsiaTheme="minorEastAsia"/>
          <w:color w:val="000000"/>
          <w:sz w:val="28"/>
          <w:szCs w:val="28"/>
          <w:lang w:val="en-US" w:eastAsia="zh-CN"/>
        </w:rPr>
      </w:pPr>
      <w:r>
        <w:rPr>
          <w:rFonts w:hint="default" w:cs="Times New Roman" w:eastAsiaTheme="minorEastAsia"/>
          <w:color w:val="000000"/>
          <w:sz w:val="28"/>
          <w:szCs w:val="28"/>
          <w:lang w:val="en-US" w:eastAsia="zh-CN"/>
        </w:rPr>
        <w:t>落实工作责任制</w:t>
      </w:r>
    </w:p>
    <w:p>
      <w:pPr>
        <w:keepNext w:val="0"/>
        <w:keepLines w:val="0"/>
        <w:widowControl/>
        <w:suppressLineNumbers w:val="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 xml:space="preserve">秸秆禁烧工作实行属地管理原则，各乡(镇)人民政府是秸秆禁烧工作的责任主体，各乡（镇）长及所涉及部门一把手是第一责任人，部门和分管副乡（镇）长是直接负责人。各乡（镇）要把秸秆禁烧工作任务落实到村组，召开村民大会，将此项工作延伸到村户。重点禁烧区域要做到有烧必查，有烟必灭。对禁烧工作不力，发生大面积随意焚烧，造成严重事故的乡（镇）、村，要追究主要负责人责任。 </w:t>
      </w:r>
    </w:p>
    <w:p>
      <w:pPr>
        <w:pStyle w:val="5"/>
        <w:rPr>
          <w:rFonts w:hint="default" w:cs="Times New Roman" w:eastAsiaTheme="minorEastAsia"/>
          <w:color w:val="000000"/>
          <w:sz w:val="28"/>
          <w:szCs w:val="28"/>
          <w:lang w:val="en-US" w:eastAsia="zh-CN"/>
        </w:rPr>
      </w:pPr>
      <w:r>
        <w:rPr>
          <w:rFonts w:hint="default" w:cs="Times New Roman" w:eastAsiaTheme="minorEastAsia"/>
          <w:color w:val="000000"/>
          <w:sz w:val="28"/>
          <w:szCs w:val="28"/>
          <w:lang w:val="en-US" w:eastAsia="zh-CN"/>
        </w:rPr>
        <w:t>部门协调推进</w:t>
      </w:r>
    </w:p>
    <w:p>
      <w:pPr>
        <w:keepNext w:val="0"/>
        <w:keepLines w:val="0"/>
        <w:widowControl/>
        <w:suppressLineNumbers w:val="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县人民政府建立由</w:t>
      </w:r>
      <w:r>
        <w:rPr>
          <w:rFonts w:hint="default" w:ascii="Times New Roman" w:hAnsi="Times New Roman" w:eastAsia="宋体" w:cs="Times New Roman"/>
          <w:color w:val="FF0000"/>
          <w:kern w:val="0"/>
          <w:sz w:val="24"/>
          <w:szCs w:val="24"/>
          <w:lang w:val="en-US" w:eastAsia="zh-CN" w:bidi="ar"/>
        </w:rPr>
        <w:t>农</w:t>
      </w:r>
      <w:r>
        <w:rPr>
          <w:rFonts w:hint="eastAsia" w:cs="Times New Roman"/>
          <w:color w:val="FF0000"/>
          <w:kern w:val="0"/>
          <w:sz w:val="24"/>
          <w:szCs w:val="24"/>
          <w:lang w:val="en-US" w:eastAsia="zh-CN" w:bidi="ar"/>
        </w:rPr>
        <w:t>科</w:t>
      </w:r>
      <w:r>
        <w:rPr>
          <w:rFonts w:hint="default" w:ascii="Times New Roman" w:hAnsi="Times New Roman" w:eastAsia="宋体" w:cs="Times New Roman"/>
          <w:color w:val="FF0000"/>
          <w:kern w:val="0"/>
          <w:sz w:val="24"/>
          <w:szCs w:val="24"/>
          <w:lang w:val="en-US" w:eastAsia="zh-CN" w:bidi="ar"/>
        </w:rPr>
        <w:t>、环境保护、公安、林</w:t>
      </w:r>
      <w:r>
        <w:rPr>
          <w:rFonts w:hint="eastAsia" w:cs="Times New Roman"/>
          <w:color w:val="FF0000"/>
          <w:kern w:val="0"/>
          <w:sz w:val="24"/>
          <w:szCs w:val="24"/>
          <w:lang w:val="en-US" w:eastAsia="zh-CN" w:bidi="ar"/>
        </w:rPr>
        <w:t>草</w:t>
      </w:r>
      <w:r>
        <w:rPr>
          <w:rFonts w:hint="default" w:ascii="Times New Roman" w:hAnsi="Times New Roman" w:eastAsia="宋体" w:cs="Times New Roman"/>
          <w:color w:val="FF0000"/>
          <w:kern w:val="0"/>
          <w:sz w:val="24"/>
          <w:szCs w:val="24"/>
          <w:lang w:val="en-US" w:eastAsia="zh-CN" w:bidi="ar"/>
        </w:rPr>
        <w:t>、发改、工业和信息化、财政</w:t>
      </w:r>
      <w:r>
        <w:rPr>
          <w:rFonts w:hint="default" w:ascii="Times New Roman" w:hAnsi="Times New Roman" w:eastAsia="宋体" w:cs="Times New Roman"/>
          <w:color w:val="000000"/>
          <w:kern w:val="0"/>
          <w:sz w:val="24"/>
          <w:szCs w:val="24"/>
          <w:lang w:val="en-US" w:eastAsia="zh-CN" w:bidi="ar"/>
        </w:rPr>
        <w:t>等部门参加的秸秆</w:t>
      </w:r>
      <w:r>
        <w:rPr>
          <w:rFonts w:hint="eastAsia" w:cs="Times New Roman"/>
          <w:color w:val="000000"/>
          <w:kern w:val="0"/>
          <w:sz w:val="24"/>
          <w:szCs w:val="24"/>
          <w:lang w:val="en-US" w:eastAsia="zh-CN" w:bidi="ar"/>
        </w:rPr>
        <w:t>垃圾</w:t>
      </w:r>
      <w:r>
        <w:rPr>
          <w:rFonts w:hint="default" w:ascii="Times New Roman" w:hAnsi="Times New Roman" w:eastAsia="宋体" w:cs="Times New Roman"/>
          <w:color w:val="000000"/>
          <w:kern w:val="0"/>
          <w:sz w:val="24"/>
          <w:szCs w:val="24"/>
          <w:lang w:val="en-US" w:eastAsia="zh-CN" w:bidi="ar"/>
        </w:rPr>
        <w:t>露天禁烧和综合利用工作协调机制，协调解决本行政区域秸秆</w:t>
      </w:r>
      <w:r>
        <w:rPr>
          <w:rFonts w:hint="eastAsia" w:cs="Times New Roman"/>
          <w:color w:val="000000"/>
          <w:kern w:val="0"/>
          <w:sz w:val="24"/>
          <w:szCs w:val="24"/>
          <w:lang w:val="en-US" w:eastAsia="zh-CN" w:bidi="ar"/>
        </w:rPr>
        <w:t>垃圾</w:t>
      </w:r>
      <w:r>
        <w:rPr>
          <w:rFonts w:hint="default" w:ascii="Times New Roman" w:hAnsi="Times New Roman" w:eastAsia="宋体" w:cs="Times New Roman"/>
          <w:color w:val="000000"/>
          <w:kern w:val="0"/>
          <w:sz w:val="24"/>
          <w:szCs w:val="24"/>
          <w:lang w:val="en-US" w:eastAsia="zh-CN" w:bidi="ar"/>
        </w:rPr>
        <w:t>露天禁烧和综合利用重大事项。</w:t>
      </w:r>
    </w:p>
    <w:p>
      <w:pPr>
        <w:keepNext w:val="0"/>
        <w:keepLines w:val="0"/>
        <w:widowControl/>
        <w:suppressLineNumbers w:val="0"/>
        <w:jc w:val="left"/>
        <w:rPr>
          <w:rFonts w:hint="default" w:ascii="Times New Roman" w:hAnsi="Times New Roman" w:eastAsia="宋体" w:cs="Times New Roman"/>
          <w:color w:val="000000"/>
          <w:kern w:val="0"/>
          <w:sz w:val="24"/>
          <w:szCs w:val="24"/>
          <w:lang w:val="en-US" w:eastAsia="zh-CN" w:bidi="ar"/>
        </w:rPr>
      </w:pPr>
      <w:r>
        <w:rPr>
          <w:rFonts w:hint="eastAsia" w:cs="Times New Roman"/>
          <w:color w:val="FF0000"/>
          <w:kern w:val="0"/>
          <w:sz w:val="24"/>
          <w:szCs w:val="24"/>
          <w:lang w:val="en-US" w:eastAsia="zh-CN" w:bidi="ar"/>
        </w:rPr>
        <w:t>县</w:t>
      </w:r>
      <w:r>
        <w:rPr>
          <w:rFonts w:hint="default" w:ascii="Times New Roman" w:hAnsi="Times New Roman" w:eastAsia="宋体" w:cs="Times New Roman"/>
          <w:color w:val="FF0000"/>
          <w:kern w:val="0"/>
          <w:sz w:val="24"/>
          <w:szCs w:val="24"/>
          <w:lang w:val="en-US" w:eastAsia="zh-CN" w:bidi="ar"/>
        </w:rPr>
        <w:t>农业农村科学技术局</w:t>
      </w:r>
      <w:r>
        <w:rPr>
          <w:rFonts w:hint="eastAsia" w:cs="Times New Roman"/>
          <w:color w:val="FF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 xml:space="preserve">充分发挥现有农作物秸秆综合利用和农业生产废弃物回收利用体系，扶持现有养殖企业和合作社加大秸秆综合利用率，并培育扶持一批农业企业发挥优势，不断提高全县各乡（镇）农作物秸秆综合利用（肥料化、饲料化、基料化）工作，不断提高秸秆综合利用率，从源头上解决农作物秸秆和农业生产废弃物露天焚烧问题。 </w:t>
      </w:r>
    </w:p>
    <w:p>
      <w:pPr>
        <w:keepNext w:val="0"/>
        <w:keepLines w:val="0"/>
        <w:widowControl/>
        <w:suppressLineNumbers w:val="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FF0000"/>
          <w:kern w:val="0"/>
          <w:sz w:val="24"/>
          <w:szCs w:val="24"/>
          <w:lang w:val="en-US" w:eastAsia="zh-CN" w:bidi="ar"/>
        </w:rPr>
        <w:t>县发改局：</w:t>
      </w:r>
      <w:r>
        <w:rPr>
          <w:rFonts w:hint="default" w:ascii="Times New Roman" w:hAnsi="Times New Roman" w:eastAsia="宋体" w:cs="Times New Roman"/>
          <w:color w:val="000000"/>
          <w:kern w:val="0"/>
          <w:sz w:val="24"/>
          <w:szCs w:val="24"/>
          <w:lang w:val="en-US" w:eastAsia="zh-CN" w:bidi="ar"/>
        </w:rPr>
        <w:t>会同县农业农村科学技术局等部门加强秸秆</w:t>
      </w:r>
      <w:r>
        <w:rPr>
          <w:rFonts w:hint="eastAsia" w:cs="Times New Roman"/>
          <w:color w:val="000000"/>
          <w:kern w:val="0"/>
          <w:sz w:val="24"/>
          <w:szCs w:val="24"/>
          <w:lang w:val="en-US" w:eastAsia="zh-CN" w:bidi="ar"/>
        </w:rPr>
        <w:t>垃圾</w:t>
      </w:r>
      <w:r>
        <w:rPr>
          <w:rFonts w:hint="default" w:ascii="Times New Roman" w:hAnsi="Times New Roman" w:eastAsia="宋体" w:cs="Times New Roman"/>
          <w:color w:val="000000"/>
          <w:kern w:val="0"/>
          <w:sz w:val="24"/>
          <w:szCs w:val="24"/>
          <w:lang w:val="en-US" w:eastAsia="zh-CN" w:bidi="ar"/>
        </w:rPr>
        <w:t>综合利用规划指导，积极争取国家和</w:t>
      </w:r>
      <w:r>
        <w:rPr>
          <w:rFonts w:hint="eastAsia" w:cs="Times New Roman"/>
          <w:color w:val="000000"/>
          <w:kern w:val="0"/>
          <w:sz w:val="24"/>
          <w:szCs w:val="24"/>
          <w:lang w:val="en-US" w:eastAsia="zh-CN" w:bidi="ar"/>
        </w:rPr>
        <w:t>省级</w:t>
      </w:r>
      <w:r>
        <w:rPr>
          <w:rFonts w:hint="default" w:ascii="Times New Roman" w:hAnsi="Times New Roman" w:eastAsia="宋体" w:cs="Times New Roman"/>
          <w:color w:val="000000"/>
          <w:kern w:val="0"/>
          <w:sz w:val="24"/>
          <w:szCs w:val="24"/>
          <w:lang w:val="en-US" w:eastAsia="zh-CN" w:bidi="ar"/>
        </w:rPr>
        <w:t>秸秆</w:t>
      </w:r>
      <w:r>
        <w:rPr>
          <w:rFonts w:hint="eastAsia" w:cs="Times New Roman"/>
          <w:color w:val="000000"/>
          <w:kern w:val="0"/>
          <w:sz w:val="24"/>
          <w:szCs w:val="24"/>
          <w:lang w:val="en-US" w:eastAsia="zh-CN" w:bidi="ar"/>
        </w:rPr>
        <w:t>垃圾</w:t>
      </w:r>
      <w:r>
        <w:rPr>
          <w:rFonts w:hint="default" w:ascii="Times New Roman" w:hAnsi="Times New Roman" w:eastAsia="宋体" w:cs="Times New Roman"/>
          <w:color w:val="000000"/>
          <w:kern w:val="0"/>
          <w:sz w:val="24"/>
          <w:szCs w:val="24"/>
          <w:lang w:val="en-US" w:eastAsia="zh-CN" w:bidi="ar"/>
        </w:rPr>
        <w:t xml:space="preserve">综合利用项目资金支持。 </w:t>
      </w:r>
    </w:p>
    <w:p>
      <w:pPr>
        <w:keepNext w:val="0"/>
        <w:keepLines w:val="0"/>
        <w:widowControl/>
        <w:suppressLineNumbers w:val="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县财政局：负责相关资金筹措，整合现有各类资金，支持农作物秸秆</w:t>
      </w:r>
      <w:r>
        <w:rPr>
          <w:rFonts w:hint="eastAsia" w:cs="Times New Roman"/>
          <w:color w:val="000000"/>
          <w:kern w:val="0"/>
          <w:sz w:val="24"/>
          <w:szCs w:val="24"/>
          <w:lang w:val="en-US" w:eastAsia="zh-CN" w:bidi="ar"/>
        </w:rPr>
        <w:t>垃圾</w:t>
      </w:r>
      <w:r>
        <w:rPr>
          <w:rFonts w:hint="default" w:ascii="Times New Roman" w:hAnsi="Times New Roman" w:eastAsia="宋体" w:cs="Times New Roman"/>
          <w:color w:val="000000"/>
          <w:kern w:val="0"/>
          <w:sz w:val="24"/>
          <w:szCs w:val="24"/>
          <w:lang w:val="en-US" w:eastAsia="zh-CN" w:bidi="ar"/>
        </w:rPr>
        <w:t>综合利用。</w:t>
      </w:r>
    </w:p>
    <w:p>
      <w:pPr>
        <w:keepNext w:val="0"/>
        <w:keepLines w:val="0"/>
        <w:widowControl/>
        <w:suppressLineNumbers w:val="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FF0000"/>
          <w:kern w:val="0"/>
          <w:sz w:val="24"/>
          <w:szCs w:val="24"/>
          <w:lang w:val="en-US" w:eastAsia="zh-CN" w:bidi="ar"/>
        </w:rPr>
        <w:t>县教育体育局：</w:t>
      </w:r>
      <w:r>
        <w:rPr>
          <w:rFonts w:hint="default" w:ascii="Times New Roman" w:hAnsi="Times New Roman" w:eastAsia="宋体" w:cs="Times New Roman"/>
          <w:color w:val="000000"/>
          <w:kern w:val="0"/>
          <w:sz w:val="24"/>
          <w:szCs w:val="24"/>
          <w:lang w:val="en-US" w:eastAsia="zh-CN" w:bidi="ar"/>
        </w:rPr>
        <w:t xml:space="preserve">落实县级各学校禁烧工作，将禁烧工作纳入“小手拉大手”活动开展，充分利用校务会、班级会等会议，强化对各类在校学生的宣传教育，倡导学生向家长宣传禁止秸秆、垃圾等废弃物露天焚烧工作。 </w:t>
      </w:r>
    </w:p>
    <w:p>
      <w:pPr>
        <w:keepNext w:val="0"/>
        <w:keepLines w:val="0"/>
        <w:widowControl/>
        <w:suppressLineNumbers w:val="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县自然资源局：加大秸秆</w:t>
      </w:r>
      <w:r>
        <w:rPr>
          <w:rFonts w:hint="eastAsia" w:cs="Times New Roman"/>
          <w:color w:val="000000"/>
          <w:kern w:val="0"/>
          <w:sz w:val="24"/>
          <w:szCs w:val="24"/>
          <w:lang w:val="en-US" w:eastAsia="zh-CN" w:bidi="ar"/>
        </w:rPr>
        <w:t>垃圾</w:t>
      </w:r>
      <w:r>
        <w:rPr>
          <w:rFonts w:hint="default" w:ascii="Times New Roman" w:hAnsi="Times New Roman" w:eastAsia="宋体" w:cs="Times New Roman"/>
          <w:color w:val="000000"/>
          <w:kern w:val="0"/>
          <w:sz w:val="24"/>
          <w:szCs w:val="24"/>
          <w:lang w:val="en-US" w:eastAsia="zh-CN" w:bidi="ar"/>
        </w:rPr>
        <w:t xml:space="preserve">综合利用用地支持力度。 </w:t>
      </w:r>
    </w:p>
    <w:p>
      <w:pPr>
        <w:keepNext w:val="0"/>
        <w:keepLines w:val="0"/>
        <w:widowControl/>
        <w:suppressLineNumbers w:val="0"/>
        <w:jc w:val="left"/>
        <w:rPr>
          <w:rFonts w:hint="default" w:ascii="Times New Roman" w:hAnsi="Times New Roman" w:eastAsia="宋体" w:cs="Times New Roman"/>
          <w:color w:val="000000"/>
          <w:kern w:val="0"/>
          <w:sz w:val="24"/>
          <w:szCs w:val="24"/>
          <w:lang w:val="en-US" w:eastAsia="zh-CN" w:bidi="ar"/>
        </w:rPr>
      </w:pPr>
      <w:r>
        <w:rPr>
          <w:rFonts w:hint="eastAsia" w:cs="Times New Roman"/>
          <w:color w:val="000000"/>
          <w:kern w:val="0"/>
          <w:sz w:val="24"/>
          <w:szCs w:val="24"/>
          <w:lang w:val="en-US" w:eastAsia="zh-CN" w:bidi="ar"/>
        </w:rPr>
        <w:t>州</w:t>
      </w:r>
      <w:r>
        <w:rPr>
          <w:rFonts w:hint="default" w:ascii="Times New Roman" w:hAnsi="Times New Roman" w:eastAsia="宋体" w:cs="Times New Roman"/>
          <w:color w:val="000000"/>
          <w:kern w:val="0"/>
          <w:sz w:val="24"/>
          <w:szCs w:val="24"/>
          <w:lang w:val="en-US" w:eastAsia="zh-CN" w:bidi="ar"/>
        </w:rPr>
        <w:t>生态环境局</w:t>
      </w:r>
      <w:r>
        <w:rPr>
          <w:rFonts w:hint="eastAsia" w:cs="Times New Roman"/>
          <w:color w:val="000000"/>
          <w:kern w:val="0"/>
          <w:sz w:val="24"/>
          <w:szCs w:val="24"/>
          <w:lang w:val="en-US" w:eastAsia="zh-CN" w:bidi="ar"/>
        </w:rPr>
        <w:t>砚山分局</w:t>
      </w:r>
      <w:r>
        <w:rPr>
          <w:rFonts w:hint="default" w:ascii="Times New Roman" w:hAnsi="Times New Roman" w:eastAsia="宋体" w:cs="Times New Roman"/>
          <w:color w:val="000000"/>
          <w:kern w:val="0"/>
          <w:sz w:val="24"/>
          <w:szCs w:val="24"/>
          <w:lang w:val="en-US" w:eastAsia="zh-CN" w:bidi="ar"/>
        </w:rPr>
        <w:t>：指导督促全县依法处理露天焚烧秸秆</w:t>
      </w:r>
      <w:r>
        <w:rPr>
          <w:rFonts w:hint="eastAsia" w:cs="Times New Roman"/>
          <w:color w:val="000000"/>
          <w:kern w:val="0"/>
          <w:sz w:val="24"/>
          <w:szCs w:val="24"/>
          <w:lang w:val="en-US" w:eastAsia="zh-CN" w:bidi="ar"/>
        </w:rPr>
        <w:t>垃圾</w:t>
      </w:r>
      <w:r>
        <w:rPr>
          <w:rFonts w:hint="default" w:ascii="Times New Roman" w:hAnsi="Times New Roman" w:eastAsia="宋体" w:cs="Times New Roman"/>
          <w:color w:val="000000"/>
          <w:kern w:val="0"/>
          <w:sz w:val="24"/>
          <w:szCs w:val="24"/>
          <w:lang w:val="en-US" w:eastAsia="zh-CN" w:bidi="ar"/>
        </w:rPr>
        <w:t>违法行为，协调各乡（镇）、各相关部门做好秸秆</w:t>
      </w:r>
      <w:r>
        <w:rPr>
          <w:rFonts w:hint="eastAsia" w:cs="Times New Roman"/>
          <w:color w:val="000000"/>
          <w:kern w:val="0"/>
          <w:sz w:val="24"/>
          <w:szCs w:val="24"/>
          <w:lang w:val="en-US" w:eastAsia="zh-CN" w:bidi="ar"/>
        </w:rPr>
        <w:t>垃圾</w:t>
      </w:r>
      <w:r>
        <w:rPr>
          <w:rFonts w:hint="default" w:ascii="Times New Roman" w:hAnsi="Times New Roman" w:eastAsia="宋体" w:cs="Times New Roman"/>
          <w:color w:val="000000"/>
          <w:kern w:val="0"/>
          <w:sz w:val="24"/>
          <w:szCs w:val="24"/>
          <w:lang w:val="en-US" w:eastAsia="zh-CN" w:bidi="ar"/>
        </w:rPr>
        <w:t xml:space="preserve">禁烧区域联防联控工作。 </w:t>
      </w:r>
    </w:p>
    <w:p>
      <w:pPr>
        <w:keepNext w:val="0"/>
        <w:keepLines w:val="0"/>
        <w:widowControl/>
        <w:suppressLineNumbers w:val="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 xml:space="preserve">县气象局：负责气象预报遥感监测。 </w:t>
      </w:r>
    </w:p>
    <w:p>
      <w:pPr>
        <w:keepNext w:val="0"/>
        <w:keepLines w:val="0"/>
        <w:widowControl/>
        <w:suppressLineNumbers w:val="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县交通</w:t>
      </w:r>
      <w:r>
        <w:rPr>
          <w:rFonts w:hint="eastAsia" w:cs="Times New Roman"/>
          <w:color w:val="000000"/>
          <w:kern w:val="0"/>
          <w:sz w:val="24"/>
          <w:szCs w:val="24"/>
          <w:lang w:val="en-US" w:eastAsia="zh-CN" w:bidi="ar"/>
        </w:rPr>
        <w:t>运输管理</w:t>
      </w:r>
      <w:r>
        <w:rPr>
          <w:rFonts w:hint="default" w:ascii="Times New Roman" w:hAnsi="Times New Roman" w:eastAsia="宋体" w:cs="Times New Roman"/>
          <w:color w:val="000000"/>
          <w:kern w:val="0"/>
          <w:sz w:val="24"/>
          <w:szCs w:val="24"/>
          <w:lang w:val="en-US" w:eastAsia="zh-CN" w:bidi="ar"/>
        </w:rPr>
        <w:t>局：负责指导做好高速公路、国道、省道、县道两侧秸秆</w:t>
      </w:r>
      <w:r>
        <w:rPr>
          <w:rFonts w:hint="eastAsia" w:cs="Times New Roman"/>
          <w:color w:val="000000"/>
          <w:kern w:val="0"/>
          <w:sz w:val="24"/>
          <w:szCs w:val="24"/>
          <w:lang w:val="en-US" w:eastAsia="zh-CN" w:bidi="ar"/>
        </w:rPr>
        <w:t>垃圾</w:t>
      </w:r>
      <w:r>
        <w:rPr>
          <w:rFonts w:hint="default" w:ascii="Times New Roman" w:hAnsi="Times New Roman" w:eastAsia="宋体" w:cs="Times New Roman"/>
          <w:color w:val="000000"/>
          <w:kern w:val="0"/>
          <w:sz w:val="24"/>
          <w:szCs w:val="24"/>
          <w:lang w:val="en-US" w:eastAsia="zh-CN" w:bidi="ar"/>
        </w:rPr>
        <w:t xml:space="preserve">禁烧宣传和巡查工作。 </w:t>
      </w:r>
    </w:p>
    <w:p>
      <w:pPr>
        <w:keepNext w:val="0"/>
        <w:keepLines w:val="0"/>
        <w:widowControl/>
        <w:suppressLineNumbers w:val="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县公安局：对焚烧秸秆</w:t>
      </w:r>
      <w:r>
        <w:rPr>
          <w:rFonts w:hint="eastAsia" w:cs="Times New Roman"/>
          <w:color w:val="000000"/>
          <w:kern w:val="0"/>
          <w:sz w:val="24"/>
          <w:szCs w:val="24"/>
          <w:lang w:val="en-US" w:eastAsia="zh-CN" w:bidi="ar"/>
        </w:rPr>
        <w:t>垃圾</w:t>
      </w:r>
      <w:r>
        <w:rPr>
          <w:rFonts w:hint="default" w:ascii="Times New Roman" w:hAnsi="Times New Roman" w:eastAsia="宋体" w:cs="Times New Roman"/>
          <w:color w:val="000000"/>
          <w:kern w:val="0"/>
          <w:sz w:val="24"/>
          <w:szCs w:val="24"/>
          <w:lang w:val="en-US" w:eastAsia="zh-CN" w:bidi="ar"/>
        </w:rPr>
        <w:t>造成重大污染事故、财产遭受重大损失或导致人身伤亡的，依法追究有关责任人的责任；对恶意焚烧秸秆</w:t>
      </w:r>
      <w:r>
        <w:rPr>
          <w:rFonts w:hint="eastAsia" w:cs="Times New Roman"/>
          <w:color w:val="000000"/>
          <w:kern w:val="0"/>
          <w:sz w:val="24"/>
          <w:szCs w:val="24"/>
          <w:lang w:val="en-US" w:eastAsia="zh-CN" w:bidi="ar"/>
        </w:rPr>
        <w:t>垃圾</w:t>
      </w:r>
      <w:r>
        <w:rPr>
          <w:rFonts w:hint="default" w:ascii="Times New Roman" w:hAnsi="Times New Roman" w:eastAsia="宋体" w:cs="Times New Roman"/>
          <w:color w:val="000000"/>
          <w:kern w:val="0"/>
          <w:sz w:val="24"/>
          <w:szCs w:val="24"/>
          <w:lang w:val="en-US" w:eastAsia="zh-CN" w:bidi="ar"/>
        </w:rPr>
        <w:t xml:space="preserve">造成一定社会影响的，从严、从快、从重予以依法处理。 </w:t>
      </w:r>
    </w:p>
    <w:p>
      <w:pPr>
        <w:keepNext w:val="0"/>
        <w:keepLines w:val="0"/>
        <w:widowControl/>
        <w:suppressLineNumbers w:val="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县委宣传部：加强对秸秆</w:t>
      </w:r>
      <w:r>
        <w:rPr>
          <w:rFonts w:hint="eastAsia" w:cs="Times New Roman"/>
          <w:color w:val="000000"/>
          <w:kern w:val="0"/>
          <w:sz w:val="24"/>
          <w:szCs w:val="24"/>
          <w:lang w:val="en-US" w:eastAsia="zh-CN" w:bidi="ar"/>
        </w:rPr>
        <w:t>垃圾</w:t>
      </w:r>
      <w:r>
        <w:rPr>
          <w:rFonts w:hint="default" w:ascii="Times New Roman" w:hAnsi="Times New Roman" w:eastAsia="宋体" w:cs="Times New Roman"/>
          <w:color w:val="000000"/>
          <w:kern w:val="0"/>
          <w:sz w:val="24"/>
          <w:szCs w:val="24"/>
          <w:lang w:val="en-US" w:eastAsia="zh-CN" w:bidi="ar"/>
        </w:rPr>
        <w:t>禁烧与农作物秸秆</w:t>
      </w:r>
      <w:r>
        <w:rPr>
          <w:rFonts w:hint="eastAsia" w:cs="Times New Roman"/>
          <w:color w:val="000000"/>
          <w:kern w:val="0"/>
          <w:sz w:val="24"/>
          <w:szCs w:val="24"/>
          <w:lang w:val="en-US" w:eastAsia="zh-CN" w:bidi="ar"/>
        </w:rPr>
        <w:t>垃圾</w:t>
      </w:r>
      <w:r>
        <w:rPr>
          <w:rFonts w:hint="default" w:ascii="Times New Roman" w:hAnsi="Times New Roman" w:eastAsia="宋体" w:cs="Times New Roman"/>
          <w:color w:val="000000"/>
          <w:kern w:val="0"/>
          <w:sz w:val="24"/>
          <w:szCs w:val="24"/>
          <w:lang w:val="en-US" w:eastAsia="zh-CN" w:bidi="ar"/>
        </w:rPr>
        <w:t>综合利用的宣传工作。在全县营造“露天焚烧秸秆</w:t>
      </w:r>
      <w:r>
        <w:rPr>
          <w:rFonts w:hint="eastAsia" w:cs="Times New Roman"/>
          <w:color w:val="000000"/>
          <w:kern w:val="0"/>
          <w:sz w:val="24"/>
          <w:szCs w:val="24"/>
          <w:lang w:val="en-US" w:eastAsia="zh-CN" w:bidi="ar"/>
        </w:rPr>
        <w:t>垃圾</w:t>
      </w:r>
      <w:r>
        <w:rPr>
          <w:rFonts w:hint="default" w:ascii="Times New Roman" w:hAnsi="Times New Roman" w:eastAsia="宋体" w:cs="Times New Roman"/>
          <w:color w:val="000000"/>
          <w:kern w:val="0"/>
          <w:sz w:val="24"/>
          <w:szCs w:val="24"/>
          <w:lang w:val="en-US" w:eastAsia="zh-CN" w:bidi="ar"/>
        </w:rPr>
        <w:t xml:space="preserve">违法，综合利用利国利民”的舆论氛围。 </w:t>
      </w:r>
    </w:p>
    <w:p>
      <w:pPr>
        <w:keepNext w:val="0"/>
        <w:keepLines w:val="0"/>
        <w:widowControl/>
        <w:suppressLineNumbers w:val="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县消防大队：配合宣传部门做好禁烧期间防火宣传，并做好禁烧期间的巡查和消除火灾工作,严格按照《消防法》从重处理由焚烧垃圾和秸秆</w:t>
      </w:r>
      <w:r>
        <w:rPr>
          <w:rFonts w:hint="eastAsia" w:cs="Times New Roman"/>
          <w:color w:val="000000"/>
          <w:kern w:val="0"/>
          <w:sz w:val="24"/>
          <w:szCs w:val="24"/>
          <w:lang w:val="en-US" w:eastAsia="zh-CN" w:bidi="ar"/>
        </w:rPr>
        <w:t>垃圾</w:t>
      </w:r>
      <w:r>
        <w:rPr>
          <w:rFonts w:hint="default" w:ascii="Times New Roman" w:hAnsi="Times New Roman" w:eastAsia="宋体" w:cs="Times New Roman"/>
          <w:color w:val="000000"/>
          <w:kern w:val="0"/>
          <w:sz w:val="24"/>
          <w:szCs w:val="24"/>
          <w:lang w:val="en-US" w:eastAsia="zh-CN" w:bidi="ar"/>
        </w:rPr>
        <w:t>造成的火灾事故。</w:t>
      </w:r>
    </w:p>
    <w:p>
      <w:pPr>
        <w:keepNext w:val="0"/>
        <w:keepLines w:val="0"/>
        <w:widowControl/>
        <w:suppressLineNumbers w:val="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各乡（镇）人民政府：按照“属地管理、源头控制”的原则，开展辖区内秸秆和垃圾禁烧宣传工作，对发现的秸秆和垃圾焚烧行为进行制止、核实并及时报告县生态环境局。配合县直各相关部门开展秸秆和垃圾禁燃工作。</w:t>
      </w:r>
    </w:p>
    <w:p>
      <w:pPr>
        <w:pStyle w:val="5"/>
        <w:rPr>
          <w:rFonts w:hint="default" w:cs="Times New Roman" w:eastAsiaTheme="minorEastAsia"/>
          <w:color w:val="000000"/>
          <w:sz w:val="28"/>
          <w:szCs w:val="28"/>
          <w:lang w:val="en-US" w:eastAsia="zh-CN"/>
        </w:rPr>
      </w:pPr>
      <w:r>
        <w:rPr>
          <w:rFonts w:hint="default" w:cs="Times New Roman" w:eastAsiaTheme="minorEastAsia"/>
          <w:color w:val="000000"/>
          <w:sz w:val="28"/>
          <w:szCs w:val="28"/>
          <w:lang w:val="en-US" w:eastAsia="zh-CN"/>
        </w:rPr>
        <w:t>强化督促考核</w:t>
      </w:r>
    </w:p>
    <w:p>
      <w:pPr>
        <w:keepNext w:val="0"/>
        <w:keepLines w:val="0"/>
        <w:widowControl/>
        <w:suppressLineNumbers w:val="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按照属地管理，分级负责的原则，全面落实县、乡、村“三级”的督查考核机制。健全和落实督查考核奖惩机制，强化考核结果运用。各乡（镇）、各相关部门要成立秸秆</w:t>
      </w:r>
      <w:r>
        <w:rPr>
          <w:rFonts w:hint="eastAsia" w:cs="Times New Roman"/>
          <w:color w:val="000000"/>
          <w:kern w:val="0"/>
          <w:sz w:val="24"/>
          <w:szCs w:val="24"/>
          <w:lang w:val="en-US" w:eastAsia="zh-CN" w:bidi="ar"/>
        </w:rPr>
        <w:t>垃圾</w:t>
      </w:r>
      <w:r>
        <w:rPr>
          <w:rFonts w:hint="default" w:ascii="Times New Roman" w:hAnsi="Times New Roman" w:eastAsia="宋体" w:cs="Times New Roman"/>
          <w:color w:val="000000"/>
          <w:kern w:val="0"/>
          <w:sz w:val="24"/>
          <w:szCs w:val="24"/>
          <w:lang w:val="en-US" w:eastAsia="zh-CN" w:bidi="ar"/>
        </w:rPr>
        <w:t>禁烧工作小组负责秸秆禁烧工作日常事务并每周向县生态环境部门报送秸秆</w:t>
      </w:r>
      <w:r>
        <w:rPr>
          <w:rFonts w:hint="eastAsia" w:cs="Times New Roman"/>
          <w:color w:val="000000"/>
          <w:kern w:val="0"/>
          <w:sz w:val="24"/>
          <w:szCs w:val="24"/>
          <w:lang w:val="en-US" w:eastAsia="zh-CN" w:bidi="ar"/>
        </w:rPr>
        <w:t>垃圾</w:t>
      </w:r>
      <w:r>
        <w:rPr>
          <w:rFonts w:hint="default" w:ascii="Times New Roman" w:hAnsi="Times New Roman" w:eastAsia="宋体" w:cs="Times New Roman"/>
          <w:color w:val="000000"/>
          <w:kern w:val="0"/>
          <w:sz w:val="24"/>
          <w:szCs w:val="24"/>
          <w:lang w:val="en-US" w:eastAsia="zh-CN" w:bidi="ar"/>
        </w:rPr>
        <w:t xml:space="preserve">禁烧工作总结及佐证材料。各乡（镇）组建巡查队，由乡（镇）干部领队巡查，对户外焚烧现象要予以制止。对禁烧工作不力，导致我县被上级通报的相关责任单位和事由，由县环委办行文至县分管领导审批同意后，转县委县政府督查和绩效考评办按程序发文在全县范围内进行通报。对大气污染防治工作落实不到位，造成环境污染的单位，由县人民政府采取问责预警、约谈等措施，情节严重的，进行通报批评并严肃问责。 </w:t>
      </w:r>
    </w:p>
    <w:p>
      <w:pPr>
        <w:pStyle w:val="5"/>
        <w:rPr>
          <w:rFonts w:hint="default" w:cs="Times New Roman" w:eastAsiaTheme="minorEastAsia"/>
          <w:color w:val="000000"/>
          <w:sz w:val="28"/>
          <w:szCs w:val="28"/>
          <w:lang w:val="en-US" w:eastAsia="zh-CN"/>
        </w:rPr>
      </w:pPr>
      <w:r>
        <w:rPr>
          <w:rFonts w:hint="default" w:cs="Times New Roman" w:eastAsiaTheme="minorEastAsia"/>
          <w:color w:val="000000"/>
          <w:sz w:val="28"/>
          <w:szCs w:val="28"/>
          <w:lang w:val="en-US" w:eastAsia="zh-CN"/>
        </w:rPr>
        <w:t>注重宣传引导</w:t>
      </w:r>
    </w:p>
    <w:p>
      <w:pPr>
        <w:keepNext w:val="0"/>
        <w:keepLines w:val="0"/>
        <w:widowControl/>
        <w:suppressLineNumbers w:val="0"/>
        <w:jc w:val="left"/>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
        </w:rPr>
        <w:t>各乡（镇）、各部门要采取宣传车、悬挂宣传横幅、张贴宣传单、刷写标语 和召开村民大会等形式广泛宣传动员群众，大力宣传焚烧秸秆的危害和秸秆</w:t>
      </w:r>
      <w:r>
        <w:rPr>
          <w:rFonts w:hint="eastAsia" w:cs="Times New Roman"/>
          <w:color w:val="000000"/>
          <w:kern w:val="0"/>
          <w:sz w:val="24"/>
          <w:szCs w:val="24"/>
          <w:lang w:val="en-US" w:eastAsia="zh-CN" w:bidi="ar"/>
        </w:rPr>
        <w:t>垃圾</w:t>
      </w:r>
      <w:r>
        <w:rPr>
          <w:rFonts w:hint="default" w:ascii="Times New Roman" w:hAnsi="Times New Roman" w:eastAsia="宋体" w:cs="Times New Roman"/>
          <w:color w:val="000000"/>
          <w:kern w:val="0"/>
          <w:sz w:val="24"/>
          <w:szCs w:val="24"/>
          <w:lang w:val="en-US" w:eastAsia="zh-CN" w:bidi="ar"/>
        </w:rPr>
        <w:t>综合利用的益处，切实增强农民群众的主动参与意识。宣传秸秆</w:t>
      </w:r>
      <w:r>
        <w:rPr>
          <w:rFonts w:hint="eastAsia" w:cs="Times New Roman"/>
          <w:color w:val="000000"/>
          <w:kern w:val="0"/>
          <w:sz w:val="24"/>
          <w:szCs w:val="24"/>
          <w:lang w:val="en-US" w:eastAsia="zh-CN" w:bidi="ar"/>
        </w:rPr>
        <w:t>垃圾</w:t>
      </w:r>
      <w:r>
        <w:rPr>
          <w:rFonts w:hint="default" w:ascii="Times New Roman" w:hAnsi="Times New Roman" w:eastAsia="宋体" w:cs="Times New Roman"/>
          <w:color w:val="000000"/>
          <w:kern w:val="0"/>
          <w:sz w:val="24"/>
          <w:szCs w:val="24"/>
          <w:lang w:val="en-US" w:eastAsia="zh-CN" w:bidi="ar"/>
        </w:rPr>
        <w:t>禁烧的相关法律法规和政策要求，充分发动群众监督秸秆</w:t>
      </w:r>
      <w:r>
        <w:rPr>
          <w:rFonts w:hint="eastAsia" w:cs="Times New Roman"/>
          <w:color w:val="000000"/>
          <w:kern w:val="0"/>
          <w:sz w:val="24"/>
          <w:szCs w:val="24"/>
          <w:lang w:val="en-US" w:eastAsia="zh-CN" w:bidi="ar"/>
        </w:rPr>
        <w:t>垃圾</w:t>
      </w:r>
      <w:r>
        <w:rPr>
          <w:rFonts w:hint="default" w:ascii="Times New Roman" w:hAnsi="Times New Roman" w:eastAsia="宋体" w:cs="Times New Roman"/>
          <w:color w:val="000000"/>
          <w:kern w:val="0"/>
          <w:sz w:val="24"/>
          <w:szCs w:val="24"/>
          <w:lang w:val="en-US" w:eastAsia="zh-CN" w:bidi="ar"/>
        </w:rPr>
        <w:t>禁烧工作，鼓励举报焚烧秸秆</w:t>
      </w:r>
      <w:r>
        <w:rPr>
          <w:rFonts w:hint="eastAsia" w:cs="Times New Roman"/>
          <w:color w:val="000000"/>
          <w:kern w:val="0"/>
          <w:sz w:val="24"/>
          <w:szCs w:val="24"/>
          <w:lang w:val="en-US" w:eastAsia="zh-CN" w:bidi="ar"/>
        </w:rPr>
        <w:t>垃圾</w:t>
      </w:r>
      <w:r>
        <w:rPr>
          <w:rFonts w:hint="default" w:ascii="Times New Roman" w:hAnsi="Times New Roman" w:eastAsia="宋体" w:cs="Times New Roman"/>
          <w:color w:val="000000"/>
          <w:kern w:val="0"/>
          <w:sz w:val="24"/>
          <w:szCs w:val="24"/>
          <w:lang w:val="en-US" w:eastAsia="zh-CN" w:bidi="ar"/>
        </w:rPr>
        <w:t>行为，并对秸秆</w:t>
      </w:r>
      <w:r>
        <w:rPr>
          <w:rFonts w:hint="eastAsia" w:cs="Times New Roman"/>
          <w:color w:val="000000"/>
          <w:kern w:val="0"/>
          <w:sz w:val="24"/>
          <w:szCs w:val="24"/>
          <w:lang w:val="en-US" w:eastAsia="zh-CN" w:bidi="ar"/>
        </w:rPr>
        <w:t>垃圾</w:t>
      </w:r>
      <w:r>
        <w:rPr>
          <w:rFonts w:hint="default" w:ascii="Times New Roman" w:hAnsi="Times New Roman" w:eastAsia="宋体" w:cs="Times New Roman"/>
          <w:color w:val="000000"/>
          <w:kern w:val="0"/>
          <w:sz w:val="24"/>
          <w:szCs w:val="24"/>
          <w:lang w:val="en-US" w:eastAsia="zh-CN" w:bidi="ar"/>
        </w:rPr>
        <w:t xml:space="preserve">焚烧严重地区予以曝光。 </w:t>
      </w:r>
    </w:p>
    <w:p>
      <w:pPr>
        <w:pStyle w:val="2"/>
        <w:numPr>
          <w:ilvl w:val="0"/>
          <w:numId w:val="0"/>
        </w:numPr>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pStyle w:val="2"/>
        <w:widowControl w:val="0"/>
        <w:numPr>
          <w:ilvl w:val="0"/>
          <w:numId w:val="0"/>
        </w:numPr>
        <w:autoSpaceDE w:val="0"/>
        <w:autoSpaceDN w:val="0"/>
        <w:adjustRightInd w:val="0"/>
        <w:rPr>
          <w:rFonts w:hint="default" w:ascii="Times New Roman" w:hAnsi="Times New Roman" w:cs="Times New Roman"/>
          <w:lang w:val="en-US" w:eastAsia="zh-CN"/>
        </w:rPr>
      </w:pPr>
    </w:p>
    <w:p>
      <w:pPr>
        <w:pStyle w:val="2"/>
        <w:widowControl w:val="0"/>
        <w:numPr>
          <w:ilvl w:val="0"/>
          <w:numId w:val="0"/>
        </w:numPr>
        <w:autoSpaceDE w:val="0"/>
        <w:autoSpaceDN w:val="0"/>
        <w:adjustRightInd w:val="0"/>
        <w:rPr>
          <w:rFonts w:hint="default" w:ascii="Times New Roman" w:hAnsi="Times New Roman" w:cs="Times New Roman"/>
          <w:lang w:val="en-US" w:eastAsia="zh-CN"/>
        </w:rPr>
      </w:pPr>
    </w:p>
    <w:p>
      <w:pPr>
        <w:pStyle w:val="2"/>
        <w:widowControl w:val="0"/>
        <w:numPr>
          <w:ilvl w:val="0"/>
          <w:numId w:val="0"/>
        </w:numPr>
        <w:autoSpaceDE w:val="0"/>
        <w:autoSpaceDN w:val="0"/>
        <w:adjustRightInd w:val="0"/>
        <w:rPr>
          <w:rFonts w:hint="default" w:ascii="Times New Roman" w:hAnsi="Times New Roman" w:cs="Times New Roman"/>
          <w:lang w:val="en-US" w:eastAsia="zh-CN"/>
        </w:rPr>
      </w:pPr>
    </w:p>
    <w:p>
      <w:pPr>
        <w:pStyle w:val="2"/>
        <w:widowControl w:val="0"/>
        <w:numPr>
          <w:ilvl w:val="0"/>
          <w:numId w:val="0"/>
        </w:numPr>
        <w:autoSpaceDE w:val="0"/>
        <w:autoSpaceDN w:val="0"/>
        <w:adjustRightInd w:val="0"/>
        <w:rPr>
          <w:rFonts w:hint="default" w:ascii="Times New Roman" w:hAnsi="Times New Roman" w:cs="Times New Roman"/>
          <w:lang w:val="en-US" w:eastAsia="zh-CN"/>
        </w:rPr>
      </w:pPr>
    </w:p>
    <w:p>
      <w:pPr>
        <w:rPr>
          <w:rFonts w:hint="default" w:ascii="Times New Roman" w:hAnsi="Times New Roman" w:cs="Times New Roman" w:eastAsiaTheme="minorEastAsia"/>
          <w:color w:val="000000"/>
          <w:lang w:val="en-US" w:eastAsia="zh-CN"/>
        </w:rPr>
      </w:pPr>
    </w:p>
    <w:p>
      <w:pPr>
        <w:pStyle w:val="2"/>
        <w:rPr>
          <w:rFonts w:hint="default" w:ascii="Times New Roman" w:hAnsi="Times New Roman" w:cs="Times New Roman"/>
          <w:lang w:val="en-US" w:eastAsia="zh-CN"/>
        </w:rPr>
        <w:sectPr>
          <w:pgSz w:w="11906" w:h="16838"/>
          <w:pgMar w:top="1440" w:right="1797" w:bottom="1440" w:left="1797" w:header="851" w:footer="992" w:gutter="0"/>
          <w:cols w:space="720" w:num="1"/>
          <w:docGrid w:type="lines" w:linePitch="312" w:charSpace="0"/>
        </w:sectPr>
      </w:pPr>
    </w:p>
    <w:p>
      <w:pPr>
        <w:ind w:firstLine="0" w:firstLineChars="0"/>
        <w:jc w:val="center"/>
        <w:rPr>
          <w:rFonts w:hint="default" w:ascii="Times New Roman" w:hAnsi="Times New Roman" w:cs="Times New Roman" w:eastAsiaTheme="minorEastAsia"/>
          <w:lang w:eastAsia="zh-CN"/>
        </w:rPr>
      </w:pPr>
      <w:r>
        <w:rPr>
          <w:rFonts w:hint="default" w:ascii="Times New Roman" w:hAnsi="Times New Roman" w:cs="Times New Roman"/>
          <w:lang w:val="en-US" w:eastAsia="zh-CN"/>
        </w:rPr>
        <w:drawing>
          <wp:anchor distT="0" distB="0" distL="114300" distR="114300" simplePos="0" relativeHeight="251659264" behindDoc="0" locked="0" layoutInCell="1" allowOverlap="1">
            <wp:simplePos x="0" y="0"/>
            <wp:positionH relativeFrom="column">
              <wp:posOffset>1255395</wp:posOffset>
            </wp:positionH>
            <wp:positionV relativeFrom="paragraph">
              <wp:posOffset>6985</wp:posOffset>
            </wp:positionV>
            <wp:extent cx="10874375" cy="7689850"/>
            <wp:effectExtent l="0" t="0" r="3175" b="6350"/>
            <wp:wrapNone/>
            <wp:docPr id="4" name="图片 4" descr="附图1：砚山县秸秆垃圾禁烧区范围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附图1：砚山县秸秆垃圾禁烧区范围图"/>
                    <pic:cNvPicPr>
                      <a:picLocks noChangeAspect="1"/>
                    </pic:cNvPicPr>
                  </pic:nvPicPr>
                  <pic:blipFill>
                    <a:blip r:embed="rId15"/>
                    <a:stretch>
                      <a:fillRect/>
                    </a:stretch>
                  </pic:blipFill>
                  <pic:spPr>
                    <a:xfrm>
                      <a:off x="0" y="0"/>
                      <a:ext cx="10874375" cy="7689850"/>
                    </a:xfrm>
                    <a:prstGeom prst="rect">
                      <a:avLst/>
                    </a:prstGeom>
                  </pic:spPr>
                </pic:pic>
              </a:graphicData>
            </a:graphic>
          </wp:anchor>
        </w:drawing>
      </w:r>
    </w:p>
    <w:p>
      <w:pPr>
        <w:pStyle w:val="2"/>
        <w:jc w:val="center"/>
        <w:rPr>
          <w:rFonts w:hint="default" w:ascii="Times New Roman" w:hAnsi="Times New Roman" w:cs="Times New Roman"/>
          <w:lang w:val="en-US" w:eastAsia="zh-CN"/>
        </w:rPr>
      </w:pPr>
    </w:p>
    <w:p>
      <w:pPr>
        <w:tabs>
          <w:tab w:val="left" w:pos="4195"/>
        </w:tabs>
        <w:bidi w:val="0"/>
        <w:jc w:val="both"/>
        <w:rPr>
          <w:rFonts w:hint="default" w:ascii="Times New Roman" w:hAnsi="Times New Roman" w:cs="Times New Roman"/>
          <w:lang w:val="en-US" w:eastAsia="zh-CN"/>
        </w:rPr>
      </w:pPr>
    </w:p>
    <w:p>
      <w:pPr>
        <w:tabs>
          <w:tab w:val="left" w:pos="4195"/>
        </w:tabs>
        <w:bidi w:val="0"/>
        <w:jc w:val="center"/>
        <w:rPr>
          <w:rFonts w:hint="default" w:ascii="Times New Roman" w:hAnsi="Times New Roman" w:cs="Times New Roman" w:eastAsiaTheme="minorEastAsia"/>
          <w:b/>
          <w:bCs/>
          <w:sz w:val="32"/>
          <w:szCs w:val="32"/>
          <w:lang w:val="en-US" w:eastAsia="zh-CN"/>
        </w:rPr>
      </w:pPr>
    </w:p>
    <w:p>
      <w:pPr>
        <w:tabs>
          <w:tab w:val="left" w:pos="4195"/>
        </w:tabs>
        <w:bidi w:val="0"/>
        <w:jc w:val="center"/>
        <w:rPr>
          <w:rFonts w:hint="default" w:ascii="Times New Roman" w:hAnsi="Times New Roman" w:cs="Times New Roman" w:eastAsiaTheme="minorEastAsia"/>
          <w:b/>
          <w:bCs/>
          <w:sz w:val="32"/>
          <w:szCs w:val="32"/>
          <w:lang w:val="en-US" w:eastAsia="zh-CN"/>
        </w:rPr>
      </w:pPr>
    </w:p>
    <w:p>
      <w:pPr>
        <w:tabs>
          <w:tab w:val="left" w:pos="4195"/>
        </w:tabs>
        <w:bidi w:val="0"/>
        <w:jc w:val="center"/>
        <w:rPr>
          <w:rFonts w:hint="default" w:ascii="Times New Roman" w:hAnsi="Times New Roman" w:cs="Times New Roman" w:eastAsiaTheme="minorEastAsia"/>
          <w:b/>
          <w:bCs/>
          <w:sz w:val="32"/>
          <w:szCs w:val="32"/>
          <w:lang w:val="en-US" w:eastAsia="zh-CN"/>
        </w:rPr>
      </w:pPr>
    </w:p>
    <w:p>
      <w:pPr>
        <w:tabs>
          <w:tab w:val="left" w:pos="4195"/>
        </w:tabs>
        <w:bidi w:val="0"/>
        <w:jc w:val="center"/>
        <w:rPr>
          <w:rFonts w:hint="default" w:ascii="Times New Roman" w:hAnsi="Times New Roman" w:cs="Times New Roman" w:eastAsiaTheme="minorEastAsia"/>
          <w:b/>
          <w:bCs/>
          <w:sz w:val="32"/>
          <w:szCs w:val="32"/>
          <w:lang w:val="en-US" w:eastAsia="zh-CN"/>
        </w:rPr>
      </w:pPr>
    </w:p>
    <w:p>
      <w:pPr>
        <w:tabs>
          <w:tab w:val="left" w:pos="4195"/>
        </w:tabs>
        <w:bidi w:val="0"/>
        <w:jc w:val="center"/>
        <w:rPr>
          <w:rFonts w:hint="default" w:ascii="Times New Roman" w:hAnsi="Times New Roman" w:cs="Times New Roman" w:eastAsiaTheme="minorEastAsia"/>
          <w:b/>
          <w:bCs/>
          <w:sz w:val="32"/>
          <w:szCs w:val="32"/>
          <w:lang w:val="en-US" w:eastAsia="zh-CN"/>
        </w:rPr>
      </w:pPr>
    </w:p>
    <w:p>
      <w:pPr>
        <w:tabs>
          <w:tab w:val="left" w:pos="4195"/>
        </w:tabs>
        <w:bidi w:val="0"/>
        <w:jc w:val="center"/>
        <w:rPr>
          <w:rFonts w:hint="default" w:ascii="Times New Roman" w:hAnsi="Times New Roman" w:cs="Times New Roman" w:eastAsiaTheme="minorEastAsia"/>
          <w:b/>
          <w:bCs/>
          <w:sz w:val="32"/>
          <w:szCs w:val="32"/>
          <w:lang w:val="en-US" w:eastAsia="zh-CN"/>
        </w:rPr>
      </w:pPr>
    </w:p>
    <w:p>
      <w:pPr>
        <w:tabs>
          <w:tab w:val="left" w:pos="4195"/>
        </w:tabs>
        <w:bidi w:val="0"/>
        <w:jc w:val="center"/>
        <w:rPr>
          <w:rFonts w:hint="default" w:ascii="Times New Roman" w:hAnsi="Times New Roman" w:cs="Times New Roman" w:eastAsiaTheme="minorEastAsia"/>
          <w:b/>
          <w:bCs/>
          <w:sz w:val="32"/>
          <w:szCs w:val="32"/>
          <w:lang w:val="en-US" w:eastAsia="zh-CN"/>
        </w:rPr>
      </w:pPr>
    </w:p>
    <w:p>
      <w:pPr>
        <w:tabs>
          <w:tab w:val="left" w:pos="4195"/>
        </w:tabs>
        <w:bidi w:val="0"/>
        <w:jc w:val="center"/>
        <w:rPr>
          <w:rFonts w:hint="default" w:ascii="Times New Roman" w:hAnsi="Times New Roman" w:cs="Times New Roman" w:eastAsiaTheme="minorEastAsia"/>
          <w:b/>
          <w:bCs/>
          <w:sz w:val="32"/>
          <w:szCs w:val="32"/>
          <w:lang w:val="en-US" w:eastAsia="zh-CN"/>
        </w:rPr>
      </w:pPr>
    </w:p>
    <w:p>
      <w:pPr>
        <w:tabs>
          <w:tab w:val="left" w:pos="4195"/>
        </w:tabs>
        <w:bidi w:val="0"/>
        <w:jc w:val="center"/>
        <w:rPr>
          <w:rFonts w:hint="default" w:ascii="Times New Roman" w:hAnsi="Times New Roman" w:cs="Times New Roman" w:eastAsiaTheme="minorEastAsia"/>
          <w:b/>
          <w:bCs/>
          <w:sz w:val="32"/>
          <w:szCs w:val="32"/>
          <w:lang w:val="en-US" w:eastAsia="zh-CN"/>
        </w:rPr>
      </w:pPr>
    </w:p>
    <w:p>
      <w:pPr>
        <w:tabs>
          <w:tab w:val="left" w:pos="4195"/>
        </w:tabs>
        <w:bidi w:val="0"/>
        <w:jc w:val="center"/>
        <w:rPr>
          <w:rFonts w:hint="default" w:ascii="Times New Roman" w:hAnsi="Times New Roman" w:cs="Times New Roman" w:eastAsiaTheme="minorEastAsia"/>
          <w:b/>
          <w:bCs/>
          <w:sz w:val="32"/>
          <w:szCs w:val="32"/>
          <w:lang w:val="en-US" w:eastAsia="zh-CN"/>
        </w:rPr>
      </w:pPr>
    </w:p>
    <w:p>
      <w:pPr>
        <w:tabs>
          <w:tab w:val="left" w:pos="4195"/>
        </w:tabs>
        <w:bidi w:val="0"/>
        <w:jc w:val="center"/>
        <w:rPr>
          <w:rFonts w:hint="default" w:ascii="Times New Roman" w:hAnsi="Times New Roman" w:cs="Times New Roman" w:eastAsiaTheme="minorEastAsia"/>
          <w:b/>
          <w:bCs/>
          <w:sz w:val="32"/>
          <w:szCs w:val="32"/>
          <w:lang w:val="en-US" w:eastAsia="zh-CN"/>
        </w:rPr>
      </w:pPr>
    </w:p>
    <w:p>
      <w:pPr>
        <w:tabs>
          <w:tab w:val="left" w:pos="4195"/>
        </w:tabs>
        <w:bidi w:val="0"/>
        <w:jc w:val="center"/>
        <w:rPr>
          <w:rFonts w:hint="default" w:ascii="Times New Roman" w:hAnsi="Times New Roman" w:cs="Times New Roman" w:eastAsiaTheme="minorEastAsia"/>
          <w:b/>
          <w:bCs/>
          <w:sz w:val="32"/>
          <w:szCs w:val="32"/>
          <w:lang w:val="en-US" w:eastAsia="zh-CN"/>
        </w:rPr>
      </w:pPr>
    </w:p>
    <w:p>
      <w:pPr>
        <w:tabs>
          <w:tab w:val="left" w:pos="4195"/>
        </w:tabs>
        <w:bidi w:val="0"/>
        <w:jc w:val="center"/>
        <w:rPr>
          <w:rFonts w:hint="default" w:ascii="Times New Roman" w:hAnsi="Times New Roman" w:cs="Times New Roman" w:eastAsiaTheme="minorEastAsia"/>
          <w:b/>
          <w:bCs/>
          <w:sz w:val="32"/>
          <w:szCs w:val="32"/>
          <w:lang w:val="en-US" w:eastAsia="zh-CN"/>
        </w:rPr>
      </w:pPr>
    </w:p>
    <w:p>
      <w:pPr>
        <w:tabs>
          <w:tab w:val="left" w:pos="4195"/>
        </w:tabs>
        <w:bidi w:val="0"/>
        <w:jc w:val="center"/>
        <w:rPr>
          <w:rFonts w:hint="default" w:ascii="Times New Roman" w:hAnsi="Times New Roman" w:cs="Times New Roman" w:eastAsiaTheme="minorEastAsia"/>
          <w:b/>
          <w:bCs/>
          <w:sz w:val="32"/>
          <w:szCs w:val="32"/>
          <w:lang w:val="en-US" w:eastAsia="zh-CN"/>
        </w:rPr>
      </w:pPr>
    </w:p>
    <w:p>
      <w:pPr>
        <w:tabs>
          <w:tab w:val="left" w:pos="4195"/>
        </w:tabs>
        <w:bidi w:val="0"/>
        <w:jc w:val="center"/>
        <w:rPr>
          <w:rFonts w:hint="default" w:ascii="Times New Roman" w:hAnsi="Times New Roman" w:cs="Times New Roman" w:eastAsiaTheme="minorEastAsia"/>
          <w:b/>
          <w:bCs/>
          <w:sz w:val="32"/>
          <w:szCs w:val="32"/>
          <w:lang w:val="en-US" w:eastAsia="zh-CN"/>
        </w:rPr>
      </w:pPr>
    </w:p>
    <w:p>
      <w:pPr>
        <w:tabs>
          <w:tab w:val="left" w:pos="4195"/>
        </w:tabs>
        <w:bidi w:val="0"/>
        <w:jc w:val="center"/>
        <w:rPr>
          <w:rFonts w:hint="default" w:ascii="Times New Roman" w:hAnsi="Times New Roman" w:cs="Times New Roman" w:eastAsiaTheme="minorEastAsia"/>
          <w:b/>
          <w:bCs/>
          <w:sz w:val="32"/>
          <w:szCs w:val="32"/>
          <w:lang w:val="en-US" w:eastAsia="zh-CN"/>
        </w:rPr>
      </w:pPr>
    </w:p>
    <w:p>
      <w:pPr>
        <w:tabs>
          <w:tab w:val="left" w:pos="4195"/>
        </w:tabs>
        <w:bidi w:val="0"/>
        <w:jc w:val="center"/>
        <w:rPr>
          <w:rFonts w:hint="default" w:ascii="Times New Roman" w:hAnsi="Times New Roman" w:cs="Times New Roman" w:eastAsiaTheme="minorEastAsia"/>
          <w:b/>
          <w:bCs/>
          <w:sz w:val="32"/>
          <w:szCs w:val="32"/>
          <w:lang w:val="en-US" w:eastAsia="zh-CN"/>
        </w:rPr>
      </w:pPr>
    </w:p>
    <w:p>
      <w:pPr>
        <w:tabs>
          <w:tab w:val="left" w:pos="4195"/>
        </w:tabs>
        <w:bidi w:val="0"/>
        <w:jc w:val="center"/>
        <w:rPr>
          <w:rFonts w:hint="default" w:ascii="Times New Roman" w:hAnsi="Times New Roman" w:cs="Times New Roman" w:eastAsiaTheme="minorEastAsia"/>
          <w:b/>
          <w:bCs/>
          <w:lang w:val="en-US" w:eastAsia="zh-CN"/>
        </w:rPr>
      </w:pPr>
      <w:r>
        <w:rPr>
          <w:rFonts w:hint="default" w:ascii="Times New Roman" w:hAnsi="Times New Roman" w:cs="Times New Roman" w:eastAsiaTheme="minorEastAsia"/>
          <w:b/>
          <w:bCs/>
          <w:sz w:val="32"/>
          <w:szCs w:val="32"/>
          <w:lang w:val="en-US" w:eastAsia="zh-CN"/>
        </w:rPr>
        <w:t>附图   砚山县秸秆垃圾等禁烧区和限烧区范围图</w:t>
      </w:r>
    </w:p>
    <w:sectPr>
      <w:pgSz w:w="23811" w:h="16838" w:orient="landscape"/>
      <w:pgMar w:top="1797" w:right="1440" w:bottom="1797" w:left="144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Light">
    <w:altName w:val="宋体"/>
    <w:panose1 w:val="02010600030101010101"/>
    <w:charset w:val="86"/>
    <w:family w:val="auto"/>
    <w:pitch w:val="default"/>
    <w:sig w:usb0="00000000" w:usb1="00000000" w:usb2="00000016" w:usb3="00000000" w:csb0="0004000F" w:csb1="00000000"/>
  </w:font>
  <w:font w:name="方正仿宋_GBK">
    <w:panose1 w:val="03000509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right" w:y="1"/>
      <w:ind w:firstLine="360"/>
      <w:rPr>
        <w:rStyle w:val="14"/>
      </w:rPr>
    </w:pPr>
    <w:r>
      <w:fldChar w:fldCharType="begin"/>
    </w:r>
    <w:r>
      <w:rPr>
        <w:rStyle w:val="14"/>
      </w:rPr>
      <w:instrText xml:space="preserve">PAGE  </w:instrText>
    </w:r>
    <w:r>
      <w:fldChar w:fldCharType="end"/>
    </w:r>
  </w:p>
  <w:p>
    <w:pPr>
      <w:pStyle w:val="6"/>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jc w:val="center"/>
    </w:pPr>
    <w:r>
      <w:fldChar w:fldCharType="begin"/>
    </w:r>
    <w:r>
      <w:instrText xml:space="preserve">PAGE   \* MERGEFORMAT</w:instrText>
    </w:r>
    <w:r>
      <w:fldChar w:fldCharType="separate"/>
    </w:r>
    <w:r>
      <w:rPr>
        <w:lang w:val="zh-CN"/>
      </w:rPr>
      <w:t>II</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jc w:val="center"/>
    </w:pPr>
    <w:r>
      <w:fldChar w:fldCharType="begin"/>
    </w:r>
    <w:r>
      <w:instrText xml:space="preserve">PAGE   \* MERGEFORMAT</w:instrText>
    </w:r>
    <w:r>
      <w:fldChar w:fldCharType="separate"/>
    </w:r>
    <w:r>
      <w:rPr>
        <w:lang w:val="zh-CN"/>
      </w:rPr>
      <w:t>2</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Chars="0"/>
      <w:rPr>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7945462"/>
    <w:multiLevelType w:val="singleLevel"/>
    <w:tmpl w:val="B7945462"/>
    <w:lvl w:ilvl="0" w:tentative="0">
      <w:start w:val="1"/>
      <w:numFmt w:val="decimal"/>
      <w:suff w:val="nothing"/>
      <w:lvlText w:val="（%1）"/>
      <w:lvlJc w:val="left"/>
    </w:lvl>
  </w:abstractNum>
  <w:abstractNum w:abstractNumId="1">
    <w:nsid w:val="05F68F41"/>
    <w:multiLevelType w:val="singleLevel"/>
    <w:tmpl w:val="05F68F41"/>
    <w:lvl w:ilvl="0" w:tentative="0">
      <w:start w:val="1"/>
      <w:numFmt w:val="decimal"/>
      <w:suff w:val="nothing"/>
      <w:lvlText w:val="（%1）"/>
      <w:lvlJc w:val="left"/>
    </w:lvl>
  </w:abstractNum>
  <w:abstractNum w:abstractNumId="2">
    <w:nsid w:val="0E4212F7"/>
    <w:multiLevelType w:val="singleLevel"/>
    <w:tmpl w:val="0E4212F7"/>
    <w:lvl w:ilvl="0" w:tentative="0">
      <w:start w:val="1"/>
      <w:numFmt w:val="decimal"/>
      <w:suff w:val="nothing"/>
      <w:lvlText w:val="（%1）"/>
      <w:lvlJc w:val="left"/>
    </w:lvl>
  </w:abstractNum>
  <w:abstractNum w:abstractNumId="3">
    <w:nsid w:val="34AAFCD0"/>
    <w:multiLevelType w:val="singleLevel"/>
    <w:tmpl w:val="34AAFCD0"/>
    <w:lvl w:ilvl="0" w:tentative="0">
      <w:start w:val="1"/>
      <w:numFmt w:val="decimal"/>
      <w:suff w:val="nothing"/>
      <w:lvlText w:val="（%1）"/>
      <w:lvlJc w:val="left"/>
    </w:lvl>
  </w:abstractNum>
  <w:abstractNum w:abstractNumId="4">
    <w:nsid w:val="6164098C"/>
    <w:multiLevelType w:val="multilevel"/>
    <w:tmpl w:val="6164098C"/>
    <w:lvl w:ilvl="0" w:tentative="0">
      <w:start w:val="1"/>
      <w:numFmt w:val="decimal"/>
      <w:pStyle w:val="3"/>
      <w:suff w:val="space"/>
      <w:lvlText w:val="第%1章"/>
      <w:lvlJc w:val="center"/>
      <w:pPr>
        <w:ind w:left="0" w:firstLine="0"/>
      </w:pPr>
      <w:rPr>
        <w:rFonts w:hint="eastAsia"/>
      </w:rPr>
    </w:lvl>
    <w:lvl w:ilvl="1" w:tentative="0">
      <w:start w:val="1"/>
      <w:numFmt w:val="decimal"/>
      <w:pStyle w:val="4"/>
      <w:suff w:val="space"/>
      <w:lvlText w:val="%1.%2"/>
      <w:lvlJc w:val="left"/>
      <w:pPr>
        <w:ind w:left="0" w:firstLine="0"/>
      </w:pPr>
      <w:rPr>
        <w:rFonts w:hint="eastAsia"/>
      </w:rPr>
    </w:lvl>
    <w:lvl w:ilvl="2" w:tentative="0">
      <w:start w:val="1"/>
      <w:numFmt w:val="decimal"/>
      <w:pStyle w:val="5"/>
      <w:suff w:val="space"/>
      <w:lvlText w:val="%1.%2.%3"/>
      <w:lvlJc w:val="left"/>
      <w:pPr>
        <w:ind w:left="0" w:firstLine="0"/>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5">
    <w:nsid w:val="6C4B3B80"/>
    <w:multiLevelType w:val="singleLevel"/>
    <w:tmpl w:val="6C4B3B80"/>
    <w:lvl w:ilvl="0" w:tentative="0">
      <w:start w:val="2"/>
      <w:numFmt w:val="decimal"/>
      <w:suff w:val="nothing"/>
      <w:lvlText w:val="（%1）"/>
      <w:lvlJc w:val="left"/>
    </w:lvl>
  </w:abstractNum>
  <w:num w:numId="1">
    <w:abstractNumId w:val="4"/>
  </w:num>
  <w:num w:numId="2">
    <w:abstractNumId w:val="1"/>
  </w:num>
  <w:num w:numId="3">
    <w:abstractNumId w:val="5"/>
  </w:num>
  <w:num w:numId="4">
    <w:abstractNumId w:val="2"/>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A8B4D8B"/>
    <w:rsid w:val="00583FDA"/>
    <w:rsid w:val="00BA396A"/>
    <w:rsid w:val="00BD1FEE"/>
    <w:rsid w:val="00DD3CE2"/>
    <w:rsid w:val="01096E50"/>
    <w:rsid w:val="03640A07"/>
    <w:rsid w:val="041C7692"/>
    <w:rsid w:val="04CD71F6"/>
    <w:rsid w:val="05DE2817"/>
    <w:rsid w:val="07033ABE"/>
    <w:rsid w:val="07B42BE9"/>
    <w:rsid w:val="09BA16F2"/>
    <w:rsid w:val="0A971895"/>
    <w:rsid w:val="0BB32CFF"/>
    <w:rsid w:val="0C6048CE"/>
    <w:rsid w:val="0E663479"/>
    <w:rsid w:val="0ECE51ED"/>
    <w:rsid w:val="14C32392"/>
    <w:rsid w:val="193F706C"/>
    <w:rsid w:val="19EB0B0C"/>
    <w:rsid w:val="1A6F2B32"/>
    <w:rsid w:val="1BC57500"/>
    <w:rsid w:val="1CBF5EFF"/>
    <w:rsid w:val="1E7D4433"/>
    <w:rsid w:val="1E8964AD"/>
    <w:rsid w:val="1F0F49C6"/>
    <w:rsid w:val="20154596"/>
    <w:rsid w:val="217031E4"/>
    <w:rsid w:val="219159E9"/>
    <w:rsid w:val="21EA0F90"/>
    <w:rsid w:val="25983CF4"/>
    <w:rsid w:val="260441F1"/>
    <w:rsid w:val="27254448"/>
    <w:rsid w:val="285F5DD7"/>
    <w:rsid w:val="29AF2A94"/>
    <w:rsid w:val="2A8B4D8B"/>
    <w:rsid w:val="2B9430BB"/>
    <w:rsid w:val="2CF24356"/>
    <w:rsid w:val="2DAF25A6"/>
    <w:rsid w:val="34907008"/>
    <w:rsid w:val="34D81B14"/>
    <w:rsid w:val="35B14641"/>
    <w:rsid w:val="35F407A4"/>
    <w:rsid w:val="36952D56"/>
    <w:rsid w:val="39407254"/>
    <w:rsid w:val="3A3F6A5A"/>
    <w:rsid w:val="3CB16260"/>
    <w:rsid w:val="3FBA4417"/>
    <w:rsid w:val="4015438D"/>
    <w:rsid w:val="41522147"/>
    <w:rsid w:val="45C77517"/>
    <w:rsid w:val="48A373E2"/>
    <w:rsid w:val="492C099F"/>
    <w:rsid w:val="4AF3340E"/>
    <w:rsid w:val="540767E3"/>
    <w:rsid w:val="5604354B"/>
    <w:rsid w:val="58072FA7"/>
    <w:rsid w:val="592670EB"/>
    <w:rsid w:val="5C2970E5"/>
    <w:rsid w:val="5D40299A"/>
    <w:rsid w:val="5D41681F"/>
    <w:rsid w:val="5EB27AB2"/>
    <w:rsid w:val="605A490F"/>
    <w:rsid w:val="618741B1"/>
    <w:rsid w:val="621C0C67"/>
    <w:rsid w:val="62BD77FB"/>
    <w:rsid w:val="66481C44"/>
    <w:rsid w:val="66DF6689"/>
    <w:rsid w:val="6A4A79FB"/>
    <w:rsid w:val="6BE371A6"/>
    <w:rsid w:val="6BFE7BC2"/>
    <w:rsid w:val="6D036F40"/>
    <w:rsid w:val="6D4D5659"/>
    <w:rsid w:val="6F071283"/>
    <w:rsid w:val="6F2E7BD0"/>
    <w:rsid w:val="6F795A7A"/>
    <w:rsid w:val="70775261"/>
    <w:rsid w:val="7115447B"/>
    <w:rsid w:val="71401FAB"/>
    <w:rsid w:val="73EA1D0E"/>
    <w:rsid w:val="766374B9"/>
    <w:rsid w:val="7B7517F2"/>
    <w:rsid w:val="7DCB691C"/>
    <w:rsid w:val="7E1926C8"/>
    <w:rsid w:val="7FC15E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ascii="Times New Roman" w:hAnsi="Times New Roman" w:eastAsia="宋体" w:cs="Times New Roman"/>
      <w:kern w:val="2"/>
      <w:sz w:val="28"/>
      <w:szCs w:val="24"/>
      <w:lang w:val="en-US" w:eastAsia="zh-CN" w:bidi="ar-SA"/>
    </w:rPr>
  </w:style>
  <w:style w:type="paragraph" w:styleId="3">
    <w:name w:val="heading 1"/>
    <w:basedOn w:val="1"/>
    <w:next w:val="1"/>
    <w:qFormat/>
    <w:uiPriority w:val="0"/>
    <w:pPr>
      <w:keepNext/>
      <w:keepLines/>
      <w:numPr>
        <w:ilvl w:val="0"/>
        <w:numId w:val="1"/>
      </w:numPr>
      <w:spacing w:before="340" w:after="330" w:line="578" w:lineRule="auto"/>
      <w:ind w:firstLineChars="0"/>
      <w:jc w:val="center"/>
      <w:outlineLvl w:val="0"/>
    </w:pPr>
    <w:rPr>
      <w:b/>
      <w:bCs/>
      <w:kern w:val="44"/>
      <w:sz w:val="32"/>
      <w:szCs w:val="44"/>
    </w:rPr>
  </w:style>
  <w:style w:type="paragraph" w:styleId="4">
    <w:name w:val="heading 2"/>
    <w:basedOn w:val="1"/>
    <w:next w:val="1"/>
    <w:unhideWhenUsed/>
    <w:qFormat/>
    <w:uiPriority w:val="0"/>
    <w:pPr>
      <w:keepNext/>
      <w:keepLines/>
      <w:numPr>
        <w:ilvl w:val="1"/>
        <w:numId w:val="1"/>
      </w:numPr>
      <w:spacing w:before="260" w:after="260"/>
      <w:ind w:firstLineChars="0"/>
      <w:jc w:val="left"/>
      <w:outlineLvl w:val="1"/>
    </w:pPr>
    <w:rPr>
      <w:rFonts w:ascii="等线 Light" w:hAnsi="等线 Light"/>
      <w:b/>
      <w:bCs/>
      <w:sz w:val="30"/>
      <w:szCs w:val="32"/>
    </w:rPr>
  </w:style>
  <w:style w:type="paragraph" w:styleId="5">
    <w:name w:val="heading 3"/>
    <w:basedOn w:val="1"/>
    <w:next w:val="1"/>
    <w:unhideWhenUsed/>
    <w:qFormat/>
    <w:uiPriority w:val="0"/>
    <w:pPr>
      <w:keepNext/>
      <w:keepLines/>
      <w:numPr>
        <w:ilvl w:val="2"/>
        <w:numId w:val="1"/>
      </w:numPr>
      <w:spacing w:before="260" w:after="260" w:line="416" w:lineRule="auto"/>
      <w:ind w:firstLineChars="0"/>
      <w:outlineLvl w:val="2"/>
    </w:pPr>
    <w:rPr>
      <w:b/>
      <w:bCs/>
      <w:sz w:val="32"/>
      <w:szCs w:val="32"/>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黑体" w:hAnsi="Calibri" w:eastAsia="黑体" w:cs="Times New Roman"/>
      <w:color w:val="000000"/>
      <w:sz w:val="24"/>
      <w:szCs w:val="24"/>
      <w:lang w:val="en-US" w:eastAsia="zh-CN" w:bidi="ar-SA"/>
    </w:rPr>
  </w:style>
  <w:style w:type="paragraph" w:styleId="6">
    <w:name w:val="footer"/>
    <w:basedOn w:val="1"/>
    <w:qFormat/>
    <w:uiPriority w:val="99"/>
    <w:pPr>
      <w:tabs>
        <w:tab w:val="center" w:pos="4153"/>
        <w:tab w:val="right" w:pos="8306"/>
      </w:tabs>
      <w:snapToGrid w:val="0"/>
      <w:jc w:val="left"/>
    </w:pPr>
    <w:rPr>
      <w:sz w:val="18"/>
      <w:szCs w:val="18"/>
    </w:rPr>
  </w:style>
  <w:style w:type="paragraph" w:styleId="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8">
    <w:name w:val="toc 1"/>
    <w:basedOn w:val="1"/>
    <w:next w:val="1"/>
    <w:qFormat/>
    <w:uiPriority w:val="39"/>
    <w:pPr>
      <w:tabs>
        <w:tab w:val="right" w:leader="dot" w:pos="8302"/>
      </w:tabs>
      <w:ind w:firstLine="0" w:firstLineChars="0"/>
      <w:jc w:val="center"/>
    </w:pPr>
    <w:rPr>
      <w:b/>
      <w:szCs w:val="36"/>
    </w:rPr>
  </w:style>
  <w:style w:type="paragraph" w:styleId="9">
    <w:name w:val="toc 2"/>
    <w:basedOn w:val="1"/>
    <w:next w:val="1"/>
    <w:qFormat/>
    <w:uiPriority w:val="39"/>
    <w:pPr>
      <w:tabs>
        <w:tab w:val="right" w:leader="dot" w:pos="8302"/>
      </w:tabs>
      <w:spacing w:line="240" w:lineRule="auto"/>
      <w:ind w:left="420" w:leftChars="150" w:firstLine="199" w:firstLineChars="83"/>
    </w:pPr>
    <w:rPr>
      <w:sz w:val="24"/>
    </w:rPr>
  </w:style>
  <w:style w:type="paragraph" w:styleId="10">
    <w:name w:val="Normal (Web)"/>
    <w:basedOn w:val="1"/>
    <w:qFormat/>
    <w:uiPriority w:val="0"/>
    <w:pPr>
      <w:spacing w:before="0" w:beforeAutospacing="1" w:after="0" w:afterAutospacing="1"/>
      <w:ind w:left="0" w:right="0"/>
      <w:jc w:val="left"/>
    </w:pPr>
    <w:rPr>
      <w:kern w:val="0"/>
      <w:sz w:val="24"/>
      <w:lang w:val="en-US" w:eastAsia="zh-CN" w:bidi="ar"/>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page number"/>
    <w:basedOn w:val="13"/>
    <w:qFormat/>
    <w:uiPriority w:val="0"/>
  </w:style>
  <w:style w:type="character" w:customStyle="1" w:styleId="15">
    <w:name w:val="font01"/>
    <w:basedOn w:val="13"/>
    <w:qFormat/>
    <w:uiPriority w:val="0"/>
    <w:rPr>
      <w:rFonts w:ascii="方正仿宋_GBK" w:hAnsi="方正仿宋_GBK" w:eastAsia="方正仿宋_GBK" w:cs="方正仿宋_GBK"/>
      <w:color w:val="000000"/>
      <w:sz w:val="22"/>
      <w:szCs w:val="22"/>
      <w:u w:val="none"/>
    </w:rPr>
  </w:style>
  <w:style w:type="character" w:customStyle="1" w:styleId="16">
    <w:name w:val="font11"/>
    <w:basedOn w:val="13"/>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jpeg"/><Relationship Id="rId14" Type="http://schemas.openxmlformats.org/officeDocument/2006/relationships/image" Target="media/image2.jpeg"/><Relationship Id="rId13" Type="http://schemas.openxmlformats.org/officeDocument/2006/relationships/image" Target="media/image1.emf"/><Relationship Id="rId12" Type="http://schemas.openxmlformats.org/officeDocument/2006/relationships/oleObject" Target="embeddings/oleObject1.bin"/><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1028</Words>
  <Characters>5860</Characters>
  <Lines>48</Lines>
  <Paragraphs>13</Paragraphs>
  <TotalTime>63</TotalTime>
  <ScaleCrop>false</ScaleCrop>
  <LinksUpToDate>false</LinksUpToDate>
  <CharactersWithSpaces>6875</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2022-01-19T03:18:00Z</dcterms:created>
  <dc:creator>小时候果</dc:creator>
  <cp:lastModifiedBy>theFates丿</cp:lastModifiedBy>
  <dcterms:modified xsi:type="dcterms:W3CDTF">2023-07-18T12:53:42Z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FFCA4A9475D544A4BD14852797200251</vt:lpwstr>
  </property>
  <property fmtid="{D5CDD505-2E9C-101B-9397-08002B2CF9AE}" pid="4" name="KSOSaveFontToCloudKey">
    <vt:lpwstr>1031890355_cloud</vt:lpwstr>
  </property>
</Properties>
</file>