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r>
        <w:rPr>
          <w:rFonts w:hint="eastAsia"/>
          <w:lang w:eastAsia="zh-CN"/>
        </w:rPr>
        <w:t>2020年</w:t>
      </w:r>
      <w:r>
        <w:rPr>
          <w:rFonts w:hint="eastAsia"/>
        </w:rPr>
        <w:t>砚山县</w:t>
      </w:r>
      <w:r>
        <w:rPr>
          <w:rFonts w:hint="eastAsia"/>
          <w:lang w:eastAsia="zh-CN"/>
        </w:rPr>
        <w:t>上级转移支付</w:t>
      </w:r>
      <w:r>
        <w:rPr>
          <w:rFonts w:hint="eastAsia"/>
        </w:rPr>
        <w:t>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砚山县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2020年一般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公共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预算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86737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万元、返还性收入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5938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万元、上级一般性转移支付补助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250209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万元、上年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结转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结余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607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专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项转移支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付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补助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44240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万元，调入资金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45000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万元，债券转贷收入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19655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一般公共预算支出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414416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万元，上解支出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18372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补充预算周转金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-312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万元，债券还本支出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19125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万元，安排预算稳定调节基金363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与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地方财政可用财力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452386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万元相抵，收大于支，结余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422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万元，其中：结转下年支出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422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做到了收支平衡。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其中：砚山县2020年上级税收返还和转移支付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300387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114.3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返还性收入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返还性收入决算数为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5938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78.7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所得税基数返还收入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670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增值税税收返还收入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1771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增值税“五五分享”税收返还收入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4205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其他返还性收入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-708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-78.7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0"/>
          <w:szCs w:val="30"/>
        </w:rPr>
        <w:t>一般性转移支付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一般性转移支付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决算数为250209万元，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113.5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均衡性转移支付收入决算数为58096万元，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101.7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县级基本财力保障机制奖补资金收入决算数为20300万元，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546.7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结算补助收入决算数为7791万元，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120.6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产粮(油)大县奖励资金收入决算数为1865万元，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107.4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重点生态功能区转移支付收入决算数为1971万元，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56.7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固定数额补助收入决算数为21023万元，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民族地区转移支付收入决算数为3050万元，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148.8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贫困地区转移支付收入决算数为7991万元，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112.8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公共安全共同财政事权转移支付收入决算数为1469万元，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122.2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教育共同财政事权转移支付收入决算数为54616万元，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200.9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文化旅游体育与传媒共同财政事权转移支付收入决算数为354万元，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143.9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社会保障和就业共同财政事权转移支付收入决算数为23190万元，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126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医疗卫生共同财政事权转移支付收入决算数为29239万元，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105.9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节能环保共同财政事权转移支付收入决算数为4566万元，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93.1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农林水共同财政事权转移支付收入决算数为11712万元，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75.2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交通运输共同财政事权转移支付收入决算数为643万元，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43.2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住房保障共同财政事权转移支付收入决算数为1602万元，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7.7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灾害防治及应急管理共同财政事权转移支付收入决算数为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400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上年同期无此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转移支付收入。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其他一般性转移支付收入决算数为331万元，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271.3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1"/>
        <w:jc w:val="both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二、专项转移支付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专项转移支付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决算数为44240万元，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127.2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一般公共服务决算数为788万元，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121.6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国防决算数为28万元，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107.7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公共安全决算数为843万元，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296.8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教育决算数为1125万元，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61.9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科学技术决算数为321万元，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69.3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文化旅游体育与传媒决算数为1227万元，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424.6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社会保障和就业决算数为1252万元，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35.4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卫生健康决算数为2189万元，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171.6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节能环保决算数为2860万元，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130.2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城乡社区决算数为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1898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1898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农林水决算数为16773万元，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94.4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交通运输决算数为1199万元，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47.1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资源勘探信息等决算数为8915万元，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997.2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商业服务业等决算数为649万元，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324.5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金融决算数为121万元，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上年同期无此专项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转移支付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自然资源海洋气象等决算数为44万元，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18.9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住房保障决算数为3227万元，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152.1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粮油物资储备决算数为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297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上年同期无此专项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转移支付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灾害防治及应急管理决算数为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470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上年同期无此专项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转移支付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1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其他收入决算数为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万元，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为上年决算数的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3.7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%。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A49D7"/>
    <w:multiLevelType w:val="singleLevel"/>
    <w:tmpl w:val="815A49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91A01E4"/>
    <w:multiLevelType w:val="singleLevel"/>
    <w:tmpl w:val="891A01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385D5B"/>
    <w:multiLevelType w:val="singleLevel"/>
    <w:tmpl w:val="7D385D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308"/>
    <w:rsid w:val="00065573"/>
    <w:rsid w:val="003D6427"/>
    <w:rsid w:val="004537E6"/>
    <w:rsid w:val="0059451C"/>
    <w:rsid w:val="00707032"/>
    <w:rsid w:val="008A7308"/>
    <w:rsid w:val="00927166"/>
    <w:rsid w:val="00B93394"/>
    <w:rsid w:val="00C7125D"/>
    <w:rsid w:val="00D33FDF"/>
    <w:rsid w:val="00D856F1"/>
    <w:rsid w:val="01247725"/>
    <w:rsid w:val="048773FC"/>
    <w:rsid w:val="05135C34"/>
    <w:rsid w:val="05A95BB1"/>
    <w:rsid w:val="0A321BD5"/>
    <w:rsid w:val="0AB77FBE"/>
    <w:rsid w:val="0EBE0044"/>
    <w:rsid w:val="193D6CC4"/>
    <w:rsid w:val="1E336362"/>
    <w:rsid w:val="30CA041B"/>
    <w:rsid w:val="33044018"/>
    <w:rsid w:val="3B7708E2"/>
    <w:rsid w:val="3B86794D"/>
    <w:rsid w:val="3C6E619E"/>
    <w:rsid w:val="3D9E5A1F"/>
    <w:rsid w:val="4CA914F0"/>
    <w:rsid w:val="4CFB7B0E"/>
    <w:rsid w:val="54DD739A"/>
    <w:rsid w:val="6B374A43"/>
    <w:rsid w:val="6BB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exact"/>
      <w:ind w:firstLine="189" w:firstLineChars="189"/>
    </w:pPr>
    <w:rPr>
      <w:rFonts w:cs="Times New Roman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line="240" w:lineRule="auto"/>
      <w:ind w:firstLine="0" w:firstLineChars="0"/>
      <w:outlineLvl w:val="1"/>
    </w:pPr>
    <w:rPr>
      <w:rFonts w:ascii="宋体" w:hAnsi="宋体" w:eastAsia="宋体" w:cs="宋体"/>
      <w:b/>
      <w:bCs/>
      <w:snapToGrid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semiHidden/>
    <w:unhideWhenUsed/>
    <w:qFormat/>
    <w:uiPriority w:val="99"/>
    <w:pPr>
      <w:widowControl/>
      <w:spacing w:line="240" w:lineRule="auto"/>
      <w:ind w:firstLine="0" w:firstLineChars="0"/>
    </w:pPr>
    <w:rPr>
      <w:rFonts w:ascii="宋体" w:hAnsi="宋体" w:eastAsia="宋体" w:cs="宋体"/>
      <w:snapToGrid/>
      <w:sz w:val="24"/>
      <w:szCs w:val="24"/>
    </w:rPr>
  </w:style>
  <w:style w:type="character" w:customStyle="1" w:styleId="12">
    <w:name w:val="标题 2 Char"/>
    <w:basedOn w:val="11"/>
    <w:link w:val="3"/>
    <w:qFormat/>
    <w:uiPriority w:val="9"/>
    <w:rPr>
      <w:rFonts w:ascii="宋体" w:hAnsi="宋体" w:eastAsia="宋体" w:cs="宋体"/>
      <w:b/>
      <w:bCs/>
      <w:snapToGrid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16</Pages>
  <Words>914</Words>
  <Characters>5214</Characters>
  <Lines>43</Lines>
  <Paragraphs>12</Paragraphs>
  <TotalTime>10</TotalTime>
  <ScaleCrop>false</ScaleCrop>
  <LinksUpToDate>false</LinksUpToDate>
  <CharactersWithSpaces>6116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2020-09-14T07:44:00Z</dcterms:created>
  <dc:creator>田玉竹</dc:creator>
  <cp:lastModifiedBy>龙必文</cp:lastModifiedBy>
  <dcterms:modified xsi:type="dcterms:W3CDTF">2021-10-08T08:27:26Z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D817E8D71C474B6D894DD9219D0C572D</vt:lpwstr>
  </property>
</Properties>
</file>