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cstheme="minorEastAsia"/>
          <w:b/>
          <w:bCs/>
          <w:sz w:val="36"/>
          <w:szCs w:val="36"/>
          <w:highlight w:val="none"/>
        </w:rPr>
      </w:pPr>
    </w:p>
    <w:p>
      <w:pPr>
        <w:jc w:val="center"/>
        <w:rPr>
          <w:rFonts w:hint="eastAsia"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b/>
          <w:bCs/>
          <w:sz w:val="36"/>
          <w:szCs w:val="36"/>
          <w:highlight w:val="none"/>
        </w:rPr>
        <w:t>文山州砚山县</w:t>
      </w:r>
      <w:r>
        <w:rPr>
          <w:rFonts w:hint="eastAsia" w:asciiTheme="minorEastAsia" w:hAnsiTheme="minorEastAsia" w:cstheme="minorEastAsia"/>
          <w:b/>
          <w:bCs/>
          <w:sz w:val="36"/>
          <w:szCs w:val="36"/>
          <w:highlight w:val="none"/>
          <w:lang w:val="en-US" w:eastAsia="zh-CN"/>
        </w:rPr>
        <w:t>阿猛镇黑龙</w:t>
      </w:r>
      <w:r>
        <w:rPr>
          <w:rFonts w:hint="eastAsia" w:asciiTheme="minorEastAsia" w:hAnsiTheme="minorEastAsia" w:eastAsiaTheme="minorEastAsia" w:cstheme="minorEastAsia"/>
          <w:b/>
          <w:bCs/>
          <w:sz w:val="36"/>
          <w:szCs w:val="36"/>
          <w:highlight w:val="none"/>
        </w:rPr>
        <w:t>潭饮用水</w:t>
      </w:r>
    </w:p>
    <w:p>
      <w:pPr>
        <w:jc w:val="center"/>
        <w:rPr>
          <w:rFonts w:hint="eastAsia"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b/>
          <w:bCs/>
          <w:sz w:val="36"/>
          <w:szCs w:val="36"/>
          <w:highlight w:val="none"/>
        </w:rPr>
        <w:t>水源保护区划定方案</w:t>
      </w:r>
    </w:p>
    <w:p>
      <w:pPr>
        <w:jc w:val="center"/>
        <w:rPr>
          <w:rFonts w:hint="eastAsia" w:asciiTheme="minorEastAsia" w:hAnsiTheme="minorEastAsia" w:eastAsiaTheme="minorEastAsia" w:cstheme="minorEastAsia"/>
          <w:b/>
          <w:bCs/>
          <w:sz w:val="36"/>
          <w:szCs w:val="36"/>
          <w:highlight w:val="none"/>
        </w:rPr>
      </w:pPr>
      <w:r>
        <w:rPr>
          <w:rFonts w:hint="eastAsia" w:asciiTheme="minorEastAsia" w:hAnsiTheme="minorEastAsia" w:eastAsiaTheme="minorEastAsia" w:cstheme="minorEastAsia"/>
          <w:b/>
          <w:bCs/>
          <w:sz w:val="36"/>
          <w:szCs w:val="36"/>
          <w:highlight w:val="none"/>
        </w:rPr>
        <w:t>（</w:t>
      </w:r>
      <w:r>
        <w:rPr>
          <w:rFonts w:hint="eastAsia" w:asciiTheme="minorEastAsia" w:hAnsiTheme="minorEastAsia" w:cstheme="minorEastAsia"/>
          <w:b/>
          <w:bCs/>
          <w:sz w:val="36"/>
          <w:szCs w:val="36"/>
          <w:highlight w:val="none"/>
          <w:lang w:val="en-US" w:eastAsia="zh-CN"/>
        </w:rPr>
        <w:t>简本</w:t>
      </w:r>
      <w:r>
        <w:rPr>
          <w:rFonts w:hint="eastAsia" w:asciiTheme="minorEastAsia" w:hAnsiTheme="minorEastAsia" w:eastAsiaTheme="minorEastAsia" w:cstheme="minorEastAsia"/>
          <w:b/>
          <w:bCs/>
          <w:sz w:val="36"/>
          <w:szCs w:val="36"/>
          <w:highlight w:val="none"/>
        </w:rPr>
        <w:t>）</w:t>
      </w: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jc w:val="center"/>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砚山县人民政府</w:t>
      </w:r>
    </w:p>
    <w:p>
      <w:pPr>
        <w:jc w:val="center"/>
        <w:rPr>
          <w:rFonts w:hint="eastAsia" w:ascii="Times New Roman" w:hAnsi="Times New Roman" w:eastAsia="宋体" w:cs="Times New Roman"/>
          <w:b/>
          <w:bCs/>
          <w:sz w:val="32"/>
          <w:szCs w:val="32"/>
          <w:lang w:val="en-US" w:eastAsia="zh-CN"/>
        </w:rPr>
      </w:pPr>
      <w:r>
        <w:rPr>
          <w:rFonts w:hint="eastAsia" w:asciiTheme="minorEastAsia" w:hAnsiTheme="minorEastAsia" w:eastAsiaTheme="minorEastAsia" w:cstheme="minorEastAsia"/>
          <w:b/>
          <w:bCs/>
          <w:sz w:val="30"/>
          <w:szCs w:val="30"/>
          <w:highlight w:val="none"/>
        </w:rPr>
        <w:t>20</w:t>
      </w:r>
      <w:r>
        <w:rPr>
          <w:rFonts w:hint="eastAsia" w:asciiTheme="minorEastAsia" w:hAnsiTheme="minorEastAsia" w:cstheme="minorEastAsia"/>
          <w:b/>
          <w:bCs/>
          <w:sz w:val="30"/>
          <w:szCs w:val="30"/>
          <w:highlight w:val="none"/>
          <w:lang w:val="en-US" w:eastAsia="zh-CN"/>
        </w:rPr>
        <w:t>20</w:t>
      </w:r>
      <w:r>
        <w:rPr>
          <w:rFonts w:hint="eastAsia" w:asciiTheme="minorEastAsia" w:hAnsiTheme="minorEastAsia" w:eastAsiaTheme="minorEastAsia" w:cstheme="minorEastAsia"/>
          <w:b/>
          <w:bCs/>
          <w:sz w:val="30"/>
          <w:szCs w:val="30"/>
          <w:highlight w:val="none"/>
        </w:rPr>
        <w:t>年</w:t>
      </w:r>
      <w:r>
        <w:rPr>
          <w:rFonts w:hint="eastAsia" w:asciiTheme="minorEastAsia" w:hAnsiTheme="minorEastAsia" w:cstheme="minorEastAsia"/>
          <w:b/>
          <w:bCs/>
          <w:sz w:val="30"/>
          <w:szCs w:val="30"/>
          <w:highlight w:val="none"/>
          <w:lang w:val="en-US" w:eastAsia="zh-CN"/>
        </w:rPr>
        <w:t>7</w:t>
      </w:r>
      <w:r>
        <w:rPr>
          <w:rFonts w:hint="eastAsia" w:asciiTheme="minorEastAsia" w:hAnsiTheme="minorEastAsia" w:eastAsiaTheme="minorEastAsia" w:cstheme="minorEastAsia"/>
          <w:b/>
          <w:bCs/>
          <w:sz w:val="30"/>
          <w:szCs w:val="30"/>
          <w:highlight w:val="none"/>
        </w:rPr>
        <w:t>月</w:t>
      </w:r>
    </w:p>
    <w:p>
      <w:pPr>
        <w:pStyle w:val="12"/>
        <w:tabs>
          <w:tab w:val="right" w:leader="dot" w:pos="8306"/>
        </w:tabs>
        <w:jc w:val="center"/>
        <w:rPr>
          <w:rFonts w:hint="eastAsia"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lang w:val="en-US" w:eastAsia="zh-CN"/>
        </w:rPr>
        <w:t>目录</w:t>
      </w:r>
    </w:p>
    <w:p>
      <w:pPr>
        <w:pStyle w:val="12"/>
        <w:tabs>
          <w:tab w:val="right" w:leader="dot" w:pos="13958"/>
        </w:tabs>
      </w:pPr>
      <w:r>
        <w:rPr>
          <w:rFonts w:ascii="Times New Roman" w:hAnsi="Times New Roman" w:eastAsia="宋体" w:cs="Times New Roman"/>
          <w:b/>
          <w:bCs/>
          <w:sz w:val="32"/>
          <w:szCs w:val="32"/>
        </w:rPr>
        <w:fldChar w:fldCharType="begin"/>
      </w:r>
      <w:r>
        <w:rPr>
          <w:rFonts w:ascii="Times New Roman" w:hAnsi="Times New Roman" w:eastAsia="宋体" w:cs="Times New Roman"/>
          <w:b/>
          <w:bCs/>
          <w:sz w:val="32"/>
          <w:szCs w:val="32"/>
        </w:rPr>
        <w:instrText xml:space="preserve">TOC \o "1-3" \h \u </w:instrText>
      </w:r>
      <w:r>
        <w:rPr>
          <w:rFonts w:ascii="Times New Roman" w:hAnsi="Times New Roman" w:eastAsia="宋体" w:cs="Times New Roman"/>
          <w:b/>
          <w:bCs/>
          <w:sz w:val="32"/>
          <w:szCs w:val="32"/>
        </w:rPr>
        <w:fldChar w:fldCharType="separate"/>
      </w: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_Toc30628 </w:instrText>
      </w:r>
      <w:r>
        <w:rPr>
          <w:rFonts w:ascii="Times New Roman" w:hAnsi="Times New Roman" w:eastAsia="宋体" w:cs="Times New Roman"/>
          <w:bCs/>
          <w:szCs w:val="32"/>
        </w:rPr>
        <w:fldChar w:fldCharType="separate"/>
      </w:r>
      <w:r>
        <w:rPr>
          <w:rFonts w:hint="default" w:ascii="Times New Roman" w:hAnsi="Times New Roman" w:eastAsia="宋体" w:cs="Times New Roman"/>
          <w:bCs/>
          <w:szCs w:val="32"/>
          <w:highlight w:val="none"/>
          <w:lang w:val="en-US"/>
        </w:rPr>
        <w:t>1.</w:t>
      </w:r>
      <w:r>
        <w:rPr>
          <w:rFonts w:hint="default" w:ascii="Times New Roman" w:hAnsi="Times New Roman" w:eastAsia="宋体" w:cs="Times New Roman"/>
          <w:bCs/>
          <w:szCs w:val="32"/>
          <w:highlight w:val="none"/>
          <w:lang w:val="zh-CN"/>
        </w:rPr>
        <w:t>总则</w:t>
      </w:r>
      <w:r>
        <w:tab/>
      </w:r>
      <w:r>
        <w:fldChar w:fldCharType="begin"/>
      </w:r>
      <w:r>
        <w:instrText xml:space="preserve"> PAGEREF _Toc30628 </w:instrText>
      </w:r>
      <w:r>
        <w:fldChar w:fldCharType="separate"/>
      </w:r>
      <w:r>
        <w:t>3</w:t>
      </w:r>
      <w:r>
        <w:fldChar w:fldCharType="end"/>
      </w:r>
      <w:r>
        <w:rPr>
          <w:rFonts w:ascii="Times New Roman" w:hAnsi="Times New Roman" w:eastAsia="宋体" w:cs="Times New Roman"/>
          <w:bCs/>
          <w:szCs w:val="32"/>
        </w:rPr>
        <w:fldChar w:fldCharType="end"/>
      </w:r>
    </w:p>
    <w:p>
      <w:pPr>
        <w:pStyle w:val="13"/>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_Toc27898 </w:instrText>
      </w:r>
      <w:r>
        <w:rPr>
          <w:rFonts w:ascii="Times New Roman" w:hAnsi="Times New Roman" w:eastAsia="宋体" w:cs="Times New Roman"/>
          <w:bCs/>
          <w:szCs w:val="32"/>
        </w:rPr>
        <w:fldChar w:fldCharType="separate"/>
      </w:r>
      <w:r>
        <w:rPr>
          <w:rFonts w:hint="default" w:ascii="Times New Roman" w:hAnsi="Times New Roman" w:eastAsia="宋体" w:cs="Times New Roman"/>
          <w:bCs/>
          <w:szCs w:val="30"/>
          <w:highlight w:val="none"/>
          <w:lang w:val="en-US" w:eastAsia="zh-CN"/>
        </w:rPr>
        <w:t>1.1划分目的</w:t>
      </w:r>
      <w:r>
        <w:tab/>
      </w:r>
      <w:r>
        <w:fldChar w:fldCharType="begin"/>
      </w:r>
      <w:r>
        <w:instrText xml:space="preserve"> PAGEREF _Toc27898 </w:instrText>
      </w:r>
      <w:r>
        <w:fldChar w:fldCharType="separate"/>
      </w:r>
      <w:r>
        <w:t>3</w:t>
      </w:r>
      <w:r>
        <w:fldChar w:fldCharType="end"/>
      </w:r>
      <w:r>
        <w:rPr>
          <w:rFonts w:ascii="Times New Roman" w:hAnsi="Times New Roman" w:eastAsia="宋体" w:cs="Times New Roman"/>
          <w:bCs/>
          <w:szCs w:val="32"/>
        </w:rPr>
        <w:fldChar w:fldCharType="end"/>
      </w:r>
    </w:p>
    <w:p>
      <w:pPr>
        <w:pStyle w:val="13"/>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_Toc32349 </w:instrText>
      </w:r>
      <w:r>
        <w:rPr>
          <w:rFonts w:ascii="Times New Roman" w:hAnsi="Times New Roman" w:eastAsia="宋体" w:cs="Times New Roman"/>
          <w:bCs/>
          <w:szCs w:val="32"/>
        </w:rPr>
        <w:fldChar w:fldCharType="separate"/>
      </w:r>
      <w:r>
        <w:rPr>
          <w:rFonts w:hint="default" w:ascii="Times New Roman" w:hAnsi="Times New Roman" w:eastAsia="宋体" w:cs="Times New Roman"/>
          <w:bCs/>
          <w:szCs w:val="30"/>
          <w:highlight w:val="none"/>
          <w:lang w:val="zh-CN"/>
        </w:rPr>
        <w:t>1.2</w:t>
      </w:r>
      <w:r>
        <w:rPr>
          <w:rFonts w:hint="eastAsia" w:ascii="Times New Roman" w:hAnsi="Times New Roman" w:eastAsia="宋体" w:cs="Times New Roman"/>
          <w:bCs/>
          <w:szCs w:val="30"/>
          <w:highlight w:val="none"/>
          <w:lang w:val="zh-CN"/>
        </w:rPr>
        <w:t>技术路线</w:t>
      </w:r>
      <w:r>
        <w:tab/>
      </w:r>
      <w:r>
        <w:fldChar w:fldCharType="begin"/>
      </w:r>
      <w:r>
        <w:instrText xml:space="preserve"> PAGEREF _Toc32349 </w:instrText>
      </w:r>
      <w:r>
        <w:fldChar w:fldCharType="separate"/>
      </w:r>
      <w:r>
        <w:t>4</w:t>
      </w:r>
      <w:r>
        <w:fldChar w:fldCharType="end"/>
      </w:r>
      <w:r>
        <w:rPr>
          <w:rFonts w:ascii="Times New Roman" w:hAnsi="Times New Roman" w:eastAsia="宋体" w:cs="Times New Roman"/>
          <w:bCs/>
          <w:szCs w:val="32"/>
        </w:rPr>
        <w:fldChar w:fldCharType="end"/>
      </w:r>
    </w:p>
    <w:p>
      <w:pPr>
        <w:pStyle w:val="12"/>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_Toc6256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szCs w:val="32"/>
          <w:highlight w:val="none"/>
          <w:lang w:val="en-US" w:eastAsia="zh-CN"/>
        </w:rPr>
        <w:t>2.</w:t>
      </w:r>
      <w:r>
        <w:rPr>
          <w:rFonts w:hint="eastAsia" w:ascii="Times New Roman" w:hAnsi="Times New Roman" w:eastAsia="宋体" w:cs="Times New Roman"/>
          <w:bCs/>
          <w:szCs w:val="30"/>
          <w:highlight w:val="none"/>
          <w:lang w:val="en-US" w:eastAsia="zh-CN"/>
        </w:rPr>
        <w:t>水源地基础情况</w:t>
      </w:r>
      <w:r>
        <w:tab/>
      </w:r>
      <w:r>
        <w:fldChar w:fldCharType="begin"/>
      </w:r>
      <w:r>
        <w:instrText xml:space="preserve"> PAGEREF _Toc6256 </w:instrText>
      </w:r>
      <w:r>
        <w:fldChar w:fldCharType="separate"/>
      </w:r>
      <w:r>
        <w:t>7</w:t>
      </w:r>
      <w:r>
        <w:fldChar w:fldCharType="end"/>
      </w:r>
      <w:r>
        <w:rPr>
          <w:rFonts w:ascii="Times New Roman" w:hAnsi="Times New Roman" w:eastAsia="宋体" w:cs="Times New Roman"/>
          <w:bCs/>
          <w:szCs w:val="32"/>
        </w:rPr>
        <w:fldChar w:fldCharType="end"/>
      </w:r>
    </w:p>
    <w:p>
      <w:pPr>
        <w:pStyle w:val="8"/>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_Toc14380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kern w:val="0"/>
          <w:szCs w:val="28"/>
          <w:highlight w:val="none"/>
          <w:lang w:val="en-US" w:eastAsia="zh-CN" w:bidi="zh-CN"/>
        </w:rPr>
        <w:t>2.1.1阿猛镇黑龙潭概况</w:t>
      </w:r>
      <w:r>
        <w:tab/>
      </w:r>
      <w:r>
        <w:fldChar w:fldCharType="begin"/>
      </w:r>
      <w:r>
        <w:instrText xml:space="preserve"> PAGEREF _Toc14380 </w:instrText>
      </w:r>
      <w:r>
        <w:fldChar w:fldCharType="separate"/>
      </w:r>
      <w:r>
        <w:t>7</w:t>
      </w:r>
      <w:r>
        <w:fldChar w:fldCharType="end"/>
      </w:r>
      <w:r>
        <w:rPr>
          <w:rFonts w:ascii="Times New Roman" w:hAnsi="Times New Roman" w:eastAsia="宋体" w:cs="Times New Roman"/>
          <w:bCs/>
          <w:szCs w:val="32"/>
        </w:rPr>
        <w:fldChar w:fldCharType="end"/>
      </w:r>
    </w:p>
    <w:p>
      <w:pPr>
        <w:pStyle w:val="8"/>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_Toc17676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kern w:val="0"/>
          <w:szCs w:val="28"/>
          <w:highlight w:val="none"/>
          <w:lang w:val="en-US" w:eastAsia="zh-CN" w:bidi="zh-CN"/>
        </w:rPr>
        <w:t>2.1.2阿猛镇黑龙潭水文地质概况</w:t>
      </w:r>
      <w:r>
        <w:tab/>
      </w:r>
      <w:r>
        <w:fldChar w:fldCharType="begin"/>
      </w:r>
      <w:r>
        <w:instrText xml:space="preserve"> PAGEREF _Toc17676 </w:instrText>
      </w:r>
      <w:r>
        <w:fldChar w:fldCharType="separate"/>
      </w:r>
      <w:r>
        <w:t>7</w:t>
      </w:r>
      <w:r>
        <w:fldChar w:fldCharType="end"/>
      </w:r>
      <w:r>
        <w:rPr>
          <w:rFonts w:ascii="Times New Roman" w:hAnsi="Times New Roman" w:eastAsia="宋体" w:cs="Times New Roman"/>
          <w:bCs/>
          <w:szCs w:val="32"/>
        </w:rPr>
        <w:fldChar w:fldCharType="end"/>
      </w:r>
    </w:p>
    <w:p>
      <w:pPr>
        <w:pStyle w:val="12"/>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_Toc30823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szCs w:val="32"/>
          <w:highlight w:val="none"/>
          <w:lang w:val="en-US" w:eastAsia="zh-CN"/>
        </w:rPr>
        <w:t>3.水源保护区环境调查评价</w:t>
      </w:r>
      <w:r>
        <w:tab/>
      </w:r>
      <w:r>
        <w:fldChar w:fldCharType="begin"/>
      </w:r>
      <w:r>
        <w:instrText xml:space="preserve"> PAGEREF _Toc30823 </w:instrText>
      </w:r>
      <w:r>
        <w:fldChar w:fldCharType="separate"/>
      </w:r>
      <w:r>
        <w:t>8</w:t>
      </w:r>
      <w:r>
        <w:fldChar w:fldCharType="end"/>
      </w:r>
      <w:r>
        <w:rPr>
          <w:rFonts w:ascii="Times New Roman" w:hAnsi="Times New Roman" w:eastAsia="宋体" w:cs="Times New Roman"/>
          <w:bCs/>
          <w:szCs w:val="32"/>
        </w:rPr>
        <w:fldChar w:fldCharType="end"/>
      </w:r>
    </w:p>
    <w:p>
      <w:pPr>
        <w:pStyle w:val="13"/>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_Toc13780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szCs w:val="30"/>
          <w:highlight w:val="none"/>
          <w:lang w:val="en-US" w:eastAsia="zh-CN"/>
        </w:rPr>
        <w:t>3.1水土流失状况</w:t>
      </w:r>
      <w:r>
        <w:tab/>
      </w:r>
      <w:r>
        <w:fldChar w:fldCharType="begin"/>
      </w:r>
      <w:r>
        <w:instrText xml:space="preserve"> PAGEREF _Toc13780 </w:instrText>
      </w:r>
      <w:r>
        <w:fldChar w:fldCharType="separate"/>
      </w:r>
      <w:r>
        <w:t>8</w:t>
      </w:r>
      <w:r>
        <w:fldChar w:fldCharType="end"/>
      </w:r>
      <w:r>
        <w:rPr>
          <w:rFonts w:ascii="Times New Roman" w:hAnsi="Times New Roman" w:eastAsia="宋体" w:cs="Times New Roman"/>
          <w:bCs/>
          <w:szCs w:val="32"/>
        </w:rPr>
        <w:fldChar w:fldCharType="end"/>
      </w:r>
    </w:p>
    <w:p>
      <w:pPr>
        <w:pStyle w:val="13"/>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_Toc1724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szCs w:val="30"/>
          <w:highlight w:val="none"/>
          <w:lang w:val="en-US" w:eastAsia="zh-CN"/>
        </w:rPr>
        <w:t>3.2土地利用状况调查</w:t>
      </w:r>
      <w:r>
        <w:tab/>
      </w:r>
      <w:r>
        <w:fldChar w:fldCharType="begin"/>
      </w:r>
      <w:r>
        <w:instrText xml:space="preserve"> PAGEREF _Toc1724 </w:instrText>
      </w:r>
      <w:r>
        <w:fldChar w:fldCharType="separate"/>
      </w:r>
      <w:r>
        <w:t>8</w:t>
      </w:r>
      <w:r>
        <w:fldChar w:fldCharType="end"/>
      </w:r>
      <w:r>
        <w:rPr>
          <w:rFonts w:ascii="Times New Roman" w:hAnsi="Times New Roman" w:eastAsia="宋体" w:cs="Times New Roman"/>
          <w:bCs/>
          <w:szCs w:val="32"/>
        </w:rPr>
        <w:fldChar w:fldCharType="end"/>
      </w:r>
    </w:p>
    <w:p>
      <w:pPr>
        <w:pStyle w:val="13"/>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_Toc2406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szCs w:val="30"/>
          <w:highlight w:val="none"/>
          <w:lang w:val="en-US" w:eastAsia="zh-CN"/>
        </w:rPr>
        <w:t>3.3水环境质量调查评价</w:t>
      </w:r>
      <w:r>
        <w:tab/>
      </w:r>
      <w:r>
        <w:fldChar w:fldCharType="begin"/>
      </w:r>
      <w:r>
        <w:instrText xml:space="preserve"> PAGEREF _Toc2406 </w:instrText>
      </w:r>
      <w:r>
        <w:fldChar w:fldCharType="separate"/>
      </w:r>
      <w:r>
        <w:t>9</w:t>
      </w:r>
      <w:r>
        <w:fldChar w:fldCharType="end"/>
      </w:r>
      <w:r>
        <w:rPr>
          <w:rFonts w:ascii="Times New Roman" w:hAnsi="Times New Roman" w:eastAsia="宋体" w:cs="Times New Roman"/>
          <w:bCs/>
          <w:szCs w:val="32"/>
        </w:rPr>
        <w:fldChar w:fldCharType="end"/>
      </w:r>
    </w:p>
    <w:p>
      <w:pPr>
        <w:pStyle w:val="8"/>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_Toc11892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kern w:val="0"/>
          <w:szCs w:val="28"/>
          <w:highlight w:val="none"/>
          <w:lang w:val="en-US" w:eastAsia="zh-CN" w:bidi="zh-CN"/>
        </w:rPr>
        <w:t>3.3.1评价方法</w:t>
      </w:r>
      <w:r>
        <w:tab/>
      </w:r>
      <w:r>
        <w:fldChar w:fldCharType="begin"/>
      </w:r>
      <w:r>
        <w:instrText xml:space="preserve"> PAGEREF _Toc11892 </w:instrText>
      </w:r>
      <w:r>
        <w:fldChar w:fldCharType="separate"/>
      </w:r>
      <w:r>
        <w:t>9</w:t>
      </w:r>
      <w:r>
        <w:fldChar w:fldCharType="end"/>
      </w:r>
      <w:r>
        <w:rPr>
          <w:rFonts w:ascii="Times New Roman" w:hAnsi="Times New Roman" w:eastAsia="宋体" w:cs="Times New Roman"/>
          <w:bCs/>
          <w:szCs w:val="32"/>
        </w:rPr>
        <w:fldChar w:fldCharType="end"/>
      </w:r>
    </w:p>
    <w:p>
      <w:pPr>
        <w:pStyle w:val="8"/>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_Toc20631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kern w:val="0"/>
          <w:szCs w:val="28"/>
          <w:highlight w:val="none"/>
          <w:lang w:val="zh-CN" w:eastAsia="zh-CN" w:bidi="zh-CN"/>
        </w:rPr>
        <w:t>3.3.2水环境质量现状评价</w:t>
      </w:r>
      <w:r>
        <w:tab/>
      </w:r>
      <w:r>
        <w:fldChar w:fldCharType="begin"/>
      </w:r>
      <w:r>
        <w:instrText xml:space="preserve"> PAGEREF _Toc20631 </w:instrText>
      </w:r>
      <w:r>
        <w:fldChar w:fldCharType="separate"/>
      </w:r>
      <w:r>
        <w:t>14</w:t>
      </w:r>
      <w:r>
        <w:fldChar w:fldCharType="end"/>
      </w:r>
      <w:r>
        <w:rPr>
          <w:rFonts w:ascii="Times New Roman" w:hAnsi="Times New Roman" w:eastAsia="宋体" w:cs="Times New Roman"/>
          <w:bCs/>
          <w:szCs w:val="32"/>
        </w:rPr>
        <w:fldChar w:fldCharType="end"/>
      </w:r>
    </w:p>
    <w:p>
      <w:pPr>
        <w:pStyle w:val="12"/>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_Toc11508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szCs w:val="32"/>
          <w:highlight w:val="none"/>
          <w:lang w:val="en-US" w:eastAsia="zh-CN"/>
        </w:rPr>
        <w:t>4</w:t>
      </w:r>
      <w:r>
        <w:rPr>
          <w:rFonts w:hint="default" w:ascii="Times New Roman" w:hAnsi="Times New Roman" w:eastAsia="宋体" w:cs="Times New Roman"/>
          <w:bCs/>
          <w:szCs w:val="32"/>
          <w:highlight w:val="none"/>
          <w:lang w:val="en-US" w:eastAsia="zh-CN"/>
        </w:rPr>
        <w:t>.区域环境综合治理与环境管理状况</w:t>
      </w:r>
      <w:r>
        <w:tab/>
      </w:r>
      <w:r>
        <w:fldChar w:fldCharType="begin"/>
      </w:r>
      <w:r>
        <w:instrText xml:space="preserve"> PAGEREF _Toc11508 </w:instrText>
      </w:r>
      <w:r>
        <w:fldChar w:fldCharType="separate"/>
      </w:r>
      <w:r>
        <w:t>17</w:t>
      </w:r>
      <w:r>
        <w:fldChar w:fldCharType="end"/>
      </w:r>
      <w:r>
        <w:rPr>
          <w:rFonts w:ascii="Times New Roman" w:hAnsi="Times New Roman" w:eastAsia="宋体" w:cs="Times New Roman"/>
          <w:bCs/>
          <w:szCs w:val="32"/>
        </w:rPr>
        <w:fldChar w:fldCharType="end"/>
      </w:r>
    </w:p>
    <w:p>
      <w:pPr>
        <w:pStyle w:val="13"/>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_Toc11131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szCs w:val="30"/>
          <w:highlight w:val="none"/>
          <w:lang w:val="en-US" w:eastAsia="zh-CN"/>
        </w:rPr>
        <w:t>4</w:t>
      </w:r>
      <w:r>
        <w:rPr>
          <w:rFonts w:hint="default" w:ascii="Times New Roman" w:hAnsi="Times New Roman" w:eastAsia="宋体" w:cs="Times New Roman"/>
          <w:bCs/>
          <w:szCs w:val="30"/>
          <w:highlight w:val="none"/>
          <w:lang w:val="en-US" w:eastAsia="zh-CN"/>
        </w:rPr>
        <w:t>.1区域环境综合治理</w:t>
      </w:r>
      <w:r>
        <w:tab/>
      </w:r>
      <w:r>
        <w:fldChar w:fldCharType="begin"/>
      </w:r>
      <w:r>
        <w:instrText xml:space="preserve"> PAGEREF _Toc11131 </w:instrText>
      </w:r>
      <w:r>
        <w:fldChar w:fldCharType="separate"/>
      </w:r>
      <w:r>
        <w:t>17</w:t>
      </w:r>
      <w:r>
        <w:fldChar w:fldCharType="end"/>
      </w:r>
      <w:r>
        <w:rPr>
          <w:rFonts w:ascii="Times New Roman" w:hAnsi="Times New Roman" w:eastAsia="宋体" w:cs="Times New Roman"/>
          <w:bCs/>
          <w:szCs w:val="32"/>
        </w:rPr>
        <w:fldChar w:fldCharType="end"/>
      </w:r>
    </w:p>
    <w:p>
      <w:pPr>
        <w:pStyle w:val="13"/>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_Toc8511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szCs w:val="30"/>
          <w:highlight w:val="none"/>
          <w:lang w:val="en-US" w:eastAsia="zh-CN"/>
        </w:rPr>
        <w:t>4</w:t>
      </w:r>
      <w:r>
        <w:rPr>
          <w:rFonts w:hint="default" w:ascii="Times New Roman" w:hAnsi="Times New Roman" w:eastAsia="宋体" w:cs="Times New Roman"/>
          <w:bCs/>
          <w:szCs w:val="30"/>
          <w:highlight w:val="none"/>
          <w:lang w:val="en-US" w:eastAsia="zh-CN"/>
        </w:rPr>
        <w:t>.2区域饮用水水源地管理状况</w:t>
      </w:r>
      <w:r>
        <w:tab/>
      </w:r>
      <w:r>
        <w:fldChar w:fldCharType="begin"/>
      </w:r>
      <w:r>
        <w:instrText xml:space="preserve"> PAGEREF _Toc8511 </w:instrText>
      </w:r>
      <w:r>
        <w:fldChar w:fldCharType="separate"/>
      </w:r>
      <w:r>
        <w:t>18</w:t>
      </w:r>
      <w:r>
        <w:fldChar w:fldCharType="end"/>
      </w:r>
      <w:r>
        <w:rPr>
          <w:rFonts w:ascii="Times New Roman" w:hAnsi="Times New Roman" w:eastAsia="宋体" w:cs="Times New Roman"/>
          <w:bCs/>
          <w:szCs w:val="32"/>
        </w:rPr>
        <w:fldChar w:fldCharType="end"/>
      </w:r>
    </w:p>
    <w:p>
      <w:pPr>
        <w:pStyle w:val="13"/>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_Toc10076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szCs w:val="30"/>
          <w:highlight w:val="none"/>
          <w:lang w:val="en-US" w:eastAsia="zh-CN"/>
        </w:rPr>
        <w:t>4</w:t>
      </w:r>
      <w:r>
        <w:rPr>
          <w:rFonts w:hint="eastAsia" w:ascii="Times New Roman" w:hAnsi="Times New Roman" w:eastAsia="宋体" w:cs="Times New Roman"/>
          <w:bCs/>
          <w:szCs w:val="30"/>
          <w:highlight w:val="none"/>
          <w:lang w:val="zh-CN" w:eastAsia="zh-CN"/>
        </w:rPr>
        <w:t>.3保护区规范化建设、管理现状及主要存在问题</w:t>
      </w:r>
      <w:r>
        <w:tab/>
      </w:r>
      <w:r>
        <w:fldChar w:fldCharType="begin"/>
      </w:r>
      <w:r>
        <w:instrText xml:space="preserve"> PAGEREF _Toc10076 </w:instrText>
      </w:r>
      <w:r>
        <w:fldChar w:fldCharType="separate"/>
      </w:r>
      <w:r>
        <w:t>19</w:t>
      </w:r>
      <w:r>
        <w:fldChar w:fldCharType="end"/>
      </w:r>
      <w:r>
        <w:rPr>
          <w:rFonts w:ascii="Times New Roman" w:hAnsi="Times New Roman" w:eastAsia="宋体" w:cs="Times New Roman"/>
          <w:bCs/>
          <w:szCs w:val="32"/>
        </w:rPr>
        <w:fldChar w:fldCharType="end"/>
      </w:r>
    </w:p>
    <w:p>
      <w:pPr>
        <w:pStyle w:val="12"/>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_Toc27773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szCs w:val="32"/>
          <w:highlight w:val="none"/>
          <w:lang w:val="en-US" w:eastAsia="zh-CN"/>
        </w:rPr>
        <w:t>5.</w:t>
      </w:r>
      <w:r>
        <w:rPr>
          <w:rFonts w:hint="eastAsia"/>
          <w:szCs w:val="30"/>
          <w:highlight w:val="none"/>
          <w:lang w:val="en-US" w:eastAsia="zh-CN"/>
        </w:rPr>
        <w:t>保护区划分结果</w:t>
      </w:r>
      <w:r>
        <w:tab/>
      </w:r>
      <w:r>
        <w:fldChar w:fldCharType="begin"/>
      </w:r>
      <w:r>
        <w:instrText xml:space="preserve"> PAGEREF _Toc27773 </w:instrText>
      </w:r>
      <w:r>
        <w:fldChar w:fldCharType="separate"/>
      </w:r>
      <w:r>
        <w:t>19</w:t>
      </w:r>
      <w:r>
        <w:fldChar w:fldCharType="end"/>
      </w:r>
      <w:r>
        <w:rPr>
          <w:rFonts w:ascii="Times New Roman" w:hAnsi="Times New Roman" w:eastAsia="宋体" w:cs="Times New Roman"/>
          <w:bCs/>
          <w:szCs w:val="32"/>
        </w:rPr>
        <w:fldChar w:fldCharType="end"/>
      </w:r>
    </w:p>
    <w:p>
      <w:pPr>
        <w:pStyle w:val="8"/>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_Toc11678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kern w:val="0"/>
          <w:szCs w:val="28"/>
          <w:highlight w:val="none"/>
          <w:lang w:val="en-US" w:eastAsia="zh-CN" w:bidi="zh-CN"/>
        </w:rPr>
        <w:t>5</w:t>
      </w:r>
      <w:r>
        <w:rPr>
          <w:rFonts w:hint="default" w:ascii="Times New Roman" w:hAnsi="Times New Roman" w:eastAsia="宋体" w:cs="Times New Roman"/>
          <w:bCs/>
          <w:kern w:val="0"/>
          <w:szCs w:val="28"/>
          <w:highlight w:val="none"/>
          <w:lang w:val="en-US" w:eastAsia="zh-CN" w:bidi="zh-CN"/>
        </w:rPr>
        <w:t>.1一级保护区划定结果</w:t>
      </w:r>
      <w:r>
        <w:tab/>
      </w:r>
      <w:r>
        <w:fldChar w:fldCharType="begin"/>
      </w:r>
      <w:r>
        <w:instrText xml:space="preserve"> PAGEREF _Toc11678 </w:instrText>
      </w:r>
      <w:r>
        <w:fldChar w:fldCharType="separate"/>
      </w:r>
      <w:r>
        <w:t>19</w:t>
      </w:r>
      <w:r>
        <w:fldChar w:fldCharType="end"/>
      </w:r>
      <w:r>
        <w:rPr>
          <w:rFonts w:ascii="Times New Roman" w:hAnsi="Times New Roman" w:eastAsia="宋体" w:cs="Times New Roman"/>
          <w:bCs/>
          <w:szCs w:val="32"/>
        </w:rPr>
        <w:fldChar w:fldCharType="end"/>
      </w:r>
    </w:p>
    <w:p>
      <w:pPr>
        <w:pStyle w:val="8"/>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_Toc13276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kern w:val="0"/>
          <w:szCs w:val="28"/>
          <w:highlight w:val="none"/>
          <w:lang w:val="en-US" w:eastAsia="zh-CN" w:bidi="zh-CN"/>
        </w:rPr>
        <w:t>5</w:t>
      </w:r>
      <w:r>
        <w:rPr>
          <w:rFonts w:hint="default" w:ascii="Times New Roman" w:hAnsi="Times New Roman" w:eastAsia="宋体" w:cs="Times New Roman"/>
          <w:bCs/>
          <w:kern w:val="0"/>
          <w:szCs w:val="28"/>
          <w:highlight w:val="none"/>
          <w:lang w:val="en-US" w:eastAsia="zh-CN" w:bidi="zh-CN"/>
        </w:rPr>
        <w:t>.2二级保护区划定结果</w:t>
      </w:r>
      <w:r>
        <w:tab/>
      </w:r>
      <w:r>
        <w:fldChar w:fldCharType="begin"/>
      </w:r>
      <w:r>
        <w:instrText xml:space="preserve"> PAGEREF _Toc13276 </w:instrText>
      </w:r>
      <w:r>
        <w:fldChar w:fldCharType="separate"/>
      </w:r>
      <w:r>
        <w:t>20</w:t>
      </w:r>
      <w:r>
        <w:fldChar w:fldCharType="end"/>
      </w:r>
      <w:r>
        <w:rPr>
          <w:rFonts w:ascii="Times New Roman" w:hAnsi="Times New Roman" w:eastAsia="宋体" w:cs="Times New Roman"/>
          <w:bCs/>
          <w:szCs w:val="32"/>
        </w:rPr>
        <w:fldChar w:fldCharType="end"/>
      </w:r>
    </w:p>
    <w:p>
      <w:pPr>
        <w:pStyle w:val="8"/>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_Toc4783 </w:instrText>
      </w:r>
      <w:r>
        <w:rPr>
          <w:rFonts w:ascii="Times New Roman" w:hAnsi="Times New Roman" w:eastAsia="宋体" w:cs="Times New Roman"/>
          <w:bCs/>
          <w:szCs w:val="32"/>
        </w:rPr>
        <w:fldChar w:fldCharType="separate"/>
      </w:r>
      <w:r>
        <w:rPr>
          <w:rFonts w:hint="eastAsia" w:ascii="Times New Roman" w:hAnsi="Times New Roman" w:eastAsia="宋体" w:cs="Times New Roman"/>
          <w:bCs/>
          <w:kern w:val="0"/>
          <w:szCs w:val="28"/>
          <w:highlight w:val="none"/>
          <w:lang w:val="en-US" w:eastAsia="zh-CN" w:bidi="zh-CN"/>
        </w:rPr>
        <w:t>5</w:t>
      </w:r>
      <w:r>
        <w:rPr>
          <w:rFonts w:hint="default" w:ascii="Times New Roman" w:hAnsi="Times New Roman" w:eastAsia="宋体" w:cs="Times New Roman"/>
          <w:bCs/>
          <w:kern w:val="0"/>
          <w:szCs w:val="28"/>
          <w:highlight w:val="none"/>
          <w:lang w:val="en-US" w:eastAsia="zh-CN" w:bidi="zh-CN"/>
        </w:rPr>
        <w:t>.3保护区划定结果统计</w:t>
      </w:r>
      <w:r>
        <w:tab/>
      </w:r>
      <w:r>
        <w:fldChar w:fldCharType="begin"/>
      </w:r>
      <w:r>
        <w:instrText xml:space="preserve"> PAGEREF _Toc4783 </w:instrText>
      </w:r>
      <w:r>
        <w:fldChar w:fldCharType="separate"/>
      </w:r>
      <w:r>
        <w:t>20</w:t>
      </w:r>
      <w:r>
        <w:fldChar w:fldCharType="end"/>
      </w:r>
      <w:r>
        <w:rPr>
          <w:rFonts w:ascii="Times New Roman" w:hAnsi="Times New Roman" w:eastAsia="宋体" w:cs="Times New Roman"/>
          <w:bCs/>
          <w:szCs w:val="32"/>
        </w:rPr>
        <w:fldChar w:fldCharType="end"/>
      </w:r>
    </w:p>
    <w:p>
      <w:pPr>
        <w:pStyle w:val="12"/>
        <w:tabs>
          <w:tab w:val="right" w:leader="dot" w:pos="13958"/>
        </w:tabs>
      </w:pPr>
      <w:r>
        <w:rPr>
          <w:rFonts w:ascii="Times New Roman" w:hAnsi="Times New Roman" w:eastAsia="宋体" w:cs="Times New Roman"/>
          <w:bCs/>
          <w:szCs w:val="32"/>
        </w:rPr>
        <w:fldChar w:fldCharType="begin"/>
      </w:r>
      <w:r>
        <w:rPr>
          <w:rFonts w:ascii="Times New Roman" w:hAnsi="Times New Roman" w:eastAsia="宋体" w:cs="Times New Roman"/>
          <w:bCs/>
          <w:szCs w:val="32"/>
        </w:rPr>
        <w:instrText xml:space="preserve"> HYPERLINK \l _Toc30271 </w:instrText>
      </w:r>
      <w:r>
        <w:rPr>
          <w:rFonts w:ascii="Times New Roman" w:hAnsi="Times New Roman" w:eastAsia="宋体" w:cs="Times New Roman"/>
          <w:bCs/>
          <w:szCs w:val="32"/>
        </w:rPr>
        <w:fldChar w:fldCharType="separate"/>
      </w:r>
      <w:r>
        <w:rPr>
          <w:rFonts w:hint="eastAsia" w:ascii="仿宋" w:hAnsi="仿宋" w:eastAsia="仿宋" w:cs="仿宋"/>
          <w:bCs/>
          <w:szCs w:val="32"/>
          <w:highlight w:val="none"/>
          <w:lang w:val="en-US" w:eastAsia="zh-CN"/>
        </w:rPr>
        <w:t>附表1  文山州砚山县阿猛镇黑龙潭饮用水水源保护区划定结果表</w:t>
      </w:r>
      <w:r>
        <w:tab/>
      </w:r>
      <w:r>
        <w:fldChar w:fldCharType="begin"/>
      </w:r>
      <w:r>
        <w:instrText xml:space="preserve"> PAGEREF _Toc30271 </w:instrText>
      </w:r>
      <w:r>
        <w:fldChar w:fldCharType="separate"/>
      </w:r>
      <w:r>
        <w:t>22</w:t>
      </w:r>
      <w:r>
        <w:fldChar w:fldCharType="end"/>
      </w:r>
      <w:r>
        <w:rPr>
          <w:rFonts w:ascii="Times New Roman" w:hAnsi="Times New Roman" w:eastAsia="宋体" w:cs="Times New Roman"/>
          <w:bCs/>
          <w:szCs w:val="32"/>
        </w:rPr>
        <w:fldChar w:fldCharType="end"/>
      </w:r>
    </w:p>
    <w:p>
      <w:pPr>
        <w:pStyle w:val="2"/>
        <w:jc w:val="center"/>
        <w:rPr>
          <w:rFonts w:hint="eastAsia" w:asciiTheme="minorEastAsia" w:hAnsiTheme="minorEastAsia" w:eastAsiaTheme="minorEastAsia" w:cstheme="minorEastAsia"/>
          <w:b/>
          <w:bCs/>
          <w:sz w:val="30"/>
          <w:szCs w:val="30"/>
          <w:highlight w:val="none"/>
        </w:rPr>
      </w:pPr>
      <w:r>
        <w:rPr>
          <w:rFonts w:ascii="Times New Roman" w:hAnsi="Times New Roman" w:eastAsia="宋体" w:cs="Times New Roman"/>
          <w:bCs/>
          <w:szCs w:val="32"/>
        </w:rPr>
        <w:fldChar w:fldCharType="end"/>
      </w:r>
    </w:p>
    <w:p>
      <w:pPr>
        <w:rPr>
          <w:rFonts w:hint="eastAsia"/>
        </w:rPr>
      </w:pPr>
    </w:p>
    <w:p>
      <w:pPr>
        <w:jc w:val="center"/>
        <w:rPr>
          <w:rFonts w:hint="eastAsia" w:asciiTheme="minorEastAsia" w:hAnsiTheme="minorEastAsia" w:eastAsiaTheme="minorEastAsia" w:cstheme="minorEastAsia"/>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Times New Roman" w:hAnsi="Times New Roman" w:eastAsia="宋体" w:cs="Times New Roman"/>
          <w:b/>
          <w:bCs/>
          <w:sz w:val="32"/>
          <w:szCs w:val="32"/>
          <w:highlight w:val="none"/>
          <w:lang w:val="zh-CN"/>
        </w:rPr>
      </w:pPr>
      <w:bookmarkStart w:id="0" w:name="_Toc27978"/>
      <w:bookmarkStart w:id="1" w:name="_Toc30628"/>
      <w:bookmarkStart w:id="2" w:name="_Toc8591"/>
      <w:bookmarkStart w:id="3" w:name="_Toc13131"/>
      <w:r>
        <w:rPr>
          <w:rFonts w:hint="default" w:ascii="Times New Roman" w:hAnsi="Times New Roman" w:eastAsia="宋体" w:cs="Times New Roman"/>
          <w:b/>
          <w:bCs/>
          <w:sz w:val="32"/>
          <w:szCs w:val="32"/>
          <w:highlight w:val="none"/>
          <w:lang w:val="en-US"/>
        </w:rPr>
        <w:t>1.</w:t>
      </w:r>
      <w:r>
        <w:rPr>
          <w:rFonts w:hint="default" w:ascii="Times New Roman" w:hAnsi="Times New Roman" w:eastAsia="宋体" w:cs="Times New Roman"/>
          <w:b/>
          <w:bCs/>
          <w:sz w:val="32"/>
          <w:szCs w:val="32"/>
          <w:highlight w:val="none"/>
          <w:lang w:val="zh-CN"/>
        </w:rPr>
        <w:t>总则</w:t>
      </w:r>
      <w:bookmarkEnd w:id="0"/>
      <w:bookmarkEnd w:id="1"/>
      <w:bookmarkEnd w:id="2"/>
      <w:bookmarkEnd w:id="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1"/>
        <w:rPr>
          <w:rFonts w:hint="default" w:ascii="Times New Roman" w:hAnsi="Times New Roman" w:eastAsia="宋体" w:cs="Times New Roman"/>
          <w:snapToGrid w:val="0"/>
          <w:kern w:val="0"/>
          <w:sz w:val="30"/>
          <w:szCs w:val="30"/>
          <w:highlight w:val="none"/>
        </w:rPr>
      </w:pPr>
      <w:bookmarkStart w:id="4" w:name="_Toc27898"/>
      <w:r>
        <w:rPr>
          <w:rFonts w:hint="default" w:ascii="Times New Roman" w:hAnsi="Times New Roman" w:eastAsia="宋体" w:cs="Times New Roman"/>
          <w:b/>
          <w:bCs/>
          <w:sz w:val="30"/>
          <w:szCs w:val="30"/>
          <w:highlight w:val="none"/>
          <w:lang w:val="en-US" w:eastAsia="zh-CN"/>
        </w:rPr>
        <w:t>1.1划分目的</w:t>
      </w:r>
      <w:bookmarkEnd w:id="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snapToGrid w:val="0"/>
          <w:color w:val="auto"/>
          <w:kern w:val="0"/>
          <w:sz w:val="28"/>
          <w:szCs w:val="28"/>
          <w:highlight w:val="none"/>
        </w:rPr>
        <w:t>为贯彻落实生态环境部、水利部《关于进一步开展饮用水水源地环境保护工作的通知》（环执法〔2018〕142号）和《中共云南省委 云南省人民政府关于全面加强生态环境保护坚决打好污染防治攻坚战的实施意见》（云发〔2018〕16号）、《长江经济带饮用水水源地专项行动工作方案》</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snapToGrid w:val="0"/>
          <w:color w:val="auto"/>
          <w:kern w:val="0"/>
          <w:sz w:val="28"/>
          <w:szCs w:val="28"/>
          <w:highlight w:val="none"/>
        </w:rPr>
        <w:t>环办水体函(2019)211号</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snapToGrid w:val="0"/>
          <w:color w:val="auto"/>
          <w:kern w:val="0"/>
          <w:sz w:val="28"/>
          <w:szCs w:val="28"/>
          <w:highlight w:val="none"/>
        </w:rPr>
        <w:t>文件要求，同时根据《云南省水源地保护攻坚战实施方案》</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snapToGrid w:val="0"/>
          <w:color w:val="auto"/>
          <w:kern w:val="0"/>
          <w:sz w:val="28"/>
          <w:szCs w:val="28"/>
          <w:highlight w:val="none"/>
        </w:rPr>
        <w:t>云环发(2019)4号</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snapToGrid w:val="0"/>
          <w:color w:val="auto"/>
          <w:kern w:val="0"/>
          <w:sz w:val="28"/>
          <w:szCs w:val="28"/>
          <w:highlight w:val="none"/>
        </w:rPr>
        <w:t>、《云南省水源地保护攻坚战专项小组办公室关于进一步加强乡镇级集中式饮用水水源保护工作的函》</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snapToGrid w:val="0"/>
          <w:color w:val="auto"/>
          <w:kern w:val="0"/>
          <w:sz w:val="28"/>
          <w:szCs w:val="28"/>
          <w:highlight w:val="none"/>
        </w:rPr>
        <w:t>云污防水源〔2020〕2号</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snapToGrid w:val="0"/>
          <w:color w:val="auto"/>
          <w:kern w:val="0"/>
          <w:sz w:val="28"/>
          <w:szCs w:val="28"/>
          <w:highlight w:val="none"/>
        </w:rPr>
        <w:t>、《云南省水源地保护攻坚专项小组办关于加快推进乡镇级饮用水水源地保护区划、立、治工作的函》</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snapToGrid w:val="0"/>
          <w:color w:val="auto"/>
          <w:kern w:val="0"/>
          <w:sz w:val="28"/>
          <w:szCs w:val="28"/>
          <w:highlight w:val="none"/>
        </w:rPr>
        <w:t>云污防水源〔2020〕9号</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snapToGrid w:val="0"/>
          <w:color w:val="auto"/>
          <w:kern w:val="0"/>
          <w:sz w:val="28"/>
          <w:szCs w:val="28"/>
          <w:highlight w:val="none"/>
        </w:rPr>
        <w:t>、《文山州水源地保护攻坚战实施方案》（文政办发〔2019〕51号）</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snapToGrid w:val="0"/>
          <w:color w:val="auto"/>
          <w:kern w:val="0"/>
          <w:sz w:val="28"/>
          <w:szCs w:val="28"/>
          <w:highlight w:val="none"/>
        </w:rPr>
        <w:t>《文山州环境污染防治工作领导小组办公室关于进一步加强乡镇级集中式饮用水水源保护工作的通知》（文污防通〔2020〕3号）要求</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color w:val="auto"/>
          <w:sz w:val="28"/>
          <w:szCs w:val="28"/>
          <w:highlight w:val="none"/>
        </w:rPr>
        <w:t>“在2019年水源攻坚战工作基础上，继续以千吨万人</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供水人口在10000人或日供水1000吨以上</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饮用水水源为重点，围绕“划、立、治”三项重点任务开展乡镇级集中式饮用水水源地排查整治工作</w:t>
      </w:r>
      <w:r>
        <w:rPr>
          <w:rFonts w:hint="eastAsia" w:ascii="仿宋" w:hAnsi="仿宋" w:eastAsia="仿宋" w:cs="仿宋"/>
          <w:snapToGrid w:val="0"/>
          <w:color w:val="auto"/>
          <w:kern w:val="0"/>
          <w:sz w:val="28"/>
          <w:szCs w:val="28"/>
          <w:highlight w:val="none"/>
        </w:rPr>
        <w:t>，确保2020年底前全面完成水源地攻坚战及其相关工作目标任务</w:t>
      </w:r>
      <w:r>
        <w:rPr>
          <w:rFonts w:hint="eastAsia" w:ascii="仿宋" w:hAnsi="仿宋" w:eastAsia="仿宋" w:cs="仿宋"/>
          <w:snapToGrid w:val="0"/>
          <w:color w:val="auto"/>
          <w:kern w:val="0"/>
          <w:sz w:val="28"/>
          <w:szCs w:val="28"/>
          <w:highlight w:val="none"/>
          <w:lang w:eastAsia="zh-CN"/>
        </w:rPr>
        <w:t>。</w:t>
      </w:r>
      <w:r>
        <w:rPr>
          <w:rFonts w:hint="eastAsia" w:ascii="仿宋" w:hAnsi="仿宋" w:eastAsia="仿宋" w:cs="仿宋"/>
          <w:color w:val="auto"/>
          <w:sz w:val="28"/>
          <w:szCs w:val="28"/>
          <w:highlight w:val="none"/>
        </w:rPr>
        <w:t>为保障文山州砚山县乡镇级集中式饮用水源地供水量，促进区域经济社会可持续发展，预防突发性水事件，确保用水安全，开展砚山县乡镇级集中式饮用水源地保护区划界是十分必要的。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仿宋" w:cs="Times New Roman"/>
          <w:snapToGrid w:val="0"/>
          <w:color w:val="0000FF"/>
          <w:kern w:val="0"/>
          <w:sz w:val="28"/>
          <w:szCs w:val="28"/>
          <w:highlight w:val="none"/>
        </w:rPr>
      </w:pPr>
      <w:r>
        <w:rPr>
          <w:rFonts w:hint="eastAsia" w:ascii="仿宋" w:hAnsi="仿宋" w:eastAsia="仿宋" w:cs="仿宋"/>
          <w:color w:val="auto"/>
          <w:sz w:val="28"/>
          <w:szCs w:val="28"/>
          <w:highlight w:val="none"/>
        </w:rPr>
        <w:t>本方案划分范围为砚山县</w:t>
      </w:r>
      <w:r>
        <w:rPr>
          <w:rFonts w:hint="eastAsia" w:ascii="仿宋" w:hAnsi="仿宋" w:eastAsia="仿宋" w:cs="仿宋"/>
          <w:color w:val="auto"/>
          <w:sz w:val="28"/>
          <w:szCs w:val="28"/>
          <w:highlight w:val="none"/>
          <w:lang w:val="en-US" w:eastAsia="zh-CN"/>
        </w:rPr>
        <w:t>黑</w:t>
      </w:r>
      <w:r>
        <w:rPr>
          <w:rFonts w:hint="eastAsia" w:ascii="仿宋" w:hAnsi="仿宋" w:eastAsia="仿宋" w:cs="仿宋"/>
          <w:color w:val="auto"/>
          <w:sz w:val="28"/>
          <w:szCs w:val="28"/>
          <w:highlight w:val="none"/>
          <w:lang w:eastAsia="zh-CN"/>
        </w:rPr>
        <w:t>龙潭</w:t>
      </w:r>
      <w:r>
        <w:rPr>
          <w:rFonts w:hint="eastAsia" w:ascii="仿宋" w:hAnsi="仿宋" w:eastAsia="仿宋" w:cs="仿宋"/>
          <w:color w:val="auto"/>
          <w:sz w:val="28"/>
          <w:szCs w:val="28"/>
          <w:highlight w:val="none"/>
        </w:rPr>
        <w:t>饮用水水源地，水源类型为</w:t>
      </w:r>
      <w:r>
        <w:rPr>
          <w:rFonts w:hint="eastAsia" w:ascii="仿宋" w:hAnsi="仿宋" w:eastAsia="仿宋" w:cs="仿宋"/>
          <w:color w:val="auto"/>
          <w:sz w:val="28"/>
          <w:szCs w:val="28"/>
          <w:highlight w:val="none"/>
          <w:lang w:eastAsia="zh-CN"/>
        </w:rPr>
        <w:t>地下水</w:t>
      </w:r>
      <w:r>
        <w:rPr>
          <w:rFonts w:hint="eastAsia" w:ascii="仿宋" w:hAnsi="仿宋" w:eastAsia="仿宋" w:cs="仿宋"/>
          <w:color w:val="auto"/>
          <w:sz w:val="28"/>
          <w:szCs w:val="28"/>
          <w:highlight w:val="none"/>
        </w:rPr>
        <w:t>。为更好的完成砚山县</w:t>
      </w:r>
      <w:r>
        <w:rPr>
          <w:rFonts w:hint="eastAsia" w:ascii="仿宋" w:hAnsi="仿宋" w:eastAsia="仿宋" w:cs="仿宋"/>
          <w:color w:val="auto"/>
          <w:sz w:val="28"/>
          <w:szCs w:val="28"/>
          <w:highlight w:val="none"/>
          <w:lang w:val="en-US" w:eastAsia="zh-CN"/>
        </w:rPr>
        <w:t>黑</w:t>
      </w:r>
      <w:r>
        <w:rPr>
          <w:rFonts w:hint="eastAsia" w:ascii="仿宋" w:hAnsi="仿宋" w:eastAsia="仿宋" w:cs="仿宋"/>
          <w:color w:val="auto"/>
          <w:sz w:val="28"/>
          <w:szCs w:val="28"/>
          <w:highlight w:val="none"/>
          <w:lang w:eastAsia="zh-CN"/>
        </w:rPr>
        <w:t>龙潭</w:t>
      </w:r>
      <w:r>
        <w:rPr>
          <w:rFonts w:hint="eastAsia" w:ascii="仿宋" w:hAnsi="仿宋" w:eastAsia="仿宋" w:cs="仿宋"/>
          <w:color w:val="auto"/>
          <w:sz w:val="28"/>
          <w:szCs w:val="28"/>
          <w:highlight w:val="none"/>
        </w:rPr>
        <w:t>水源地保护区划界工作，砚山县人民政府组织开展编制《文山州砚山县</w:t>
      </w:r>
      <w:r>
        <w:rPr>
          <w:rFonts w:hint="eastAsia" w:ascii="仿宋" w:hAnsi="仿宋" w:eastAsia="仿宋" w:cs="仿宋"/>
          <w:color w:val="auto"/>
          <w:sz w:val="28"/>
          <w:szCs w:val="28"/>
          <w:highlight w:val="none"/>
          <w:lang w:val="en-US" w:eastAsia="zh-CN"/>
        </w:rPr>
        <w:t>阿猛镇黑</w:t>
      </w:r>
      <w:r>
        <w:rPr>
          <w:rFonts w:hint="eastAsia" w:ascii="仿宋" w:hAnsi="仿宋" w:eastAsia="仿宋" w:cs="仿宋"/>
          <w:color w:val="auto"/>
          <w:sz w:val="28"/>
          <w:szCs w:val="28"/>
          <w:highlight w:val="none"/>
          <w:lang w:eastAsia="zh-CN"/>
        </w:rPr>
        <w:t>龙潭</w:t>
      </w:r>
      <w:r>
        <w:rPr>
          <w:rFonts w:hint="eastAsia" w:ascii="仿宋" w:hAnsi="仿宋" w:eastAsia="仿宋" w:cs="仿宋"/>
          <w:color w:val="auto"/>
          <w:sz w:val="28"/>
          <w:szCs w:val="28"/>
          <w:highlight w:val="none"/>
        </w:rPr>
        <w:t>饮用水水源保护区划定方案》（以下简称“方案”）。《方案》可有效保障砚山县</w:t>
      </w:r>
      <w:r>
        <w:rPr>
          <w:rFonts w:hint="eastAsia" w:ascii="仿宋" w:hAnsi="仿宋" w:eastAsia="仿宋" w:cs="仿宋"/>
          <w:color w:val="auto"/>
          <w:sz w:val="28"/>
          <w:szCs w:val="28"/>
          <w:highlight w:val="none"/>
          <w:lang w:val="en-US" w:eastAsia="zh-CN"/>
        </w:rPr>
        <w:t>黑</w:t>
      </w:r>
      <w:r>
        <w:rPr>
          <w:rFonts w:hint="eastAsia" w:ascii="仿宋" w:hAnsi="仿宋" w:eastAsia="仿宋" w:cs="仿宋"/>
          <w:color w:val="auto"/>
          <w:sz w:val="28"/>
          <w:szCs w:val="28"/>
          <w:highlight w:val="none"/>
          <w:lang w:eastAsia="zh-CN"/>
        </w:rPr>
        <w:t>龙潭</w:t>
      </w:r>
      <w:r>
        <w:rPr>
          <w:rFonts w:hint="eastAsia" w:ascii="仿宋" w:hAnsi="仿宋" w:eastAsia="仿宋" w:cs="仿宋"/>
          <w:color w:val="auto"/>
          <w:sz w:val="28"/>
          <w:szCs w:val="28"/>
          <w:highlight w:val="none"/>
        </w:rPr>
        <w:t>饮用水水源地水环境质量和用水安全，加强饮用水水源地管理，保护水资源和水环境，防止水污染，促进区域经济社会可持续发展，预防突发性水事件，为饮用水源地保护提供科学依据。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imes New Roman" w:hAnsi="Times New Roman" w:eastAsia="宋体" w:cs="Times New Roman"/>
          <w:b/>
          <w:bCs/>
          <w:sz w:val="30"/>
          <w:szCs w:val="30"/>
          <w:highlight w:val="none"/>
          <w:lang w:val="zh-CN"/>
        </w:rPr>
      </w:pPr>
      <w:bookmarkStart w:id="5" w:name="_Toc17669"/>
      <w:bookmarkStart w:id="6" w:name="_Toc14093"/>
      <w:bookmarkStart w:id="7" w:name="_Toc19943"/>
      <w:bookmarkStart w:id="8" w:name="_Toc32349"/>
      <w:r>
        <w:rPr>
          <w:rFonts w:hint="default" w:ascii="Times New Roman" w:hAnsi="Times New Roman" w:eastAsia="宋体" w:cs="Times New Roman"/>
          <w:b/>
          <w:bCs/>
          <w:sz w:val="30"/>
          <w:szCs w:val="30"/>
          <w:highlight w:val="none"/>
          <w:lang w:val="zh-CN"/>
        </w:rPr>
        <w:t>1.2</w:t>
      </w:r>
      <w:bookmarkEnd w:id="5"/>
      <w:bookmarkEnd w:id="6"/>
      <w:bookmarkEnd w:id="7"/>
      <w:bookmarkStart w:id="9" w:name="_Toc27698336"/>
      <w:r>
        <w:rPr>
          <w:rFonts w:hint="eastAsia" w:ascii="Times New Roman" w:hAnsi="Times New Roman" w:eastAsia="宋体" w:cs="Times New Roman"/>
          <w:b/>
          <w:bCs/>
          <w:sz w:val="30"/>
          <w:szCs w:val="30"/>
          <w:highlight w:val="none"/>
          <w:lang w:val="zh-CN"/>
        </w:rPr>
        <w:t>技术路线</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结合环境基础情况调查，依据《饮用水水源保护区划分技术规范》（HJ338-2018），对砚山县</w:t>
      </w:r>
      <w:r>
        <w:rPr>
          <w:rFonts w:hint="eastAsia" w:ascii="仿宋" w:hAnsi="仿宋" w:eastAsia="仿宋" w:cs="仿宋"/>
          <w:snapToGrid w:val="0"/>
          <w:kern w:val="0"/>
          <w:sz w:val="28"/>
          <w:szCs w:val="28"/>
          <w:highlight w:val="none"/>
          <w:lang w:val="en-US" w:eastAsia="zh-CN"/>
        </w:rPr>
        <w:t>阿猛镇黑龙潭</w:t>
      </w:r>
      <w:r>
        <w:rPr>
          <w:rFonts w:hint="eastAsia" w:ascii="仿宋" w:hAnsi="仿宋" w:eastAsia="仿宋" w:cs="仿宋"/>
          <w:snapToGrid w:val="0"/>
          <w:kern w:val="0"/>
          <w:sz w:val="28"/>
          <w:szCs w:val="28"/>
          <w:highlight w:val="none"/>
        </w:rPr>
        <w:t>饮用水水源保护区进行划分。</w:t>
      </w:r>
    </w:p>
    <w:p>
      <w:pPr>
        <w:adjustRightInd w:val="0"/>
        <w:snapToGrid w:val="0"/>
        <w:spacing w:line="360" w:lineRule="auto"/>
        <w:ind w:firstLine="560" w:firstLineChars="200"/>
        <w:rPr>
          <w:rFonts w:hint="eastAsia" w:ascii="Times New Roman" w:hAnsi="Times New Roman" w:eastAsia="仿宋" w:cs="Times New Roman"/>
          <w:snapToGrid w:val="0"/>
          <w:kern w:val="0"/>
          <w:sz w:val="28"/>
          <w:szCs w:val="28"/>
          <w:highlight w:val="none"/>
        </w:rPr>
      </w:pPr>
    </w:p>
    <w:p>
      <w:pPr>
        <w:adjustRightInd w:val="0"/>
        <w:snapToGrid w:val="0"/>
        <w:spacing w:line="360" w:lineRule="auto"/>
        <w:ind w:firstLine="560" w:firstLineChars="200"/>
        <w:rPr>
          <w:rFonts w:hint="eastAsia" w:ascii="Times New Roman" w:hAnsi="Times New Roman" w:eastAsia="仿宋" w:cs="Times New Roman"/>
          <w:snapToGrid w:val="0"/>
          <w:kern w:val="0"/>
          <w:sz w:val="28"/>
          <w:szCs w:val="28"/>
          <w:highlight w:val="none"/>
        </w:rPr>
      </w:pPr>
    </w:p>
    <w:p>
      <w:pPr>
        <w:adjustRightInd w:val="0"/>
        <w:snapToGrid w:val="0"/>
        <w:spacing w:line="360" w:lineRule="auto"/>
        <w:ind w:firstLine="560" w:firstLineChars="200"/>
        <w:rPr>
          <w:rFonts w:hint="eastAsia" w:ascii="Times New Roman" w:hAnsi="Times New Roman" w:eastAsia="仿宋" w:cs="Times New Roman"/>
          <w:snapToGrid w:val="0"/>
          <w:kern w:val="0"/>
          <w:sz w:val="28"/>
          <w:szCs w:val="28"/>
          <w:highlight w:val="none"/>
        </w:rPr>
      </w:pPr>
    </w:p>
    <w:p>
      <w:pPr>
        <w:adjustRightInd w:val="0"/>
        <w:snapToGrid w:val="0"/>
        <w:spacing w:line="360" w:lineRule="auto"/>
        <w:jc w:val="both"/>
        <w:rPr>
          <w:rFonts w:hint="eastAsia" w:ascii="Times New Roman" w:hAnsi="Times New Roman" w:eastAsia="仿宋" w:cs="Times New Roman"/>
          <w:snapToGrid w:val="0"/>
          <w:kern w:val="0"/>
          <w:sz w:val="28"/>
          <w:szCs w:val="28"/>
          <w:highlight w:val="none"/>
        </w:rPr>
      </w:pPr>
    </w:p>
    <w:p>
      <w:pPr>
        <w:adjustRightInd w:val="0"/>
        <w:snapToGrid w:val="0"/>
        <w:spacing w:line="360" w:lineRule="auto"/>
        <w:jc w:val="center"/>
        <w:rPr>
          <w:rFonts w:ascii="Times New Roman" w:hAnsi="Times New Roman" w:eastAsia="仿宋" w:cs="Times New Roman"/>
          <w:b/>
          <w:bCs/>
          <w:snapToGrid w:val="0"/>
          <w:kern w:val="0"/>
          <w:sz w:val="21"/>
          <w:szCs w:val="21"/>
          <w:highlight w:val="none"/>
        </w:rPr>
      </w:pPr>
      <w:r>
        <w:rPr>
          <w:rFonts w:hint="eastAsia" w:ascii="Times New Roman" w:hAnsi="Times New Roman" w:eastAsia="仿宋" w:cs="Times New Roman"/>
          <w:snapToGrid w:val="0"/>
          <w:kern w:val="0"/>
          <w:sz w:val="28"/>
          <w:szCs w:val="28"/>
          <w:highlight w:val="none"/>
          <w:lang w:eastAsia="zh-CN"/>
        </w:rPr>
        <w:drawing>
          <wp:inline distT="0" distB="0" distL="114300" distR="114300">
            <wp:extent cx="5234940" cy="6094730"/>
            <wp:effectExtent l="0" t="0" r="3810" b="1270"/>
            <wp:docPr id="1" name="图片 1" descr="475434b431b3bd00180bff4085b39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75434b431b3bd00180bff4085b39cc"/>
                    <pic:cNvPicPr>
                      <a:picLocks noChangeAspect="1"/>
                    </pic:cNvPicPr>
                  </pic:nvPicPr>
                  <pic:blipFill>
                    <a:blip r:embed="rId6"/>
                    <a:stretch>
                      <a:fillRect/>
                    </a:stretch>
                  </pic:blipFill>
                  <pic:spPr>
                    <a:xfrm>
                      <a:off x="0" y="0"/>
                      <a:ext cx="5234940" cy="6094730"/>
                    </a:xfrm>
                    <a:prstGeom prst="rect">
                      <a:avLst/>
                    </a:prstGeom>
                  </pic:spPr>
                </pic:pic>
              </a:graphicData>
            </a:graphic>
          </wp:inline>
        </w:drawing>
      </w:r>
      <w:r>
        <w:rPr>
          <w:rFonts w:hint="eastAsia" w:ascii="Times New Roman" w:hAnsi="Times New Roman" w:eastAsia="仿宋" w:cs="Times New Roman"/>
          <w:b/>
          <w:bCs/>
          <w:snapToGrid w:val="0"/>
          <w:kern w:val="0"/>
          <w:sz w:val="21"/>
          <w:szCs w:val="21"/>
          <w:highlight w:val="none"/>
          <w:lang w:val="en-US" w:eastAsia="zh-CN"/>
        </w:rPr>
        <w:t>图1.2-1  砚</w:t>
      </w:r>
      <w:r>
        <w:rPr>
          <w:rFonts w:ascii="Times New Roman" w:hAnsi="Times New Roman" w:eastAsia="仿宋" w:cs="Times New Roman"/>
          <w:b/>
          <w:bCs/>
          <w:snapToGrid w:val="0"/>
          <w:kern w:val="0"/>
          <w:sz w:val="21"/>
          <w:szCs w:val="21"/>
          <w:highlight w:val="none"/>
        </w:rPr>
        <w:t>山县</w:t>
      </w:r>
      <w:r>
        <w:rPr>
          <w:rFonts w:hint="eastAsia" w:ascii="Times New Roman" w:hAnsi="Times New Roman" w:eastAsia="仿宋" w:cs="Times New Roman"/>
          <w:b/>
          <w:bCs/>
          <w:snapToGrid w:val="0"/>
          <w:kern w:val="0"/>
          <w:sz w:val="21"/>
          <w:szCs w:val="21"/>
          <w:highlight w:val="none"/>
          <w:lang w:val="en-US" w:eastAsia="zh-CN"/>
        </w:rPr>
        <w:t>阿猛镇黑龙潭</w:t>
      </w:r>
      <w:r>
        <w:rPr>
          <w:rFonts w:ascii="Times New Roman" w:hAnsi="Times New Roman" w:eastAsia="仿宋" w:cs="Times New Roman"/>
          <w:b/>
          <w:bCs/>
          <w:snapToGrid w:val="0"/>
          <w:kern w:val="0"/>
          <w:sz w:val="21"/>
          <w:szCs w:val="21"/>
          <w:highlight w:val="none"/>
        </w:rPr>
        <w:t>饮用水水源保护区</w:t>
      </w:r>
      <w:r>
        <w:rPr>
          <w:rFonts w:hint="eastAsia" w:ascii="Times New Roman" w:hAnsi="Times New Roman" w:eastAsia="仿宋" w:cs="Times New Roman"/>
          <w:b/>
          <w:bCs/>
          <w:snapToGrid w:val="0"/>
          <w:kern w:val="0"/>
          <w:sz w:val="21"/>
          <w:szCs w:val="21"/>
          <w:highlight w:val="none"/>
        </w:rPr>
        <w:t>划分</w:t>
      </w:r>
      <w:r>
        <w:rPr>
          <w:rFonts w:ascii="Times New Roman" w:hAnsi="Times New Roman" w:eastAsia="仿宋" w:cs="Times New Roman"/>
          <w:b/>
          <w:bCs/>
          <w:snapToGrid w:val="0"/>
          <w:kern w:val="0"/>
          <w:sz w:val="21"/>
          <w:szCs w:val="21"/>
          <w:highlight w:val="none"/>
        </w:rPr>
        <w:t>技术</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0"/>
        <w:rPr>
          <w:rFonts w:hint="eastAsia" w:ascii="Times New Roman" w:hAnsi="Times New Roman" w:eastAsia="宋体" w:cs="Times New Roman"/>
          <w:b/>
          <w:bCs/>
          <w:sz w:val="30"/>
          <w:szCs w:val="30"/>
          <w:highlight w:val="none"/>
          <w:lang w:val="en-US" w:eastAsia="zh-CN"/>
        </w:rPr>
      </w:pPr>
      <w:bookmarkStart w:id="10" w:name="_Toc6256"/>
      <w:r>
        <w:rPr>
          <w:rFonts w:hint="eastAsia" w:ascii="Times New Roman" w:hAnsi="Times New Roman" w:eastAsia="宋体" w:cs="Times New Roman"/>
          <w:b/>
          <w:bCs/>
          <w:sz w:val="32"/>
          <w:szCs w:val="32"/>
          <w:highlight w:val="none"/>
          <w:lang w:val="en-US" w:eastAsia="zh-CN"/>
        </w:rPr>
        <w:t>2.</w:t>
      </w:r>
      <w:r>
        <w:rPr>
          <w:rFonts w:hint="eastAsia" w:ascii="Times New Roman" w:hAnsi="Times New Roman" w:eastAsia="宋体" w:cs="Times New Roman"/>
          <w:b/>
          <w:bCs/>
          <w:sz w:val="30"/>
          <w:szCs w:val="30"/>
          <w:highlight w:val="none"/>
          <w:lang w:val="en-US" w:eastAsia="zh-CN"/>
        </w:rPr>
        <w:t>水源地基础情况</w:t>
      </w:r>
      <w:bookmarkEnd w:id="10"/>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2"/>
        <w:rPr>
          <w:rFonts w:hint="eastAsia" w:ascii="Times New Roman" w:hAnsi="Times New Roman" w:eastAsia="宋体" w:cs="Times New Roman"/>
          <w:b/>
          <w:bCs/>
          <w:kern w:val="0"/>
          <w:sz w:val="28"/>
          <w:szCs w:val="28"/>
          <w:highlight w:val="none"/>
          <w:lang w:val="en-US" w:eastAsia="zh-CN" w:bidi="zh-CN"/>
        </w:rPr>
      </w:pPr>
      <w:bookmarkStart w:id="11" w:name="_Toc14380"/>
      <w:r>
        <w:rPr>
          <w:rFonts w:hint="eastAsia" w:ascii="Times New Roman" w:hAnsi="Times New Roman" w:eastAsia="宋体" w:cs="Times New Roman"/>
          <w:b/>
          <w:bCs/>
          <w:kern w:val="0"/>
          <w:sz w:val="28"/>
          <w:szCs w:val="28"/>
          <w:highlight w:val="none"/>
          <w:lang w:val="en-US" w:eastAsia="zh-CN" w:bidi="zh-CN"/>
        </w:rPr>
        <w:t>2.1.1阿猛镇黑龙潭概况</w:t>
      </w:r>
      <w:bookmarkEnd w:id="11"/>
    </w:p>
    <w:p>
      <w:pPr>
        <w:pStyle w:val="12"/>
        <w:keepNext w:val="0"/>
        <w:keepLines w:val="0"/>
        <w:pageBreakBefore w:val="0"/>
        <w:widowControl/>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b w:val="0"/>
          <w:bCs w:val="0"/>
          <w:kern w:val="0"/>
          <w:sz w:val="28"/>
          <w:szCs w:val="28"/>
          <w:highlight w:val="none"/>
          <w:lang w:val="en-US" w:eastAsia="zh-CN" w:bidi="zh-CN"/>
        </w:rPr>
      </w:pPr>
      <w:r>
        <w:rPr>
          <w:rFonts w:hint="eastAsia" w:ascii="仿宋" w:hAnsi="仿宋" w:eastAsia="仿宋" w:cs="仿宋"/>
          <w:b w:val="0"/>
          <w:bCs w:val="0"/>
          <w:sz w:val="28"/>
          <w:szCs w:val="28"/>
          <w:highlight w:val="none"/>
          <w:lang w:val="en-US" w:eastAsia="zh-CN"/>
        </w:rPr>
        <w:t>砚山县</w:t>
      </w:r>
      <w:r>
        <w:rPr>
          <w:rFonts w:hint="eastAsia" w:ascii="仿宋" w:hAnsi="仿宋" w:eastAsia="仿宋" w:cs="仿宋"/>
          <w:b w:val="0"/>
          <w:bCs w:val="0"/>
          <w:kern w:val="0"/>
          <w:sz w:val="28"/>
          <w:szCs w:val="28"/>
          <w:highlight w:val="none"/>
          <w:lang w:val="en-US" w:eastAsia="zh-CN" w:bidi="zh-CN"/>
        </w:rPr>
        <w:t>阿猛镇黑龙潭地下水水源地概况见表2.1-1。</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kern w:val="0"/>
          <w:sz w:val="21"/>
          <w:szCs w:val="21"/>
          <w:highlight w:val="none"/>
          <w:lang w:val="en-US" w:eastAsia="zh-CN" w:bidi="zh-CN"/>
        </w:rPr>
      </w:pPr>
      <w:r>
        <w:rPr>
          <w:rFonts w:hint="eastAsia" w:ascii="仿宋" w:hAnsi="仿宋" w:eastAsia="仿宋" w:cs="仿宋"/>
          <w:b/>
          <w:bCs/>
          <w:kern w:val="0"/>
          <w:sz w:val="21"/>
          <w:szCs w:val="21"/>
          <w:highlight w:val="none"/>
          <w:lang w:val="en-US" w:eastAsia="zh-CN" w:bidi="zh-CN"/>
        </w:rPr>
        <w:t>表2.1-1  砚山县阿猛镇黑龙潭饮用水水源地概况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1350"/>
        <w:gridCol w:w="2001"/>
        <w:gridCol w:w="1896"/>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restart"/>
            <w:vAlign w:val="center"/>
          </w:tcPr>
          <w:p>
            <w:pPr>
              <w:pStyle w:val="12"/>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水源地名称</w:t>
            </w:r>
          </w:p>
        </w:tc>
        <w:tc>
          <w:tcPr>
            <w:tcW w:w="1350" w:type="dxa"/>
            <w:vMerge w:val="restart"/>
            <w:vAlign w:val="center"/>
          </w:tcPr>
          <w:p>
            <w:pPr>
              <w:pStyle w:val="12"/>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水源地</w:t>
            </w:r>
          </w:p>
          <w:p>
            <w:pPr>
              <w:pStyle w:val="12"/>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级别</w:t>
            </w:r>
          </w:p>
        </w:tc>
        <w:tc>
          <w:tcPr>
            <w:tcW w:w="2603" w:type="dxa"/>
            <w:gridSpan w:val="2"/>
            <w:vAlign w:val="center"/>
          </w:tcPr>
          <w:p>
            <w:pPr>
              <w:pStyle w:val="12"/>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水源地位置</w:t>
            </w:r>
          </w:p>
        </w:tc>
        <w:tc>
          <w:tcPr>
            <w:tcW w:w="1421" w:type="dxa"/>
            <w:vMerge w:val="restart"/>
            <w:vAlign w:val="center"/>
          </w:tcPr>
          <w:p>
            <w:pPr>
              <w:pStyle w:val="12"/>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水源地</w:t>
            </w:r>
          </w:p>
          <w:p>
            <w:pPr>
              <w:pStyle w:val="12"/>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类型</w:t>
            </w:r>
          </w:p>
        </w:tc>
        <w:tc>
          <w:tcPr>
            <w:tcW w:w="1421" w:type="dxa"/>
            <w:vAlign w:val="center"/>
          </w:tcPr>
          <w:p>
            <w:pPr>
              <w:pStyle w:val="12"/>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供水情况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Merge w:val="continue"/>
            <w:vAlign w:val="center"/>
          </w:tcPr>
          <w:p>
            <w:pPr>
              <w:pStyle w:val="12"/>
              <w:jc w:val="center"/>
              <w:rPr>
                <w:rFonts w:hint="eastAsia" w:ascii="仿宋" w:hAnsi="仿宋" w:eastAsia="仿宋" w:cs="仿宋"/>
                <w:sz w:val="21"/>
                <w:szCs w:val="21"/>
                <w:highlight w:val="none"/>
                <w:vertAlign w:val="baseline"/>
                <w:lang w:val="en-US" w:eastAsia="zh-CN"/>
              </w:rPr>
            </w:pPr>
          </w:p>
        </w:tc>
        <w:tc>
          <w:tcPr>
            <w:tcW w:w="1350" w:type="dxa"/>
            <w:vMerge w:val="continue"/>
            <w:vAlign w:val="center"/>
          </w:tcPr>
          <w:p>
            <w:pPr>
              <w:pStyle w:val="12"/>
              <w:jc w:val="center"/>
              <w:rPr>
                <w:rFonts w:hint="eastAsia" w:ascii="仿宋" w:hAnsi="仿宋" w:eastAsia="仿宋" w:cs="仿宋"/>
                <w:sz w:val="21"/>
                <w:szCs w:val="21"/>
                <w:highlight w:val="none"/>
                <w:vertAlign w:val="baseline"/>
                <w:lang w:val="en-US" w:eastAsia="zh-CN"/>
              </w:rPr>
            </w:pPr>
          </w:p>
        </w:tc>
        <w:tc>
          <w:tcPr>
            <w:tcW w:w="1382" w:type="dxa"/>
            <w:vAlign w:val="center"/>
          </w:tcPr>
          <w:p>
            <w:pPr>
              <w:pStyle w:val="12"/>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东经</w:t>
            </w:r>
          </w:p>
        </w:tc>
        <w:tc>
          <w:tcPr>
            <w:tcW w:w="1221" w:type="dxa"/>
            <w:vAlign w:val="center"/>
          </w:tcPr>
          <w:p>
            <w:pPr>
              <w:pStyle w:val="12"/>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北纬</w:t>
            </w:r>
          </w:p>
        </w:tc>
        <w:tc>
          <w:tcPr>
            <w:tcW w:w="1421" w:type="dxa"/>
            <w:vMerge w:val="continue"/>
            <w:vAlign w:val="center"/>
          </w:tcPr>
          <w:p>
            <w:pPr>
              <w:pStyle w:val="12"/>
              <w:jc w:val="center"/>
              <w:rPr>
                <w:rFonts w:hint="eastAsia" w:ascii="仿宋" w:hAnsi="仿宋" w:eastAsia="仿宋" w:cs="仿宋"/>
                <w:sz w:val="21"/>
                <w:szCs w:val="21"/>
                <w:highlight w:val="none"/>
                <w:vertAlign w:val="baseline"/>
                <w:lang w:val="en-US" w:eastAsia="zh-CN"/>
              </w:rPr>
            </w:pPr>
          </w:p>
        </w:tc>
        <w:tc>
          <w:tcPr>
            <w:tcW w:w="1421" w:type="dxa"/>
            <w:vAlign w:val="center"/>
          </w:tcPr>
          <w:p>
            <w:pPr>
              <w:pStyle w:val="12"/>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供水范围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center"/>
          </w:tcPr>
          <w:p>
            <w:pPr>
              <w:pStyle w:val="12"/>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砚山县</w:t>
            </w:r>
            <w:r>
              <w:rPr>
                <w:rFonts w:hint="eastAsia" w:ascii="仿宋" w:hAnsi="仿宋" w:eastAsia="仿宋" w:cs="仿宋"/>
                <w:b w:val="0"/>
                <w:bCs w:val="0"/>
                <w:color w:val="auto"/>
                <w:kern w:val="0"/>
                <w:sz w:val="21"/>
                <w:szCs w:val="21"/>
                <w:highlight w:val="none"/>
                <w:lang w:val="en-US" w:eastAsia="zh-CN" w:bidi="zh-CN"/>
              </w:rPr>
              <w:t>阿猛镇黑龙潭</w:t>
            </w:r>
          </w:p>
        </w:tc>
        <w:tc>
          <w:tcPr>
            <w:tcW w:w="1350" w:type="dxa"/>
            <w:vAlign w:val="center"/>
          </w:tcPr>
          <w:p>
            <w:pPr>
              <w:pStyle w:val="12"/>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乡镇级</w:t>
            </w:r>
          </w:p>
        </w:tc>
        <w:tc>
          <w:tcPr>
            <w:tcW w:w="1382" w:type="dxa"/>
            <w:vAlign w:val="center"/>
          </w:tcPr>
          <w:p>
            <w:pPr>
              <w:pStyle w:val="12"/>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104°34′41.79″E</w:t>
            </w:r>
          </w:p>
        </w:tc>
        <w:tc>
          <w:tcPr>
            <w:tcW w:w="1221" w:type="dxa"/>
            <w:vAlign w:val="center"/>
          </w:tcPr>
          <w:p>
            <w:pPr>
              <w:pStyle w:val="12"/>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23°45′54.75″N</w:t>
            </w:r>
          </w:p>
        </w:tc>
        <w:tc>
          <w:tcPr>
            <w:tcW w:w="1421" w:type="dxa"/>
            <w:vAlign w:val="center"/>
          </w:tcPr>
          <w:p>
            <w:pPr>
              <w:pStyle w:val="12"/>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地下水</w:t>
            </w:r>
          </w:p>
        </w:tc>
        <w:tc>
          <w:tcPr>
            <w:tcW w:w="1421" w:type="dxa"/>
            <w:vAlign w:val="center"/>
          </w:tcPr>
          <w:p>
            <w:pPr>
              <w:pStyle w:val="12"/>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阿猛镇</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宋体" w:cs="Times New Roman"/>
          <w:b/>
          <w:bCs/>
          <w:kern w:val="0"/>
          <w:sz w:val="28"/>
          <w:szCs w:val="28"/>
          <w:highlight w:val="none"/>
          <w:lang w:val="en-US" w:eastAsia="zh-CN" w:bidi="zh-CN"/>
        </w:rPr>
      </w:pPr>
      <w:r>
        <w:rPr>
          <w:rFonts w:hint="eastAsia" w:ascii="仿宋" w:hAnsi="仿宋" w:eastAsia="仿宋" w:cs="仿宋"/>
          <w:b w:val="0"/>
          <w:bCs w:val="0"/>
          <w:color w:val="auto"/>
          <w:kern w:val="0"/>
          <w:sz w:val="28"/>
          <w:szCs w:val="28"/>
          <w:highlight w:val="none"/>
          <w:lang w:val="en-US" w:eastAsia="zh-CN" w:bidi="zh-CN"/>
        </w:rPr>
        <w:t>阿猛</w:t>
      </w:r>
      <w:r>
        <w:rPr>
          <w:rFonts w:hint="eastAsia" w:ascii="仿宋" w:hAnsi="仿宋" w:eastAsia="仿宋" w:cs="仿宋"/>
          <w:b w:val="0"/>
          <w:bCs w:val="0"/>
          <w:kern w:val="0"/>
          <w:sz w:val="28"/>
          <w:szCs w:val="28"/>
          <w:highlight w:val="none"/>
          <w:lang w:val="en-US" w:eastAsia="zh-CN" w:bidi="zh-CN"/>
        </w:rPr>
        <w:t>镇黑龙潭位于东经104°34′41.79″，北纬23°45′54.75″。日供水量800m</w:t>
      </w:r>
      <w:r>
        <w:rPr>
          <w:rFonts w:hint="eastAsia" w:ascii="仿宋" w:hAnsi="仿宋" w:eastAsia="仿宋" w:cs="仿宋"/>
          <w:b w:val="0"/>
          <w:bCs w:val="0"/>
          <w:kern w:val="0"/>
          <w:sz w:val="28"/>
          <w:szCs w:val="28"/>
          <w:highlight w:val="none"/>
          <w:vertAlign w:val="superscript"/>
          <w:lang w:val="en-US" w:eastAsia="zh-CN" w:bidi="zh-CN"/>
        </w:rPr>
        <w:t>3</w:t>
      </w:r>
      <w:r>
        <w:rPr>
          <w:rFonts w:hint="eastAsia" w:ascii="仿宋" w:hAnsi="仿宋" w:eastAsia="仿宋" w:cs="仿宋"/>
          <w:b w:val="0"/>
          <w:bCs w:val="0"/>
          <w:kern w:val="0"/>
          <w:sz w:val="28"/>
          <w:szCs w:val="28"/>
          <w:highlight w:val="none"/>
          <w:lang w:val="en-US" w:eastAsia="zh-CN" w:bidi="zh-CN"/>
        </w:rPr>
        <w:t>，为阿猛镇10000多人供水。地下水类型为碳酸盐岩类岩溶水，裸露型，出露后直接原位设置保护围墙并设置取水口，围墙为半径6m的圆形混凝土墙，墙高1.5m；围墙外设20m</w:t>
      </w:r>
      <w:r>
        <w:rPr>
          <w:rFonts w:hint="default" w:ascii="仿宋" w:hAnsi="仿宋" w:eastAsia="仿宋" w:cs="仿宋"/>
          <w:b w:val="0"/>
          <w:bCs w:val="0"/>
          <w:kern w:val="0"/>
          <w:sz w:val="28"/>
          <w:szCs w:val="28"/>
          <w:highlight w:val="none"/>
          <w:lang w:val="en-US" w:eastAsia="zh-CN" w:bidi="zh-CN"/>
        </w:rPr>
        <w:t>×</w:t>
      </w:r>
      <w:r>
        <w:rPr>
          <w:rFonts w:hint="eastAsia" w:ascii="仿宋" w:hAnsi="仿宋" w:eastAsia="仿宋" w:cs="仿宋"/>
          <w:b w:val="0"/>
          <w:bCs w:val="0"/>
          <w:kern w:val="0"/>
          <w:sz w:val="28"/>
          <w:szCs w:val="28"/>
          <w:highlight w:val="none"/>
          <w:lang w:val="en-US" w:eastAsia="zh-CN" w:bidi="zh-CN"/>
        </w:rPr>
        <w:t>30m长方形铁丝围栏。水源水通过直径20cm水管输送到东北向400m的泵房后经高压泵送至位于山顶的高位水池。超出使用量的水直接进入地表冲沟用于农灌。</w:t>
      </w:r>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Times New Roman" w:hAnsi="Times New Roman" w:eastAsia="宋体" w:cs="Times New Roman"/>
          <w:b/>
          <w:bCs/>
          <w:kern w:val="0"/>
          <w:sz w:val="28"/>
          <w:szCs w:val="28"/>
          <w:highlight w:val="none"/>
          <w:lang w:val="en-US" w:eastAsia="zh-CN" w:bidi="zh-CN"/>
        </w:rPr>
      </w:pPr>
      <w:bookmarkStart w:id="12" w:name="_Toc17676"/>
      <w:r>
        <w:rPr>
          <w:rFonts w:hint="eastAsia" w:ascii="Times New Roman" w:hAnsi="Times New Roman" w:eastAsia="宋体" w:cs="Times New Roman"/>
          <w:b/>
          <w:bCs/>
          <w:kern w:val="0"/>
          <w:sz w:val="28"/>
          <w:szCs w:val="28"/>
          <w:highlight w:val="none"/>
          <w:lang w:val="en-US" w:eastAsia="zh-CN" w:bidi="zh-CN"/>
        </w:rPr>
        <w:t>2.1.2阿猛镇黑龙潭水文地质概况</w:t>
      </w:r>
      <w:bookmarkEnd w:id="12"/>
    </w:p>
    <w:p>
      <w:pPr>
        <w:adjustRightInd w:val="0"/>
        <w:snapToGrid w:val="0"/>
        <w:spacing w:line="360" w:lineRule="auto"/>
        <w:ind w:firstLine="560" w:firstLineChars="200"/>
        <w:rPr>
          <w:rFonts w:hint="eastAsia" w:ascii="Times New Roman" w:hAnsi="Times New Roman" w:eastAsia="宋体" w:cs="Times New Roman"/>
          <w:b/>
          <w:bCs/>
          <w:sz w:val="32"/>
          <w:szCs w:val="32"/>
          <w:highlight w:val="none"/>
          <w:lang w:val="en-US" w:eastAsia="zh-CN"/>
        </w:rPr>
      </w:pPr>
      <w:r>
        <w:rPr>
          <w:rFonts w:ascii="Times New Roman" w:hAnsi="Times New Roman" w:eastAsia="仿宋"/>
          <w:snapToGrid w:val="0"/>
          <w:color w:val="auto"/>
          <w:kern w:val="0"/>
          <w:sz w:val="28"/>
          <w:szCs w:val="28"/>
          <w:highlight w:val="none"/>
        </w:rPr>
        <w:t>根据1:20万水文地质图（文山幅），</w:t>
      </w:r>
      <w:r>
        <w:rPr>
          <w:rFonts w:hint="eastAsia" w:ascii="Times New Roman" w:hAnsi="Times New Roman" w:eastAsia="仿宋"/>
          <w:snapToGrid w:val="0"/>
          <w:color w:val="auto"/>
          <w:kern w:val="0"/>
          <w:sz w:val="28"/>
          <w:szCs w:val="28"/>
          <w:highlight w:val="none"/>
        </w:rPr>
        <w:t>黑龙潭水源地</w:t>
      </w:r>
      <w:r>
        <w:rPr>
          <w:rFonts w:ascii="Times New Roman" w:hAnsi="Times New Roman" w:eastAsia="仿宋"/>
          <w:snapToGrid w:val="0"/>
          <w:color w:val="auto"/>
          <w:kern w:val="0"/>
          <w:sz w:val="28"/>
          <w:szCs w:val="28"/>
          <w:highlight w:val="none"/>
        </w:rPr>
        <w:t>所在水文地质单元地下水类型为</w:t>
      </w:r>
      <w:r>
        <w:rPr>
          <w:rFonts w:hint="eastAsia" w:ascii="Times New Roman" w:hAnsi="Times New Roman" w:eastAsia="仿宋"/>
          <w:snapToGrid w:val="0"/>
          <w:color w:val="auto"/>
          <w:kern w:val="0"/>
          <w:sz w:val="28"/>
          <w:szCs w:val="28"/>
          <w:highlight w:val="none"/>
        </w:rPr>
        <w:t>裸露型碳酸盐岩岩溶</w:t>
      </w:r>
      <w:r>
        <w:rPr>
          <w:rFonts w:ascii="Times New Roman" w:hAnsi="Times New Roman" w:eastAsia="仿宋"/>
          <w:snapToGrid w:val="0"/>
          <w:color w:val="auto"/>
          <w:kern w:val="0"/>
          <w:sz w:val="28"/>
          <w:szCs w:val="28"/>
          <w:highlight w:val="none"/>
        </w:rPr>
        <w:t>水，富水性</w:t>
      </w:r>
      <w:r>
        <w:rPr>
          <w:rFonts w:hint="eastAsia" w:ascii="Times New Roman" w:hAnsi="Times New Roman" w:eastAsia="仿宋"/>
          <w:snapToGrid w:val="0"/>
          <w:color w:val="auto"/>
          <w:kern w:val="0"/>
          <w:sz w:val="28"/>
          <w:szCs w:val="28"/>
          <w:highlight w:val="none"/>
        </w:rPr>
        <w:t>较强</w:t>
      </w:r>
      <w:r>
        <w:rPr>
          <w:rFonts w:hint="eastAsia" w:ascii="Times New Roman" w:hAnsi="Times New Roman" w:eastAsia="仿宋"/>
          <w:snapToGrid w:val="0"/>
          <w:color w:val="auto"/>
          <w:kern w:val="0"/>
          <w:sz w:val="28"/>
          <w:szCs w:val="28"/>
          <w:highlight w:val="none"/>
          <w:lang w:eastAsia="zh-CN"/>
        </w:rPr>
        <w:t>，</w:t>
      </w:r>
      <w:r>
        <w:rPr>
          <w:rFonts w:hint="eastAsia" w:ascii="Times New Roman" w:hAnsi="Times New Roman" w:eastAsia="仿宋"/>
          <w:snapToGrid w:val="0"/>
          <w:color w:val="auto"/>
          <w:kern w:val="0"/>
          <w:sz w:val="28"/>
          <w:szCs w:val="28"/>
          <w:highlight w:val="none"/>
          <w:lang w:val="en-US" w:eastAsia="zh-CN"/>
        </w:rPr>
        <w:t>地下水埋深＜50米。出水点为60号下降泉，流量434.2L/s；</w:t>
      </w:r>
      <w:r>
        <w:rPr>
          <w:rFonts w:hint="eastAsia" w:ascii="Times New Roman" w:hAnsi="Times New Roman" w:eastAsia="仿宋"/>
          <w:snapToGrid w:val="0"/>
          <w:color w:val="auto"/>
          <w:kern w:val="0"/>
          <w:sz w:val="28"/>
          <w:szCs w:val="28"/>
          <w:highlight w:val="none"/>
        </w:rPr>
        <w:t>区域地下水分水岭</w:t>
      </w:r>
      <w:r>
        <w:rPr>
          <w:rFonts w:hint="eastAsia" w:ascii="Times New Roman" w:hAnsi="Times New Roman" w:eastAsia="仿宋"/>
          <w:snapToGrid w:val="0"/>
          <w:color w:val="auto"/>
          <w:kern w:val="0"/>
          <w:sz w:val="28"/>
          <w:szCs w:val="28"/>
          <w:highlight w:val="none"/>
          <w:lang w:val="en-US" w:eastAsia="zh-CN"/>
        </w:rPr>
        <w:t>较为明显，泉眼南、北及西边均有断裂带。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Times New Roman" w:hAnsi="Times New Roman" w:eastAsia="宋体" w:cs="Times New Roman"/>
          <w:b/>
          <w:bCs/>
          <w:sz w:val="32"/>
          <w:szCs w:val="32"/>
          <w:highlight w:val="none"/>
          <w:lang w:val="en-US" w:eastAsia="zh-CN"/>
        </w:rPr>
      </w:pPr>
      <w:bookmarkStart w:id="13" w:name="_Toc30823"/>
      <w:r>
        <w:rPr>
          <w:rFonts w:hint="eastAsia" w:ascii="Times New Roman" w:hAnsi="Times New Roman" w:eastAsia="宋体" w:cs="Times New Roman"/>
          <w:b/>
          <w:bCs/>
          <w:sz w:val="32"/>
          <w:szCs w:val="32"/>
          <w:highlight w:val="none"/>
          <w:lang w:val="en-US" w:eastAsia="zh-CN"/>
        </w:rPr>
        <w:t>3.水源保护区环境调查评价</w:t>
      </w:r>
      <w:bookmarkEnd w:id="1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imes New Roman" w:hAnsi="Times New Roman" w:eastAsia="宋体" w:cs="Times New Roman"/>
          <w:b/>
          <w:bCs/>
          <w:sz w:val="30"/>
          <w:szCs w:val="30"/>
          <w:highlight w:val="none"/>
          <w:lang w:val="en-US" w:eastAsia="zh-CN"/>
        </w:rPr>
      </w:pPr>
      <w:bookmarkStart w:id="14" w:name="_Toc13780"/>
      <w:r>
        <w:rPr>
          <w:rFonts w:hint="eastAsia" w:ascii="Times New Roman" w:hAnsi="Times New Roman" w:eastAsia="宋体" w:cs="Times New Roman"/>
          <w:b/>
          <w:bCs/>
          <w:sz w:val="30"/>
          <w:szCs w:val="30"/>
          <w:highlight w:val="none"/>
          <w:lang w:val="en-US" w:eastAsia="zh-CN"/>
        </w:rPr>
        <w:t>3.1水土流失状况</w:t>
      </w:r>
      <w:bookmarkEnd w:id="14"/>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560" w:firstLineChars="200"/>
        <w:jc w:val="both"/>
        <w:textAlignment w:val="auto"/>
        <w:rPr>
          <w:rFonts w:hint="eastAsia" w:ascii="仿宋" w:hAnsi="仿宋" w:eastAsia="仿宋" w:cs="仿宋"/>
          <w:color w:val="FF0000"/>
          <w:kern w:val="0"/>
          <w:sz w:val="28"/>
          <w:szCs w:val="28"/>
          <w:highlight w:val="none"/>
          <w:lang w:val="zh-CN" w:bidi="zh-CN"/>
        </w:rPr>
      </w:pPr>
      <w:r>
        <w:rPr>
          <w:rFonts w:hint="eastAsia" w:ascii="仿宋" w:hAnsi="仿宋" w:eastAsia="仿宋" w:cs="仿宋"/>
          <w:color w:val="auto"/>
          <w:kern w:val="0"/>
          <w:sz w:val="28"/>
          <w:szCs w:val="28"/>
          <w:highlight w:val="none"/>
          <w:lang w:val="en-US" w:bidi="zh-CN"/>
        </w:rPr>
        <w:t>黑</w:t>
      </w:r>
      <w:r>
        <w:rPr>
          <w:rFonts w:hint="eastAsia" w:ascii="仿宋" w:hAnsi="仿宋" w:eastAsia="仿宋" w:cs="仿宋"/>
          <w:color w:val="auto"/>
          <w:kern w:val="0"/>
          <w:sz w:val="28"/>
          <w:szCs w:val="28"/>
          <w:highlight w:val="none"/>
          <w:lang w:val="zh-CN" w:bidi="zh-CN"/>
        </w:rPr>
        <w:t>龙潭保护区</w:t>
      </w:r>
      <w:r>
        <w:rPr>
          <w:rFonts w:hint="eastAsia" w:ascii="仿宋" w:hAnsi="仿宋" w:eastAsia="仿宋" w:cs="仿宋"/>
          <w:color w:val="auto"/>
          <w:kern w:val="0"/>
          <w:sz w:val="28"/>
          <w:szCs w:val="28"/>
          <w:highlight w:val="none"/>
          <w:lang w:val="en-US" w:bidi="zh-CN"/>
        </w:rPr>
        <w:t>内主要为耕地，占比为90.45%</w:t>
      </w:r>
      <w:r>
        <w:rPr>
          <w:rFonts w:hint="eastAsia" w:ascii="仿宋" w:hAnsi="仿宋" w:eastAsia="仿宋" w:cs="仿宋"/>
          <w:color w:val="auto"/>
          <w:kern w:val="0"/>
          <w:sz w:val="28"/>
          <w:szCs w:val="28"/>
          <w:highlight w:val="none"/>
          <w:lang w:val="zh-CN" w:bidi="zh-CN"/>
        </w:rPr>
        <w:t>，林地占比</w:t>
      </w:r>
      <w:r>
        <w:rPr>
          <w:rFonts w:hint="eastAsia" w:ascii="仿宋" w:hAnsi="仿宋" w:eastAsia="仿宋" w:cs="仿宋"/>
          <w:color w:val="auto"/>
          <w:kern w:val="0"/>
          <w:sz w:val="28"/>
          <w:szCs w:val="28"/>
          <w:highlight w:val="none"/>
          <w:lang w:val="en-US" w:bidi="zh-CN"/>
        </w:rPr>
        <w:t>仅</w:t>
      </w:r>
      <w:r>
        <w:rPr>
          <w:rFonts w:hint="eastAsia" w:ascii="仿宋" w:hAnsi="仿宋" w:eastAsia="仿宋" w:cs="仿宋"/>
          <w:color w:val="auto"/>
          <w:kern w:val="0"/>
          <w:sz w:val="28"/>
          <w:szCs w:val="28"/>
          <w:highlight w:val="none"/>
          <w:lang w:val="zh-CN" w:bidi="zh-CN"/>
        </w:rPr>
        <w:t>为</w:t>
      </w:r>
      <w:r>
        <w:rPr>
          <w:rFonts w:hint="eastAsia" w:ascii="仿宋" w:hAnsi="仿宋" w:eastAsia="仿宋" w:cs="仿宋"/>
          <w:color w:val="auto"/>
          <w:kern w:val="0"/>
          <w:sz w:val="28"/>
          <w:szCs w:val="28"/>
          <w:highlight w:val="none"/>
          <w:lang w:val="en-US" w:bidi="zh-CN"/>
        </w:rPr>
        <w:t>9.20</w:t>
      </w:r>
      <w:r>
        <w:rPr>
          <w:rFonts w:hint="eastAsia" w:ascii="仿宋" w:hAnsi="仿宋" w:eastAsia="仿宋" w:cs="仿宋"/>
          <w:color w:val="auto"/>
          <w:kern w:val="0"/>
          <w:sz w:val="28"/>
          <w:szCs w:val="28"/>
          <w:highlight w:val="none"/>
          <w:lang w:val="zh-CN" w:bidi="zh-CN"/>
        </w:rPr>
        <w:t>%。经现场踏勘，饮用水水源地周边</w:t>
      </w:r>
      <w:r>
        <w:rPr>
          <w:rFonts w:hint="eastAsia" w:ascii="仿宋" w:hAnsi="仿宋" w:eastAsia="仿宋" w:cs="仿宋"/>
          <w:color w:val="auto"/>
          <w:kern w:val="0"/>
          <w:sz w:val="28"/>
          <w:szCs w:val="28"/>
          <w:highlight w:val="none"/>
          <w:lang w:val="en-US" w:bidi="zh-CN"/>
        </w:rPr>
        <w:t>主要污染源为</w:t>
      </w:r>
      <w:r>
        <w:rPr>
          <w:rFonts w:hint="eastAsia" w:ascii="仿宋" w:hAnsi="仿宋" w:eastAsia="仿宋" w:cs="仿宋"/>
          <w:color w:val="auto"/>
          <w:kern w:val="0"/>
          <w:sz w:val="28"/>
          <w:szCs w:val="28"/>
          <w:highlight w:val="none"/>
          <w:lang w:val="zh-CN" w:bidi="zh-CN"/>
        </w:rPr>
        <w:t>耕地。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imes New Roman" w:hAnsi="Times New Roman" w:eastAsia="宋体" w:cs="Times New Roman"/>
          <w:b/>
          <w:bCs/>
          <w:sz w:val="30"/>
          <w:szCs w:val="30"/>
          <w:highlight w:val="none"/>
          <w:lang w:val="en-US" w:eastAsia="zh-CN"/>
        </w:rPr>
      </w:pPr>
      <w:bookmarkStart w:id="15" w:name="_Toc1724"/>
      <w:r>
        <w:rPr>
          <w:rFonts w:hint="eastAsia" w:ascii="Times New Roman" w:hAnsi="Times New Roman" w:eastAsia="宋体" w:cs="Times New Roman"/>
          <w:b/>
          <w:bCs/>
          <w:sz w:val="30"/>
          <w:szCs w:val="30"/>
          <w:highlight w:val="none"/>
          <w:lang w:val="en-US" w:eastAsia="zh-CN"/>
        </w:rPr>
        <w:t>3.2土地利用状况调查</w:t>
      </w:r>
      <w:bookmarkEnd w:id="15"/>
    </w:p>
    <w:p>
      <w:pPr>
        <w:adjustRightInd w:val="0"/>
        <w:snapToGrid w:val="0"/>
        <w:spacing w:line="360" w:lineRule="auto"/>
        <w:ind w:firstLine="560" w:firstLineChars="200"/>
        <w:rPr>
          <w:rFonts w:hint="eastAsia" w:ascii="Times New Roman" w:hAnsi="Times New Roman" w:eastAsia="仿宋" w:cs="Times New Roman"/>
          <w:snapToGrid w:val="0"/>
          <w:kern w:val="0"/>
          <w:sz w:val="28"/>
          <w:szCs w:val="28"/>
          <w:highlight w:val="none"/>
          <w:lang w:val="en-US"/>
        </w:rPr>
      </w:pPr>
      <w:r>
        <w:rPr>
          <w:rFonts w:hint="eastAsia" w:ascii="Times New Roman" w:hAnsi="Times New Roman" w:eastAsia="仿宋" w:cs="Times New Roman"/>
          <w:snapToGrid w:val="0"/>
          <w:kern w:val="0"/>
          <w:sz w:val="28"/>
          <w:szCs w:val="28"/>
          <w:highlight w:val="none"/>
          <w:lang w:val="en-US"/>
        </w:rPr>
        <w:t>黑</w:t>
      </w:r>
      <w:r>
        <w:rPr>
          <w:rFonts w:hint="eastAsia" w:ascii="Times New Roman" w:hAnsi="Times New Roman" w:eastAsia="仿宋" w:cs="Times New Roman"/>
          <w:snapToGrid w:val="0"/>
          <w:kern w:val="0"/>
          <w:sz w:val="28"/>
          <w:szCs w:val="28"/>
          <w:highlight w:val="none"/>
          <w:lang w:val="zh-CN"/>
        </w:rPr>
        <w:t>龙潭为地下水饮用水水源地，其土地利用类型状况见表</w:t>
      </w:r>
      <w:r>
        <w:rPr>
          <w:rFonts w:hint="eastAsia" w:ascii="Times New Roman" w:hAnsi="Times New Roman" w:eastAsia="仿宋" w:cs="Times New Roman"/>
          <w:snapToGrid w:val="0"/>
          <w:kern w:val="0"/>
          <w:sz w:val="28"/>
          <w:szCs w:val="28"/>
          <w:highlight w:val="none"/>
          <w:lang w:val="en-US"/>
        </w:rPr>
        <w:t>3.2-1。</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b/>
          <w:bCs/>
          <w:color w:val="000000" w:themeColor="text1"/>
          <w:kern w:val="0"/>
          <w:sz w:val="21"/>
          <w:szCs w:val="21"/>
          <w:highlight w:val="none"/>
          <w:lang w:val="en-US" w:bidi="zh-CN"/>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bidi="zh-CN"/>
          <w14:textFill>
            <w14:solidFill>
              <w14:schemeClr w14:val="tx1"/>
            </w14:solidFill>
          </w14:textFill>
        </w:rPr>
        <w:t>表3.2-1  砚山县阿猛镇黑龙潭保护区土地利用类型（单位：km</w:t>
      </w:r>
      <w:r>
        <w:rPr>
          <w:rFonts w:hint="eastAsia" w:ascii="宋体" w:hAnsi="宋体" w:eastAsia="宋体" w:cs="宋体"/>
          <w:b/>
          <w:bCs/>
          <w:color w:val="000000" w:themeColor="text1"/>
          <w:kern w:val="0"/>
          <w:sz w:val="21"/>
          <w:szCs w:val="21"/>
          <w:highlight w:val="none"/>
          <w:vertAlign w:val="superscript"/>
          <w:lang w:val="en-US" w:bidi="zh-CN"/>
          <w14:textFill>
            <w14:solidFill>
              <w14:schemeClr w14:val="tx1"/>
            </w14:solidFill>
          </w14:textFill>
        </w:rPr>
        <w:t>2</w:t>
      </w:r>
      <w:r>
        <w:rPr>
          <w:rFonts w:hint="eastAsia" w:ascii="宋体" w:hAnsi="宋体" w:eastAsia="宋体" w:cs="宋体"/>
          <w:b/>
          <w:bCs/>
          <w:color w:val="000000" w:themeColor="text1"/>
          <w:kern w:val="0"/>
          <w:sz w:val="21"/>
          <w:szCs w:val="21"/>
          <w:highlight w:val="none"/>
          <w:lang w:val="en-US" w:bidi="zh-CN"/>
          <w14:textFill>
            <w14:solidFill>
              <w14:schemeClr w14:val="tx1"/>
            </w14:solidFill>
          </w14:textFill>
        </w:rPr>
        <w:t>）</w:t>
      </w:r>
    </w:p>
    <w:tbl>
      <w:tblPr>
        <w:tblStyle w:val="15"/>
        <w:tblW w:w="0" w:type="auto"/>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743"/>
        <w:gridCol w:w="1494"/>
        <w:gridCol w:w="1525"/>
        <w:gridCol w:w="137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序号</w:t>
            </w:r>
          </w:p>
        </w:tc>
        <w:tc>
          <w:tcPr>
            <w:tcW w:w="1743" w:type="dxa"/>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土地利用</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类型</w:t>
            </w:r>
          </w:p>
        </w:tc>
        <w:tc>
          <w:tcPr>
            <w:tcW w:w="1494" w:type="dxa"/>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一级保护区</w:t>
            </w:r>
          </w:p>
        </w:tc>
        <w:tc>
          <w:tcPr>
            <w:tcW w:w="1525" w:type="dxa"/>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二级保护区</w:t>
            </w:r>
          </w:p>
        </w:tc>
        <w:tc>
          <w:tcPr>
            <w:tcW w:w="1375" w:type="dxa"/>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合计</w:t>
            </w:r>
          </w:p>
        </w:tc>
        <w:tc>
          <w:tcPr>
            <w:tcW w:w="1242" w:type="dxa"/>
            <w:vAlign w:val="center"/>
          </w:tcPr>
          <w:p>
            <w:pPr>
              <w:pStyle w:val="9"/>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1</w:t>
            </w:r>
          </w:p>
        </w:tc>
        <w:tc>
          <w:tcPr>
            <w:tcW w:w="1743"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草地</w:t>
            </w:r>
          </w:p>
        </w:tc>
        <w:tc>
          <w:tcPr>
            <w:tcW w:w="1494"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0.0006</w:t>
            </w:r>
          </w:p>
        </w:tc>
        <w:tc>
          <w:tcPr>
            <w:tcW w:w="1525"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w:t>
            </w:r>
          </w:p>
        </w:tc>
        <w:tc>
          <w:tcPr>
            <w:tcW w:w="1375"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0.0006</w:t>
            </w:r>
          </w:p>
        </w:tc>
        <w:tc>
          <w:tcPr>
            <w:tcW w:w="1242"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2</w:t>
            </w:r>
          </w:p>
        </w:tc>
        <w:tc>
          <w:tcPr>
            <w:tcW w:w="1743"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林地</w:t>
            </w:r>
          </w:p>
        </w:tc>
        <w:tc>
          <w:tcPr>
            <w:tcW w:w="1494"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w:t>
            </w:r>
          </w:p>
        </w:tc>
        <w:tc>
          <w:tcPr>
            <w:tcW w:w="1525" w:type="dxa"/>
            <w:vAlign w:val="center"/>
          </w:tcPr>
          <w:p>
            <w:pPr>
              <w:keepNext w:val="0"/>
              <w:keepLines w:val="0"/>
              <w:widowControl/>
              <w:suppressLineNumbers w:val="0"/>
              <w:jc w:val="right"/>
              <w:textAlignment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i w:val="0"/>
                <w:color w:val="000000"/>
                <w:kern w:val="0"/>
                <w:sz w:val="22"/>
                <w:szCs w:val="22"/>
                <w:highlight w:val="none"/>
                <w:u w:val="none"/>
                <w:lang w:val="en-US" w:eastAsia="zh-CN" w:bidi="ar"/>
              </w:rPr>
              <w:t>0.1553</w:t>
            </w:r>
          </w:p>
        </w:tc>
        <w:tc>
          <w:tcPr>
            <w:tcW w:w="1375" w:type="dxa"/>
            <w:vMerge w:val="restart"/>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0.1711</w:t>
            </w:r>
          </w:p>
        </w:tc>
        <w:tc>
          <w:tcPr>
            <w:tcW w:w="1242"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3</w:t>
            </w:r>
          </w:p>
        </w:tc>
        <w:tc>
          <w:tcPr>
            <w:tcW w:w="1743"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耕地</w:t>
            </w:r>
          </w:p>
        </w:tc>
        <w:tc>
          <w:tcPr>
            <w:tcW w:w="1494"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w:t>
            </w:r>
          </w:p>
        </w:tc>
        <w:tc>
          <w:tcPr>
            <w:tcW w:w="1525" w:type="dxa"/>
            <w:vAlign w:val="center"/>
          </w:tcPr>
          <w:p>
            <w:pPr>
              <w:keepNext w:val="0"/>
              <w:keepLines w:val="0"/>
              <w:widowControl/>
              <w:suppressLineNumbers w:val="0"/>
              <w:jc w:val="right"/>
              <w:textAlignment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i w:val="0"/>
                <w:color w:val="000000"/>
                <w:kern w:val="0"/>
                <w:sz w:val="22"/>
                <w:szCs w:val="22"/>
                <w:highlight w:val="none"/>
                <w:u w:val="none"/>
                <w:lang w:val="en-US" w:eastAsia="zh-CN" w:bidi="ar"/>
              </w:rPr>
              <w:t>0.0158</w:t>
            </w:r>
          </w:p>
        </w:tc>
        <w:tc>
          <w:tcPr>
            <w:tcW w:w="1375" w:type="dxa"/>
            <w:vMerge w:val="continue"/>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p>
        </w:tc>
        <w:tc>
          <w:tcPr>
            <w:tcW w:w="1242"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合计</w:t>
            </w:r>
          </w:p>
        </w:tc>
        <w:tc>
          <w:tcPr>
            <w:tcW w:w="1743"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w:t>
            </w:r>
          </w:p>
        </w:tc>
        <w:tc>
          <w:tcPr>
            <w:tcW w:w="1494" w:type="dxa"/>
            <w:vAlign w:val="center"/>
          </w:tcPr>
          <w:p>
            <w:pPr>
              <w:pStyle w:val="9"/>
              <w:jc w:val="center"/>
              <w:rPr>
                <w:rFonts w:hint="default" w:ascii="宋体" w:hAnsi="宋体" w:eastAsia="宋体" w:cs="宋体"/>
                <w:color w:val="FF0000"/>
                <w:kern w:val="0"/>
                <w:sz w:val="24"/>
                <w:szCs w:val="24"/>
                <w:highlight w:val="none"/>
                <w:vertAlign w:val="baseline"/>
                <w:lang w:val="en-US" w:eastAsia="zh-CN" w:bidi="zh-CN"/>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0.0006</w:t>
            </w:r>
          </w:p>
        </w:tc>
        <w:tc>
          <w:tcPr>
            <w:tcW w:w="1525"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0.1711</w:t>
            </w:r>
          </w:p>
        </w:tc>
        <w:tc>
          <w:tcPr>
            <w:tcW w:w="1375"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0.1717</w:t>
            </w:r>
          </w:p>
        </w:tc>
        <w:tc>
          <w:tcPr>
            <w:tcW w:w="1242" w:type="dxa"/>
            <w:vAlign w:val="center"/>
          </w:tcPr>
          <w:p>
            <w:pPr>
              <w:pStyle w:val="9"/>
              <w:jc w:val="center"/>
              <w:rPr>
                <w:rFonts w:hint="default"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pPr>
            <w:r>
              <w:rPr>
                <w:rFonts w:hint="eastAsia" w:ascii="宋体" w:hAnsi="宋体" w:eastAsia="宋体" w:cs="宋体"/>
                <w:color w:val="000000" w:themeColor="text1"/>
                <w:kern w:val="0"/>
                <w:sz w:val="24"/>
                <w:szCs w:val="24"/>
                <w:highlight w:val="none"/>
                <w:vertAlign w:val="baseline"/>
                <w:lang w:val="en-US" w:eastAsia="zh-CN" w:bidi="zh-CN"/>
                <w14:textFill>
                  <w14:solidFill>
                    <w14:schemeClr w14:val="tx1"/>
                  </w14:solidFill>
                </w14:textFill>
              </w:rPr>
              <w:t>100%</w:t>
            </w:r>
          </w:p>
        </w:tc>
      </w:tr>
    </w:tbl>
    <w:p>
      <w:pPr>
        <w:adjustRightInd w:val="0"/>
        <w:snapToGrid w:val="0"/>
        <w:spacing w:line="360" w:lineRule="auto"/>
        <w:ind w:firstLine="560" w:firstLineChars="200"/>
        <w:rPr>
          <w:rFonts w:hint="eastAsia" w:ascii="Times New Roman" w:hAnsi="Times New Roman" w:eastAsia="仿宋" w:cs="Times New Roman"/>
          <w:snapToGrid w:val="0"/>
          <w:kern w:val="0"/>
          <w:sz w:val="28"/>
          <w:szCs w:val="28"/>
          <w:highlight w:val="none"/>
          <w:lang w:val="en-US"/>
        </w:rPr>
      </w:pPr>
      <w:r>
        <w:rPr>
          <w:rFonts w:hint="eastAsia" w:ascii="Times New Roman" w:hAnsi="Times New Roman" w:eastAsia="仿宋" w:cs="Times New Roman"/>
          <w:snapToGrid w:val="0"/>
          <w:kern w:val="0"/>
          <w:sz w:val="28"/>
          <w:szCs w:val="28"/>
          <w:highlight w:val="none"/>
          <w:lang w:val="en-US"/>
        </w:rPr>
        <w:t>经统计，</w:t>
      </w:r>
      <w:r>
        <w:rPr>
          <w:rFonts w:hint="eastAsia" w:ascii="Times New Roman" w:hAnsi="Times New Roman" w:eastAsia="仿宋" w:cs="Times New Roman"/>
          <w:snapToGrid w:val="0"/>
          <w:kern w:val="0"/>
          <w:sz w:val="28"/>
          <w:szCs w:val="28"/>
          <w:highlight w:val="none"/>
          <w:lang w:val="en-US" w:eastAsia="zh-CN"/>
        </w:rPr>
        <w:t>黑龙潭保护区地表</w:t>
      </w:r>
      <w:r>
        <w:rPr>
          <w:rFonts w:hint="eastAsia" w:ascii="Times New Roman" w:hAnsi="Times New Roman" w:eastAsia="仿宋" w:cs="Times New Roman"/>
          <w:snapToGrid w:val="0"/>
          <w:kern w:val="0"/>
          <w:sz w:val="28"/>
          <w:szCs w:val="28"/>
          <w:highlight w:val="none"/>
          <w:lang w:val="en-US"/>
        </w:rPr>
        <w:t>径流范围内耕地面积为</w:t>
      </w:r>
      <w:r>
        <w:rPr>
          <w:rFonts w:hint="eastAsia" w:ascii="Times New Roman" w:hAnsi="Times New Roman" w:eastAsia="仿宋" w:cs="Times New Roman"/>
          <w:snapToGrid w:val="0"/>
          <w:kern w:val="0"/>
          <w:sz w:val="28"/>
          <w:szCs w:val="28"/>
          <w:highlight w:val="none"/>
          <w:lang w:val="en-US" w:eastAsia="zh-CN"/>
        </w:rPr>
        <w:t>0.0158k</w:t>
      </w:r>
      <w:r>
        <w:rPr>
          <w:rFonts w:hint="eastAsia" w:ascii="Times New Roman" w:hAnsi="Times New Roman" w:eastAsia="仿宋" w:cs="Times New Roman"/>
          <w:snapToGrid w:val="0"/>
          <w:kern w:val="0"/>
          <w:sz w:val="28"/>
          <w:szCs w:val="28"/>
          <w:highlight w:val="none"/>
          <w:lang w:val="en-US"/>
        </w:rPr>
        <w:t>m</w:t>
      </w:r>
      <w:r>
        <w:rPr>
          <w:rFonts w:hint="eastAsia" w:ascii="Times New Roman" w:hAnsi="Times New Roman" w:eastAsia="仿宋" w:cs="Times New Roman"/>
          <w:snapToGrid w:val="0"/>
          <w:kern w:val="0"/>
          <w:sz w:val="28"/>
          <w:szCs w:val="28"/>
          <w:highlight w:val="none"/>
          <w:vertAlign w:val="superscript"/>
          <w:lang w:val="en-US"/>
        </w:rPr>
        <w:t>2</w:t>
      </w:r>
      <w:r>
        <w:rPr>
          <w:rFonts w:hint="eastAsia" w:ascii="Times New Roman" w:hAnsi="Times New Roman" w:eastAsia="仿宋" w:cs="Times New Roman"/>
          <w:snapToGrid w:val="0"/>
          <w:kern w:val="0"/>
          <w:sz w:val="28"/>
          <w:szCs w:val="28"/>
          <w:highlight w:val="none"/>
          <w:lang w:val="en-US"/>
        </w:rPr>
        <w:t>，耕地种植施用大量的化肥农药，污染物流失对水源地造成污染。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imes New Roman" w:hAnsi="Times New Roman" w:eastAsia="宋体" w:cs="Times New Roman"/>
          <w:b/>
          <w:bCs/>
          <w:sz w:val="30"/>
          <w:szCs w:val="30"/>
          <w:highlight w:val="none"/>
          <w:lang w:val="en-US" w:eastAsia="zh-CN"/>
        </w:rPr>
      </w:pPr>
      <w:bookmarkStart w:id="16" w:name="_Toc2406"/>
      <w:r>
        <w:rPr>
          <w:rFonts w:hint="eastAsia" w:ascii="Times New Roman" w:hAnsi="Times New Roman" w:eastAsia="宋体" w:cs="Times New Roman"/>
          <w:b/>
          <w:bCs/>
          <w:sz w:val="30"/>
          <w:szCs w:val="30"/>
          <w:highlight w:val="none"/>
          <w:lang w:val="en-US" w:eastAsia="zh-CN"/>
        </w:rPr>
        <w:t>3.3水环境质量调查评价</w:t>
      </w:r>
      <w:bookmarkEnd w:id="16"/>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2"/>
        <w:rPr>
          <w:rFonts w:hint="eastAsia" w:ascii="Times New Roman" w:hAnsi="Times New Roman" w:eastAsia="宋体" w:cs="Times New Roman"/>
          <w:b/>
          <w:bCs/>
          <w:kern w:val="0"/>
          <w:sz w:val="28"/>
          <w:szCs w:val="28"/>
          <w:highlight w:val="none"/>
          <w:lang w:val="en-US" w:eastAsia="zh-CN" w:bidi="zh-CN"/>
        </w:rPr>
      </w:pPr>
      <w:bookmarkStart w:id="17" w:name="_Toc11892"/>
      <w:r>
        <w:rPr>
          <w:rFonts w:hint="eastAsia" w:ascii="Times New Roman" w:hAnsi="Times New Roman" w:eastAsia="宋体" w:cs="Times New Roman"/>
          <w:b/>
          <w:bCs/>
          <w:kern w:val="0"/>
          <w:sz w:val="28"/>
          <w:szCs w:val="28"/>
          <w:highlight w:val="none"/>
          <w:lang w:val="en-US" w:eastAsia="zh-CN" w:bidi="zh-CN"/>
        </w:rPr>
        <w:t>3.3.1评价方法</w:t>
      </w:r>
      <w:bookmarkEnd w:id="17"/>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539" w:firstLineChars="0"/>
        <w:textAlignment w:val="auto"/>
        <w:rPr>
          <w:rFonts w:hint="eastAsia" w:ascii="仿宋" w:hAnsi="仿宋" w:eastAsia="仿宋" w:cs="仿宋"/>
          <w:kern w:val="0"/>
          <w:sz w:val="28"/>
          <w:szCs w:val="28"/>
          <w:highlight w:val="none"/>
          <w:lang w:val="zh-CN" w:bidi="zh-CN"/>
        </w:rPr>
      </w:pPr>
      <w:r>
        <w:rPr>
          <w:rFonts w:hint="eastAsia" w:ascii="仿宋" w:hAnsi="仿宋" w:eastAsia="仿宋" w:cs="仿宋"/>
          <w:spacing w:val="-6"/>
          <w:kern w:val="0"/>
          <w:sz w:val="28"/>
          <w:szCs w:val="28"/>
          <w:highlight w:val="none"/>
          <w:lang w:val="zh-CN" w:bidi="zh-CN"/>
        </w:rPr>
        <w:t>砚山县阿猛镇黑龙潭为乡镇级地下水型饮用水水源地，按生态环境保护部发布</w:t>
      </w:r>
      <w:r>
        <w:rPr>
          <w:rFonts w:hint="eastAsia" w:ascii="仿宋" w:hAnsi="仿宋" w:eastAsia="仿宋" w:cs="仿宋"/>
          <w:kern w:val="0"/>
          <w:sz w:val="28"/>
          <w:szCs w:val="28"/>
          <w:highlight w:val="none"/>
          <w:lang w:val="zh-CN" w:bidi="zh-CN"/>
        </w:rPr>
        <w:t>的《水污染防治行动计划及考核规定》第四条“</w:t>
      </w:r>
      <w:r>
        <w:rPr>
          <w:rFonts w:hint="eastAsia" w:ascii="仿宋" w:hAnsi="仿宋" w:eastAsia="仿宋" w:cs="仿宋"/>
          <w:spacing w:val="-1"/>
          <w:kern w:val="0"/>
          <w:sz w:val="28"/>
          <w:szCs w:val="28"/>
          <w:highlight w:val="none"/>
          <w:lang w:val="zh-CN" w:bidi="zh-CN"/>
        </w:rPr>
        <w:t>地级及以上城市集中式饮用水水</w:t>
      </w:r>
      <w:r>
        <w:rPr>
          <w:rFonts w:hint="eastAsia" w:ascii="仿宋" w:hAnsi="仿宋" w:eastAsia="仿宋" w:cs="仿宋"/>
          <w:kern w:val="0"/>
          <w:sz w:val="28"/>
          <w:szCs w:val="28"/>
          <w:highlight w:val="none"/>
          <w:lang w:val="zh-CN" w:bidi="zh-CN"/>
        </w:rPr>
        <w:t>源水质应达到或优于Ⅲ类”的要求，根据《集中式饮用水水源地环境保护状况评</w:t>
      </w:r>
      <w:r>
        <w:rPr>
          <w:rFonts w:hint="eastAsia" w:ascii="仿宋" w:hAnsi="仿宋" w:eastAsia="仿宋" w:cs="仿宋"/>
          <w:spacing w:val="24"/>
          <w:kern w:val="0"/>
          <w:sz w:val="28"/>
          <w:szCs w:val="28"/>
          <w:highlight w:val="none"/>
          <w:lang w:val="zh-CN" w:bidi="zh-CN"/>
        </w:rPr>
        <w:t>估技术规范》</w:t>
      </w:r>
      <w:r>
        <w:rPr>
          <w:rFonts w:hint="eastAsia" w:ascii="仿宋" w:hAnsi="仿宋" w:eastAsia="仿宋" w:cs="仿宋"/>
          <w:kern w:val="0"/>
          <w:sz w:val="28"/>
          <w:szCs w:val="28"/>
          <w:highlight w:val="none"/>
          <w:lang w:val="zh-CN" w:bidi="zh-CN"/>
        </w:rPr>
        <w:t>（HJ774-2015）</w:t>
      </w:r>
      <w:r>
        <w:rPr>
          <w:rFonts w:hint="eastAsia" w:ascii="仿宋" w:hAnsi="仿宋" w:eastAsia="仿宋" w:cs="仿宋"/>
          <w:spacing w:val="10"/>
          <w:kern w:val="0"/>
          <w:sz w:val="28"/>
          <w:szCs w:val="28"/>
          <w:highlight w:val="none"/>
          <w:lang w:val="zh-CN" w:bidi="zh-CN"/>
        </w:rPr>
        <w:t>及《农村饮用水水源</w:t>
      </w:r>
      <w:r>
        <w:rPr>
          <w:rFonts w:hint="eastAsia" w:ascii="仿宋" w:hAnsi="仿宋" w:eastAsia="仿宋" w:cs="仿宋"/>
          <w:kern w:val="0"/>
          <w:sz w:val="28"/>
          <w:szCs w:val="28"/>
          <w:highlight w:val="none"/>
          <w:lang w:val="zh-CN" w:bidi="zh-CN"/>
        </w:rPr>
        <w:t>地环境保护技术指南》（HJ2032-2013），农村分散式饮用水源地按照《地下水质量标准》（GB/T14848-2017）Ⅲ类标准对水源水质进行评价。</w:t>
      </w:r>
      <w:r>
        <w:rPr>
          <w:rFonts w:hint="eastAsia" w:ascii="仿宋" w:hAnsi="仿宋" w:eastAsia="仿宋" w:cs="仿宋"/>
          <w:kern w:val="0"/>
          <w:sz w:val="28"/>
          <w:szCs w:val="28"/>
          <w:highlight w:val="none"/>
          <w:lang w:val="en-US" w:bidi="zh-CN"/>
        </w:rPr>
        <w:t>黑龙潭</w:t>
      </w:r>
      <w:r>
        <w:rPr>
          <w:rFonts w:hint="eastAsia" w:ascii="仿宋" w:hAnsi="仿宋" w:eastAsia="仿宋" w:cs="仿宋"/>
          <w:kern w:val="0"/>
          <w:sz w:val="28"/>
          <w:szCs w:val="28"/>
          <w:highlight w:val="none"/>
          <w:lang w:val="zh-CN" w:bidi="zh-CN"/>
        </w:rPr>
        <w:t>水源地依据《地下水质量标准》（GB/T14848-2017）（31项）</w:t>
      </w:r>
      <w:r>
        <w:rPr>
          <w:rFonts w:hint="eastAsia" w:ascii="仿宋" w:hAnsi="仿宋" w:eastAsia="仿宋" w:cs="仿宋"/>
          <w:spacing w:val="-5"/>
          <w:kern w:val="0"/>
          <w:sz w:val="28"/>
          <w:szCs w:val="28"/>
          <w:highlight w:val="none"/>
          <w:lang w:val="zh-CN" w:bidi="zh-CN"/>
        </w:rPr>
        <w:t>进行评价。评价标准见表</w:t>
      </w:r>
      <w:r>
        <w:rPr>
          <w:rFonts w:hint="eastAsia" w:ascii="仿宋" w:hAnsi="仿宋" w:eastAsia="仿宋" w:cs="仿宋"/>
          <w:kern w:val="0"/>
          <w:sz w:val="28"/>
          <w:szCs w:val="28"/>
          <w:highlight w:val="none"/>
          <w:lang w:val="zh-CN" w:bidi="zh-CN"/>
        </w:rPr>
        <w:t>3.3.1-1。</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宋体" w:hAnsi="宋体" w:eastAsia="宋体" w:cs="宋体"/>
          <w:b/>
          <w:bCs/>
          <w:kern w:val="0"/>
          <w:sz w:val="21"/>
          <w:szCs w:val="21"/>
          <w:highlight w:val="none"/>
          <w:lang w:val="zh-CN" w:bidi="zh-CN"/>
        </w:rPr>
      </w:pPr>
      <w:r>
        <w:rPr>
          <w:rFonts w:hint="eastAsia" w:ascii="宋体" w:hAnsi="宋体" w:eastAsia="宋体" w:cs="宋体"/>
          <w:b/>
          <w:bCs/>
          <w:kern w:val="0"/>
          <w:sz w:val="21"/>
          <w:szCs w:val="21"/>
          <w:highlight w:val="none"/>
          <w:lang w:val="zh-CN" w:bidi="zh-CN"/>
        </w:rPr>
        <w:t>表</w:t>
      </w:r>
      <w:r>
        <w:rPr>
          <w:rFonts w:ascii="Times New Roman" w:hAnsi="宋体" w:eastAsia="宋体" w:cs="宋体"/>
          <w:b/>
          <w:bCs/>
          <w:kern w:val="0"/>
          <w:sz w:val="21"/>
          <w:szCs w:val="21"/>
          <w:highlight w:val="none"/>
          <w:lang w:val="zh-CN" w:bidi="zh-CN"/>
        </w:rPr>
        <w:t>3.3.1-</w:t>
      </w:r>
      <w:r>
        <w:rPr>
          <w:rFonts w:hint="eastAsia" w:ascii="Times New Roman" w:hAnsi="宋体" w:eastAsia="宋体" w:cs="宋体"/>
          <w:b/>
          <w:bCs/>
          <w:kern w:val="0"/>
          <w:sz w:val="21"/>
          <w:szCs w:val="21"/>
          <w:highlight w:val="none"/>
          <w:lang w:val="en-US" w:bidi="zh-CN"/>
        </w:rPr>
        <w:t>1</w:t>
      </w:r>
      <w:r>
        <w:rPr>
          <w:rFonts w:ascii="Times New Roman" w:hAnsi="宋体" w:eastAsia="宋体" w:cs="宋体"/>
          <w:b/>
          <w:bCs/>
          <w:kern w:val="0"/>
          <w:sz w:val="21"/>
          <w:szCs w:val="21"/>
          <w:highlight w:val="none"/>
          <w:lang w:val="zh-CN" w:bidi="zh-CN"/>
        </w:rPr>
        <w:t xml:space="preserve">  </w:t>
      </w:r>
      <w:r>
        <w:rPr>
          <w:rFonts w:hint="eastAsia" w:ascii="宋体" w:hAnsi="宋体" w:eastAsia="宋体" w:cs="宋体"/>
          <w:b/>
          <w:bCs/>
          <w:kern w:val="0"/>
          <w:sz w:val="21"/>
          <w:szCs w:val="21"/>
          <w:highlight w:val="none"/>
          <w:lang w:val="zh-CN" w:bidi="zh-CN"/>
        </w:rPr>
        <w:t>地下水环境质量标准基本项目标准限值</w:t>
      </w:r>
    </w:p>
    <w:tbl>
      <w:tblPr>
        <w:tblStyle w:val="14"/>
        <w:tblW w:w="5000" w:type="pct"/>
        <w:tblInd w:w="0" w:type="dxa"/>
        <w:tblLayout w:type="fixed"/>
        <w:tblCellMar>
          <w:top w:w="0" w:type="dxa"/>
          <w:left w:w="108" w:type="dxa"/>
          <w:bottom w:w="0" w:type="dxa"/>
          <w:right w:w="108" w:type="dxa"/>
        </w:tblCellMar>
      </w:tblPr>
      <w:tblGrid>
        <w:gridCol w:w="1129"/>
        <w:gridCol w:w="3066"/>
        <w:gridCol w:w="1416"/>
        <w:gridCol w:w="1412"/>
        <w:gridCol w:w="1647"/>
        <w:gridCol w:w="3300"/>
        <w:gridCol w:w="2204"/>
      </w:tblGrid>
      <w:tr>
        <w:tblPrEx>
          <w:tblCellMar>
            <w:top w:w="0" w:type="dxa"/>
            <w:left w:w="108" w:type="dxa"/>
            <w:bottom w:w="0" w:type="dxa"/>
            <w:right w:w="108" w:type="dxa"/>
          </w:tblCellMar>
        </w:tblPrEx>
        <w:trPr>
          <w:trHeight w:val="454" w:hRule="atLeast"/>
          <w:tblHeader/>
        </w:trPr>
        <w:tc>
          <w:tcPr>
            <w:tcW w:w="398"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b/>
                <w:bCs/>
                <w:color w:val="000000"/>
                <w:kern w:val="0"/>
                <w:sz w:val="21"/>
                <w:szCs w:val="21"/>
                <w:highlight w:val="none"/>
              </w:rPr>
            </w:pPr>
            <w:r>
              <w:rPr>
                <w:rFonts w:ascii="Times New Roman" w:hAnsi="Times New Roman" w:eastAsia="宋体" w:cs="Times New Roman"/>
                <w:b/>
                <w:bCs/>
                <w:color w:val="000000"/>
                <w:kern w:val="0"/>
                <w:sz w:val="21"/>
                <w:szCs w:val="21"/>
                <w:highlight w:val="none"/>
              </w:rPr>
              <w:t>序号</w:t>
            </w:r>
          </w:p>
        </w:tc>
        <w:tc>
          <w:tcPr>
            <w:tcW w:w="1081" w:type="pct"/>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b/>
                <w:bCs/>
                <w:color w:val="000000"/>
                <w:kern w:val="0"/>
                <w:sz w:val="21"/>
                <w:szCs w:val="21"/>
                <w:highlight w:val="none"/>
              </w:rPr>
            </w:pPr>
            <w:r>
              <w:rPr>
                <w:rFonts w:ascii="Times New Roman" w:hAnsi="Times New Roman" w:eastAsia="宋体" w:cs="Times New Roman"/>
                <w:b/>
                <w:bCs/>
                <w:color w:val="000000"/>
                <w:kern w:val="0"/>
                <w:sz w:val="21"/>
                <w:szCs w:val="21"/>
                <w:highlight w:val="none"/>
              </w:rPr>
              <w:t>标准值项目</w:t>
            </w:r>
          </w:p>
        </w:tc>
        <w:tc>
          <w:tcPr>
            <w:tcW w:w="499" w:type="pct"/>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b/>
                <w:bCs/>
                <w:color w:val="000000"/>
                <w:kern w:val="0"/>
                <w:sz w:val="21"/>
                <w:szCs w:val="21"/>
                <w:highlight w:val="none"/>
              </w:rPr>
            </w:pPr>
            <w:r>
              <w:rPr>
                <w:rFonts w:ascii="Times New Roman" w:hAnsi="Times New Roman" w:eastAsia="宋体" w:cs="Times New Roman"/>
                <w:b/>
                <w:bCs/>
                <w:color w:val="000000"/>
                <w:kern w:val="0"/>
                <w:sz w:val="21"/>
                <w:szCs w:val="21"/>
                <w:highlight w:val="none"/>
              </w:rPr>
              <w:t>Ⅰ类</w:t>
            </w:r>
          </w:p>
        </w:tc>
        <w:tc>
          <w:tcPr>
            <w:tcW w:w="498" w:type="pct"/>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b/>
                <w:bCs/>
                <w:color w:val="000000"/>
                <w:kern w:val="0"/>
                <w:sz w:val="21"/>
                <w:szCs w:val="21"/>
                <w:highlight w:val="none"/>
              </w:rPr>
            </w:pPr>
            <w:r>
              <w:rPr>
                <w:rFonts w:ascii="Times New Roman" w:hAnsi="Times New Roman" w:eastAsia="宋体" w:cs="Times New Roman"/>
                <w:b/>
                <w:bCs/>
                <w:color w:val="000000"/>
                <w:kern w:val="0"/>
                <w:sz w:val="21"/>
                <w:szCs w:val="21"/>
                <w:highlight w:val="none"/>
              </w:rPr>
              <w:t>Ⅱ类</w:t>
            </w:r>
          </w:p>
        </w:tc>
        <w:tc>
          <w:tcPr>
            <w:tcW w:w="580" w:type="pct"/>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b/>
                <w:bCs/>
                <w:color w:val="000000"/>
                <w:kern w:val="0"/>
                <w:sz w:val="21"/>
                <w:szCs w:val="21"/>
                <w:highlight w:val="none"/>
              </w:rPr>
            </w:pPr>
            <w:r>
              <w:rPr>
                <w:rFonts w:ascii="Times New Roman" w:hAnsi="Times New Roman" w:eastAsia="宋体" w:cs="Times New Roman"/>
                <w:b/>
                <w:bCs/>
                <w:color w:val="000000"/>
                <w:kern w:val="0"/>
                <w:sz w:val="21"/>
                <w:szCs w:val="21"/>
                <w:highlight w:val="none"/>
              </w:rPr>
              <w:t>Ⅲ类</w:t>
            </w:r>
          </w:p>
        </w:tc>
        <w:tc>
          <w:tcPr>
            <w:tcW w:w="1164" w:type="pct"/>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b/>
                <w:bCs/>
                <w:color w:val="000000"/>
                <w:kern w:val="0"/>
                <w:sz w:val="21"/>
                <w:szCs w:val="21"/>
                <w:highlight w:val="none"/>
              </w:rPr>
            </w:pPr>
            <w:r>
              <w:rPr>
                <w:rFonts w:ascii="Times New Roman" w:hAnsi="Times New Roman" w:eastAsia="宋体" w:cs="Times New Roman"/>
                <w:b/>
                <w:bCs/>
                <w:color w:val="000000"/>
                <w:kern w:val="0"/>
                <w:sz w:val="21"/>
                <w:szCs w:val="21"/>
                <w:highlight w:val="none"/>
              </w:rPr>
              <w:t>Ⅳ类</w:t>
            </w:r>
          </w:p>
        </w:tc>
        <w:tc>
          <w:tcPr>
            <w:tcW w:w="777" w:type="pct"/>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b/>
                <w:bCs/>
                <w:color w:val="000000"/>
                <w:kern w:val="0"/>
                <w:sz w:val="21"/>
                <w:szCs w:val="21"/>
                <w:highlight w:val="none"/>
              </w:rPr>
            </w:pPr>
            <w:r>
              <w:rPr>
                <w:rFonts w:ascii="Times New Roman" w:hAnsi="Times New Roman" w:eastAsia="宋体" w:cs="Times New Roman"/>
                <w:b/>
                <w:bCs/>
                <w:color w:val="000000"/>
                <w:kern w:val="0"/>
                <w:sz w:val="21"/>
                <w:szCs w:val="21"/>
                <w:highlight w:val="none"/>
              </w:rPr>
              <w:t>Ⅴ类</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色度</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5</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5</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15</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25</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kern w:val="0"/>
                <w:sz w:val="21"/>
                <w:szCs w:val="21"/>
                <w:highlight w:val="none"/>
                <w:lang w:val="en-US" w:eastAsia="zh-CN"/>
              </w:rPr>
              <w:t>˃</w:t>
            </w:r>
            <w:r>
              <w:rPr>
                <w:rFonts w:hint="eastAsia" w:ascii="Times New Roman" w:hAnsi="Times New Roman" w:eastAsia="宋体" w:cs="Times New Roman"/>
                <w:color w:val="000000"/>
                <w:kern w:val="0"/>
                <w:sz w:val="21"/>
                <w:szCs w:val="21"/>
                <w:highlight w:val="none"/>
                <w:lang w:val="en-US" w:eastAsia="zh-CN"/>
              </w:rPr>
              <w:t>2</w:t>
            </w:r>
            <w:r>
              <w:rPr>
                <w:rFonts w:hint="default" w:ascii="Times New Roman" w:hAnsi="Times New Roman" w:eastAsia="宋体" w:cs="Times New Roman"/>
                <w:color w:val="000000"/>
                <w:kern w:val="0"/>
                <w:sz w:val="21"/>
                <w:szCs w:val="21"/>
                <w:highlight w:val="none"/>
                <w:lang w:val="en-US" w:eastAsia="zh-CN"/>
              </w:rPr>
              <w:t>˃</w:t>
            </w:r>
            <w:r>
              <w:rPr>
                <w:rFonts w:hint="eastAsia" w:ascii="Times New Roman" w:hAnsi="Times New Roman" w:eastAsia="宋体" w:cs="Times New Roman"/>
                <w:color w:val="000000"/>
                <w:kern w:val="0"/>
                <w:sz w:val="21"/>
                <w:szCs w:val="21"/>
                <w:highlight w:val="none"/>
                <w:lang w:val="en-US" w:eastAsia="zh-CN"/>
              </w:rPr>
              <w:t>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嗅和味</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无</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left="0" w:leftChars="0" w:firstLine="0" w:firstLineChars="0"/>
              <w:jc w:val="center"/>
              <w:rPr>
                <w:rFonts w:ascii="Times New Roman" w:hAnsi="Times New Roman" w:eastAsia="宋体" w:cs="Times New Roman"/>
                <w:color w:val="000000"/>
                <w:kern w:val="0"/>
                <w:sz w:val="21"/>
                <w:szCs w:val="21"/>
                <w:highlight w:val="none"/>
              </w:rPr>
            </w:pPr>
            <w:r>
              <w:rPr>
                <w:rFonts w:hint="eastAsia" w:ascii="Times New Roman" w:hAnsi="Times New Roman" w:eastAsia="宋体" w:cs="Times New Roman"/>
                <w:color w:val="000000"/>
                <w:kern w:val="0"/>
                <w:sz w:val="21"/>
                <w:szCs w:val="21"/>
                <w:highlight w:val="none"/>
                <w:lang w:val="en-US" w:eastAsia="zh-CN"/>
              </w:rPr>
              <w:t>无</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left="0" w:leftChars="0" w:firstLine="0" w:firstLineChars="0"/>
              <w:jc w:val="center"/>
              <w:rPr>
                <w:rFonts w:ascii="Times New Roman" w:hAnsi="Times New Roman" w:eastAsia="宋体" w:cs="Times New Roman"/>
                <w:color w:val="000000"/>
                <w:kern w:val="0"/>
                <w:sz w:val="21"/>
                <w:szCs w:val="21"/>
                <w:highlight w:val="none"/>
              </w:rPr>
            </w:pPr>
            <w:r>
              <w:rPr>
                <w:rFonts w:hint="eastAsia" w:ascii="Times New Roman" w:hAnsi="Times New Roman" w:eastAsia="宋体" w:cs="Times New Roman"/>
                <w:color w:val="000000"/>
                <w:kern w:val="0"/>
                <w:sz w:val="21"/>
                <w:szCs w:val="21"/>
                <w:highlight w:val="none"/>
                <w:lang w:val="en-US" w:eastAsia="zh-CN"/>
              </w:rPr>
              <w:t>无</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left="0" w:leftChars="0" w:firstLine="0" w:firstLineChars="0"/>
              <w:jc w:val="center"/>
              <w:rPr>
                <w:rFonts w:ascii="Times New Roman" w:hAnsi="Times New Roman" w:eastAsia="宋体" w:cs="Times New Roman"/>
                <w:color w:val="000000"/>
                <w:kern w:val="0"/>
                <w:sz w:val="21"/>
                <w:szCs w:val="21"/>
                <w:highlight w:val="none"/>
              </w:rPr>
            </w:pPr>
            <w:r>
              <w:rPr>
                <w:rFonts w:hint="eastAsia" w:ascii="Times New Roman" w:hAnsi="Times New Roman" w:eastAsia="宋体" w:cs="Times New Roman"/>
                <w:color w:val="000000"/>
                <w:kern w:val="0"/>
                <w:sz w:val="21"/>
                <w:szCs w:val="21"/>
                <w:highlight w:val="none"/>
                <w:lang w:val="en-US" w:eastAsia="zh-CN"/>
              </w:rPr>
              <w:t>无</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left="0" w:leftChars="0" w:firstLine="0" w:firstLineChars="0"/>
              <w:jc w:val="center"/>
              <w:rPr>
                <w:rFonts w:ascii="Times New Roman" w:hAnsi="Times New Roman" w:eastAsia="宋体" w:cs="Times New Roman"/>
                <w:color w:val="000000"/>
                <w:kern w:val="0"/>
                <w:sz w:val="21"/>
                <w:szCs w:val="21"/>
                <w:highlight w:val="none"/>
              </w:rPr>
            </w:pPr>
            <w:r>
              <w:rPr>
                <w:rFonts w:hint="eastAsia" w:ascii="Times New Roman" w:hAnsi="Times New Roman" w:eastAsia="宋体" w:cs="Times New Roman"/>
                <w:color w:val="000000"/>
                <w:kern w:val="0"/>
                <w:sz w:val="21"/>
                <w:szCs w:val="21"/>
                <w:highlight w:val="none"/>
                <w:lang w:val="en-US" w:eastAsia="zh-CN"/>
              </w:rPr>
              <w:t>无</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bidi="ar-SA"/>
              </w:rPr>
            </w:pPr>
            <w:r>
              <w:rPr>
                <w:rFonts w:hint="eastAsia" w:ascii="Times New Roman" w:hAnsi="Times New Roman" w:eastAsia="宋体" w:cs="Times New Roman"/>
                <w:color w:val="000000"/>
                <w:kern w:val="0"/>
                <w:sz w:val="21"/>
                <w:szCs w:val="21"/>
                <w:highlight w:val="none"/>
                <w:lang w:val="en-US" w:eastAsia="zh-CN" w:bidi="ar-SA"/>
              </w:rPr>
              <w:t>3</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bidi="ar-SA"/>
              </w:rPr>
            </w:pPr>
            <w:r>
              <w:rPr>
                <w:rFonts w:hint="eastAsia" w:ascii="Times New Roman" w:hAnsi="Times New Roman" w:eastAsia="宋体" w:cs="Times New Roman"/>
                <w:color w:val="000000"/>
                <w:kern w:val="0"/>
                <w:sz w:val="21"/>
                <w:szCs w:val="21"/>
                <w:highlight w:val="none"/>
                <w:lang w:val="en-US" w:eastAsia="zh-CN" w:bidi="ar-SA"/>
              </w:rPr>
              <w:t>浑浊度/NTU</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bidi="ar-SA"/>
              </w:rPr>
            </w:pPr>
            <w:r>
              <w:rPr>
                <w:rFonts w:hint="eastAsia" w:ascii="Times New Roman" w:hAnsi="Times New Roman" w:eastAsia="宋体" w:cs="Times New Roman"/>
                <w:color w:val="000000"/>
                <w:kern w:val="0"/>
                <w:sz w:val="21"/>
                <w:szCs w:val="21"/>
                <w:highlight w:val="none"/>
                <w:lang w:val="en-US" w:eastAsia="zh-CN" w:bidi="ar-SA"/>
              </w:rPr>
              <w:t>3</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bidi="ar-SA"/>
              </w:rPr>
            </w:pPr>
            <w:r>
              <w:rPr>
                <w:rFonts w:hint="eastAsia" w:ascii="Times New Roman" w:hAnsi="Times New Roman" w:eastAsia="宋体" w:cs="Times New Roman"/>
                <w:color w:val="000000"/>
                <w:kern w:val="0"/>
                <w:sz w:val="21"/>
                <w:szCs w:val="21"/>
                <w:highlight w:val="none"/>
                <w:lang w:val="en-US" w:eastAsia="zh-CN" w:bidi="ar-SA"/>
              </w:rPr>
              <w:t>3</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bidi="ar-SA"/>
              </w:rPr>
            </w:pPr>
            <w:r>
              <w:rPr>
                <w:rFonts w:hint="eastAsia" w:ascii="Times New Roman" w:hAnsi="Times New Roman" w:eastAsia="宋体" w:cs="Times New Roman"/>
                <w:color w:val="000000"/>
                <w:kern w:val="0"/>
                <w:sz w:val="21"/>
                <w:szCs w:val="21"/>
                <w:highlight w:val="none"/>
                <w:lang w:val="en-US" w:eastAsia="zh-CN" w:bidi="ar-SA"/>
              </w:rPr>
              <w:t>3</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bidi="ar-SA"/>
              </w:rPr>
            </w:pPr>
            <w:r>
              <w:rPr>
                <w:rFonts w:hint="eastAsia" w:ascii="Times New Roman" w:hAnsi="Times New Roman" w:eastAsia="宋体" w:cs="Times New Roman"/>
                <w:color w:val="000000"/>
                <w:kern w:val="0"/>
                <w:sz w:val="21"/>
                <w:szCs w:val="21"/>
                <w:highlight w:val="none"/>
                <w:lang w:val="en-US" w:eastAsia="zh-CN" w:bidi="ar-SA"/>
              </w:rPr>
              <w:t>10</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val="en-US" w:eastAsia="zh-CN"/>
              </w:rPr>
              <w:t>˃</w:t>
            </w:r>
            <w:r>
              <w:rPr>
                <w:rFonts w:hint="eastAsia" w:ascii="Times New Roman" w:hAnsi="Times New Roman" w:eastAsia="宋体" w:cs="Times New Roman"/>
                <w:color w:val="000000"/>
                <w:kern w:val="0"/>
                <w:sz w:val="21"/>
                <w:szCs w:val="21"/>
                <w:highlight w:val="none"/>
                <w:lang w:val="en-US" w:eastAsia="zh-CN"/>
              </w:rPr>
              <w:t>10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bidi="ar-SA"/>
              </w:rPr>
            </w:pPr>
            <w:r>
              <w:rPr>
                <w:rFonts w:hint="eastAsia" w:ascii="Times New Roman" w:hAnsi="Times New Roman" w:eastAsia="宋体" w:cs="Times New Roman"/>
                <w:color w:val="000000"/>
                <w:kern w:val="0"/>
                <w:sz w:val="21"/>
                <w:szCs w:val="21"/>
                <w:highlight w:val="none"/>
                <w:lang w:val="en-US" w:eastAsia="zh-CN" w:bidi="ar-SA"/>
              </w:rPr>
              <w:t>4</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肉眼可见物</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无</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无</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无</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无</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有</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5</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pH</w:t>
            </w:r>
          </w:p>
        </w:tc>
        <w:tc>
          <w:tcPr>
            <w:tcW w:w="1577" w:type="pct"/>
            <w:gridSpan w:val="3"/>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6.5≤pH≤8.5</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5.5≤pH&lt;6.5，8.5&lt;pH≤9.0</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pH&lt;5.5或 pH&gt;9.0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6</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总硬度/(mg/L)≤</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150</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300</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450</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650</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&gt;650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7</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溶解性总固体</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300</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500</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1000</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2000</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rPr>
            </w:pPr>
            <w:r>
              <w:rPr>
                <w:rFonts w:hint="default" w:ascii="Times New Roman" w:hAnsi="Times New Roman" w:eastAsia="宋体" w:cs="Times New Roman"/>
                <w:color w:val="000000"/>
                <w:kern w:val="0"/>
                <w:sz w:val="21"/>
                <w:szCs w:val="21"/>
                <w:highlight w:val="none"/>
                <w:lang w:val="en-US" w:eastAsia="zh-CN"/>
              </w:rPr>
              <w:t>˃</w:t>
            </w:r>
            <w:r>
              <w:rPr>
                <w:rFonts w:hint="eastAsia" w:ascii="Times New Roman" w:hAnsi="Times New Roman" w:eastAsia="宋体" w:cs="Times New Roman"/>
                <w:color w:val="000000"/>
                <w:kern w:val="0"/>
                <w:sz w:val="21"/>
                <w:szCs w:val="21"/>
                <w:highlight w:val="none"/>
                <w:lang w:val="en-US" w:eastAsia="zh-CN"/>
              </w:rPr>
              <w:t>2000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bidi="ar-SA"/>
              </w:rPr>
            </w:pPr>
            <w:r>
              <w:rPr>
                <w:rFonts w:hint="eastAsia" w:ascii="Times New Roman" w:hAnsi="Times New Roman" w:eastAsia="宋体" w:cs="Times New Roman"/>
                <w:color w:val="000000"/>
                <w:kern w:val="0"/>
                <w:sz w:val="21"/>
                <w:szCs w:val="21"/>
                <w:highlight w:val="none"/>
                <w:lang w:val="en-US" w:eastAsia="zh-CN" w:bidi="ar-SA"/>
              </w:rPr>
              <w:t>8</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硫酸盐/(mg/L)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50</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150</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250</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350</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&gt;350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9</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氯化物/(mg/L)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50</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150</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250</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350</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&gt;350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10</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铁/(mg/L)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0.2</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0.3</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2</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&gt;2.0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11</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锰/(mg/L)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0.05</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0.05</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0.1</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1.5</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&gt;1.5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12</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铜/(mg/L)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0.05</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1.5</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&gt;1.50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13</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锌/(mg/L)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0.05</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0.5</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5</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&gt;5.00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14</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铝(mg/L)≤</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0.01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0.05</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0.2</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0.5</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&gt;0.5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15</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挥发性酚类（以苯酚计）/(mg/L)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0.002</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&gt;0.01</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16</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阴离子表面活性剂/(mg/L)≤</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不得检 出</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0.3</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0.3</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&gt;0.3</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17</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氨氮（NH4）/(mg/L)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0.02</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0.5</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1.5</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&gt;1.5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18</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硫化物（mg/l）</w:t>
            </w:r>
            <w:r>
              <w:rPr>
                <w:rFonts w:ascii="Times New Roman" w:hAnsi="Times New Roman" w:eastAsia="宋体" w:cs="Times New Roman"/>
                <w:color w:val="000000"/>
                <w:kern w:val="0"/>
                <w:sz w:val="21"/>
                <w:szCs w:val="21"/>
                <w:highlight w:val="none"/>
              </w:rPr>
              <w:t>≤</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0.005</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0.02</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0.1</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ascii="Times New Roman" w:hAnsi="Times New Roman" w:eastAsia="宋体" w:cs="Times New Roman"/>
                <w:color w:val="000000"/>
                <w:kern w:val="0"/>
                <w:sz w:val="21"/>
                <w:szCs w:val="21"/>
                <w:highlight w:val="none"/>
              </w:rPr>
              <w:t>&gt;</w:t>
            </w:r>
            <w:r>
              <w:rPr>
                <w:rFonts w:hint="eastAsia" w:ascii="Times New Roman" w:hAnsi="Times New Roman" w:eastAsia="宋体" w:cs="Times New Roman"/>
                <w:color w:val="000000"/>
                <w:kern w:val="0"/>
                <w:sz w:val="21"/>
                <w:szCs w:val="21"/>
                <w:highlight w:val="none"/>
                <w:lang w:val="en-US" w:eastAsia="zh-CN"/>
              </w:rPr>
              <w:t>0.1</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19</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钠(mg/L)≤</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100</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150</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200</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400</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lang w:val="en-US" w:eastAsia="zh-CN" w:bidi="ar-SA"/>
              </w:rPr>
            </w:pPr>
            <w:r>
              <w:rPr>
                <w:rFonts w:ascii="Times New Roman" w:hAnsi="Times New Roman" w:eastAsia="宋体" w:cs="Times New Roman"/>
                <w:color w:val="000000"/>
                <w:kern w:val="0"/>
                <w:sz w:val="21"/>
                <w:szCs w:val="21"/>
                <w:highlight w:val="none"/>
              </w:rPr>
              <w:t>&gt;400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20</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亚硝酸盐（以N计）/(mg/L)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4.8</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&gt;4.8</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21</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硝酸盐（以 N 计）/(mg/L)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2</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5</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20</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30</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&gt;30.0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22</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氰化物/(mg/L)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0.05</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0.1</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&gt;0.1</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23</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氟化物/(mg/L)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1</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2</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&gt;2.0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24</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碘化物</w:t>
            </w:r>
            <w:r>
              <w:rPr>
                <w:rFonts w:ascii="Times New Roman" w:hAnsi="Times New Roman" w:eastAsia="宋体" w:cs="Times New Roman"/>
                <w:color w:val="000000"/>
                <w:kern w:val="0"/>
                <w:sz w:val="21"/>
                <w:szCs w:val="21"/>
                <w:highlight w:val="none"/>
              </w:rPr>
              <w:t>(mg/L) ≤</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0.04</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0.04</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0.08</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0.5</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ascii="Times New Roman" w:hAnsi="Times New Roman" w:eastAsia="宋体" w:cs="Times New Roman"/>
                <w:color w:val="000000"/>
                <w:kern w:val="0"/>
                <w:sz w:val="21"/>
                <w:szCs w:val="21"/>
                <w:highlight w:val="none"/>
              </w:rPr>
              <w:t>&gt;</w:t>
            </w:r>
            <w:r>
              <w:rPr>
                <w:rFonts w:hint="eastAsia" w:ascii="Times New Roman" w:hAnsi="Times New Roman" w:eastAsia="宋体" w:cs="Times New Roman"/>
                <w:color w:val="000000"/>
                <w:kern w:val="0"/>
                <w:sz w:val="21"/>
                <w:szCs w:val="21"/>
                <w:highlight w:val="none"/>
                <w:lang w:val="en-US" w:eastAsia="zh-CN"/>
              </w:rPr>
              <w:t>0.5</w:t>
            </w:r>
          </w:p>
        </w:tc>
      </w:tr>
      <w:tr>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25</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汞/(mg/L)≤</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0.0001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0.001</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0.002</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&gt;0.002</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26</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砷/(mg/L)≤</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0.05</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&gt;0.05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27</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硒/(mg/L)≤</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0.1</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&gt;0.1</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28</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镉/(mg/L)≤</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0.0001</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0.005</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&gt;0.01</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29</w:t>
            </w:r>
          </w:p>
        </w:tc>
        <w:tc>
          <w:tcPr>
            <w:tcW w:w="1081"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铬（六价）/(mg/L)≤</w:t>
            </w:r>
          </w:p>
        </w:tc>
        <w:tc>
          <w:tcPr>
            <w:tcW w:w="499"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0.005</w:t>
            </w:r>
          </w:p>
        </w:tc>
        <w:tc>
          <w:tcPr>
            <w:tcW w:w="498"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580"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0.05</w:t>
            </w:r>
          </w:p>
        </w:tc>
        <w:tc>
          <w:tcPr>
            <w:tcW w:w="1164"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0.1</w:t>
            </w:r>
          </w:p>
        </w:tc>
        <w:tc>
          <w:tcPr>
            <w:tcW w:w="777" w:type="pct"/>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&gt;0.10</w:t>
            </w:r>
          </w:p>
        </w:tc>
      </w:tr>
      <w:tr>
        <w:tblPrEx>
          <w:tblCellMar>
            <w:top w:w="0" w:type="dxa"/>
            <w:left w:w="108" w:type="dxa"/>
            <w:bottom w:w="0" w:type="dxa"/>
            <w:right w:w="108" w:type="dxa"/>
          </w:tblCellMar>
        </w:tblPrEx>
        <w:trPr>
          <w:trHeight w:val="454" w:hRule="atLeast"/>
        </w:trPr>
        <w:tc>
          <w:tcPr>
            <w:tcW w:w="398"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30</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铅/(mg/L)≤</w:t>
            </w:r>
          </w:p>
        </w:tc>
        <w:tc>
          <w:tcPr>
            <w:tcW w:w="499"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0.005</w:t>
            </w:r>
          </w:p>
        </w:tc>
        <w:tc>
          <w:tcPr>
            <w:tcW w:w="498"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0.005</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0.01</w:t>
            </w:r>
          </w:p>
        </w:tc>
        <w:tc>
          <w:tcPr>
            <w:tcW w:w="1164"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0.1</w:t>
            </w: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ascii="Times New Roman" w:hAnsi="Times New Roman" w:eastAsia="宋体" w:cs="Times New Roman"/>
                <w:color w:val="000000"/>
                <w:kern w:val="0"/>
                <w:sz w:val="21"/>
                <w:szCs w:val="21"/>
                <w:highlight w:val="none"/>
              </w:rPr>
            </w:pPr>
            <w:r>
              <w:rPr>
                <w:rFonts w:ascii="Times New Roman" w:hAnsi="Times New Roman" w:eastAsia="宋体" w:cs="Times New Roman"/>
                <w:color w:val="000000"/>
                <w:kern w:val="0"/>
                <w:sz w:val="21"/>
                <w:szCs w:val="21"/>
                <w:highlight w:val="none"/>
              </w:rPr>
              <w:t>&gt;0.10</w:t>
            </w:r>
          </w:p>
        </w:tc>
      </w:tr>
      <w:tr>
        <w:tblPrEx>
          <w:tblCellMar>
            <w:top w:w="0" w:type="dxa"/>
            <w:left w:w="108" w:type="dxa"/>
            <w:bottom w:w="0" w:type="dxa"/>
            <w:right w:w="108" w:type="dxa"/>
          </w:tblCellMar>
        </w:tblPrEx>
        <w:trPr>
          <w:trHeight w:val="454" w:hRule="atLeast"/>
        </w:trPr>
        <w:tc>
          <w:tcPr>
            <w:tcW w:w="398"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31</w:t>
            </w:r>
          </w:p>
        </w:tc>
        <w:tc>
          <w:tcPr>
            <w:tcW w:w="1081"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铁</w:t>
            </w:r>
            <w:r>
              <w:rPr>
                <w:rFonts w:ascii="Times New Roman" w:hAnsi="Times New Roman" w:eastAsia="宋体" w:cs="Times New Roman"/>
                <w:color w:val="000000"/>
                <w:kern w:val="0"/>
                <w:sz w:val="21"/>
                <w:szCs w:val="21"/>
                <w:highlight w:val="none"/>
              </w:rPr>
              <w:t>/(mg/L)≤</w:t>
            </w:r>
          </w:p>
        </w:tc>
        <w:tc>
          <w:tcPr>
            <w:tcW w:w="499"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0.1</w:t>
            </w:r>
          </w:p>
        </w:tc>
        <w:tc>
          <w:tcPr>
            <w:tcW w:w="498"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0.2</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0.3</w:t>
            </w:r>
          </w:p>
        </w:tc>
        <w:tc>
          <w:tcPr>
            <w:tcW w:w="1164"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rPr>
              <w:t>2.0</w:t>
            </w: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ascii="Times New Roman" w:hAnsi="Times New Roman" w:eastAsia="宋体" w:cs="Times New Roman"/>
                <w:color w:val="000000"/>
                <w:kern w:val="0"/>
                <w:sz w:val="21"/>
                <w:szCs w:val="21"/>
                <w:highlight w:val="none"/>
              </w:rPr>
              <w:t>&gt;</w:t>
            </w:r>
            <w:r>
              <w:rPr>
                <w:rFonts w:hint="eastAsia" w:ascii="Times New Roman" w:hAnsi="Times New Roman" w:eastAsia="宋体" w:cs="Times New Roman"/>
                <w:color w:val="000000"/>
                <w:kern w:val="0"/>
                <w:sz w:val="21"/>
                <w:szCs w:val="21"/>
                <w:highlight w:val="none"/>
                <w:lang w:val="en-US" w:eastAsia="zh-CN"/>
              </w:rPr>
              <w:t>2.0</w:t>
            </w:r>
          </w:p>
        </w:tc>
      </w:tr>
    </w:tbl>
    <w:p>
      <w:pPr>
        <w:keepNext w:val="0"/>
        <w:keepLines w:val="0"/>
        <w:pageBreakBefore w:val="0"/>
        <w:widowControl w:val="0"/>
        <w:kinsoku/>
        <w:wordWrap/>
        <w:overflowPunct/>
        <w:topLinePunct w:val="0"/>
        <w:autoSpaceDE w:val="0"/>
        <w:autoSpaceDN w:val="0"/>
        <w:bidi w:val="0"/>
        <w:adjustRightInd/>
        <w:snapToGrid/>
        <w:spacing w:before="150" w:line="360" w:lineRule="auto"/>
        <w:ind w:firstLine="0" w:firstLineChars="0"/>
        <w:jc w:val="both"/>
        <w:textAlignment w:val="auto"/>
        <w:rPr>
          <w:rFonts w:hint="eastAsia" w:ascii="宋体" w:hAnsi="宋体" w:eastAsia="宋体" w:cs="宋体"/>
          <w:b/>
          <w:bCs/>
          <w:kern w:val="0"/>
          <w:sz w:val="28"/>
          <w:szCs w:val="28"/>
          <w:highlight w:val="none"/>
          <w:lang w:val="zh-CN" w:bidi="zh-CN"/>
        </w:rPr>
      </w:pPr>
      <w:r>
        <w:rPr>
          <w:rFonts w:hint="eastAsia" w:ascii="宋体" w:hAnsi="宋体" w:eastAsia="宋体" w:cs="宋体"/>
          <w:b/>
          <w:bCs/>
          <w:kern w:val="0"/>
          <w:sz w:val="28"/>
          <w:szCs w:val="28"/>
          <w:highlight w:val="none"/>
          <w:lang w:val="zh-CN" w:bidi="zh-CN"/>
        </w:rPr>
        <w:t>水质评价方法</w:t>
      </w:r>
    </w:p>
    <w:p>
      <w:pPr>
        <w:autoSpaceDE w:val="0"/>
        <w:autoSpaceDN w:val="0"/>
        <w:adjustRightInd/>
        <w:snapToGrid/>
        <w:spacing w:before="25" w:line="364" w:lineRule="auto"/>
        <w:ind w:left="300" w:right="417" w:firstLine="479" w:firstLineChars="0"/>
        <w:jc w:val="left"/>
        <w:rPr>
          <w:rFonts w:hint="eastAsia" w:ascii="仿宋" w:hAnsi="仿宋" w:eastAsia="仿宋" w:cs="仿宋"/>
          <w:kern w:val="0"/>
          <w:sz w:val="28"/>
          <w:szCs w:val="28"/>
          <w:highlight w:val="none"/>
          <w:lang w:val="zh-CN" w:bidi="zh-CN"/>
        </w:rPr>
      </w:pPr>
      <w:r>
        <w:rPr>
          <w:rFonts w:hint="eastAsia" w:ascii="仿宋" w:hAnsi="仿宋" w:eastAsia="仿宋" w:cs="仿宋"/>
          <w:spacing w:val="-8"/>
          <w:kern w:val="0"/>
          <w:sz w:val="28"/>
          <w:szCs w:val="28"/>
          <w:highlight w:val="none"/>
          <w:lang w:val="zh-CN" w:bidi="zh-CN"/>
        </w:rPr>
        <w:t>利用月平均监测值，采用单因子评价方法，确定水库水质达标状况，水质评</w:t>
      </w:r>
      <w:r>
        <w:rPr>
          <w:rFonts w:hint="eastAsia" w:ascii="仿宋" w:hAnsi="仿宋" w:eastAsia="仿宋" w:cs="仿宋"/>
          <w:kern w:val="0"/>
          <w:sz w:val="28"/>
          <w:szCs w:val="28"/>
          <w:highlight w:val="none"/>
          <w:lang w:val="zh-CN" w:bidi="zh-CN"/>
        </w:rPr>
        <w:t>价方法公式如下：</w:t>
      </w:r>
    </w:p>
    <w:p>
      <w:pPr>
        <w:autoSpaceDE w:val="0"/>
        <w:autoSpaceDN w:val="0"/>
        <w:adjustRightInd/>
        <w:snapToGrid/>
        <w:spacing w:before="1" w:line="240" w:lineRule="auto"/>
        <w:ind w:left="780" w:firstLine="0" w:firstLineChars="0"/>
        <w:jc w:val="left"/>
        <w:rPr>
          <w:rFonts w:hint="eastAsia" w:ascii="仿宋" w:hAnsi="仿宋" w:eastAsia="仿宋" w:cs="仿宋"/>
          <w:kern w:val="0"/>
          <w:sz w:val="28"/>
          <w:szCs w:val="28"/>
          <w:highlight w:val="none"/>
          <w:lang w:val="zh-CN" w:bidi="zh-CN"/>
        </w:rPr>
      </w:pPr>
      <w:r>
        <w:rPr>
          <w:rFonts w:hint="eastAsia" w:ascii="仿宋" w:hAnsi="仿宋" w:eastAsia="仿宋" w:cs="仿宋"/>
          <w:kern w:val="0"/>
          <w:sz w:val="28"/>
          <w:szCs w:val="28"/>
          <w:highlight w:val="none"/>
          <w:lang w:val="zh-CN" w:bidi="zh-CN"/>
        </w:rPr>
        <w:t>单项标准指数计算公式为：</w:t>
      </w:r>
    </w:p>
    <w:p>
      <w:pPr>
        <w:autoSpaceDE w:val="0"/>
        <w:autoSpaceDN w:val="0"/>
        <w:adjustRightInd/>
        <w:snapToGrid/>
        <w:spacing w:before="6" w:line="240" w:lineRule="auto"/>
        <w:ind w:firstLine="0" w:firstLineChars="0"/>
        <w:jc w:val="left"/>
        <w:rPr>
          <w:rFonts w:ascii="宋体" w:hAnsi="宋体" w:eastAsia="宋体" w:cs="宋体"/>
          <w:kern w:val="0"/>
          <w:szCs w:val="24"/>
          <w:highlight w:val="none"/>
          <w:lang w:val="zh-CN" w:bidi="zh-CN"/>
        </w:rPr>
      </w:pPr>
      <w:r>
        <w:rPr>
          <w:highlight w:val="none"/>
        </w:rPr>
        <w:drawing>
          <wp:anchor distT="0" distB="0" distL="114300" distR="114300" simplePos="0" relativeHeight="251659264" behindDoc="0" locked="0" layoutInCell="1" allowOverlap="1">
            <wp:simplePos x="0" y="0"/>
            <wp:positionH relativeFrom="page">
              <wp:posOffset>3006725</wp:posOffset>
            </wp:positionH>
            <wp:positionV relativeFrom="paragraph">
              <wp:posOffset>256540</wp:posOffset>
            </wp:positionV>
            <wp:extent cx="1974850" cy="365125"/>
            <wp:effectExtent l="0" t="0" r="6350" b="15875"/>
            <wp:wrapTopAndBottom/>
            <wp:docPr id="6"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6.png"/>
                    <pic:cNvPicPr>
                      <a:picLocks noChangeAspect="1"/>
                    </pic:cNvPicPr>
                  </pic:nvPicPr>
                  <pic:blipFill>
                    <a:blip r:embed="rId7"/>
                    <a:stretch>
                      <a:fillRect/>
                    </a:stretch>
                  </pic:blipFill>
                  <pic:spPr>
                    <a:xfrm>
                      <a:off x="0" y="0"/>
                      <a:ext cx="1974850" cy="365125"/>
                    </a:xfrm>
                    <a:prstGeom prst="rect">
                      <a:avLst/>
                    </a:prstGeom>
                    <a:noFill/>
                    <a:ln>
                      <a:noFill/>
                    </a:ln>
                  </pic:spPr>
                </pic:pic>
              </a:graphicData>
            </a:graphic>
          </wp:anchor>
        </w:drawing>
      </w:r>
    </w:p>
    <w:p>
      <w:pP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式中：Pi—为i污染物的标准指数；</w:t>
      </w:r>
    </w:p>
    <w:p>
      <w:pP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Ci—为i污染物的实测浓度(mg/l)；</w:t>
      </w:r>
    </w:p>
    <w:p>
      <w:pP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Si—为i污染物的标准浓度(mg/l)。</w:t>
      </w:r>
    </w:p>
    <w:p>
      <w:pP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pH的标准指数计算方法：</w:t>
      </w:r>
    </w:p>
    <w:p>
      <w:pPr>
        <w:autoSpaceDE w:val="0"/>
        <w:autoSpaceDN w:val="0"/>
        <w:adjustRightInd/>
        <w:snapToGrid/>
        <w:spacing w:line="240" w:lineRule="auto"/>
        <w:ind w:left="3187" w:firstLine="0" w:firstLineChars="0"/>
        <w:jc w:val="left"/>
        <w:rPr>
          <w:rFonts w:ascii="宋体" w:hAnsi="宋体" w:eastAsia="宋体" w:cs="宋体"/>
          <w:kern w:val="0"/>
          <w:sz w:val="20"/>
          <w:szCs w:val="24"/>
          <w:highlight w:val="none"/>
          <w:lang w:val="zh-CN" w:bidi="zh-CN"/>
        </w:rPr>
      </w:pPr>
      <w:r>
        <w:rPr>
          <w:rFonts w:ascii="宋体" w:hAnsi="宋体" w:eastAsia="宋体" w:cs="宋体"/>
          <w:kern w:val="0"/>
          <w:sz w:val="20"/>
          <w:szCs w:val="24"/>
          <w:highlight w:val="none"/>
        </w:rPr>
        <w:drawing>
          <wp:inline distT="0" distB="0" distL="114300" distR="114300">
            <wp:extent cx="1990725" cy="1211580"/>
            <wp:effectExtent l="0" t="0" r="9525" b="76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1990725" cy="1211580"/>
                    </a:xfrm>
                    <a:prstGeom prst="rect">
                      <a:avLst/>
                    </a:prstGeom>
                    <a:noFill/>
                    <a:ln>
                      <a:noFill/>
                    </a:ln>
                  </pic:spPr>
                </pic:pic>
              </a:graphicData>
            </a:graphic>
          </wp:inline>
        </w:drawing>
      </w:r>
    </w:p>
    <w:p>
      <w:pP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式中：Pi—某监测点pH的标准指数；</w:t>
      </w:r>
    </w:p>
    <w:p>
      <w:pP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pHi—某监测点 pH 的实测值；</w:t>
      </w:r>
    </w:p>
    <w:p>
      <w:pP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pHsd—pH标准值的下限；</w:t>
      </w:r>
    </w:p>
    <w:p>
      <w:pP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pHsu—pH标准值的上限。</w:t>
      </w:r>
    </w:p>
    <w:p>
      <w:pPr>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DO标准指数计算方法：</w:t>
      </w:r>
    </w:p>
    <w:p>
      <w:pPr>
        <w:autoSpaceDE w:val="0"/>
        <w:autoSpaceDN w:val="0"/>
        <w:adjustRightInd/>
        <w:snapToGrid/>
        <w:spacing w:line="240" w:lineRule="auto"/>
        <w:ind w:firstLine="0" w:firstLineChars="0"/>
        <w:jc w:val="left"/>
        <w:rPr>
          <w:highlight w:val="none"/>
        </w:rPr>
      </w:pPr>
      <w:r>
        <w:rPr>
          <w:highlight w:val="none"/>
        </w:rPr>
        <w:drawing>
          <wp:anchor distT="0" distB="0" distL="114300" distR="114300" simplePos="0" relativeHeight="251662336" behindDoc="0" locked="0" layoutInCell="1" allowOverlap="1">
            <wp:simplePos x="0" y="0"/>
            <wp:positionH relativeFrom="page">
              <wp:posOffset>2719070</wp:posOffset>
            </wp:positionH>
            <wp:positionV relativeFrom="paragraph">
              <wp:posOffset>187325</wp:posOffset>
            </wp:positionV>
            <wp:extent cx="2427605" cy="1261745"/>
            <wp:effectExtent l="0" t="0" r="10795" b="14605"/>
            <wp:wrapTopAndBottom/>
            <wp:docPr id="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8.png"/>
                    <pic:cNvPicPr>
                      <a:picLocks noChangeAspect="1"/>
                    </pic:cNvPicPr>
                  </pic:nvPicPr>
                  <pic:blipFill>
                    <a:blip r:embed="rId9"/>
                    <a:stretch>
                      <a:fillRect/>
                    </a:stretch>
                  </pic:blipFill>
                  <pic:spPr>
                    <a:xfrm>
                      <a:off x="0" y="0"/>
                      <a:ext cx="2427605" cy="126174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left"/>
        <w:textAlignment w:val="auto"/>
        <w:rPr>
          <w:rFonts w:hint="eastAsia" w:ascii="仿宋" w:hAnsi="仿宋" w:eastAsia="仿宋" w:cs="仿宋"/>
          <w:kern w:val="0"/>
          <w:sz w:val="28"/>
          <w:szCs w:val="28"/>
          <w:highlight w:val="none"/>
          <w:lang w:val="zh-CN" w:bidi="zh-CN"/>
        </w:rPr>
      </w:pPr>
      <w:r>
        <w:rPr>
          <w:rFonts w:hint="eastAsia" w:ascii="仿宋" w:hAnsi="仿宋" w:eastAsia="仿宋" w:cs="仿宋"/>
          <w:kern w:val="0"/>
          <w:sz w:val="28"/>
          <w:szCs w:val="28"/>
          <w:highlight w:val="none"/>
          <w:lang w:val="zh-CN" w:bidi="zh-CN"/>
        </w:rPr>
        <w:t>式中：PDO(j)—DO在j点的标准指数；</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jc w:val="both"/>
        <w:textAlignment w:val="auto"/>
        <w:rPr>
          <w:rFonts w:hint="eastAsia" w:ascii="仿宋" w:hAnsi="仿宋" w:eastAsia="仿宋" w:cs="仿宋"/>
          <w:kern w:val="0"/>
          <w:sz w:val="28"/>
          <w:szCs w:val="28"/>
          <w:highlight w:val="none"/>
          <w:lang w:val="zh-CN" w:bidi="zh-CN"/>
        </w:rPr>
      </w:pPr>
      <w:r>
        <w:rPr>
          <w:rFonts w:hint="eastAsia" w:ascii="仿宋" w:hAnsi="仿宋" w:eastAsia="仿宋" w:cs="仿宋"/>
          <w:kern w:val="0"/>
          <w:sz w:val="28"/>
          <w:szCs w:val="28"/>
          <w:highlight w:val="none"/>
          <w:lang w:val="zh-CN" w:bidi="zh-CN"/>
        </w:rPr>
        <w:t>DO—溶解氧浓度，mg/L；</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jc w:val="both"/>
        <w:textAlignment w:val="auto"/>
        <w:rPr>
          <w:rFonts w:hint="eastAsia" w:ascii="仿宋" w:hAnsi="仿宋" w:eastAsia="仿宋" w:cs="仿宋"/>
          <w:kern w:val="0"/>
          <w:sz w:val="28"/>
          <w:szCs w:val="28"/>
          <w:highlight w:val="none"/>
          <w:lang w:val="zh-CN" w:bidi="zh-CN"/>
        </w:rPr>
      </w:pPr>
      <w:r>
        <w:rPr>
          <w:rFonts w:hint="eastAsia" w:ascii="仿宋" w:hAnsi="仿宋" w:eastAsia="仿宋" w:cs="仿宋"/>
          <w:kern w:val="0"/>
          <w:sz w:val="28"/>
          <w:szCs w:val="28"/>
          <w:highlight w:val="none"/>
          <w:lang w:val="zh-CN" w:bidi="zh-CN"/>
        </w:rPr>
        <w:t>DOf—饱和溶解氧浓度，mg/L；</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jc w:val="both"/>
        <w:textAlignment w:val="auto"/>
        <w:rPr>
          <w:rFonts w:hint="eastAsia" w:ascii="仿宋" w:hAnsi="仿宋" w:eastAsia="仿宋" w:cs="仿宋"/>
          <w:kern w:val="0"/>
          <w:sz w:val="28"/>
          <w:szCs w:val="28"/>
          <w:highlight w:val="none"/>
          <w:lang w:val="zh-CN" w:bidi="zh-CN"/>
        </w:rPr>
      </w:pPr>
      <w:r>
        <w:rPr>
          <w:rFonts w:hint="eastAsia" w:ascii="仿宋" w:hAnsi="仿宋" w:eastAsia="仿宋" w:cs="仿宋"/>
          <w:kern w:val="0"/>
          <w:sz w:val="28"/>
          <w:szCs w:val="28"/>
          <w:highlight w:val="none"/>
          <w:lang w:val="zh-CN" w:bidi="zh-CN"/>
        </w:rPr>
        <w:t>DOf=468/(31.6+T)，T为温度,℃;</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jc w:val="both"/>
        <w:textAlignment w:val="auto"/>
        <w:rPr>
          <w:rFonts w:hint="eastAsia" w:ascii="仿宋" w:hAnsi="仿宋" w:eastAsia="仿宋" w:cs="仿宋"/>
          <w:kern w:val="0"/>
          <w:sz w:val="28"/>
          <w:szCs w:val="28"/>
          <w:highlight w:val="none"/>
          <w:lang w:val="zh-CN" w:bidi="zh-CN"/>
        </w:rPr>
      </w:pPr>
      <w:r>
        <w:rPr>
          <w:rFonts w:hint="eastAsia" w:ascii="仿宋" w:hAnsi="仿宋" w:eastAsia="仿宋" w:cs="仿宋"/>
          <w:kern w:val="0"/>
          <w:sz w:val="28"/>
          <w:szCs w:val="28"/>
          <w:highlight w:val="none"/>
          <w:lang w:val="zh-CN" w:bidi="zh-CN"/>
        </w:rPr>
        <w:t>DOj—j点的溶解氧监测浓度；mg/L；</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jc w:val="both"/>
        <w:textAlignment w:val="auto"/>
        <w:rPr>
          <w:rFonts w:hint="eastAsia" w:ascii="仿宋" w:hAnsi="仿宋" w:eastAsia="仿宋" w:cs="仿宋"/>
          <w:kern w:val="0"/>
          <w:sz w:val="28"/>
          <w:szCs w:val="28"/>
          <w:highlight w:val="none"/>
          <w:lang w:val="zh-CN" w:bidi="zh-CN"/>
        </w:rPr>
      </w:pPr>
      <w:r>
        <w:rPr>
          <w:rFonts w:hint="eastAsia" w:ascii="仿宋" w:hAnsi="仿宋" w:eastAsia="仿宋" w:cs="仿宋"/>
          <w:kern w:val="0"/>
          <w:sz w:val="28"/>
          <w:szCs w:val="28"/>
          <w:highlight w:val="none"/>
          <w:lang w:val="zh-CN" w:bidi="zh-CN"/>
        </w:rPr>
        <w:t>DOs—地表水溶解氧评价标准；mg/L。水质参数的标准指数Pi&gt;1时，表明该水质参数超过了规定的水质标准，不能满足水域功能的要求。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2"/>
        <w:rPr>
          <w:rFonts w:hint="eastAsia" w:ascii="Times New Roman" w:hAnsi="Times New Roman" w:eastAsia="宋体" w:cs="Times New Roman"/>
          <w:b/>
          <w:bCs/>
          <w:kern w:val="0"/>
          <w:sz w:val="28"/>
          <w:szCs w:val="28"/>
          <w:highlight w:val="none"/>
          <w:lang w:val="zh-CN" w:eastAsia="zh-CN" w:bidi="zh-CN"/>
        </w:rPr>
      </w:pPr>
      <w:bookmarkStart w:id="18" w:name="_Toc5652"/>
      <w:bookmarkStart w:id="19" w:name="_Toc15199"/>
      <w:bookmarkStart w:id="20" w:name="_Toc21853"/>
      <w:bookmarkStart w:id="21" w:name="_Toc20032"/>
      <w:bookmarkStart w:id="22" w:name="_Toc24491"/>
      <w:bookmarkStart w:id="23" w:name="_Toc20631"/>
      <w:bookmarkStart w:id="24" w:name="_Toc10314"/>
      <w:bookmarkStart w:id="25" w:name="_Toc9949"/>
      <w:bookmarkStart w:id="26" w:name="_Toc21224"/>
      <w:bookmarkStart w:id="27" w:name="_Toc18132"/>
      <w:bookmarkStart w:id="28" w:name="_Toc11513"/>
      <w:r>
        <w:rPr>
          <w:rFonts w:hint="eastAsia" w:ascii="Times New Roman" w:hAnsi="Times New Roman" w:eastAsia="宋体" w:cs="Times New Roman"/>
          <w:b/>
          <w:bCs/>
          <w:kern w:val="0"/>
          <w:sz w:val="28"/>
          <w:szCs w:val="28"/>
          <w:highlight w:val="none"/>
          <w:lang w:val="zh-CN" w:eastAsia="zh-CN" w:bidi="zh-CN"/>
        </w:rPr>
        <w:t>3.3.2水环境质量现状评价</w:t>
      </w:r>
      <w:bookmarkEnd w:id="18"/>
      <w:bookmarkEnd w:id="19"/>
      <w:bookmarkEnd w:id="20"/>
      <w:bookmarkEnd w:id="21"/>
      <w:bookmarkEnd w:id="22"/>
      <w:bookmarkEnd w:id="23"/>
      <w:bookmarkEnd w:id="24"/>
      <w:bookmarkEnd w:id="25"/>
      <w:bookmarkEnd w:id="26"/>
      <w:bookmarkEnd w:id="27"/>
      <w:bookmarkEnd w:id="28"/>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仿宋" w:hAnsi="仿宋" w:eastAsia="仿宋" w:cs="仿宋"/>
          <w:sz w:val="28"/>
          <w:szCs w:val="28"/>
          <w:highlight w:val="none"/>
          <w:lang w:val="zh-CN"/>
        </w:rPr>
      </w:pPr>
      <w:r>
        <w:rPr>
          <w:rFonts w:hint="eastAsia" w:ascii="仿宋" w:hAnsi="仿宋" w:eastAsia="仿宋" w:cs="仿宋"/>
          <w:color w:val="auto"/>
          <w:sz w:val="28"/>
          <w:szCs w:val="28"/>
          <w:highlight w:val="none"/>
          <w:lang w:val="zh-CN"/>
        </w:rPr>
        <w:t>根</w:t>
      </w:r>
      <w:r>
        <w:rPr>
          <w:rFonts w:hint="eastAsia" w:ascii="仿宋" w:hAnsi="仿宋" w:eastAsia="仿宋" w:cs="仿宋"/>
          <w:color w:val="000000" w:themeColor="text1"/>
          <w:sz w:val="28"/>
          <w:szCs w:val="28"/>
          <w:highlight w:val="none"/>
          <w:lang w:val="zh-CN"/>
          <w14:textFill>
            <w14:solidFill>
              <w14:schemeClr w14:val="tx1"/>
            </w14:solidFill>
          </w14:textFill>
        </w:rPr>
        <w:t>据20</w:t>
      </w:r>
      <w:r>
        <w:rPr>
          <w:rFonts w:hint="eastAsia" w:ascii="仿宋" w:hAnsi="仿宋" w:eastAsia="仿宋" w:cs="仿宋"/>
          <w:color w:val="000000" w:themeColor="text1"/>
          <w:sz w:val="28"/>
          <w:szCs w:val="28"/>
          <w:highlight w:val="none"/>
          <w:lang w:val="en-US" w:eastAsia="zh-CN"/>
          <w14:textFill>
            <w14:solidFill>
              <w14:schemeClr w14:val="tx1"/>
            </w14:solidFill>
          </w14:textFill>
        </w:rPr>
        <w:t>20</w:t>
      </w:r>
      <w:r>
        <w:rPr>
          <w:rFonts w:hint="eastAsia" w:ascii="仿宋" w:hAnsi="仿宋" w:eastAsia="仿宋" w:cs="仿宋"/>
          <w:color w:val="000000" w:themeColor="text1"/>
          <w:sz w:val="28"/>
          <w:szCs w:val="28"/>
          <w:highlight w:val="none"/>
          <w:lang w:val="zh-CN"/>
          <w14:textFill>
            <w14:solidFill>
              <w14:schemeClr w14:val="tx1"/>
            </w14:solidFill>
          </w14:textFill>
        </w:rPr>
        <w:t>年</w:t>
      </w:r>
      <w:r>
        <w:rPr>
          <w:rFonts w:hint="eastAsia" w:ascii="仿宋" w:hAnsi="仿宋" w:eastAsia="仿宋" w:cs="仿宋"/>
          <w:color w:val="000000" w:themeColor="text1"/>
          <w:sz w:val="28"/>
          <w:szCs w:val="28"/>
          <w:highlight w:val="none"/>
          <w:lang w:val="en-US" w:eastAsia="zh-CN"/>
          <w14:textFill>
            <w14:solidFill>
              <w14:schemeClr w14:val="tx1"/>
            </w14:solidFill>
          </w14:textFill>
        </w:rPr>
        <w:t>6</w:t>
      </w:r>
      <w:r>
        <w:rPr>
          <w:rFonts w:hint="eastAsia" w:ascii="仿宋" w:hAnsi="仿宋" w:eastAsia="仿宋" w:cs="仿宋"/>
          <w:color w:val="000000" w:themeColor="text1"/>
          <w:sz w:val="28"/>
          <w:szCs w:val="28"/>
          <w:highlight w:val="none"/>
          <w:lang w:val="zh-CN"/>
          <w14:textFill>
            <w14:solidFill>
              <w14:schemeClr w14:val="tx1"/>
            </w14:solidFill>
          </w14:textFill>
        </w:rPr>
        <w:t>月委托</w:t>
      </w:r>
      <w:r>
        <w:rPr>
          <w:rFonts w:hint="eastAsia" w:ascii="Times New Roman" w:hAnsi="Times New Roman" w:eastAsia="仿宋" w:cs="Times New Roman"/>
          <w:snapToGrid w:val="0"/>
          <w:kern w:val="0"/>
          <w:sz w:val="28"/>
          <w:szCs w:val="28"/>
          <w:highlight w:val="none"/>
        </w:rPr>
        <w:t>云南环清环境检测技术有限公司</w:t>
      </w:r>
      <w:r>
        <w:rPr>
          <w:rFonts w:hint="eastAsia" w:ascii="仿宋" w:hAnsi="仿宋" w:eastAsia="仿宋" w:cs="仿宋"/>
          <w:color w:val="000000" w:themeColor="text1"/>
          <w:sz w:val="28"/>
          <w:szCs w:val="28"/>
          <w:highlight w:val="none"/>
          <w:lang w:val="zh-CN"/>
          <w14:textFill>
            <w14:solidFill>
              <w14:schemeClr w14:val="tx1"/>
            </w14:solidFill>
          </w14:textFill>
        </w:rPr>
        <w:t>开展的水质监测，</w:t>
      </w:r>
      <w:r>
        <w:rPr>
          <w:rFonts w:hint="eastAsia" w:ascii="仿宋" w:hAnsi="仿宋" w:eastAsia="仿宋" w:cs="仿宋"/>
          <w:color w:val="000000" w:themeColor="text1"/>
          <w:sz w:val="28"/>
          <w:szCs w:val="28"/>
          <w:highlight w:val="none"/>
          <w:lang w:val="en-US" w:eastAsia="zh-CN"/>
          <w14:textFill>
            <w14:solidFill>
              <w14:schemeClr w14:val="tx1"/>
            </w14:solidFill>
          </w14:textFill>
        </w:rPr>
        <w:t>阿猛镇黑</w:t>
      </w:r>
      <w:r>
        <w:rPr>
          <w:rFonts w:hint="eastAsia" w:ascii="仿宋" w:hAnsi="仿宋" w:eastAsia="仿宋" w:cs="仿宋"/>
          <w:color w:val="000000" w:themeColor="text1"/>
          <w:sz w:val="28"/>
          <w:szCs w:val="28"/>
          <w:highlight w:val="none"/>
          <w:lang w:val="zh-CN"/>
          <w14:textFill>
            <w14:solidFill>
              <w14:schemeClr w14:val="tx1"/>
            </w14:solidFill>
          </w14:textFill>
        </w:rPr>
        <w:t>龙潭水源</w:t>
      </w:r>
      <w:r>
        <w:rPr>
          <w:rFonts w:hint="eastAsia" w:ascii="仿宋" w:hAnsi="仿宋" w:eastAsia="仿宋" w:cs="仿宋"/>
          <w:color w:val="auto"/>
          <w:sz w:val="28"/>
          <w:szCs w:val="28"/>
          <w:highlight w:val="none"/>
          <w:lang w:val="zh-CN"/>
        </w:rPr>
        <w:t>地31项地下水监测指标均优于Ⅲ类水质标准，水质情况较好。地下水水质监测结果见表3.3-1。</w:t>
      </w:r>
    </w:p>
    <w:p>
      <w:pPr>
        <w:jc w:val="center"/>
        <w:rPr>
          <w:rFonts w:hint="default" w:ascii="Times New Roman" w:hAnsi="Times New Roman" w:eastAsia="宋体" w:cs="Times New Roman"/>
          <w:b/>
          <w:bCs/>
          <w:color w:val="auto"/>
          <w:sz w:val="21"/>
          <w:szCs w:val="21"/>
          <w:highlight w:val="none"/>
          <w:lang w:val="zh-CN"/>
        </w:rPr>
      </w:pPr>
      <w:r>
        <w:rPr>
          <w:rFonts w:hint="default" w:ascii="Times New Roman" w:hAnsi="Times New Roman" w:eastAsia="宋体" w:cs="Times New Roman"/>
          <w:b/>
          <w:bCs/>
          <w:color w:val="auto"/>
          <w:sz w:val="21"/>
          <w:szCs w:val="21"/>
          <w:highlight w:val="none"/>
          <w:lang w:val="zh-CN"/>
        </w:rPr>
        <w:t>表3.3</w:t>
      </w:r>
      <w:r>
        <w:rPr>
          <w:rFonts w:hint="eastAsia" w:ascii="Times New Roman" w:hAnsi="Times New Roman" w:eastAsia="宋体" w:cs="Times New Roman"/>
          <w:b/>
          <w:bCs/>
          <w:color w:val="auto"/>
          <w:sz w:val="21"/>
          <w:szCs w:val="21"/>
          <w:highlight w:val="none"/>
          <w:lang w:val="en-US" w:eastAsia="zh-CN"/>
        </w:rPr>
        <w:t>-1 阿猛镇黑龙潭</w:t>
      </w:r>
      <w:r>
        <w:rPr>
          <w:rFonts w:hint="default" w:ascii="Times New Roman" w:hAnsi="Times New Roman" w:eastAsia="宋体" w:cs="Times New Roman"/>
          <w:b/>
          <w:bCs/>
          <w:color w:val="auto"/>
          <w:sz w:val="21"/>
          <w:szCs w:val="21"/>
          <w:highlight w:val="none"/>
          <w:lang w:val="zh-CN"/>
        </w:rPr>
        <w:t>地下水水质检测结果</w:t>
      </w:r>
    </w:p>
    <w:tbl>
      <w:tblPr>
        <w:tblStyle w:val="14"/>
        <w:tblW w:w="8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362"/>
        <w:gridCol w:w="1650"/>
        <w:gridCol w:w="1762"/>
        <w:gridCol w:w="109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检测指标</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单位</w:t>
            </w:r>
          </w:p>
        </w:tc>
        <w:tc>
          <w:tcPr>
            <w:tcW w:w="1650"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监测值</w:t>
            </w:r>
          </w:p>
        </w:tc>
        <w:tc>
          <w:tcPr>
            <w:tcW w:w="17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Ⅲ类标准限值</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Pi</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色度</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eastAsia="zh-CN"/>
              </w:rPr>
              <w:t>度</w:t>
            </w:r>
          </w:p>
        </w:tc>
        <w:tc>
          <w:tcPr>
            <w:tcW w:w="1650" w:type="dxa"/>
            <w:noWrap w:val="0"/>
            <w:vAlign w:val="center"/>
          </w:tcPr>
          <w:p>
            <w:pPr>
              <w:ind w:left="0" w:leftChars="0"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5</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≤15</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0.33</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嗅和味</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eastAsia="zh-CN"/>
              </w:rPr>
              <w:t>级</w:t>
            </w:r>
          </w:p>
        </w:tc>
        <w:tc>
          <w:tcPr>
            <w:tcW w:w="1650" w:type="dxa"/>
            <w:noWrap w:val="0"/>
            <w:vAlign w:val="center"/>
          </w:tcPr>
          <w:p>
            <w:pPr>
              <w:ind w:left="0" w:leftChars="0"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0</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无</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浊度</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NTU</w:t>
            </w:r>
          </w:p>
        </w:tc>
        <w:tc>
          <w:tcPr>
            <w:tcW w:w="1650" w:type="dxa"/>
            <w:noWrap w:val="0"/>
            <w:vAlign w:val="center"/>
          </w:tcPr>
          <w:p>
            <w:pPr>
              <w:ind w:left="0" w:leftChars="0"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3L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≤3</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肉眼可见物</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1650" w:type="dxa"/>
            <w:noWrap w:val="0"/>
            <w:vAlign w:val="center"/>
          </w:tcPr>
          <w:p>
            <w:pPr>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无油膜</w:t>
            </w:r>
          </w:p>
          <w:p>
            <w:pPr>
              <w:ind w:left="0" w:leftChars="0"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无漂浮物</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无</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1253"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pH</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eastAsia="zh-CN"/>
              </w:rPr>
              <w:t>无量纲</w:t>
            </w:r>
          </w:p>
        </w:tc>
        <w:tc>
          <w:tcPr>
            <w:tcW w:w="1650" w:type="dxa"/>
            <w:noWrap w:val="0"/>
            <w:vAlign w:val="center"/>
          </w:tcPr>
          <w:p>
            <w:pPr>
              <w:ind w:left="0" w:leftChars="0"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7.21</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6.5~8.5</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w:t>
            </w:r>
            <w:r>
              <w:rPr>
                <w:rFonts w:hint="eastAsia" w:ascii="Times New Roman" w:hAnsi="Times New Roman" w:eastAsia="宋体" w:cs="Times New Roman"/>
                <w:sz w:val="21"/>
                <w:szCs w:val="21"/>
                <w:highlight w:val="none"/>
                <w:lang w:val="en-US" w:eastAsia="zh-CN"/>
              </w:rPr>
              <w:t>14</w:t>
            </w:r>
          </w:p>
        </w:tc>
        <w:tc>
          <w:tcPr>
            <w:tcW w:w="1253"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总硬度</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color w:val="FF0000"/>
                <w:kern w:val="2"/>
                <w:sz w:val="21"/>
                <w:szCs w:val="21"/>
                <w:highlight w:val="none"/>
                <w:lang w:val="en-US" w:eastAsia="zh-CN" w:bidi="ar-SA"/>
              </w:rPr>
            </w:pPr>
            <w: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t>85</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≤450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0.41</w:t>
            </w:r>
          </w:p>
        </w:tc>
        <w:tc>
          <w:tcPr>
            <w:tcW w:w="1253"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溶解性总</w:t>
            </w:r>
          </w:p>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固体</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306</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≤1000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0.306</w:t>
            </w:r>
          </w:p>
        </w:tc>
        <w:tc>
          <w:tcPr>
            <w:tcW w:w="1253"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硫酸盐</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14.</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6</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≤250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0.06</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氯化物</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color w:val="FF0000"/>
                <w:kern w:val="2"/>
                <w:sz w:val="21"/>
                <w:szCs w:val="21"/>
                <w:highlight w:val="none"/>
                <w:lang w:val="en-US" w:eastAsia="zh-CN" w:bidi="ar-SA"/>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1.91</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≤250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0.008</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铁</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0.21</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≤0.3</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0.70</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锰</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color w:val="000000"/>
                <w:kern w:val="2"/>
                <w:sz w:val="21"/>
                <w:szCs w:val="21"/>
                <w:highlight w:val="none"/>
                <w:lang w:val="en-US" w:eastAsia="zh-CN" w:bidi="ar-SA"/>
              </w:rPr>
              <w:t>0.04</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≤0.10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0.40</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铜</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w:t>
            </w:r>
            <w:r>
              <w:rPr>
                <w:rFonts w:hint="eastAsia" w:ascii="Times New Roman" w:hAnsi="Times New Roman" w:eastAsia="宋体" w:cs="Times New Roman"/>
                <w:color w:val="auto"/>
                <w:kern w:val="2"/>
                <w:sz w:val="21"/>
                <w:szCs w:val="21"/>
                <w:highlight w:val="none"/>
                <w:lang w:val="en-US" w:eastAsia="zh-CN" w:bidi="ar-SA"/>
              </w:rPr>
              <w:t>89</w:t>
            </w:r>
            <w:r>
              <w:rPr>
                <w:rFonts w:hint="default" w:ascii="Times New Roman" w:hAnsi="Times New Roman" w:eastAsia="宋体" w:cs="Times New Roman"/>
                <w:color w:val="auto"/>
                <w:kern w:val="2"/>
                <w:sz w:val="21"/>
                <w:szCs w:val="21"/>
                <w:highlight w:val="none"/>
                <w:lang w:val="en-US" w:eastAsia="zh-CN" w:bidi="ar-SA"/>
              </w:rPr>
              <w:t>×10</w:t>
            </w:r>
            <w:r>
              <w:rPr>
                <w:rFonts w:hint="default" w:ascii="Times New Roman" w:hAnsi="Times New Roman" w:eastAsia="宋体" w:cs="Times New Roman"/>
                <w:color w:val="auto"/>
                <w:kern w:val="2"/>
                <w:sz w:val="21"/>
                <w:szCs w:val="21"/>
                <w:highlight w:val="none"/>
                <w:vertAlign w:val="superscript"/>
                <w:lang w:val="en-US" w:eastAsia="zh-CN" w:bidi="ar-SA"/>
              </w:rPr>
              <w:t>-3</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≤1.00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0.002</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锌</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w:t>
            </w:r>
            <w:r>
              <w:rPr>
                <w:rFonts w:hint="eastAsia" w:ascii="Times New Roman" w:hAnsi="Times New Roman" w:eastAsia="宋体" w:cs="Times New Roman"/>
                <w:color w:val="auto"/>
                <w:kern w:val="2"/>
                <w:sz w:val="21"/>
                <w:szCs w:val="21"/>
                <w:highlight w:val="none"/>
                <w:lang w:val="en-US" w:eastAsia="zh-CN" w:bidi="ar-SA"/>
              </w:rPr>
              <w:t>27</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≤1.00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0.27</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铝</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w:t>
            </w:r>
            <w:r>
              <w:rPr>
                <w:rFonts w:hint="eastAsia" w:ascii="Times New Roman" w:hAnsi="Times New Roman" w:eastAsia="宋体" w:cs="Times New Roman"/>
                <w:color w:val="auto"/>
                <w:sz w:val="21"/>
                <w:szCs w:val="21"/>
                <w:highlight w:val="none"/>
                <w:lang w:val="en-US" w:eastAsia="zh-CN"/>
              </w:rPr>
              <w:t>3874</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≤0.20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0.194</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挥发酚</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0.0003L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≤0.002</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0.075</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阴离子表面活性剂</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0.05L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≤0.3</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0.083</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耗氧量</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0.8</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≤3.0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0.27</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氨氮</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0.0</w:t>
            </w:r>
            <w:r>
              <w:rPr>
                <w:rFonts w:hint="eastAsia" w:ascii="Times New Roman" w:hAnsi="Times New Roman" w:eastAsia="宋体" w:cs="Times New Roman"/>
                <w:color w:val="auto"/>
                <w:kern w:val="2"/>
                <w:sz w:val="21"/>
                <w:szCs w:val="21"/>
                <w:highlight w:val="none"/>
                <w:lang w:val="en-US" w:eastAsia="zh-CN" w:bidi="ar-SA"/>
              </w:rPr>
              <w:t>58</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≤0.50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0.116</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硫化物</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0.005L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≤0.02</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0.25</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钠</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12.6</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≤200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0.06</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总大肠菌群</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MPN/100mL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＜3</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≤3.0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1.0</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菌落总数</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CFU/mL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80</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≤100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0.80</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硝酸盐</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w:t>
            </w:r>
            <w:r>
              <w:rPr>
                <w:rFonts w:hint="eastAsia" w:ascii="Times New Roman" w:hAnsi="Times New Roman" w:eastAsia="宋体" w:cs="Times New Roman"/>
                <w:color w:val="auto"/>
                <w:sz w:val="21"/>
                <w:szCs w:val="21"/>
                <w:highlight w:val="none"/>
                <w:lang w:val="en-US" w:eastAsia="zh-CN"/>
              </w:rPr>
              <w:t>37</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≤20.0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0.02</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亚硝酸盐</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w:t>
            </w:r>
            <w:r>
              <w:rPr>
                <w:rFonts w:hint="eastAsia" w:ascii="Times New Roman" w:hAnsi="Times New Roman" w:eastAsia="宋体" w:cs="Times New Roman"/>
                <w:color w:val="auto"/>
                <w:sz w:val="21"/>
                <w:szCs w:val="21"/>
                <w:highlight w:val="none"/>
                <w:lang w:val="en-US" w:eastAsia="zh-CN"/>
              </w:rPr>
              <w:t>18</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≤1.00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0.018</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氰化物</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0.001L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≤0.05</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0.02</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氟化物</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w:t>
            </w:r>
            <w:r>
              <w:rPr>
                <w:rFonts w:hint="eastAsia" w:ascii="Times New Roman" w:hAnsi="Times New Roman" w:eastAsia="宋体" w:cs="Times New Roman"/>
                <w:color w:val="auto"/>
                <w:sz w:val="21"/>
                <w:szCs w:val="21"/>
                <w:highlight w:val="none"/>
                <w:lang w:val="en-US" w:eastAsia="zh-CN"/>
              </w:rPr>
              <w:t>11</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0.11</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碘化物</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0.002L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≤0.08</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0.03</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汞</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tabs>
                <w:tab w:val="left" w:pos="7020"/>
              </w:tabs>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4.00×10</w:t>
            </w:r>
            <w:r>
              <w:rPr>
                <w:rFonts w:hint="default" w:ascii="Times New Roman" w:hAnsi="Times New Roman" w:eastAsia="宋体" w:cs="Times New Roman"/>
                <w:color w:val="auto"/>
                <w:kern w:val="2"/>
                <w:sz w:val="21"/>
                <w:szCs w:val="21"/>
                <w:highlight w:val="none"/>
                <w:vertAlign w:val="superscript"/>
                <w:lang w:val="en-US" w:eastAsia="zh-CN" w:bidi="ar-SA"/>
              </w:rPr>
              <w:t>-5</w:t>
            </w:r>
            <w:r>
              <w:rPr>
                <w:rFonts w:hint="default" w:ascii="Times New Roman" w:hAnsi="Times New Roman" w:eastAsia="宋体" w:cs="Times New Roman"/>
                <w:color w:val="auto"/>
                <w:kern w:val="2"/>
                <w:sz w:val="21"/>
                <w:szCs w:val="21"/>
                <w:highlight w:val="none"/>
                <w:vertAlign w:val="baseline"/>
                <w:lang w:val="en-US" w:eastAsia="zh-CN" w:bidi="ar-SA"/>
              </w:rPr>
              <w:t>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≤0.001</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0.40</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砷</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3.00×10</w:t>
            </w:r>
            <w:r>
              <w:rPr>
                <w:rFonts w:hint="default" w:ascii="Times New Roman" w:hAnsi="Times New Roman" w:eastAsia="宋体" w:cs="Times New Roman"/>
                <w:color w:val="auto"/>
                <w:kern w:val="2"/>
                <w:sz w:val="21"/>
                <w:szCs w:val="21"/>
                <w:highlight w:val="none"/>
                <w:vertAlign w:val="superscript"/>
                <w:lang w:val="en-US" w:eastAsia="zh-CN" w:bidi="ar-SA"/>
              </w:rPr>
              <w:t>-4</w:t>
            </w:r>
            <w:r>
              <w:rPr>
                <w:rFonts w:hint="default" w:ascii="Times New Roman" w:hAnsi="Times New Roman" w:eastAsia="宋体" w:cs="Times New Roman"/>
                <w:color w:val="auto"/>
                <w:kern w:val="2"/>
                <w:sz w:val="21"/>
                <w:szCs w:val="21"/>
                <w:highlight w:val="none"/>
                <w:vertAlign w:val="baseline"/>
                <w:lang w:val="en-US" w:eastAsia="zh-CN" w:bidi="ar-SA"/>
              </w:rPr>
              <w:t>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≤0.01</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0.03</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硒</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tabs>
                <w:tab w:val="left" w:pos="7020"/>
              </w:tabs>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4.00×10</w:t>
            </w:r>
            <w:r>
              <w:rPr>
                <w:rFonts w:hint="default" w:ascii="Times New Roman" w:hAnsi="Times New Roman" w:eastAsia="宋体" w:cs="Times New Roman"/>
                <w:color w:val="auto"/>
                <w:kern w:val="2"/>
                <w:sz w:val="21"/>
                <w:szCs w:val="21"/>
                <w:highlight w:val="none"/>
                <w:vertAlign w:val="superscript"/>
                <w:lang w:val="en-US" w:eastAsia="zh-CN" w:bidi="ar-SA"/>
              </w:rPr>
              <w:t>-4</w:t>
            </w:r>
            <w:r>
              <w:rPr>
                <w:rFonts w:hint="default" w:ascii="Times New Roman" w:hAnsi="Times New Roman" w:eastAsia="宋体" w:cs="Times New Roman"/>
                <w:color w:val="auto"/>
                <w:kern w:val="2"/>
                <w:sz w:val="21"/>
                <w:szCs w:val="21"/>
                <w:highlight w:val="none"/>
                <w:vertAlign w:val="baseline"/>
                <w:lang w:val="en-US" w:eastAsia="zh-CN" w:bidi="ar-SA"/>
              </w:rPr>
              <w:t>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≤0.01</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0.04</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镉</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1.00×10</w:t>
            </w:r>
            <w:r>
              <w:rPr>
                <w:rFonts w:hint="default" w:ascii="Times New Roman" w:hAnsi="Times New Roman" w:eastAsia="宋体" w:cs="Times New Roman"/>
                <w:color w:val="auto"/>
                <w:kern w:val="2"/>
                <w:sz w:val="21"/>
                <w:szCs w:val="21"/>
                <w:highlight w:val="none"/>
                <w:vertAlign w:val="superscript"/>
                <w:lang w:val="en-US" w:eastAsia="zh-CN" w:bidi="ar-SA"/>
              </w:rPr>
              <w:t>-4</w:t>
            </w:r>
            <w:r>
              <w:rPr>
                <w:rFonts w:hint="default" w:ascii="Times New Roman" w:hAnsi="Times New Roman" w:eastAsia="宋体" w:cs="Times New Roman"/>
                <w:color w:val="auto"/>
                <w:kern w:val="2"/>
                <w:sz w:val="21"/>
                <w:szCs w:val="21"/>
                <w:highlight w:val="none"/>
                <w:vertAlign w:val="baseline"/>
                <w:lang w:val="en-US" w:eastAsia="zh-CN" w:bidi="ar-SA"/>
              </w:rPr>
              <w:t>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≤0.005</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0.02</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六价铬</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0.004L</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≤0.05</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0.08</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铅</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mg/L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3.00</w:t>
            </w:r>
            <w:r>
              <w:rPr>
                <w:rFonts w:hint="default" w:ascii="Times New Roman" w:hAnsi="Times New Roman" w:eastAsia="宋体" w:cs="Times New Roman"/>
                <w:color w:val="auto"/>
                <w:kern w:val="2"/>
                <w:sz w:val="21"/>
                <w:szCs w:val="21"/>
                <w:highlight w:val="none"/>
                <w:lang w:val="en-US" w:eastAsia="zh-CN" w:bidi="ar-SA"/>
              </w:rPr>
              <w:t>×10</w:t>
            </w:r>
            <w:r>
              <w:rPr>
                <w:rFonts w:hint="default" w:ascii="Times New Roman" w:hAnsi="Times New Roman" w:eastAsia="宋体" w:cs="Times New Roman"/>
                <w:color w:val="auto"/>
                <w:kern w:val="2"/>
                <w:sz w:val="21"/>
                <w:szCs w:val="21"/>
                <w:highlight w:val="none"/>
                <w:vertAlign w:val="superscript"/>
                <w:lang w:val="en-US" w:eastAsia="zh-CN" w:bidi="ar-SA"/>
              </w:rPr>
              <w:t>-3</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≤0.01</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0.03</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苯</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μg/L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≤10.0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0.50</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甲苯</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μg/L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≤700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0.008</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三氯甲烷</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μg/L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0.0</w:t>
            </w:r>
            <w:r>
              <w:rPr>
                <w:rFonts w:hint="eastAsia" w:ascii="Times New Roman" w:hAnsi="Times New Roman" w:eastAsia="宋体" w:cs="Times New Roman"/>
                <w:color w:val="auto"/>
                <w:kern w:val="2"/>
                <w:sz w:val="21"/>
                <w:szCs w:val="21"/>
                <w:highlight w:val="none"/>
                <w:lang w:val="en-US" w:eastAsia="zh-CN" w:bidi="ar-SA"/>
              </w:rPr>
              <w:t>6</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≤60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0.001</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r>
        <w:tblPrEx>
          <w:tblCellMar>
            <w:top w:w="0" w:type="dxa"/>
            <w:left w:w="108" w:type="dxa"/>
            <w:bottom w:w="0" w:type="dxa"/>
            <w:right w:w="108" w:type="dxa"/>
          </w:tblCellMar>
        </w:tblPrEx>
        <w:trPr>
          <w:trHeight w:val="941" w:hRule="atLeast"/>
          <w:jc w:val="center"/>
        </w:trPr>
        <w:tc>
          <w:tcPr>
            <w:tcW w:w="1276"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四氯化碳</w:t>
            </w:r>
          </w:p>
        </w:tc>
        <w:tc>
          <w:tcPr>
            <w:tcW w:w="1362"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μg/L</w:t>
            </w:r>
          </w:p>
        </w:tc>
        <w:tc>
          <w:tcPr>
            <w:tcW w:w="1650"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0.0</w:t>
            </w:r>
            <w:r>
              <w:rPr>
                <w:rFonts w:hint="eastAsia" w:ascii="Times New Roman" w:hAnsi="Times New Roman" w:eastAsia="宋体" w:cs="Times New Roman"/>
                <w:color w:val="auto"/>
                <w:sz w:val="21"/>
                <w:szCs w:val="21"/>
                <w:highlight w:val="none"/>
                <w:lang w:val="en-US" w:eastAsia="zh-CN"/>
              </w:rPr>
              <w:t>5</w:t>
            </w:r>
          </w:p>
        </w:tc>
        <w:tc>
          <w:tcPr>
            <w:tcW w:w="1762" w:type="dxa"/>
            <w:noWrap w:val="0"/>
            <w:vAlign w:val="center"/>
          </w:tcPr>
          <w:p>
            <w:pPr>
              <w:ind w:left="0" w:leftChars="0" w:firstLine="0" w:firstLine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≤2.0</w:t>
            </w:r>
          </w:p>
        </w:tc>
        <w:tc>
          <w:tcPr>
            <w:tcW w:w="109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0.02</w:t>
            </w:r>
          </w:p>
        </w:tc>
        <w:tc>
          <w:tcPr>
            <w:tcW w:w="1253" w:type="dxa"/>
            <w:noWrap w:val="0"/>
            <w:vAlign w:val="center"/>
          </w:tcPr>
          <w:p>
            <w:pPr>
              <w:ind w:left="0"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达标</w:t>
            </w:r>
          </w:p>
        </w:tc>
      </w:tr>
    </w:tbl>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outlineLvl w:val="0"/>
        <w:rPr>
          <w:rFonts w:hint="default" w:ascii="Times New Roman" w:hAnsi="Times New Roman" w:eastAsia="宋体" w:cs="Times New Roman"/>
          <w:b/>
          <w:bCs/>
          <w:sz w:val="32"/>
          <w:szCs w:val="32"/>
          <w:highlight w:val="none"/>
          <w:lang w:val="en-US" w:eastAsia="zh-CN"/>
        </w:rPr>
      </w:pPr>
      <w:bookmarkStart w:id="29" w:name="_Toc11508"/>
      <w:r>
        <w:rPr>
          <w:rFonts w:hint="eastAsia" w:ascii="Times New Roman" w:hAnsi="Times New Roman" w:eastAsia="宋体" w:cs="Times New Roman"/>
          <w:b/>
          <w:bCs/>
          <w:sz w:val="32"/>
          <w:szCs w:val="32"/>
          <w:highlight w:val="none"/>
          <w:lang w:val="en-US" w:eastAsia="zh-CN"/>
        </w:rPr>
        <w:t>4</w:t>
      </w:r>
      <w:r>
        <w:rPr>
          <w:rFonts w:hint="default" w:ascii="Times New Roman" w:hAnsi="Times New Roman" w:eastAsia="宋体" w:cs="Times New Roman"/>
          <w:b/>
          <w:bCs/>
          <w:sz w:val="32"/>
          <w:szCs w:val="32"/>
          <w:highlight w:val="none"/>
          <w:lang w:val="en-US" w:eastAsia="zh-CN"/>
        </w:rPr>
        <w:t>.区域环境综合治理与环境管理状况</w:t>
      </w:r>
      <w:bookmarkEnd w:id="29"/>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宋体" w:cs="Times New Roman"/>
          <w:b/>
          <w:bCs/>
          <w:sz w:val="30"/>
          <w:szCs w:val="30"/>
          <w:highlight w:val="none"/>
          <w:lang w:val="en-US" w:eastAsia="zh-CN"/>
        </w:rPr>
      </w:pPr>
      <w:bookmarkStart w:id="30" w:name="_Toc11131"/>
      <w:r>
        <w:rPr>
          <w:rFonts w:hint="eastAsia" w:ascii="Times New Roman" w:hAnsi="Times New Roman" w:eastAsia="宋体" w:cs="Times New Roman"/>
          <w:b/>
          <w:bCs/>
          <w:sz w:val="30"/>
          <w:szCs w:val="30"/>
          <w:highlight w:val="none"/>
          <w:lang w:val="en-US" w:eastAsia="zh-CN"/>
        </w:rPr>
        <w:t>4</w:t>
      </w:r>
      <w:r>
        <w:rPr>
          <w:rFonts w:hint="default" w:ascii="Times New Roman" w:hAnsi="Times New Roman" w:eastAsia="宋体" w:cs="Times New Roman"/>
          <w:b/>
          <w:bCs/>
          <w:sz w:val="30"/>
          <w:szCs w:val="30"/>
          <w:highlight w:val="none"/>
          <w:lang w:val="en-US" w:eastAsia="zh-CN"/>
        </w:rPr>
        <w:t>.1区域环境综合治理</w:t>
      </w:r>
      <w:bookmarkEnd w:id="30"/>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完善水源保护区监督管理体系，明确目标责任体系保障，建立健全安全预警措施。制定应急处理预案，配备相应装备，提高应急处理能力。对已确定的水源保护区设立明显的标志，以便社会各界了解各水源地的功能和保护目标、范围，并按明确的功能使用和保护，给水源区的保护和管理提供保障，规范保护区取用水行为，明确各有关部门在水资源保护管理中应负的责任和全民的义务等，依法管理，使其管理工作规范化、科学化、法治化，防止水源区水功能的降低或丧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宋体" w:cs="Times New Roman"/>
          <w:b/>
          <w:bCs/>
          <w:sz w:val="30"/>
          <w:szCs w:val="30"/>
          <w:highlight w:val="none"/>
          <w:lang w:val="en-US" w:eastAsia="zh-CN"/>
        </w:rPr>
      </w:pPr>
      <w:bookmarkStart w:id="31" w:name="_Toc8511"/>
      <w:r>
        <w:rPr>
          <w:rFonts w:hint="eastAsia" w:ascii="Times New Roman" w:hAnsi="Times New Roman" w:eastAsia="宋体" w:cs="Times New Roman"/>
          <w:b/>
          <w:bCs/>
          <w:sz w:val="30"/>
          <w:szCs w:val="30"/>
          <w:highlight w:val="none"/>
          <w:lang w:val="en-US" w:eastAsia="zh-CN"/>
        </w:rPr>
        <w:t>4</w:t>
      </w:r>
      <w:r>
        <w:rPr>
          <w:rFonts w:hint="default" w:ascii="Times New Roman" w:hAnsi="Times New Roman" w:eastAsia="宋体" w:cs="Times New Roman"/>
          <w:b/>
          <w:bCs/>
          <w:sz w:val="30"/>
          <w:szCs w:val="30"/>
          <w:highlight w:val="none"/>
          <w:lang w:val="en-US" w:eastAsia="zh-CN"/>
        </w:rPr>
        <w:t>.2区域饮用水水源地管理状况</w:t>
      </w:r>
      <w:bookmarkEnd w:id="31"/>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1）一、二级保护区划分</w:t>
      </w:r>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结合《水资源保护规划技术规范》的规定，将源头水水源地保护区划分为一级保护区和二级保护区两类。整个保护区内水质按国家《地下水环境质量标准》优于Ⅲ类水质标准保护。</w:t>
      </w:r>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级保护区内禁止排放污水和固体废弃物，禁止新建、扩建与供水设施和保护水源无关的建设项目，禁止从事旅游、游泳、养殖和其它污染生活饮用水体的活动；二级保护区污染源必须严格执行一级排放标准，保证保护区内水质满足规定的水质标准。</w:t>
      </w:r>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2）建立组织领导机构、强化责任落实</w:t>
      </w:r>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成立工作领导小组，由县水务局建设水库管理所，配备相关管理人员，开展日常巡逻检查等工作，下一步，建议开展常规水质监测，组织开展水源地整治工程等。</w:t>
      </w:r>
    </w:p>
    <w:p>
      <w:pPr>
        <w:pStyle w:val="9"/>
        <w:keepNext w:val="0"/>
        <w:keepLines w:val="0"/>
        <w:pageBreakBefore w:val="0"/>
        <w:widowControl/>
        <w:numPr>
          <w:ilvl w:val="0"/>
          <w:numId w:val="0"/>
        </w:numPr>
        <w:shd w:val="clea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3）黑龙潭水源地一级保护区区域实施水源地全封闭建设工程，严禁与水源保护无关的项目进入，充分设置界碑、围网、保护标牌、警示牌等。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imes New Roman" w:hAnsi="Times New Roman" w:eastAsia="宋体" w:cs="Times New Roman"/>
          <w:b/>
          <w:bCs/>
          <w:sz w:val="30"/>
          <w:szCs w:val="30"/>
          <w:highlight w:val="none"/>
          <w:lang w:val="zh-CN" w:eastAsia="zh-CN"/>
        </w:rPr>
      </w:pPr>
      <w:bookmarkStart w:id="32" w:name="_Toc99"/>
      <w:bookmarkStart w:id="33" w:name="_Toc14448"/>
      <w:bookmarkStart w:id="34" w:name="_Toc29170"/>
      <w:bookmarkStart w:id="35" w:name="_Toc29682"/>
      <w:bookmarkStart w:id="36" w:name="_Toc20414"/>
      <w:bookmarkStart w:id="37" w:name="_Toc15880"/>
      <w:bookmarkStart w:id="38" w:name="_Toc15671"/>
      <w:bookmarkStart w:id="39" w:name="_Toc14688"/>
      <w:bookmarkStart w:id="40" w:name="_Toc10913"/>
      <w:bookmarkStart w:id="41" w:name="_Toc24773"/>
      <w:bookmarkStart w:id="42" w:name="_Toc24985"/>
      <w:bookmarkStart w:id="43" w:name="_Toc17173"/>
      <w:bookmarkStart w:id="44" w:name="_Toc2124"/>
      <w:bookmarkStart w:id="45" w:name="_Toc6047"/>
      <w:bookmarkStart w:id="46" w:name="_Toc17115"/>
      <w:bookmarkStart w:id="47" w:name="_Toc28769"/>
      <w:bookmarkStart w:id="48" w:name="_Toc10076"/>
      <w:r>
        <w:rPr>
          <w:rFonts w:hint="eastAsia" w:ascii="Times New Roman" w:hAnsi="Times New Roman" w:eastAsia="宋体" w:cs="Times New Roman"/>
          <w:b/>
          <w:bCs/>
          <w:sz w:val="30"/>
          <w:szCs w:val="30"/>
          <w:highlight w:val="none"/>
          <w:lang w:val="en-US" w:eastAsia="zh-CN"/>
        </w:rPr>
        <w:t>4</w:t>
      </w:r>
      <w:r>
        <w:rPr>
          <w:rFonts w:hint="eastAsia" w:ascii="Times New Roman" w:hAnsi="Times New Roman" w:eastAsia="宋体" w:cs="Times New Roman"/>
          <w:b/>
          <w:bCs/>
          <w:sz w:val="30"/>
          <w:szCs w:val="30"/>
          <w:highlight w:val="none"/>
          <w:lang w:val="zh-CN" w:eastAsia="zh-CN"/>
        </w:rPr>
        <w:t>.3保护区规范化建设、管理现状及主要存在问题</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7"/>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pacing w:val="-7"/>
          <w:sz w:val="28"/>
          <w:szCs w:val="28"/>
          <w:highlight w:val="none"/>
          <w:lang w:eastAsia="zh-CN"/>
        </w:rPr>
      </w:pPr>
      <w:r>
        <w:rPr>
          <w:rFonts w:hint="eastAsia" w:ascii="仿宋" w:hAnsi="仿宋" w:eastAsia="仿宋" w:cs="仿宋"/>
          <w:color w:val="000000"/>
          <w:sz w:val="28"/>
          <w:szCs w:val="28"/>
          <w:highlight w:val="none"/>
          <w:lang w:eastAsia="zh-CN"/>
        </w:rPr>
        <w:t>保护区外围未设置明显界碑、围网、保护牌等防护设施，</w:t>
      </w:r>
      <w:r>
        <w:rPr>
          <w:rFonts w:hint="eastAsia" w:ascii="仿宋" w:hAnsi="仿宋" w:eastAsia="仿宋" w:cs="仿宋"/>
          <w:color w:val="auto"/>
          <w:spacing w:val="-7"/>
          <w:sz w:val="28"/>
          <w:szCs w:val="28"/>
          <w:highlight w:val="none"/>
          <w:lang w:eastAsia="zh-CN"/>
        </w:rPr>
        <w:t>水质监测工作不完善。</w:t>
      </w:r>
    </w:p>
    <w:p>
      <w:pPr>
        <w:pStyle w:val="9"/>
        <w:rPr>
          <w:rFonts w:hint="eastAsia" w:ascii="仿宋" w:hAnsi="仿宋" w:eastAsia="仿宋" w:cs="仿宋"/>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outlineLvl w:val="0"/>
        <w:rPr>
          <w:rFonts w:hint="eastAsia" w:ascii="Times New Roman" w:hAnsi="Times New Roman" w:eastAsia="宋体" w:cs="Times New Roman"/>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60" w:lineRule="auto"/>
        <w:textAlignment w:val="auto"/>
        <w:outlineLvl w:val="0"/>
        <w:rPr>
          <w:rFonts w:hint="eastAsia"/>
          <w:sz w:val="30"/>
          <w:szCs w:val="30"/>
          <w:highlight w:val="none"/>
          <w:lang w:val="en-US" w:eastAsia="zh-CN"/>
        </w:rPr>
      </w:pPr>
      <w:bookmarkStart w:id="49" w:name="_Toc27773"/>
      <w:r>
        <w:rPr>
          <w:rFonts w:hint="eastAsia" w:ascii="Times New Roman" w:hAnsi="Times New Roman" w:eastAsia="宋体" w:cs="Times New Roman"/>
          <w:b/>
          <w:bCs/>
          <w:sz w:val="32"/>
          <w:szCs w:val="32"/>
          <w:highlight w:val="none"/>
          <w:lang w:val="en-US" w:eastAsia="zh-CN"/>
        </w:rPr>
        <w:t>5.</w:t>
      </w:r>
      <w:bookmarkStart w:id="50" w:name="_Toc26612"/>
      <w:bookmarkStart w:id="51" w:name="_Toc1406"/>
      <w:bookmarkStart w:id="52" w:name="_Toc2011"/>
      <w:bookmarkStart w:id="53" w:name="_Toc21575"/>
      <w:bookmarkStart w:id="54" w:name="_Toc15414"/>
      <w:bookmarkStart w:id="55" w:name="_Toc5104"/>
      <w:bookmarkStart w:id="56" w:name="_Toc24739"/>
      <w:bookmarkStart w:id="57" w:name="_Toc9957"/>
      <w:bookmarkStart w:id="58" w:name="_Toc5923"/>
      <w:bookmarkStart w:id="59" w:name="_Toc19213"/>
      <w:r>
        <w:rPr>
          <w:rFonts w:hint="eastAsia"/>
          <w:sz w:val="30"/>
          <w:szCs w:val="30"/>
          <w:highlight w:val="none"/>
          <w:lang w:val="en-US" w:eastAsia="zh-CN"/>
        </w:rPr>
        <w:t>保护区划分结果</w:t>
      </w:r>
      <w:bookmarkEnd w:id="49"/>
      <w:bookmarkEnd w:id="50"/>
      <w:bookmarkEnd w:id="51"/>
      <w:bookmarkEnd w:id="52"/>
      <w:bookmarkEnd w:id="53"/>
      <w:bookmarkEnd w:id="54"/>
      <w:bookmarkEnd w:id="55"/>
      <w:bookmarkEnd w:id="56"/>
      <w:bookmarkEnd w:id="57"/>
      <w:bookmarkEnd w:id="58"/>
      <w:bookmarkEnd w:id="59"/>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2"/>
        <w:rPr>
          <w:rFonts w:hint="default" w:ascii="Times New Roman" w:hAnsi="Times New Roman" w:eastAsia="宋体" w:cs="Times New Roman"/>
          <w:b/>
          <w:bCs/>
          <w:kern w:val="0"/>
          <w:sz w:val="28"/>
          <w:szCs w:val="28"/>
          <w:highlight w:val="none"/>
          <w:lang w:val="en-US" w:eastAsia="zh-CN" w:bidi="zh-CN"/>
        </w:rPr>
      </w:pPr>
      <w:bookmarkStart w:id="60" w:name="_bookmark46"/>
      <w:bookmarkEnd w:id="60"/>
      <w:bookmarkStart w:id="61" w:name="_Toc10537"/>
      <w:bookmarkStart w:id="62" w:name="_Toc28688"/>
      <w:bookmarkStart w:id="63" w:name="_Toc20639"/>
      <w:bookmarkStart w:id="64" w:name="_Toc24047"/>
      <w:bookmarkStart w:id="65" w:name="_Toc11678"/>
      <w:bookmarkStart w:id="66" w:name="_Toc5398"/>
      <w:bookmarkStart w:id="67" w:name="_Toc19407"/>
      <w:bookmarkStart w:id="68" w:name="_Toc29142"/>
      <w:bookmarkStart w:id="69" w:name="_Toc32081"/>
      <w:bookmarkStart w:id="70" w:name="_Toc454"/>
      <w:bookmarkStart w:id="71" w:name="_Toc4372"/>
      <w:r>
        <w:rPr>
          <w:rFonts w:hint="eastAsia" w:ascii="Times New Roman" w:hAnsi="Times New Roman" w:eastAsia="宋体" w:cs="Times New Roman"/>
          <w:b/>
          <w:bCs/>
          <w:kern w:val="0"/>
          <w:sz w:val="28"/>
          <w:szCs w:val="28"/>
          <w:highlight w:val="none"/>
          <w:lang w:val="en-US" w:eastAsia="zh-CN" w:bidi="zh-CN"/>
        </w:rPr>
        <w:t>5</w:t>
      </w:r>
      <w:r>
        <w:rPr>
          <w:rFonts w:hint="default" w:ascii="Times New Roman" w:hAnsi="Times New Roman" w:eastAsia="宋体" w:cs="Times New Roman"/>
          <w:b/>
          <w:bCs/>
          <w:kern w:val="0"/>
          <w:sz w:val="28"/>
          <w:szCs w:val="28"/>
          <w:highlight w:val="none"/>
          <w:lang w:val="en-US" w:eastAsia="zh-CN" w:bidi="zh-CN"/>
        </w:rPr>
        <w:t>.1一级保护区划定结果</w:t>
      </w:r>
      <w:bookmarkEnd w:id="61"/>
      <w:bookmarkEnd w:id="62"/>
      <w:bookmarkEnd w:id="63"/>
      <w:bookmarkEnd w:id="64"/>
      <w:bookmarkEnd w:id="65"/>
      <w:bookmarkEnd w:id="66"/>
      <w:bookmarkEnd w:id="67"/>
      <w:bookmarkEnd w:id="68"/>
      <w:bookmarkEnd w:id="69"/>
      <w:bookmarkEnd w:id="70"/>
      <w:bookmarkEnd w:id="71"/>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eastAsia="仿宋" w:cs="Times New Roman"/>
          <w:snapToGrid w:val="0"/>
          <w:kern w:val="0"/>
          <w:sz w:val="28"/>
          <w:szCs w:val="28"/>
          <w:highlight w:val="none"/>
          <w:lang w:val="en-US"/>
        </w:rPr>
      </w:pPr>
      <w:r>
        <w:rPr>
          <w:rFonts w:hint="eastAsia" w:ascii="Times New Roman" w:hAnsi="Times New Roman" w:eastAsia="仿宋" w:cs="Times New Roman"/>
          <w:snapToGrid w:val="0"/>
          <w:kern w:val="0"/>
          <w:sz w:val="28"/>
          <w:szCs w:val="28"/>
          <w:highlight w:val="none"/>
          <w:lang w:val="en-US"/>
        </w:rPr>
        <w:t>根据《饮用水水源保护区划分技术规范》（HJ338-2018）的划分要求，一级保护区以开采井为中心，按公式（3）计算的距离为半径的圆形区域，一级保护区T取100d。</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eastAsia="仿宋" w:cs="Times New Roman"/>
          <w:snapToGrid w:val="0"/>
          <w:kern w:val="0"/>
          <w:sz w:val="28"/>
          <w:szCs w:val="28"/>
          <w:highlight w:val="none"/>
          <w:lang w:val="en-US"/>
        </w:rPr>
      </w:pPr>
      <w:r>
        <w:rPr>
          <w:rFonts w:hint="eastAsia" w:ascii="Times New Roman" w:hAnsi="Times New Roman" w:eastAsia="仿宋" w:cs="Times New Roman"/>
          <w:snapToGrid w:val="0"/>
          <w:kern w:val="0"/>
          <w:sz w:val="28"/>
          <w:szCs w:val="28"/>
          <w:highlight w:val="none"/>
          <w:lang w:val="en-US" w:eastAsia="zh-CN"/>
        </w:rPr>
        <w:t>因未进行</w:t>
      </w:r>
      <w:r>
        <w:rPr>
          <w:rFonts w:hint="eastAsia" w:ascii="Times New Roman" w:hAnsi="Times New Roman" w:eastAsia="仿宋" w:cs="Times New Roman"/>
          <w:snapToGrid w:val="0"/>
          <w:kern w:val="0"/>
          <w:sz w:val="28"/>
          <w:szCs w:val="28"/>
          <w:highlight w:val="none"/>
          <w:lang w:val="en-US"/>
        </w:rPr>
        <w:t>现场水文地质勘察，拟划定的补给和径流区地表孔隙和岩溶裂隙含水层的平均渗透系数</w:t>
      </w:r>
      <w:r>
        <w:rPr>
          <w:rFonts w:hint="eastAsia" w:ascii="Times New Roman" w:hAnsi="Times New Roman" w:eastAsia="仿宋" w:cs="Times New Roman"/>
          <w:snapToGrid w:val="0"/>
          <w:kern w:val="0"/>
          <w:sz w:val="28"/>
          <w:szCs w:val="28"/>
          <w:highlight w:val="none"/>
          <w:lang w:val="en-US" w:eastAsia="zh-CN"/>
        </w:rPr>
        <w:t>参照经验值，取12.0</w:t>
      </w:r>
      <w:r>
        <w:rPr>
          <w:rFonts w:hint="eastAsia" w:ascii="Times New Roman" w:hAnsi="Times New Roman" w:eastAsia="仿宋" w:cs="Times New Roman"/>
          <w:snapToGrid w:val="0"/>
          <w:kern w:val="0"/>
          <w:sz w:val="28"/>
          <w:szCs w:val="28"/>
          <w:highlight w:val="none"/>
          <w:lang w:val="en-US"/>
        </w:rPr>
        <w:t>m/d，平均孔隙度</w:t>
      </w:r>
      <w:r>
        <w:rPr>
          <w:rFonts w:hint="eastAsia" w:ascii="Times New Roman" w:hAnsi="Times New Roman" w:eastAsia="仿宋" w:cs="Times New Roman"/>
          <w:snapToGrid w:val="0"/>
          <w:kern w:val="0"/>
          <w:sz w:val="28"/>
          <w:szCs w:val="28"/>
          <w:highlight w:val="none"/>
          <w:lang w:val="en-US" w:eastAsia="zh-CN"/>
        </w:rPr>
        <w:t>取</w:t>
      </w:r>
      <w:r>
        <w:rPr>
          <w:rFonts w:hint="eastAsia" w:ascii="Times New Roman" w:hAnsi="Times New Roman" w:eastAsia="仿宋" w:cs="Times New Roman"/>
          <w:snapToGrid w:val="0"/>
          <w:kern w:val="0"/>
          <w:sz w:val="28"/>
          <w:szCs w:val="28"/>
          <w:highlight w:val="none"/>
          <w:lang w:val="en-US"/>
        </w:rPr>
        <w:t>0.37。</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eastAsia="仿宋" w:cs="Times New Roman"/>
          <w:snapToGrid w:val="0"/>
          <w:kern w:val="0"/>
          <w:sz w:val="28"/>
          <w:szCs w:val="28"/>
          <w:highlight w:val="none"/>
          <w:lang w:val="en-US"/>
        </w:rPr>
      </w:pPr>
      <w:r>
        <w:rPr>
          <w:rFonts w:hint="eastAsia" w:ascii="Times New Roman" w:hAnsi="Times New Roman" w:eastAsia="仿宋" w:cs="Times New Roman"/>
          <w:snapToGrid w:val="0"/>
          <w:kern w:val="0"/>
          <w:sz w:val="28"/>
          <w:szCs w:val="28"/>
          <w:highlight w:val="none"/>
          <w:lang w:val="en-US"/>
        </w:rPr>
        <w:t>由于区内地下水水位观测资料缺乏，精确的水力坡度值难以获取，一般来说，地下水在含水层中的起伏程度小于地形起伏，因而将地形起伏程度（坡度）值作为地下水水力坡度偏于保守，但对于水源地保护区划分总体偏于安全，取地形坡度值约为0.</w:t>
      </w:r>
      <w:r>
        <w:rPr>
          <w:rFonts w:hint="eastAsia" w:ascii="Times New Roman" w:hAnsi="Times New Roman" w:eastAsia="仿宋" w:cs="Times New Roman"/>
          <w:snapToGrid w:val="0"/>
          <w:kern w:val="0"/>
          <w:sz w:val="28"/>
          <w:szCs w:val="28"/>
          <w:highlight w:val="none"/>
          <w:lang w:val="en-US" w:eastAsia="zh-CN"/>
        </w:rPr>
        <w:t>006</w:t>
      </w:r>
      <w:r>
        <w:rPr>
          <w:rFonts w:hint="eastAsia" w:ascii="Times New Roman" w:hAnsi="Times New Roman" w:eastAsia="仿宋" w:cs="Times New Roman"/>
          <w:snapToGrid w:val="0"/>
          <w:kern w:val="0"/>
          <w:sz w:val="28"/>
          <w:szCs w:val="28"/>
          <w:highlight w:val="none"/>
          <w:lang w:val="en-US"/>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eastAsia="仿宋" w:cs="Times New Roman"/>
          <w:snapToGrid w:val="0"/>
          <w:kern w:val="0"/>
          <w:sz w:val="28"/>
          <w:szCs w:val="28"/>
          <w:highlight w:val="none"/>
          <w:lang w:val="en-US"/>
        </w:rPr>
      </w:pPr>
      <w:r>
        <w:rPr>
          <w:rFonts w:hint="eastAsia" w:ascii="Times New Roman" w:hAnsi="Times New Roman" w:eastAsia="仿宋" w:cs="Times New Roman"/>
          <w:snapToGrid w:val="0"/>
          <w:kern w:val="0"/>
          <w:sz w:val="28"/>
          <w:szCs w:val="28"/>
          <w:highlight w:val="none"/>
          <w:lang w:val="en-US"/>
        </w:rPr>
        <w:t>根据水文地质特征，水力坡度I取0.</w:t>
      </w:r>
      <w:r>
        <w:rPr>
          <w:rFonts w:hint="eastAsia" w:ascii="Times New Roman" w:hAnsi="Times New Roman" w:eastAsia="仿宋" w:cs="Times New Roman"/>
          <w:snapToGrid w:val="0"/>
          <w:kern w:val="0"/>
          <w:sz w:val="28"/>
          <w:szCs w:val="28"/>
          <w:highlight w:val="none"/>
          <w:lang w:val="en-US" w:eastAsia="zh-CN"/>
        </w:rPr>
        <w:t>006</w:t>
      </w:r>
      <w:r>
        <w:rPr>
          <w:rFonts w:hint="eastAsia" w:ascii="Times New Roman" w:hAnsi="Times New Roman" w:eastAsia="仿宋" w:cs="Times New Roman"/>
          <w:snapToGrid w:val="0"/>
          <w:kern w:val="0"/>
          <w:sz w:val="28"/>
          <w:szCs w:val="28"/>
          <w:highlight w:val="none"/>
          <w:lang w:val="en-US"/>
        </w:rPr>
        <w:t>，一级保护区T取100d，根据公式（3），一级保护区半径为：（1.5*</w:t>
      </w:r>
      <w:r>
        <w:rPr>
          <w:rFonts w:hint="eastAsia" w:ascii="Times New Roman" w:hAnsi="Times New Roman" w:eastAsia="仿宋" w:cs="Times New Roman"/>
          <w:snapToGrid w:val="0"/>
          <w:kern w:val="0"/>
          <w:sz w:val="28"/>
          <w:szCs w:val="28"/>
          <w:highlight w:val="none"/>
          <w:lang w:val="en-US" w:eastAsia="zh-CN"/>
        </w:rPr>
        <w:t>12.0</w:t>
      </w:r>
      <w:r>
        <w:rPr>
          <w:rFonts w:hint="eastAsia" w:ascii="Times New Roman" w:hAnsi="Times New Roman" w:eastAsia="仿宋" w:cs="Times New Roman"/>
          <w:snapToGrid w:val="0"/>
          <w:kern w:val="0"/>
          <w:sz w:val="28"/>
          <w:szCs w:val="28"/>
          <w:highlight w:val="none"/>
          <w:lang w:val="en-US"/>
        </w:rPr>
        <w:t>*0.</w:t>
      </w:r>
      <w:r>
        <w:rPr>
          <w:rFonts w:hint="eastAsia" w:ascii="Times New Roman" w:hAnsi="Times New Roman" w:eastAsia="仿宋" w:cs="Times New Roman"/>
          <w:snapToGrid w:val="0"/>
          <w:kern w:val="0"/>
          <w:sz w:val="28"/>
          <w:szCs w:val="28"/>
          <w:highlight w:val="none"/>
          <w:lang w:val="en-US" w:eastAsia="zh-CN"/>
        </w:rPr>
        <w:t>006</w:t>
      </w:r>
      <w:r>
        <w:rPr>
          <w:rFonts w:hint="eastAsia" w:ascii="Times New Roman" w:hAnsi="Times New Roman" w:eastAsia="仿宋" w:cs="Times New Roman"/>
          <w:snapToGrid w:val="0"/>
          <w:kern w:val="0"/>
          <w:sz w:val="28"/>
          <w:szCs w:val="28"/>
          <w:highlight w:val="none"/>
          <w:lang w:val="en-US"/>
        </w:rPr>
        <w:t>*100）/0.37=29.</w:t>
      </w:r>
      <w:r>
        <w:rPr>
          <w:rFonts w:hint="eastAsia" w:ascii="Times New Roman" w:hAnsi="Times New Roman" w:eastAsia="仿宋" w:cs="Times New Roman"/>
          <w:snapToGrid w:val="0"/>
          <w:kern w:val="0"/>
          <w:sz w:val="28"/>
          <w:szCs w:val="28"/>
          <w:highlight w:val="none"/>
          <w:lang w:val="en-US" w:eastAsia="zh-CN"/>
        </w:rPr>
        <w:t>2</w:t>
      </w:r>
      <w:r>
        <w:rPr>
          <w:rFonts w:hint="eastAsia" w:ascii="Times New Roman" w:hAnsi="Times New Roman" w:eastAsia="仿宋" w:cs="Times New Roman"/>
          <w:snapToGrid w:val="0"/>
          <w:kern w:val="0"/>
          <w:sz w:val="28"/>
          <w:szCs w:val="28"/>
          <w:highlight w:val="none"/>
          <w:lang w:val="en-US"/>
        </w:rPr>
        <w:t>m，取30m。</w:t>
      </w:r>
    </w:p>
    <w:p>
      <w:pPr>
        <w:adjustRightInd w:val="0"/>
        <w:snapToGrid w:val="0"/>
        <w:spacing w:line="360" w:lineRule="auto"/>
        <w:ind w:firstLine="560" w:firstLineChars="200"/>
        <w:rPr>
          <w:rFonts w:hint="default" w:ascii="Times New Roman" w:hAnsi="Times New Roman" w:eastAsia="仿宋" w:cs="Times New Roman"/>
          <w:snapToGrid w:val="0"/>
          <w:kern w:val="0"/>
          <w:sz w:val="28"/>
          <w:szCs w:val="28"/>
          <w:highlight w:val="none"/>
          <w:lang w:val="en-US" w:eastAsia="zh-CN"/>
        </w:rPr>
      </w:pPr>
      <w:r>
        <w:rPr>
          <w:rFonts w:hint="default" w:ascii="Times New Roman" w:hAnsi="Times New Roman" w:eastAsia="仿宋" w:cs="Times New Roman"/>
          <w:snapToGrid w:val="0"/>
          <w:kern w:val="0"/>
          <w:sz w:val="28"/>
          <w:szCs w:val="28"/>
          <w:highlight w:val="none"/>
          <w:lang w:val="en-US"/>
        </w:rPr>
        <w:t>本水源位于</w:t>
      </w:r>
      <w:r>
        <w:rPr>
          <w:rFonts w:hint="eastAsia" w:ascii="Times New Roman" w:hAnsi="Times New Roman" w:eastAsia="仿宋" w:cs="Times New Roman"/>
          <w:snapToGrid w:val="0"/>
          <w:kern w:val="0"/>
          <w:sz w:val="28"/>
          <w:szCs w:val="28"/>
          <w:highlight w:val="none"/>
          <w:lang w:val="en-US" w:eastAsia="zh-CN"/>
        </w:rPr>
        <w:t>阿猛镇西北</w:t>
      </w:r>
      <w:r>
        <w:rPr>
          <w:rFonts w:hint="default" w:ascii="Times New Roman" w:hAnsi="Times New Roman" w:eastAsia="仿宋" w:cs="Times New Roman"/>
          <w:snapToGrid w:val="0"/>
          <w:kern w:val="0"/>
          <w:sz w:val="28"/>
          <w:szCs w:val="28"/>
          <w:highlight w:val="none"/>
          <w:lang w:val="en-US"/>
        </w:rPr>
        <w:t>侧，为保证取水口出水水质安全，取水口围堰应纳入保护区。</w:t>
      </w:r>
      <w:r>
        <w:rPr>
          <w:rFonts w:hint="eastAsia" w:ascii="Times New Roman" w:hAnsi="Times New Roman" w:eastAsia="仿宋" w:cs="Times New Roman"/>
          <w:snapToGrid w:val="0"/>
          <w:kern w:val="0"/>
          <w:sz w:val="28"/>
          <w:szCs w:val="28"/>
          <w:highlight w:val="none"/>
          <w:lang w:val="en-US" w:eastAsia="zh-CN"/>
        </w:rPr>
        <w:t>故</w:t>
      </w:r>
      <w:r>
        <w:rPr>
          <w:rFonts w:hint="default" w:ascii="Times New Roman" w:hAnsi="Times New Roman" w:eastAsia="仿宋" w:cs="Times New Roman"/>
          <w:snapToGrid w:val="0"/>
          <w:kern w:val="0"/>
          <w:sz w:val="28"/>
          <w:szCs w:val="28"/>
          <w:highlight w:val="none"/>
          <w:lang w:val="en-US"/>
        </w:rPr>
        <w:t>一级保护区面积</w:t>
      </w:r>
      <w:r>
        <w:rPr>
          <w:rFonts w:hint="eastAsia" w:ascii="Times New Roman" w:hAnsi="Times New Roman" w:eastAsia="仿宋" w:cs="Times New Roman"/>
          <w:snapToGrid w:val="0"/>
          <w:kern w:val="0"/>
          <w:sz w:val="28"/>
          <w:szCs w:val="28"/>
          <w:highlight w:val="none"/>
          <w:lang w:val="en-US" w:eastAsia="zh-CN"/>
        </w:rPr>
        <w:t>0.0006k</w:t>
      </w:r>
      <w:r>
        <w:rPr>
          <w:rFonts w:hint="default" w:ascii="Times New Roman" w:hAnsi="Times New Roman" w:eastAsia="仿宋" w:cs="Times New Roman"/>
          <w:snapToGrid w:val="0"/>
          <w:kern w:val="0"/>
          <w:sz w:val="28"/>
          <w:szCs w:val="28"/>
          <w:highlight w:val="none"/>
          <w:lang w:val="en-US"/>
        </w:rPr>
        <w:t>m</w:t>
      </w:r>
      <w:r>
        <w:rPr>
          <w:rFonts w:hint="default" w:ascii="Times New Roman" w:hAnsi="Times New Roman" w:eastAsia="仿宋" w:cs="Times New Roman"/>
          <w:snapToGrid w:val="0"/>
          <w:kern w:val="0"/>
          <w:sz w:val="28"/>
          <w:szCs w:val="28"/>
          <w:highlight w:val="none"/>
          <w:vertAlign w:val="superscript"/>
          <w:lang w:val="en-US"/>
        </w:rPr>
        <w:t>2</w:t>
      </w:r>
      <w:r>
        <w:rPr>
          <w:rFonts w:hint="eastAsia" w:ascii="Times New Roman" w:hAnsi="Times New Roman" w:eastAsia="仿宋" w:cs="Times New Roman"/>
          <w:snapToGrid w:val="0"/>
          <w:kern w:val="0"/>
          <w:sz w:val="28"/>
          <w:szCs w:val="28"/>
          <w:highlight w:val="none"/>
          <w:vertAlign w:val="baseline"/>
          <w:lang w:val="en-US" w:eastAsia="zh-CN"/>
        </w:rPr>
        <w:t>，周长0.101km</w:t>
      </w:r>
      <w:r>
        <w:rPr>
          <w:rFonts w:hint="default" w:ascii="Times New Roman" w:hAnsi="Times New Roman" w:eastAsia="仿宋" w:cs="Times New Roman"/>
          <w:snapToGrid w:val="0"/>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2"/>
        <w:rPr>
          <w:rFonts w:hint="default" w:ascii="Times New Roman" w:hAnsi="Times New Roman" w:eastAsia="宋体" w:cs="Times New Roman"/>
          <w:b/>
          <w:bCs/>
          <w:kern w:val="0"/>
          <w:sz w:val="28"/>
          <w:szCs w:val="28"/>
          <w:highlight w:val="none"/>
          <w:lang w:val="en-US" w:eastAsia="zh-CN" w:bidi="zh-CN"/>
        </w:rPr>
      </w:pPr>
      <w:bookmarkStart w:id="72" w:name="_Toc31278"/>
      <w:bookmarkStart w:id="73" w:name="_Toc13276"/>
      <w:bookmarkStart w:id="74" w:name="_Toc20452"/>
      <w:bookmarkStart w:id="75" w:name="_Toc20255"/>
      <w:bookmarkStart w:id="76" w:name="_Toc7370"/>
      <w:bookmarkStart w:id="77" w:name="_Toc11611"/>
      <w:bookmarkStart w:id="78" w:name="_Toc3772"/>
      <w:bookmarkStart w:id="79" w:name="_Toc10547"/>
      <w:bookmarkStart w:id="80" w:name="_Toc20010"/>
      <w:bookmarkStart w:id="81" w:name="_Toc10127"/>
      <w:bookmarkStart w:id="82" w:name="_Toc31464"/>
      <w:r>
        <w:rPr>
          <w:rFonts w:hint="eastAsia" w:ascii="Times New Roman" w:hAnsi="Times New Roman" w:eastAsia="宋体" w:cs="Times New Roman"/>
          <w:b/>
          <w:bCs/>
          <w:kern w:val="0"/>
          <w:sz w:val="28"/>
          <w:szCs w:val="28"/>
          <w:highlight w:val="none"/>
          <w:lang w:val="en-US" w:eastAsia="zh-CN" w:bidi="zh-CN"/>
        </w:rPr>
        <w:t>5</w:t>
      </w:r>
      <w:r>
        <w:rPr>
          <w:rFonts w:hint="default" w:ascii="Times New Roman" w:hAnsi="Times New Roman" w:eastAsia="宋体" w:cs="Times New Roman"/>
          <w:b/>
          <w:bCs/>
          <w:kern w:val="0"/>
          <w:sz w:val="28"/>
          <w:szCs w:val="28"/>
          <w:highlight w:val="none"/>
          <w:lang w:val="en-US" w:eastAsia="zh-CN" w:bidi="zh-CN"/>
        </w:rPr>
        <w:t>.2二级保护区划定结果</w:t>
      </w:r>
      <w:bookmarkEnd w:id="72"/>
      <w:bookmarkEnd w:id="73"/>
      <w:bookmarkEnd w:id="74"/>
      <w:bookmarkEnd w:id="75"/>
      <w:bookmarkEnd w:id="76"/>
      <w:bookmarkEnd w:id="77"/>
      <w:bookmarkEnd w:id="78"/>
      <w:bookmarkEnd w:id="79"/>
      <w:bookmarkEnd w:id="80"/>
      <w:bookmarkEnd w:id="81"/>
      <w:bookmarkEnd w:id="82"/>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仿宋" w:cs="Times New Roman"/>
          <w:snapToGrid w:val="0"/>
          <w:kern w:val="0"/>
          <w:sz w:val="28"/>
          <w:szCs w:val="28"/>
          <w:highlight w:val="none"/>
          <w:lang w:val="en-US"/>
        </w:rPr>
      </w:pPr>
      <w:bookmarkStart w:id="83" w:name="_bookmark48"/>
      <w:bookmarkEnd w:id="83"/>
      <w:r>
        <w:rPr>
          <w:rFonts w:hint="default" w:ascii="Times New Roman" w:hAnsi="Times New Roman" w:eastAsia="仿宋" w:cs="Times New Roman"/>
          <w:snapToGrid w:val="0"/>
          <w:kern w:val="0"/>
          <w:sz w:val="28"/>
          <w:szCs w:val="28"/>
          <w:highlight w:val="none"/>
          <w:lang w:val="en-US"/>
        </w:rPr>
        <w:t>根据</w:t>
      </w:r>
      <w:r>
        <w:rPr>
          <w:rFonts w:hint="eastAsia" w:ascii="Times New Roman" w:hAnsi="Times New Roman" w:eastAsia="仿宋" w:cs="Times New Roman"/>
          <w:snapToGrid w:val="0"/>
          <w:kern w:val="0"/>
          <w:sz w:val="28"/>
          <w:szCs w:val="28"/>
          <w:highlight w:val="none"/>
          <w:lang w:val="en-US" w:eastAsia="zh-CN"/>
        </w:rPr>
        <w:t>5</w:t>
      </w:r>
      <w:r>
        <w:rPr>
          <w:rFonts w:hint="default" w:ascii="Times New Roman" w:hAnsi="Times New Roman" w:eastAsia="仿宋" w:cs="Times New Roman"/>
          <w:snapToGrid w:val="0"/>
          <w:kern w:val="0"/>
          <w:sz w:val="28"/>
          <w:szCs w:val="28"/>
          <w:highlight w:val="none"/>
          <w:lang w:val="en-US"/>
        </w:rPr>
        <w:t>.1节分析，含水层渗透系数K值取</w:t>
      </w:r>
      <w:r>
        <w:rPr>
          <w:rFonts w:hint="eastAsia" w:ascii="Times New Roman" w:hAnsi="Times New Roman" w:eastAsia="仿宋" w:cs="Times New Roman"/>
          <w:snapToGrid w:val="0"/>
          <w:kern w:val="0"/>
          <w:sz w:val="28"/>
          <w:szCs w:val="28"/>
          <w:highlight w:val="none"/>
          <w:lang w:val="en-US" w:eastAsia="zh-CN"/>
        </w:rPr>
        <w:t>12.0</w:t>
      </w:r>
      <w:r>
        <w:rPr>
          <w:rFonts w:hint="default" w:ascii="Times New Roman" w:hAnsi="Times New Roman" w:eastAsia="仿宋" w:cs="Times New Roman"/>
          <w:snapToGrid w:val="0"/>
          <w:kern w:val="0"/>
          <w:sz w:val="28"/>
          <w:szCs w:val="28"/>
          <w:highlight w:val="none"/>
          <w:lang w:val="en-US"/>
        </w:rPr>
        <w:t>m/d、有效孔隙度n为0.37、水力坡度I取0.</w:t>
      </w:r>
      <w:r>
        <w:rPr>
          <w:rFonts w:hint="eastAsia" w:ascii="Times New Roman" w:hAnsi="Times New Roman" w:eastAsia="仿宋" w:cs="Times New Roman"/>
          <w:snapToGrid w:val="0"/>
          <w:kern w:val="0"/>
          <w:sz w:val="28"/>
          <w:szCs w:val="28"/>
          <w:highlight w:val="none"/>
          <w:lang w:val="en-US" w:eastAsia="zh-CN"/>
        </w:rPr>
        <w:t>006</w:t>
      </w:r>
      <w:r>
        <w:rPr>
          <w:rFonts w:hint="default" w:ascii="Times New Roman" w:hAnsi="Times New Roman" w:eastAsia="仿宋" w:cs="Times New Roman"/>
          <w:snapToGrid w:val="0"/>
          <w:kern w:val="0"/>
          <w:sz w:val="28"/>
          <w:szCs w:val="28"/>
          <w:highlight w:val="none"/>
          <w:lang w:val="en-US"/>
        </w:rPr>
        <w:t>、二级保护区T取1000d。根据公式（3），二级保护区半径为：（1.5*</w:t>
      </w:r>
      <w:r>
        <w:rPr>
          <w:rFonts w:hint="eastAsia" w:ascii="Times New Roman" w:hAnsi="Times New Roman" w:eastAsia="仿宋" w:cs="Times New Roman"/>
          <w:snapToGrid w:val="0"/>
          <w:kern w:val="0"/>
          <w:sz w:val="28"/>
          <w:szCs w:val="28"/>
          <w:highlight w:val="none"/>
          <w:lang w:val="en-US" w:eastAsia="zh-CN"/>
        </w:rPr>
        <w:t>12.0</w:t>
      </w:r>
      <w:r>
        <w:rPr>
          <w:rFonts w:hint="default" w:ascii="Times New Roman" w:hAnsi="Times New Roman" w:eastAsia="仿宋" w:cs="Times New Roman"/>
          <w:snapToGrid w:val="0"/>
          <w:kern w:val="0"/>
          <w:sz w:val="28"/>
          <w:szCs w:val="28"/>
          <w:highlight w:val="none"/>
          <w:lang w:val="en-US"/>
        </w:rPr>
        <w:t>*0.</w:t>
      </w:r>
      <w:r>
        <w:rPr>
          <w:rFonts w:hint="eastAsia" w:ascii="Times New Roman" w:hAnsi="Times New Roman" w:eastAsia="仿宋" w:cs="Times New Roman"/>
          <w:snapToGrid w:val="0"/>
          <w:kern w:val="0"/>
          <w:sz w:val="28"/>
          <w:szCs w:val="28"/>
          <w:highlight w:val="none"/>
          <w:lang w:val="en-US" w:eastAsia="zh-CN"/>
        </w:rPr>
        <w:t>006</w:t>
      </w:r>
      <w:r>
        <w:rPr>
          <w:rFonts w:hint="default" w:ascii="Times New Roman" w:hAnsi="Times New Roman" w:eastAsia="仿宋" w:cs="Times New Roman"/>
          <w:snapToGrid w:val="0"/>
          <w:kern w:val="0"/>
          <w:sz w:val="28"/>
          <w:szCs w:val="28"/>
          <w:highlight w:val="none"/>
          <w:lang w:val="en-US"/>
        </w:rPr>
        <w:t>*1000）/0.37=29</w:t>
      </w:r>
      <w:r>
        <w:rPr>
          <w:rFonts w:hint="eastAsia" w:ascii="Times New Roman" w:hAnsi="Times New Roman" w:eastAsia="仿宋" w:cs="Times New Roman"/>
          <w:snapToGrid w:val="0"/>
          <w:kern w:val="0"/>
          <w:sz w:val="28"/>
          <w:szCs w:val="28"/>
          <w:highlight w:val="none"/>
          <w:lang w:val="en-US" w:eastAsia="zh-CN"/>
        </w:rPr>
        <w:t>1.9</w:t>
      </w:r>
      <w:r>
        <w:rPr>
          <w:rFonts w:hint="default" w:ascii="Times New Roman" w:hAnsi="Times New Roman" w:eastAsia="仿宋" w:cs="Times New Roman"/>
          <w:snapToGrid w:val="0"/>
          <w:kern w:val="0"/>
          <w:sz w:val="28"/>
          <w:szCs w:val="28"/>
          <w:highlight w:val="none"/>
          <w:lang w:val="en-US"/>
        </w:rPr>
        <w:t>m，取</w:t>
      </w:r>
      <w:r>
        <w:rPr>
          <w:rFonts w:hint="eastAsia" w:ascii="Times New Roman" w:hAnsi="Times New Roman" w:eastAsia="仿宋" w:cs="Times New Roman"/>
          <w:snapToGrid w:val="0"/>
          <w:kern w:val="0"/>
          <w:sz w:val="28"/>
          <w:szCs w:val="28"/>
          <w:highlight w:val="none"/>
          <w:lang w:val="en-US" w:eastAsia="zh-CN"/>
        </w:rPr>
        <w:t>300</w:t>
      </w:r>
      <w:r>
        <w:rPr>
          <w:rFonts w:hint="default" w:ascii="Times New Roman" w:hAnsi="Times New Roman" w:eastAsia="仿宋" w:cs="Times New Roman"/>
          <w:snapToGrid w:val="0"/>
          <w:kern w:val="0"/>
          <w:sz w:val="28"/>
          <w:szCs w:val="28"/>
          <w:highlight w:val="none"/>
          <w:lang w:val="en-US"/>
        </w:rPr>
        <w:t>m。</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仿宋" w:cs="Times New Roman"/>
          <w:snapToGrid w:val="0"/>
          <w:color w:val="FF0000"/>
          <w:kern w:val="0"/>
          <w:sz w:val="28"/>
          <w:szCs w:val="28"/>
          <w:highlight w:val="none"/>
          <w:lang w:val="en-US"/>
        </w:rPr>
      </w:pPr>
      <w:r>
        <w:rPr>
          <w:rFonts w:hint="default" w:ascii="Times New Roman" w:hAnsi="Times New Roman" w:eastAsia="仿宋" w:cs="Times New Roman"/>
          <w:snapToGrid w:val="0"/>
          <w:kern w:val="0"/>
          <w:sz w:val="28"/>
          <w:szCs w:val="28"/>
          <w:highlight w:val="none"/>
          <w:lang w:val="en-US"/>
        </w:rPr>
        <w:t>二级保护区范围为：</w:t>
      </w:r>
      <w:r>
        <w:rPr>
          <w:rFonts w:hint="eastAsia" w:ascii="Times New Roman" w:hAnsi="Times New Roman" w:eastAsia="仿宋" w:cs="Times New Roman"/>
          <w:snapToGrid w:val="0"/>
          <w:kern w:val="0"/>
          <w:sz w:val="28"/>
          <w:szCs w:val="28"/>
          <w:highlight w:val="none"/>
          <w:lang w:val="en-US" w:eastAsia="zh-CN"/>
        </w:rPr>
        <w:t>根据水文地质情况，结合压扭性断裂带阻断作用，二级保护区面积为</w:t>
      </w:r>
      <w:r>
        <w:rPr>
          <w:rFonts w:hint="default" w:ascii="Times New Roman" w:hAnsi="Times New Roman" w:eastAsia="仿宋" w:cs="Times New Roman"/>
          <w:snapToGrid w:val="0"/>
          <w:kern w:val="0"/>
          <w:sz w:val="28"/>
          <w:szCs w:val="28"/>
          <w:highlight w:val="none"/>
          <w:lang w:val="en-US"/>
        </w:rPr>
        <w:t>（一级保护区除外）</w:t>
      </w:r>
      <w:r>
        <w:rPr>
          <w:rFonts w:hint="eastAsia" w:ascii="Times New Roman" w:hAnsi="Times New Roman" w:eastAsia="仿宋" w:cs="Times New Roman"/>
          <w:snapToGrid w:val="0"/>
          <w:color w:val="auto"/>
          <w:kern w:val="0"/>
          <w:sz w:val="28"/>
          <w:szCs w:val="28"/>
          <w:highlight w:val="none"/>
          <w:lang w:val="en-US" w:eastAsia="zh-CN"/>
        </w:rPr>
        <w:t>0.171k</w:t>
      </w:r>
      <w:r>
        <w:rPr>
          <w:rFonts w:hint="default" w:ascii="Times New Roman" w:hAnsi="Times New Roman" w:eastAsia="仿宋" w:cs="Times New Roman"/>
          <w:snapToGrid w:val="0"/>
          <w:color w:val="auto"/>
          <w:kern w:val="0"/>
          <w:sz w:val="28"/>
          <w:szCs w:val="28"/>
          <w:highlight w:val="none"/>
          <w:lang w:val="en-US"/>
        </w:rPr>
        <w:t>m</w:t>
      </w:r>
      <w:r>
        <w:rPr>
          <w:rFonts w:hint="default" w:ascii="Times New Roman" w:hAnsi="Times New Roman" w:eastAsia="仿宋" w:cs="Times New Roman"/>
          <w:snapToGrid w:val="0"/>
          <w:color w:val="auto"/>
          <w:kern w:val="0"/>
          <w:sz w:val="28"/>
          <w:szCs w:val="28"/>
          <w:highlight w:val="none"/>
          <w:vertAlign w:val="superscript"/>
          <w:lang w:val="en-US"/>
        </w:rPr>
        <w:t>2</w:t>
      </w:r>
      <w:r>
        <w:rPr>
          <w:rFonts w:hint="default" w:ascii="Times New Roman" w:hAnsi="Times New Roman" w:eastAsia="仿宋" w:cs="Times New Roman"/>
          <w:snapToGrid w:val="0"/>
          <w:color w:val="auto"/>
          <w:kern w:val="0"/>
          <w:sz w:val="28"/>
          <w:szCs w:val="28"/>
          <w:highlight w:val="none"/>
          <w:lang w:val="en-US"/>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2"/>
        <w:rPr>
          <w:rFonts w:hint="default" w:ascii="Times New Roman" w:hAnsi="Times New Roman" w:eastAsia="宋体" w:cs="Times New Roman"/>
          <w:b/>
          <w:bCs/>
          <w:kern w:val="0"/>
          <w:sz w:val="28"/>
          <w:szCs w:val="28"/>
          <w:highlight w:val="none"/>
          <w:lang w:val="en-US" w:eastAsia="zh-CN" w:bidi="zh-CN"/>
        </w:rPr>
      </w:pPr>
      <w:bookmarkStart w:id="84" w:name="_Toc13058"/>
      <w:bookmarkStart w:id="85" w:name="_Toc23357"/>
      <w:bookmarkStart w:id="86" w:name="_Toc8525"/>
      <w:bookmarkStart w:id="87" w:name="_Toc4783"/>
      <w:bookmarkStart w:id="88" w:name="_Toc6943"/>
      <w:bookmarkStart w:id="89" w:name="_Toc32245"/>
      <w:bookmarkStart w:id="90" w:name="_Toc12299"/>
      <w:bookmarkStart w:id="91" w:name="_Toc21054"/>
      <w:bookmarkStart w:id="92" w:name="_Toc25903"/>
      <w:bookmarkStart w:id="93" w:name="_Toc3440"/>
      <w:bookmarkStart w:id="94" w:name="_Toc14613"/>
      <w:r>
        <w:rPr>
          <w:rFonts w:hint="eastAsia" w:ascii="Times New Roman" w:hAnsi="Times New Roman" w:eastAsia="宋体" w:cs="Times New Roman"/>
          <w:b/>
          <w:bCs/>
          <w:kern w:val="0"/>
          <w:sz w:val="28"/>
          <w:szCs w:val="28"/>
          <w:highlight w:val="none"/>
          <w:lang w:val="en-US" w:eastAsia="zh-CN" w:bidi="zh-CN"/>
        </w:rPr>
        <w:t>5</w:t>
      </w:r>
      <w:r>
        <w:rPr>
          <w:rFonts w:hint="default" w:ascii="Times New Roman" w:hAnsi="Times New Roman" w:eastAsia="宋体" w:cs="Times New Roman"/>
          <w:b/>
          <w:bCs/>
          <w:kern w:val="0"/>
          <w:sz w:val="28"/>
          <w:szCs w:val="28"/>
          <w:highlight w:val="none"/>
          <w:lang w:val="en-US" w:eastAsia="zh-CN" w:bidi="zh-CN"/>
        </w:rPr>
        <w:t>.3保护区划定结果统计</w:t>
      </w:r>
      <w:bookmarkEnd w:id="84"/>
      <w:bookmarkEnd w:id="85"/>
      <w:bookmarkEnd w:id="86"/>
      <w:bookmarkEnd w:id="87"/>
      <w:bookmarkEnd w:id="88"/>
      <w:bookmarkEnd w:id="89"/>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default" w:ascii="Times New Roman" w:hAnsi="Times New Roman" w:eastAsia="宋体" w:cs="Times New Roman"/>
          <w:kern w:val="2"/>
          <w:sz w:val="24"/>
          <w:szCs w:val="24"/>
          <w:highlight w:val="none"/>
          <w:lang w:val="en-US" w:bidi="ar-SA"/>
        </w:rPr>
      </w:pPr>
      <w:r>
        <w:rPr>
          <w:rFonts w:hint="eastAsia" w:ascii="Times New Roman" w:hAnsi="Times New Roman" w:eastAsia="仿宋" w:cs="Times New Roman"/>
          <w:snapToGrid w:val="0"/>
          <w:kern w:val="0"/>
          <w:sz w:val="28"/>
          <w:szCs w:val="28"/>
          <w:highlight w:val="none"/>
          <w:lang w:val="en-US" w:eastAsia="zh-CN"/>
        </w:rPr>
        <w:t>阿猛镇黑龙潭</w:t>
      </w:r>
      <w:r>
        <w:rPr>
          <w:rFonts w:hint="default" w:ascii="Times New Roman" w:hAnsi="Times New Roman" w:eastAsia="仿宋" w:cs="Times New Roman"/>
          <w:snapToGrid w:val="0"/>
          <w:kern w:val="0"/>
          <w:sz w:val="28"/>
          <w:szCs w:val="28"/>
          <w:highlight w:val="none"/>
          <w:lang w:val="en-US"/>
        </w:rPr>
        <w:t>饮用水源地保护区划界结果统计见表</w:t>
      </w:r>
      <w:r>
        <w:rPr>
          <w:rFonts w:hint="eastAsia" w:ascii="Times New Roman" w:hAnsi="Times New Roman" w:eastAsia="仿宋" w:cs="Times New Roman"/>
          <w:snapToGrid w:val="0"/>
          <w:kern w:val="0"/>
          <w:sz w:val="28"/>
          <w:szCs w:val="28"/>
          <w:highlight w:val="none"/>
          <w:lang w:val="en-US" w:eastAsia="zh-CN"/>
        </w:rPr>
        <w:t>5</w:t>
      </w:r>
      <w:r>
        <w:rPr>
          <w:rFonts w:hint="default" w:ascii="Times New Roman" w:hAnsi="Times New Roman" w:eastAsia="仿宋" w:cs="Times New Roman"/>
          <w:snapToGrid w:val="0"/>
          <w:kern w:val="0"/>
          <w:sz w:val="28"/>
          <w:szCs w:val="28"/>
          <w:highlight w:val="none"/>
          <w:lang w:val="en-US"/>
        </w:rPr>
        <w:t>.</w:t>
      </w:r>
      <w:r>
        <w:rPr>
          <w:rFonts w:hint="eastAsia" w:ascii="Times New Roman" w:hAnsi="Times New Roman" w:eastAsia="仿宋" w:cs="Times New Roman"/>
          <w:snapToGrid w:val="0"/>
          <w:kern w:val="0"/>
          <w:sz w:val="28"/>
          <w:szCs w:val="28"/>
          <w:highlight w:val="none"/>
          <w:lang w:val="en-US" w:eastAsia="zh-CN"/>
        </w:rPr>
        <w:t>3</w:t>
      </w:r>
      <w:r>
        <w:rPr>
          <w:rFonts w:hint="default" w:ascii="Times New Roman" w:hAnsi="Times New Roman" w:eastAsia="仿宋" w:cs="Times New Roman"/>
          <w:snapToGrid w:val="0"/>
          <w:kern w:val="0"/>
          <w:sz w:val="28"/>
          <w:szCs w:val="28"/>
          <w:highlight w:val="none"/>
          <w:lang w:val="en-US"/>
        </w:rPr>
        <w:t>-1。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cs="Times New Roman"/>
          <w:b/>
          <w:bCs/>
          <w:kern w:val="2"/>
          <w:sz w:val="21"/>
          <w:szCs w:val="21"/>
          <w:highlight w:val="none"/>
          <w:lang w:val="en-US" w:bidi="ar-SA"/>
        </w:rPr>
      </w:pPr>
      <w:r>
        <w:rPr>
          <w:rFonts w:ascii="Times New Roman" w:hAnsi="Times New Roman" w:eastAsia="仿宋_GB2312" w:cs="Times New Roman"/>
          <w:b/>
          <w:bCs/>
          <w:kern w:val="2"/>
          <w:sz w:val="21"/>
          <w:szCs w:val="21"/>
          <w:highlight w:val="none"/>
          <w:lang w:val="en-US" w:bidi="ar-SA"/>
        </w:rPr>
        <w:t xml:space="preserve">表 </w:t>
      </w:r>
      <w:r>
        <w:rPr>
          <w:rFonts w:hint="eastAsia" w:ascii="Times New Roman" w:hAnsi="Times New Roman" w:eastAsia="仿宋_GB2312" w:cs="Times New Roman"/>
          <w:b/>
          <w:bCs/>
          <w:kern w:val="2"/>
          <w:sz w:val="21"/>
          <w:szCs w:val="21"/>
          <w:highlight w:val="none"/>
          <w:lang w:val="en-US" w:eastAsia="zh-CN" w:bidi="ar-SA"/>
        </w:rPr>
        <w:t>5</w:t>
      </w:r>
      <w:r>
        <w:rPr>
          <w:rFonts w:ascii="Times New Roman" w:hAnsi="Times New Roman" w:eastAsia="仿宋_GB2312" w:cs="Times New Roman"/>
          <w:b/>
          <w:bCs/>
          <w:kern w:val="2"/>
          <w:sz w:val="21"/>
          <w:szCs w:val="21"/>
          <w:highlight w:val="none"/>
          <w:lang w:val="en-US" w:bidi="ar-SA"/>
        </w:rPr>
        <w:t>.</w:t>
      </w:r>
      <w:r>
        <w:rPr>
          <w:rFonts w:hint="eastAsia" w:ascii="Times New Roman" w:hAnsi="Times New Roman" w:eastAsia="仿宋_GB2312" w:cs="Times New Roman"/>
          <w:b/>
          <w:bCs/>
          <w:kern w:val="2"/>
          <w:sz w:val="21"/>
          <w:szCs w:val="21"/>
          <w:highlight w:val="none"/>
          <w:lang w:val="en-US" w:eastAsia="zh-CN" w:bidi="ar-SA"/>
        </w:rPr>
        <w:t>3</w:t>
      </w:r>
      <w:r>
        <w:rPr>
          <w:rFonts w:ascii="Times New Roman" w:hAnsi="Times New Roman" w:eastAsia="仿宋_GB2312" w:cs="Times New Roman"/>
          <w:b/>
          <w:bCs/>
          <w:kern w:val="2"/>
          <w:sz w:val="21"/>
          <w:szCs w:val="21"/>
          <w:highlight w:val="none"/>
          <w:lang w:val="en-US" w:bidi="ar-SA"/>
        </w:rPr>
        <w:t>-1</w:t>
      </w:r>
      <w:r>
        <w:rPr>
          <w:rFonts w:ascii="Times New Roman" w:hAnsi="Times New Roman" w:eastAsia="仿宋_GB2312" w:cs="Times New Roman"/>
          <w:b/>
          <w:bCs/>
          <w:kern w:val="2"/>
          <w:sz w:val="21"/>
          <w:szCs w:val="21"/>
          <w:highlight w:val="none"/>
          <w:lang w:val="en-US" w:bidi="ar-SA"/>
        </w:rPr>
        <w:tab/>
      </w:r>
      <w:r>
        <w:rPr>
          <w:rFonts w:hint="eastAsia" w:ascii="Times New Roman" w:hAnsi="Times New Roman" w:eastAsia="仿宋_GB2312" w:cs="Times New Roman"/>
          <w:b/>
          <w:bCs/>
          <w:kern w:val="2"/>
          <w:sz w:val="21"/>
          <w:szCs w:val="21"/>
          <w:highlight w:val="none"/>
          <w:lang w:val="en-US" w:eastAsia="zh-CN" w:bidi="ar-SA"/>
        </w:rPr>
        <w:t>黑龙潭</w:t>
      </w:r>
      <w:r>
        <w:rPr>
          <w:rFonts w:ascii="Times New Roman" w:hAnsi="Times New Roman" w:eastAsia="仿宋_GB2312" w:cs="Times New Roman"/>
          <w:b/>
          <w:bCs/>
          <w:kern w:val="2"/>
          <w:sz w:val="21"/>
          <w:szCs w:val="21"/>
          <w:highlight w:val="none"/>
          <w:lang w:val="en-US" w:bidi="ar-SA"/>
        </w:rPr>
        <w:t>水源保护区划界结果统计</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2"/>
        <w:gridCol w:w="1877"/>
        <w:gridCol w:w="1094"/>
        <w:gridCol w:w="2282"/>
        <w:gridCol w:w="1820"/>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sz w:val="21"/>
                <w:szCs w:val="21"/>
                <w:highlight w:val="none"/>
              </w:rPr>
            </w:pPr>
            <w:bookmarkStart w:id="95" w:name="_Hlk44781358"/>
            <w:r>
              <w:rPr>
                <w:rFonts w:hint="default" w:ascii="Times New Roman" w:hAnsi="Times New Roman" w:eastAsia="宋体" w:cs="Times New Roman"/>
                <w:b/>
                <w:bCs/>
                <w:sz w:val="21"/>
                <w:szCs w:val="21"/>
                <w:highlight w:val="none"/>
              </w:rPr>
              <w:t>水源地类型</w:t>
            </w:r>
          </w:p>
        </w:tc>
        <w:tc>
          <w:tcPr>
            <w:tcW w:w="1047" w:type="pct"/>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保护区级别</w:t>
            </w:r>
          </w:p>
        </w:tc>
        <w:tc>
          <w:tcPr>
            <w:tcW w:w="1446"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保护区面积（</w:t>
            </w:r>
            <w:r>
              <w:rPr>
                <w:rFonts w:hint="eastAsia" w:ascii="Times New Roman" w:hAnsi="Times New Roman" w:eastAsia="宋体" w:cs="Times New Roman"/>
                <w:b/>
                <w:bCs/>
                <w:sz w:val="21"/>
                <w:szCs w:val="21"/>
                <w:highlight w:val="none"/>
                <w:lang w:val="en-US" w:eastAsia="zh-CN"/>
              </w:rPr>
              <w:t>k</w:t>
            </w:r>
            <w:r>
              <w:rPr>
                <w:rFonts w:hint="default" w:ascii="Times New Roman" w:hAnsi="Times New Roman" w:eastAsia="宋体" w:cs="Times New Roman"/>
                <w:b/>
                <w:bCs/>
                <w:sz w:val="21"/>
                <w:szCs w:val="21"/>
                <w:highlight w:val="none"/>
              </w:rPr>
              <w:t>m</w:t>
            </w:r>
            <w:r>
              <w:rPr>
                <w:rFonts w:hint="default" w:ascii="Times New Roman" w:hAnsi="Times New Roman" w:eastAsia="宋体" w:cs="Times New Roman"/>
                <w:b/>
                <w:bCs/>
                <w:sz w:val="21"/>
                <w:szCs w:val="21"/>
                <w:highlight w:val="none"/>
                <w:vertAlign w:val="superscript"/>
              </w:rPr>
              <w:t>2</w:t>
            </w:r>
            <w:r>
              <w:rPr>
                <w:rFonts w:hint="default" w:ascii="Times New Roman" w:hAnsi="Times New Roman" w:eastAsia="宋体" w:cs="Times New Roman"/>
                <w:b/>
                <w:bCs/>
                <w:sz w:val="21"/>
                <w:szCs w:val="21"/>
                <w:highlight w:val="none"/>
              </w:rPr>
              <w:t>）</w:t>
            </w:r>
          </w:p>
        </w:tc>
        <w:tc>
          <w:tcPr>
            <w:tcW w:w="1715"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保护区范围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7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c>
          <w:tcPr>
            <w:tcW w:w="104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c>
          <w:tcPr>
            <w:tcW w:w="805"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面积</w:t>
            </w:r>
          </w:p>
        </w:tc>
        <w:tc>
          <w:tcPr>
            <w:tcW w:w="642"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小计</w:t>
            </w:r>
          </w:p>
        </w:tc>
        <w:tc>
          <w:tcPr>
            <w:tcW w:w="1715"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9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地下水型</w:t>
            </w:r>
          </w:p>
        </w:tc>
        <w:tc>
          <w:tcPr>
            <w:tcW w:w="66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一级</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保护区</w:t>
            </w:r>
          </w:p>
        </w:tc>
        <w:tc>
          <w:tcPr>
            <w:tcW w:w="386"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水域</w:t>
            </w:r>
          </w:p>
        </w:tc>
        <w:tc>
          <w:tcPr>
            <w:tcW w:w="805"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w:t>
            </w:r>
          </w:p>
        </w:tc>
        <w:tc>
          <w:tcPr>
            <w:tcW w:w="642"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0.0006</w:t>
            </w:r>
          </w:p>
        </w:tc>
        <w:tc>
          <w:tcPr>
            <w:tcW w:w="1715"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一级保护区划分范围定为以</w:t>
            </w:r>
            <w:r>
              <w:rPr>
                <w:rFonts w:hint="eastAsia" w:ascii="Times New Roman" w:hAnsi="Times New Roman" w:eastAsia="宋体" w:cs="Times New Roman"/>
                <w:sz w:val="21"/>
                <w:szCs w:val="21"/>
                <w:highlight w:val="none"/>
                <w:lang w:val="en-US" w:eastAsia="zh-CN"/>
              </w:rPr>
              <w:t>取水口</w:t>
            </w:r>
            <w:r>
              <w:rPr>
                <w:rFonts w:hint="default" w:ascii="Times New Roman" w:hAnsi="Times New Roman" w:eastAsia="宋体" w:cs="Times New Roman"/>
                <w:sz w:val="21"/>
                <w:szCs w:val="21"/>
                <w:highlight w:val="none"/>
              </w:rPr>
              <w:t>为中心，以半径为30m的标高大于出水口的扇形区</w:t>
            </w:r>
            <w:r>
              <w:rPr>
                <w:rFonts w:hint="eastAsia" w:ascii="Times New Roman" w:hAnsi="Times New Roman" w:eastAsia="宋体" w:cs="Times New Roman"/>
                <w:sz w:val="21"/>
                <w:szCs w:val="21"/>
                <w:highlight w:val="none"/>
                <w:lang w:val="en-US" w:eastAsia="zh-CN"/>
              </w:rPr>
              <w:t>,并结合已有保护区范围确定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c>
          <w:tcPr>
            <w:tcW w:w="66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陆域</w:t>
            </w:r>
          </w:p>
        </w:tc>
        <w:tc>
          <w:tcPr>
            <w:tcW w:w="805"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0.0006</w:t>
            </w:r>
          </w:p>
        </w:tc>
        <w:tc>
          <w:tcPr>
            <w:tcW w:w="64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lang w:val="en-US" w:eastAsia="zh-CN"/>
              </w:rPr>
            </w:pPr>
          </w:p>
        </w:tc>
        <w:tc>
          <w:tcPr>
            <w:tcW w:w="1715"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c>
          <w:tcPr>
            <w:tcW w:w="66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二级</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保护区</w:t>
            </w:r>
          </w:p>
        </w:tc>
        <w:tc>
          <w:tcPr>
            <w:tcW w:w="386"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水域</w:t>
            </w:r>
          </w:p>
        </w:tc>
        <w:tc>
          <w:tcPr>
            <w:tcW w:w="805"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642"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0.171</w:t>
            </w:r>
          </w:p>
        </w:tc>
        <w:tc>
          <w:tcPr>
            <w:tcW w:w="1715"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以取水口为中心半径</w:t>
            </w:r>
            <w:r>
              <w:rPr>
                <w:rFonts w:hint="eastAsia" w:ascii="Times New Roman" w:hAnsi="Times New Roman" w:eastAsia="宋体" w:cs="Times New Roman"/>
                <w:sz w:val="21"/>
                <w:szCs w:val="21"/>
                <w:highlight w:val="none"/>
                <w:lang w:val="en-US" w:eastAsia="zh-CN"/>
              </w:rPr>
              <w:t>300</w:t>
            </w:r>
            <w:r>
              <w:rPr>
                <w:rFonts w:hint="default" w:ascii="Times New Roman" w:hAnsi="Times New Roman" w:eastAsia="宋体" w:cs="Times New Roman"/>
                <w:sz w:val="21"/>
                <w:szCs w:val="21"/>
                <w:highlight w:val="none"/>
              </w:rPr>
              <w:t>m标高大于出水口的一级保护区除外</w:t>
            </w:r>
            <w:r>
              <w:rPr>
                <w:rFonts w:hint="eastAsia" w:ascii="Times New Roman" w:hAnsi="Times New Roman" w:eastAsia="宋体" w:cs="Times New Roman"/>
                <w:sz w:val="21"/>
                <w:szCs w:val="21"/>
                <w:highlight w:val="none"/>
                <w:lang w:val="en-US" w:eastAsia="zh-CN"/>
              </w:rPr>
              <w:t>的</w:t>
            </w:r>
            <w:r>
              <w:rPr>
                <w:rFonts w:hint="default" w:ascii="Times New Roman" w:hAnsi="Times New Roman" w:eastAsia="宋体" w:cs="Times New Roman"/>
                <w:sz w:val="21"/>
                <w:szCs w:val="21"/>
                <w:highlight w:val="none"/>
              </w:rPr>
              <w:t>扇形区域</w:t>
            </w:r>
            <w:r>
              <w:rPr>
                <w:rFonts w:hint="eastAsia" w:ascii="Times New Roman" w:hAnsi="Times New Roman" w:eastAsia="宋体" w:cs="Times New Roman"/>
                <w:sz w:val="21"/>
                <w:szCs w:val="21"/>
                <w:highlight w:val="none"/>
                <w:lang w:eastAsia="zh-CN"/>
              </w:rPr>
              <w:t>，</w:t>
            </w:r>
            <w:r>
              <w:rPr>
                <w:rFonts w:hint="eastAsia" w:ascii="Times New Roman" w:hAnsi="Times New Roman" w:eastAsia="宋体" w:cs="Times New Roman"/>
                <w:sz w:val="21"/>
                <w:szCs w:val="21"/>
                <w:highlight w:val="none"/>
                <w:lang w:val="en-US" w:eastAsia="zh-CN"/>
              </w:rPr>
              <w:t>并结合地下水断裂带确定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c>
          <w:tcPr>
            <w:tcW w:w="66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eastAsia" w:ascii="宋体" w:hAnsi="宋体" w:eastAsia="宋体" w:cs="宋体"/>
                <w:sz w:val="21"/>
                <w:szCs w:val="21"/>
                <w:highlight w:val="none"/>
              </w:rPr>
              <w:t>陆域</w:t>
            </w:r>
          </w:p>
        </w:tc>
        <w:tc>
          <w:tcPr>
            <w:tcW w:w="805"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lang w:val="en-US"/>
              </w:rPr>
            </w:pPr>
            <w:r>
              <w:rPr>
                <w:rFonts w:hint="eastAsia" w:ascii="Times New Roman" w:hAnsi="Times New Roman" w:eastAsia="宋体" w:cs="Times New Roman"/>
                <w:sz w:val="21"/>
                <w:szCs w:val="21"/>
                <w:highlight w:val="none"/>
                <w:lang w:val="en-US" w:eastAsia="zh-CN"/>
              </w:rPr>
              <w:t>0.171</w:t>
            </w:r>
          </w:p>
        </w:tc>
        <w:tc>
          <w:tcPr>
            <w:tcW w:w="64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c>
          <w:tcPr>
            <w:tcW w:w="1715"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3"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合计</w:t>
            </w:r>
          </w:p>
        </w:tc>
        <w:tc>
          <w:tcPr>
            <w:tcW w:w="386"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w:t>
            </w:r>
          </w:p>
        </w:tc>
        <w:tc>
          <w:tcPr>
            <w:tcW w:w="805"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w:t>
            </w:r>
          </w:p>
        </w:tc>
        <w:tc>
          <w:tcPr>
            <w:tcW w:w="642" w:type="pct"/>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0.1716</w:t>
            </w:r>
          </w:p>
        </w:tc>
        <w:tc>
          <w:tcPr>
            <w:tcW w:w="171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rPr>
            </w:pPr>
          </w:p>
        </w:tc>
        <w:bookmarkStart w:id="96" w:name="_bookmark49"/>
      </w:tr>
      <w:bookmarkEnd w:id="95"/>
      <w:bookmarkEnd w:id="96"/>
    </w:tbl>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p>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bookmarkStart w:id="98" w:name="_GoBack"/>
      <w:bookmarkEnd w:id="98"/>
    </w:p>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p>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bookmarkStart w:id="97" w:name="_Toc30271"/>
      <w:r>
        <w:rPr>
          <w:rFonts w:hint="eastAsia" w:ascii="仿宋" w:hAnsi="仿宋" w:eastAsia="仿宋" w:cs="仿宋"/>
          <w:b/>
          <w:bCs/>
          <w:sz w:val="32"/>
          <w:szCs w:val="32"/>
          <w:highlight w:val="none"/>
          <w:lang w:val="en-US" w:eastAsia="zh-CN"/>
        </w:rPr>
        <w:t>附表1  文山州砚山县阿猛镇黑龙潭饮用水水源保护区划定结果表</w:t>
      </w:r>
      <w:bookmarkEnd w:id="97"/>
    </w:p>
    <w:p>
      <w:pPr>
        <w:adjustRightInd w:val="0"/>
        <w:snapToGrid w:val="0"/>
        <w:jc w:val="center"/>
        <w:rPr>
          <w:rFonts w:ascii="Times New Roman" w:hAnsi="Times New Roman" w:eastAsia="仿宋" w:cs="Times New Roman"/>
          <w:b/>
          <w:kern w:val="0"/>
          <w:sz w:val="28"/>
          <w:szCs w:val="28"/>
          <w:highlight w:val="none"/>
          <w:u w:val="single"/>
        </w:rPr>
      </w:pPr>
      <w:r>
        <w:rPr>
          <w:rFonts w:hint="eastAsia" w:ascii="Times New Roman" w:hAnsi="Times New Roman" w:eastAsia="仿宋" w:cs="Times New Roman"/>
          <w:b/>
          <w:kern w:val="0"/>
          <w:sz w:val="28"/>
          <w:szCs w:val="28"/>
          <w:highlight w:val="none"/>
          <w:u w:val="single"/>
        </w:rPr>
        <w:t>文山州砚山县</w:t>
      </w:r>
      <w:r>
        <w:rPr>
          <w:rFonts w:hint="eastAsia" w:ascii="Times New Roman" w:hAnsi="Times New Roman" w:eastAsia="仿宋" w:cs="Times New Roman"/>
          <w:b/>
          <w:kern w:val="0"/>
          <w:sz w:val="28"/>
          <w:szCs w:val="28"/>
          <w:highlight w:val="none"/>
          <w:u w:val="single"/>
          <w:lang w:eastAsia="zh-CN"/>
        </w:rPr>
        <w:t>阿猛镇黑</w:t>
      </w:r>
      <w:r>
        <w:rPr>
          <w:rFonts w:hint="eastAsia" w:ascii="Times New Roman" w:hAnsi="Times New Roman" w:eastAsia="仿宋" w:cs="Times New Roman"/>
          <w:b/>
          <w:kern w:val="0"/>
          <w:sz w:val="28"/>
          <w:szCs w:val="28"/>
          <w:highlight w:val="none"/>
          <w:u w:val="single"/>
        </w:rPr>
        <w:t>龙潭饮用水水源保护区</w:t>
      </w:r>
      <w:r>
        <w:rPr>
          <w:rFonts w:ascii="Times New Roman" w:hAnsi="Times New Roman" w:eastAsia="仿宋" w:cs="Times New Roman"/>
          <w:b/>
          <w:kern w:val="0"/>
          <w:sz w:val="28"/>
          <w:szCs w:val="28"/>
          <w:highlight w:val="none"/>
          <w:u w:val="single"/>
        </w:rPr>
        <w:t>划</w:t>
      </w:r>
      <w:r>
        <w:rPr>
          <w:rFonts w:hint="eastAsia" w:ascii="Times New Roman" w:hAnsi="Times New Roman" w:eastAsia="仿宋" w:cs="Times New Roman"/>
          <w:b/>
          <w:kern w:val="0"/>
          <w:sz w:val="28"/>
          <w:szCs w:val="28"/>
          <w:highlight w:val="none"/>
          <w:u w:val="single"/>
        </w:rPr>
        <w:t>定</w:t>
      </w:r>
      <w:r>
        <w:rPr>
          <w:rFonts w:ascii="Times New Roman" w:hAnsi="Times New Roman" w:eastAsia="仿宋" w:cs="Times New Roman"/>
          <w:b/>
          <w:kern w:val="0"/>
          <w:sz w:val="28"/>
          <w:szCs w:val="28"/>
          <w:highlight w:val="none"/>
          <w:u w:val="single"/>
        </w:rPr>
        <w:t>结果表</w:t>
      </w:r>
    </w:p>
    <w:tbl>
      <w:tblPr>
        <w:tblStyle w:val="14"/>
        <w:tblW w:w="14058" w:type="dxa"/>
        <w:tblInd w:w="0" w:type="dxa"/>
        <w:tblLayout w:type="fixed"/>
        <w:tblCellMar>
          <w:top w:w="0" w:type="dxa"/>
          <w:left w:w="108" w:type="dxa"/>
          <w:bottom w:w="0" w:type="dxa"/>
          <w:right w:w="108" w:type="dxa"/>
        </w:tblCellMar>
      </w:tblPr>
      <w:tblGrid>
        <w:gridCol w:w="937"/>
        <w:gridCol w:w="1484"/>
        <w:gridCol w:w="1415"/>
        <w:gridCol w:w="1570"/>
        <w:gridCol w:w="1920"/>
        <w:gridCol w:w="1395"/>
        <w:gridCol w:w="1722"/>
        <w:gridCol w:w="1721"/>
        <w:gridCol w:w="1894"/>
      </w:tblGrid>
      <w:tr>
        <w:tblPrEx>
          <w:tblCellMar>
            <w:top w:w="0" w:type="dxa"/>
            <w:left w:w="108" w:type="dxa"/>
            <w:bottom w:w="0" w:type="dxa"/>
            <w:right w:w="108" w:type="dxa"/>
          </w:tblCellMar>
        </w:tblPrEx>
        <w:trPr>
          <w:trHeight w:val="315" w:hRule="atLeast"/>
        </w:trPr>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 w:cs="Times New Roman"/>
                <w:b/>
                <w:bCs/>
                <w:sz w:val="24"/>
                <w:szCs w:val="24"/>
                <w:highlight w:val="none"/>
              </w:rPr>
            </w:pPr>
            <w:r>
              <w:rPr>
                <w:rFonts w:ascii="Times New Roman" w:hAnsi="Times New Roman" w:eastAsia="仿宋" w:cs="Times New Roman"/>
                <w:b/>
                <w:bCs/>
                <w:sz w:val="24"/>
                <w:szCs w:val="24"/>
                <w:highlight w:val="none"/>
              </w:rPr>
              <w:t>城市名称</w:t>
            </w:r>
          </w:p>
        </w:tc>
        <w:tc>
          <w:tcPr>
            <w:tcW w:w="14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 w:cs="Times New Roman"/>
                <w:b/>
                <w:bCs/>
                <w:sz w:val="24"/>
                <w:szCs w:val="24"/>
                <w:highlight w:val="none"/>
              </w:rPr>
            </w:pPr>
            <w:r>
              <w:rPr>
                <w:rFonts w:ascii="Times New Roman" w:hAnsi="Times New Roman" w:eastAsia="仿宋" w:cs="Times New Roman"/>
                <w:b/>
                <w:bCs/>
                <w:sz w:val="24"/>
                <w:szCs w:val="24"/>
                <w:highlight w:val="none"/>
              </w:rPr>
              <w:t>饮用水水源地名称</w:t>
            </w:r>
          </w:p>
        </w:tc>
        <w:tc>
          <w:tcPr>
            <w:tcW w:w="14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 w:cs="Times New Roman"/>
                <w:b/>
                <w:bCs/>
                <w:sz w:val="24"/>
                <w:szCs w:val="24"/>
                <w:highlight w:val="none"/>
              </w:rPr>
            </w:pPr>
            <w:r>
              <w:rPr>
                <w:rFonts w:ascii="Times New Roman" w:hAnsi="Times New Roman" w:eastAsia="仿宋" w:cs="Times New Roman"/>
                <w:b/>
                <w:bCs/>
                <w:sz w:val="24"/>
                <w:szCs w:val="24"/>
                <w:highlight w:val="none"/>
              </w:rPr>
              <w:t>水源地类型</w:t>
            </w:r>
          </w:p>
        </w:tc>
        <w:tc>
          <w:tcPr>
            <w:tcW w:w="1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 w:cs="Times New Roman"/>
                <w:b/>
                <w:bCs/>
                <w:sz w:val="24"/>
                <w:szCs w:val="24"/>
                <w:highlight w:val="none"/>
              </w:rPr>
            </w:pPr>
            <w:r>
              <w:rPr>
                <w:rFonts w:ascii="Times New Roman" w:hAnsi="Times New Roman" w:eastAsia="仿宋" w:cs="Times New Roman"/>
                <w:b/>
                <w:bCs/>
                <w:sz w:val="24"/>
                <w:szCs w:val="24"/>
                <w:highlight w:val="none"/>
              </w:rPr>
              <w:t>水环境功能类别</w:t>
            </w:r>
          </w:p>
        </w:tc>
        <w:tc>
          <w:tcPr>
            <w:tcW w:w="19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adjustRightInd w:val="0"/>
              <w:snapToGrid w:val="0"/>
              <w:jc w:val="center"/>
              <w:rPr>
                <w:rFonts w:ascii="Times New Roman" w:hAnsi="Times New Roman" w:eastAsia="仿宋" w:cs="Times New Roman"/>
                <w:b/>
                <w:bCs/>
                <w:sz w:val="24"/>
                <w:szCs w:val="24"/>
                <w:highlight w:val="none"/>
              </w:rPr>
            </w:pPr>
            <w:r>
              <w:rPr>
                <w:rFonts w:ascii="Times New Roman" w:hAnsi="Times New Roman" w:eastAsia="仿宋" w:cs="Times New Roman"/>
                <w:b/>
                <w:bCs/>
                <w:sz w:val="24"/>
                <w:szCs w:val="24"/>
                <w:highlight w:val="none"/>
              </w:rPr>
              <w:t>指标名称</w:t>
            </w:r>
          </w:p>
        </w:tc>
        <w:tc>
          <w:tcPr>
            <w:tcW w:w="3117"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 w:cs="Times New Roman"/>
                <w:b/>
                <w:bCs/>
                <w:sz w:val="24"/>
                <w:szCs w:val="24"/>
                <w:highlight w:val="none"/>
                <w:lang w:eastAsia="zh-CN"/>
              </w:rPr>
            </w:pPr>
            <w:r>
              <w:rPr>
                <w:rFonts w:ascii="Times New Roman" w:hAnsi="Times New Roman" w:eastAsia="仿宋" w:cs="Times New Roman"/>
                <w:b/>
                <w:bCs/>
                <w:sz w:val="24"/>
                <w:szCs w:val="24"/>
                <w:highlight w:val="none"/>
              </w:rPr>
              <w:t>一级保护区</w:t>
            </w:r>
          </w:p>
        </w:tc>
        <w:tc>
          <w:tcPr>
            <w:tcW w:w="3615"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 w:cs="Times New Roman"/>
                <w:b/>
                <w:bCs/>
                <w:sz w:val="24"/>
                <w:szCs w:val="24"/>
                <w:highlight w:val="none"/>
                <w:lang w:eastAsia="zh-CN"/>
              </w:rPr>
            </w:pPr>
            <w:r>
              <w:rPr>
                <w:rFonts w:ascii="Times New Roman" w:hAnsi="Times New Roman" w:eastAsia="仿宋" w:cs="Times New Roman"/>
                <w:b/>
                <w:bCs/>
                <w:sz w:val="24"/>
                <w:szCs w:val="24"/>
                <w:highlight w:val="none"/>
              </w:rPr>
              <w:t>二级保护区</w:t>
            </w:r>
          </w:p>
        </w:tc>
      </w:tr>
      <w:tr>
        <w:tblPrEx>
          <w:tblCellMar>
            <w:top w:w="0" w:type="dxa"/>
            <w:left w:w="108" w:type="dxa"/>
            <w:bottom w:w="0" w:type="dxa"/>
            <w:right w:w="108" w:type="dxa"/>
          </w:tblCellMar>
        </w:tblPrEx>
        <w:trPr>
          <w:trHeight w:val="285" w:hRule="atLeast"/>
        </w:trPr>
        <w:tc>
          <w:tcPr>
            <w:tcW w:w="93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pPr>
          </w:p>
        </w:tc>
        <w:tc>
          <w:tcPr>
            <w:tcW w:w="141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pPr>
          </w:p>
        </w:tc>
        <w:tc>
          <w:tcPr>
            <w:tcW w:w="157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pPr>
          </w:p>
        </w:tc>
        <w:tc>
          <w:tcPr>
            <w:tcW w:w="1920"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pPr>
          </w:p>
        </w:tc>
        <w:tc>
          <w:tcPr>
            <w:tcW w:w="139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 w:cs="Times New Roman"/>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b/>
                <w:bCs/>
                <w:color w:val="000000" w:themeColor="text1"/>
                <w:sz w:val="24"/>
                <w:szCs w:val="24"/>
                <w:highlight w:val="none"/>
                <w:lang w:val="en-US" w:eastAsia="zh-CN"/>
                <w14:textFill>
                  <w14:solidFill>
                    <w14:schemeClr w14:val="tx1"/>
                  </w14:solidFill>
                </w14:textFill>
              </w:rPr>
              <w:t>水域</w:t>
            </w:r>
          </w:p>
        </w:tc>
        <w:tc>
          <w:tcPr>
            <w:tcW w:w="172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 w:cs="Times New Roman"/>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b/>
                <w:bCs/>
                <w:color w:val="000000" w:themeColor="text1"/>
                <w:sz w:val="24"/>
                <w:szCs w:val="24"/>
                <w:highlight w:val="none"/>
                <w:lang w:val="en-US" w:eastAsia="zh-CN"/>
                <w14:textFill>
                  <w14:solidFill>
                    <w14:schemeClr w14:val="tx1"/>
                  </w14:solidFill>
                </w14:textFill>
              </w:rPr>
              <w:t>陆域</w:t>
            </w:r>
          </w:p>
        </w:tc>
        <w:tc>
          <w:tcPr>
            <w:tcW w:w="17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 w:cs="Times New Roman"/>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b/>
                <w:bCs/>
                <w:color w:val="000000" w:themeColor="text1"/>
                <w:sz w:val="24"/>
                <w:szCs w:val="24"/>
                <w:highlight w:val="none"/>
                <w:lang w:val="en-US" w:eastAsia="zh-CN"/>
                <w14:textFill>
                  <w14:solidFill>
                    <w14:schemeClr w14:val="tx1"/>
                  </w14:solidFill>
                </w14:textFill>
              </w:rPr>
              <w:t>水域</w:t>
            </w:r>
          </w:p>
        </w:tc>
        <w:tc>
          <w:tcPr>
            <w:tcW w:w="189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 w:cs="Times New Roman"/>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b/>
                <w:bCs/>
                <w:color w:val="000000" w:themeColor="text1"/>
                <w:sz w:val="24"/>
                <w:szCs w:val="24"/>
                <w:highlight w:val="none"/>
                <w:lang w:val="en-US" w:eastAsia="zh-CN"/>
                <w14:textFill>
                  <w14:solidFill>
                    <w14:schemeClr w14:val="tx1"/>
                  </w14:solidFill>
                </w14:textFill>
              </w:rPr>
              <w:t>陆域</w:t>
            </w:r>
          </w:p>
        </w:tc>
      </w:tr>
      <w:tr>
        <w:tblPrEx>
          <w:tblCellMar>
            <w:top w:w="0" w:type="dxa"/>
            <w:left w:w="108" w:type="dxa"/>
            <w:bottom w:w="0" w:type="dxa"/>
            <w:right w:w="108" w:type="dxa"/>
          </w:tblCellMar>
        </w:tblPrEx>
        <w:trPr>
          <w:trHeight w:val="315" w:hRule="atLeast"/>
        </w:trPr>
        <w:tc>
          <w:tcPr>
            <w:tcW w:w="937" w:type="dxa"/>
            <w:vMerge w:val="restart"/>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 w:cs="Times New Roman"/>
                <w:sz w:val="24"/>
                <w:szCs w:val="24"/>
                <w:highlight w:val="none"/>
              </w:rPr>
            </w:pPr>
            <w:r>
              <w:rPr>
                <w:rFonts w:ascii="Times New Roman" w:hAnsi="Times New Roman" w:eastAsia="仿宋" w:cs="Times New Roman"/>
                <w:sz w:val="24"/>
                <w:szCs w:val="24"/>
                <w:highlight w:val="none"/>
              </w:rPr>
              <w:t>砚</w:t>
            </w:r>
          </w:p>
          <w:p>
            <w:pPr>
              <w:adjustRightInd w:val="0"/>
              <w:snapToGrid w:val="0"/>
              <w:jc w:val="center"/>
              <w:rPr>
                <w:rFonts w:ascii="Times New Roman" w:hAnsi="Times New Roman" w:eastAsia="仿宋" w:cs="Times New Roman"/>
                <w:sz w:val="24"/>
                <w:szCs w:val="24"/>
                <w:highlight w:val="none"/>
              </w:rPr>
            </w:pPr>
            <w:r>
              <w:rPr>
                <w:rFonts w:ascii="Times New Roman" w:hAnsi="Times New Roman" w:eastAsia="仿宋" w:cs="Times New Roman"/>
                <w:sz w:val="24"/>
                <w:szCs w:val="24"/>
                <w:highlight w:val="none"/>
              </w:rPr>
              <w:t>山</w:t>
            </w:r>
          </w:p>
          <w:p>
            <w:pPr>
              <w:adjustRightInd w:val="0"/>
              <w:snapToGrid w:val="0"/>
              <w:jc w:val="center"/>
              <w:rPr>
                <w:rFonts w:ascii="Times New Roman" w:hAnsi="Times New Roman" w:eastAsia="仿宋" w:cs="Times New Roman"/>
                <w:sz w:val="24"/>
                <w:szCs w:val="24"/>
                <w:highlight w:val="none"/>
              </w:rPr>
            </w:pPr>
            <w:r>
              <w:rPr>
                <w:rFonts w:ascii="Times New Roman" w:hAnsi="Times New Roman" w:eastAsia="仿宋" w:cs="Times New Roman"/>
                <w:sz w:val="24"/>
                <w:szCs w:val="24"/>
                <w:highlight w:val="none"/>
              </w:rPr>
              <w:t>县</w:t>
            </w:r>
          </w:p>
        </w:tc>
        <w:tc>
          <w:tcPr>
            <w:tcW w:w="148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黑龙潭</w:t>
            </w:r>
          </w:p>
        </w:tc>
        <w:tc>
          <w:tcPr>
            <w:tcW w:w="1415" w:type="dxa"/>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lang w:val="en-US" w:eastAsia="zh-CN"/>
              </w:rPr>
              <w:t>地下水</w:t>
            </w:r>
            <w:r>
              <w:rPr>
                <w:rFonts w:ascii="Times New Roman" w:hAnsi="Times New Roman" w:eastAsia="仿宋" w:cs="Times New Roman"/>
                <w:sz w:val="24"/>
                <w:szCs w:val="24"/>
                <w:highlight w:val="none"/>
              </w:rPr>
              <w:t>型</w:t>
            </w:r>
          </w:p>
        </w:tc>
        <w:tc>
          <w:tcPr>
            <w:tcW w:w="157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ascii="Times New Roman" w:hAnsi="Times New Roman" w:eastAsia="仿宋" w:cs="Times New Roman"/>
                <w:sz w:val="24"/>
                <w:szCs w:val="24"/>
                <w:highlight w:val="none"/>
              </w:rPr>
            </w:pPr>
            <w:r>
              <w:rPr>
                <w:rFonts w:ascii="Times New Roman" w:hAnsi="Times New Roman" w:eastAsia="仿宋" w:cs="Times New Roman"/>
                <w:highlight w:val="none"/>
              </w:rPr>
              <w:fldChar w:fldCharType="begin"/>
            </w:r>
            <w:r>
              <w:rPr>
                <w:rFonts w:ascii="Times New Roman" w:hAnsi="Times New Roman" w:eastAsia="仿宋" w:cs="Times New Roman"/>
                <w:highlight w:val="none"/>
              </w:rPr>
              <w:instrText xml:space="preserve"> = 2 \* ROMAN </w:instrText>
            </w:r>
            <w:r>
              <w:rPr>
                <w:rFonts w:ascii="Times New Roman" w:hAnsi="Times New Roman" w:eastAsia="仿宋" w:cs="Times New Roman"/>
                <w:highlight w:val="none"/>
              </w:rPr>
              <w:fldChar w:fldCharType="separate"/>
            </w:r>
            <w:r>
              <w:rPr>
                <w:rFonts w:ascii="Times New Roman" w:hAnsi="Times New Roman" w:eastAsia="仿宋" w:cs="Times New Roman"/>
                <w:highlight w:val="none"/>
              </w:rPr>
              <w:t>III</w:t>
            </w:r>
            <w:r>
              <w:rPr>
                <w:rFonts w:ascii="Times New Roman" w:hAnsi="Times New Roman" w:eastAsia="仿宋" w:cs="Times New Roman"/>
                <w:highlight w:val="none"/>
              </w:rPr>
              <w:fldChar w:fldCharType="end"/>
            </w:r>
            <w:r>
              <w:rPr>
                <w:rFonts w:ascii="Times New Roman" w:hAnsi="Times New Roman" w:eastAsia="仿宋" w:cs="Times New Roman"/>
                <w:highlight w:val="none"/>
              </w:rPr>
              <w:t>类</w:t>
            </w:r>
          </w:p>
        </w:tc>
        <w:tc>
          <w:tcPr>
            <w:tcW w:w="192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ascii="Times New Roman" w:hAnsi="Times New Roman" w:eastAsia="仿宋" w:cs="Times New Roman"/>
                <w:sz w:val="24"/>
                <w:szCs w:val="24"/>
                <w:highlight w:val="none"/>
              </w:rPr>
            </w:pPr>
            <w:r>
              <w:rPr>
                <w:rFonts w:ascii="Times New Roman" w:hAnsi="Times New Roman" w:eastAsia="仿宋" w:cs="Times New Roman"/>
                <w:sz w:val="24"/>
                <w:szCs w:val="24"/>
                <w:highlight w:val="none"/>
              </w:rPr>
              <w:t>面积（km</w:t>
            </w:r>
            <w:r>
              <w:rPr>
                <w:rFonts w:ascii="Times New Roman" w:hAnsi="Times New Roman" w:eastAsia="仿宋" w:cs="Times New Roman"/>
                <w:sz w:val="24"/>
                <w:szCs w:val="24"/>
                <w:highlight w:val="none"/>
                <w:vertAlign w:val="superscript"/>
              </w:rPr>
              <w:t>2</w:t>
            </w:r>
            <w:r>
              <w:rPr>
                <w:rFonts w:ascii="Times New Roman" w:hAnsi="Times New Roman" w:eastAsia="仿宋" w:cs="Times New Roman"/>
                <w:sz w:val="24"/>
                <w:szCs w:val="24"/>
                <w:highlight w:val="none"/>
              </w:rPr>
              <w:t>）</w:t>
            </w:r>
          </w:p>
        </w:tc>
        <w:tc>
          <w:tcPr>
            <w:tcW w:w="3117" w:type="dxa"/>
            <w:gridSpan w:val="2"/>
            <w:tcBorders>
              <w:top w:val="single" w:color="auto" w:sz="4" w:space="0"/>
              <w:left w:val="nil"/>
              <w:bottom w:val="single" w:color="auto" w:sz="4" w:space="0"/>
              <w:right w:val="single" w:color="000000"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t>0.0006</w:t>
            </w:r>
          </w:p>
        </w:tc>
        <w:tc>
          <w:tcPr>
            <w:tcW w:w="3615" w:type="dxa"/>
            <w:gridSpan w:val="2"/>
            <w:tcBorders>
              <w:top w:val="single" w:color="auto" w:sz="4" w:space="0"/>
              <w:left w:val="nil"/>
              <w:bottom w:val="single" w:color="auto" w:sz="4" w:space="0"/>
              <w:right w:val="single" w:color="000000"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t>0.171</w:t>
            </w:r>
          </w:p>
        </w:tc>
      </w:tr>
      <w:tr>
        <w:tblPrEx>
          <w:tblCellMar>
            <w:top w:w="0" w:type="dxa"/>
            <w:left w:w="108" w:type="dxa"/>
            <w:bottom w:w="0" w:type="dxa"/>
            <w:right w:w="108" w:type="dxa"/>
          </w:tblCellMar>
        </w:tblPrEx>
        <w:trPr>
          <w:trHeight w:val="315" w:hRule="atLeast"/>
        </w:trPr>
        <w:tc>
          <w:tcPr>
            <w:tcW w:w="937"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 w:cs="Times New Roman"/>
                <w:sz w:val="24"/>
                <w:szCs w:val="24"/>
                <w:highlight w:val="none"/>
              </w:rPr>
            </w:pPr>
          </w:p>
        </w:tc>
        <w:tc>
          <w:tcPr>
            <w:tcW w:w="1484"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 w:cs="Times New Roman"/>
                <w:sz w:val="24"/>
                <w:szCs w:val="24"/>
                <w:highlight w:val="none"/>
              </w:rPr>
            </w:pPr>
          </w:p>
        </w:tc>
        <w:tc>
          <w:tcPr>
            <w:tcW w:w="1415"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 w:cs="Times New Roman"/>
                <w:sz w:val="24"/>
                <w:szCs w:val="24"/>
                <w:highlight w:val="none"/>
              </w:rPr>
            </w:pPr>
          </w:p>
        </w:tc>
        <w:tc>
          <w:tcPr>
            <w:tcW w:w="1570"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 w:cs="Times New Roman"/>
                <w:sz w:val="24"/>
                <w:szCs w:val="24"/>
                <w:highlight w:val="none"/>
              </w:rPr>
            </w:pPr>
          </w:p>
        </w:tc>
        <w:tc>
          <w:tcPr>
            <w:tcW w:w="1920"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 w:cs="Times New Roman"/>
                <w:sz w:val="24"/>
                <w:szCs w:val="24"/>
                <w:highlight w:val="none"/>
              </w:rPr>
            </w:pPr>
          </w:p>
        </w:tc>
        <w:tc>
          <w:tcPr>
            <w:tcW w:w="139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t>0</w:t>
            </w:r>
          </w:p>
        </w:tc>
        <w:tc>
          <w:tcPr>
            <w:tcW w:w="172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t>0.0006</w:t>
            </w:r>
          </w:p>
        </w:tc>
        <w:tc>
          <w:tcPr>
            <w:tcW w:w="17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t>0</w:t>
            </w:r>
          </w:p>
        </w:tc>
        <w:tc>
          <w:tcPr>
            <w:tcW w:w="189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t>0.171</w:t>
            </w:r>
          </w:p>
        </w:tc>
      </w:tr>
      <w:tr>
        <w:tblPrEx>
          <w:tblCellMar>
            <w:top w:w="0" w:type="dxa"/>
            <w:left w:w="108" w:type="dxa"/>
            <w:bottom w:w="0" w:type="dxa"/>
            <w:right w:w="108" w:type="dxa"/>
          </w:tblCellMar>
        </w:tblPrEx>
        <w:trPr>
          <w:trHeight w:val="570" w:hRule="atLeast"/>
        </w:trPr>
        <w:tc>
          <w:tcPr>
            <w:tcW w:w="937"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 w:cs="Times New Roman"/>
                <w:sz w:val="24"/>
                <w:szCs w:val="24"/>
                <w:highlight w:val="none"/>
              </w:rPr>
            </w:pPr>
          </w:p>
        </w:tc>
        <w:tc>
          <w:tcPr>
            <w:tcW w:w="1484"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 w:cs="Times New Roman"/>
                <w:sz w:val="24"/>
                <w:szCs w:val="24"/>
                <w:highlight w:val="none"/>
              </w:rPr>
            </w:pPr>
          </w:p>
        </w:tc>
        <w:tc>
          <w:tcPr>
            <w:tcW w:w="1415"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 w:cs="Times New Roman"/>
                <w:sz w:val="24"/>
                <w:szCs w:val="24"/>
                <w:highlight w:val="none"/>
              </w:rPr>
            </w:pPr>
          </w:p>
        </w:tc>
        <w:tc>
          <w:tcPr>
            <w:tcW w:w="1570" w:type="dxa"/>
            <w:vMerge w:val="continue"/>
            <w:tcBorders>
              <w:top w:val="nil"/>
              <w:left w:val="single" w:color="auto" w:sz="4" w:space="0"/>
              <w:bottom w:val="single" w:color="000000" w:sz="4" w:space="0"/>
              <w:right w:val="single" w:color="auto" w:sz="4" w:space="0"/>
            </w:tcBorders>
            <w:vAlign w:val="center"/>
          </w:tcPr>
          <w:p>
            <w:pPr>
              <w:adjustRightInd w:val="0"/>
              <w:snapToGrid w:val="0"/>
              <w:jc w:val="center"/>
              <w:rPr>
                <w:rFonts w:ascii="Times New Roman" w:hAnsi="Times New Roman" w:eastAsia="仿宋" w:cs="Times New Roman"/>
                <w:sz w:val="24"/>
                <w:szCs w:val="24"/>
                <w:highlight w:val="none"/>
              </w:rPr>
            </w:pPr>
          </w:p>
        </w:tc>
        <w:tc>
          <w:tcPr>
            <w:tcW w:w="192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 w:cs="Times New Roman"/>
                <w:sz w:val="24"/>
                <w:szCs w:val="24"/>
                <w:highlight w:val="none"/>
              </w:rPr>
            </w:pPr>
            <w:r>
              <w:rPr>
                <w:rFonts w:ascii="Times New Roman" w:hAnsi="Times New Roman" w:eastAsia="仿宋" w:cs="Times New Roman"/>
                <w:sz w:val="24"/>
                <w:szCs w:val="24"/>
                <w:highlight w:val="none"/>
              </w:rPr>
              <w:t>保护区范围</w:t>
            </w:r>
          </w:p>
        </w:tc>
        <w:tc>
          <w:tcPr>
            <w:tcW w:w="3117"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t>0.0006</w:t>
            </w:r>
          </w:p>
        </w:tc>
        <w:tc>
          <w:tcPr>
            <w:tcW w:w="3615"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24"/>
                <w:szCs w:val="24"/>
                <w:highlight w:val="none"/>
                <w:lang w:val="en-US" w:eastAsia="zh-CN"/>
                <w14:textFill>
                  <w14:solidFill>
                    <w14:schemeClr w14:val="tx1"/>
                  </w14:solidFill>
                </w14:textFill>
              </w:rPr>
              <w:t>0.171</w:t>
            </w:r>
          </w:p>
        </w:tc>
      </w:tr>
    </w:tbl>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p>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p>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p>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p>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p>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p>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p>
    <w:p>
      <w:pPr>
        <w:pStyle w:val="18"/>
        <w:keepNext w:val="0"/>
        <w:keepLines w:val="0"/>
        <w:pageBreakBefore w:val="0"/>
        <w:widowControl w:val="0"/>
        <w:numPr>
          <w:ilvl w:val="0"/>
          <w:numId w:val="0"/>
        </w:numPr>
        <w:tabs>
          <w:tab w:val="left" w:pos="1282"/>
        </w:tabs>
        <w:kinsoku/>
        <w:wordWrap/>
        <w:overflowPunct/>
        <w:topLinePunct w:val="0"/>
        <w:autoSpaceDE/>
        <w:autoSpaceDN/>
        <w:bidi w:val="0"/>
        <w:adjustRightInd/>
        <w:snapToGrid/>
        <w:spacing w:line="360" w:lineRule="auto"/>
        <w:jc w:val="both"/>
        <w:textAlignment w:val="auto"/>
        <w:outlineLvl w:val="0"/>
        <w:rPr>
          <w:rFonts w:hint="eastAsia" w:ascii="仿宋" w:hAnsi="仿宋" w:eastAsia="仿宋" w:cs="仿宋"/>
          <w:b/>
          <w:bCs/>
          <w:sz w:val="32"/>
          <w:szCs w:val="32"/>
          <w:highlight w:val="none"/>
          <w:lang w:val="en-US" w:eastAsia="zh-CN"/>
        </w:rPr>
      </w:pPr>
    </w:p>
    <w:sectPr>
      <w:headerReference r:id="rId3" w:type="default"/>
      <w:footerReference r:id="rId4" w:type="default"/>
      <w:pgSz w:w="16838" w:h="11906" w:orient="landscape"/>
      <w:pgMar w:top="1800" w:right="1440" w:bottom="1800" w:left="1440" w:header="119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lang w:val="en-US" w:eastAsia="zh-CN"/>
      </w:rPr>
      <w:t>文山州砚山县阿猛镇黑龙潭饮用水水源保护区划定方案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3281"/>
    <w:rsid w:val="00613D89"/>
    <w:rsid w:val="00BD7168"/>
    <w:rsid w:val="012035AF"/>
    <w:rsid w:val="016C7F40"/>
    <w:rsid w:val="0317229B"/>
    <w:rsid w:val="03477281"/>
    <w:rsid w:val="0374784D"/>
    <w:rsid w:val="04330468"/>
    <w:rsid w:val="043B1DA8"/>
    <w:rsid w:val="047A0016"/>
    <w:rsid w:val="064254C6"/>
    <w:rsid w:val="068C0F6A"/>
    <w:rsid w:val="06EA61C5"/>
    <w:rsid w:val="07F02BA5"/>
    <w:rsid w:val="08BA352C"/>
    <w:rsid w:val="08D85765"/>
    <w:rsid w:val="0AD41E6C"/>
    <w:rsid w:val="0C4865BB"/>
    <w:rsid w:val="0D906019"/>
    <w:rsid w:val="12004E94"/>
    <w:rsid w:val="123C29F6"/>
    <w:rsid w:val="14C01FF1"/>
    <w:rsid w:val="173469C8"/>
    <w:rsid w:val="181E3FCF"/>
    <w:rsid w:val="18586D1E"/>
    <w:rsid w:val="1A716E51"/>
    <w:rsid w:val="1B7B6C6C"/>
    <w:rsid w:val="1B9E1AFD"/>
    <w:rsid w:val="1BD009AA"/>
    <w:rsid w:val="1C233F4D"/>
    <w:rsid w:val="1CA14CED"/>
    <w:rsid w:val="1D6D1A2F"/>
    <w:rsid w:val="1F6B017C"/>
    <w:rsid w:val="1FE95857"/>
    <w:rsid w:val="20DE0D65"/>
    <w:rsid w:val="21B12C90"/>
    <w:rsid w:val="221412FD"/>
    <w:rsid w:val="228851E5"/>
    <w:rsid w:val="23383C21"/>
    <w:rsid w:val="239F31A8"/>
    <w:rsid w:val="25F9386E"/>
    <w:rsid w:val="265C0996"/>
    <w:rsid w:val="26984D71"/>
    <w:rsid w:val="26EA4498"/>
    <w:rsid w:val="27C02226"/>
    <w:rsid w:val="29BA2816"/>
    <w:rsid w:val="2B293265"/>
    <w:rsid w:val="2BAD2D7E"/>
    <w:rsid w:val="2BCC36E2"/>
    <w:rsid w:val="2DE60AE6"/>
    <w:rsid w:val="2E263A1A"/>
    <w:rsid w:val="2EAC75B8"/>
    <w:rsid w:val="2F530209"/>
    <w:rsid w:val="31DE51B7"/>
    <w:rsid w:val="32423591"/>
    <w:rsid w:val="326D79C0"/>
    <w:rsid w:val="336D320A"/>
    <w:rsid w:val="338C6259"/>
    <w:rsid w:val="33BE7773"/>
    <w:rsid w:val="35E22EC7"/>
    <w:rsid w:val="36E61E3E"/>
    <w:rsid w:val="37223986"/>
    <w:rsid w:val="386D143C"/>
    <w:rsid w:val="39F005C4"/>
    <w:rsid w:val="3A0B761D"/>
    <w:rsid w:val="3AC62AF7"/>
    <w:rsid w:val="3B604674"/>
    <w:rsid w:val="3D2D67BD"/>
    <w:rsid w:val="3E34439C"/>
    <w:rsid w:val="403B7B22"/>
    <w:rsid w:val="43B20EC6"/>
    <w:rsid w:val="43D13AE3"/>
    <w:rsid w:val="43E65168"/>
    <w:rsid w:val="46634D87"/>
    <w:rsid w:val="475C20E7"/>
    <w:rsid w:val="47B66565"/>
    <w:rsid w:val="47EE685A"/>
    <w:rsid w:val="481A18C0"/>
    <w:rsid w:val="489043A1"/>
    <w:rsid w:val="48F77B3C"/>
    <w:rsid w:val="4A5C6AC7"/>
    <w:rsid w:val="4A7D5C91"/>
    <w:rsid w:val="4AA37C18"/>
    <w:rsid w:val="4BB50E88"/>
    <w:rsid w:val="4C5217E2"/>
    <w:rsid w:val="4CDD11FD"/>
    <w:rsid w:val="4DEC1E0D"/>
    <w:rsid w:val="4DEE03FD"/>
    <w:rsid w:val="4F6F46F1"/>
    <w:rsid w:val="508A3797"/>
    <w:rsid w:val="508B00EC"/>
    <w:rsid w:val="510A42A2"/>
    <w:rsid w:val="51A14A6D"/>
    <w:rsid w:val="52632C85"/>
    <w:rsid w:val="52D83C49"/>
    <w:rsid w:val="54CF577D"/>
    <w:rsid w:val="560C7C1F"/>
    <w:rsid w:val="564D4BE1"/>
    <w:rsid w:val="56716BC9"/>
    <w:rsid w:val="569F6D78"/>
    <w:rsid w:val="56D76F12"/>
    <w:rsid w:val="57CE1362"/>
    <w:rsid w:val="584F7C96"/>
    <w:rsid w:val="58D6153A"/>
    <w:rsid w:val="5B9E05DF"/>
    <w:rsid w:val="5D2170A6"/>
    <w:rsid w:val="5E5D6DD0"/>
    <w:rsid w:val="5EF50C7A"/>
    <w:rsid w:val="60891477"/>
    <w:rsid w:val="61241039"/>
    <w:rsid w:val="6280475F"/>
    <w:rsid w:val="6322288F"/>
    <w:rsid w:val="638C1F64"/>
    <w:rsid w:val="64697CF2"/>
    <w:rsid w:val="65DD6E94"/>
    <w:rsid w:val="67014728"/>
    <w:rsid w:val="67532921"/>
    <w:rsid w:val="676D30A0"/>
    <w:rsid w:val="686458A3"/>
    <w:rsid w:val="68EE1F83"/>
    <w:rsid w:val="6AB91776"/>
    <w:rsid w:val="6C38588A"/>
    <w:rsid w:val="6C97402D"/>
    <w:rsid w:val="6F6B393D"/>
    <w:rsid w:val="6FA436DE"/>
    <w:rsid w:val="6FBC4CC6"/>
    <w:rsid w:val="6FF153C0"/>
    <w:rsid w:val="712A6B71"/>
    <w:rsid w:val="71F1502E"/>
    <w:rsid w:val="73F474AF"/>
    <w:rsid w:val="73FA7076"/>
    <w:rsid w:val="74917B2A"/>
    <w:rsid w:val="74BC37B7"/>
    <w:rsid w:val="7643506F"/>
    <w:rsid w:val="76B3451D"/>
    <w:rsid w:val="77F01D1C"/>
    <w:rsid w:val="78C6100E"/>
    <w:rsid w:val="7908551C"/>
    <w:rsid w:val="798D32EC"/>
    <w:rsid w:val="79CA70CD"/>
    <w:rsid w:val="7A5D5811"/>
    <w:rsid w:val="7A96413F"/>
    <w:rsid w:val="7B3D512A"/>
    <w:rsid w:val="7B703D42"/>
    <w:rsid w:val="7D357CDC"/>
    <w:rsid w:val="7EEA00EB"/>
    <w:rsid w:val="7F072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Times New Roman" w:hAnsi="Times New Roman" w:eastAsia="仿宋" w:cstheme="majorBidi"/>
      <w:b/>
      <w:bCs/>
      <w:sz w:val="32"/>
      <w:szCs w:val="32"/>
    </w:rPr>
  </w:style>
  <w:style w:type="paragraph" w:styleId="4">
    <w:name w:val="heading 3"/>
    <w:basedOn w:val="1"/>
    <w:next w:val="1"/>
    <w:link w:val="17"/>
    <w:semiHidden/>
    <w:unhideWhenUsed/>
    <w:qFormat/>
    <w:uiPriority w:val="0"/>
    <w:pPr>
      <w:keepNext/>
      <w:keepLines/>
      <w:adjustRightInd/>
      <w:snapToGrid/>
      <w:spacing w:before="260" w:after="260" w:line="720" w:lineRule="auto"/>
      <w:ind w:firstLine="0" w:firstLineChars="0"/>
      <w:jc w:val="left"/>
      <w:outlineLvl w:val="2"/>
    </w:pPr>
    <w:rPr>
      <w:rFonts w:ascii="Calibri" w:hAnsi="Calibri" w:eastAsia="宋体" w:cs="Times New Roman"/>
      <w:bCs/>
      <w:kern w:val="0"/>
      <w:sz w:val="28"/>
      <w:szCs w:val="32"/>
      <w:lang w:val="zh-CN" w:bidi="zh-CN"/>
    </w:rPr>
  </w:style>
  <w:style w:type="paragraph" w:styleId="5">
    <w:name w:val="heading 4"/>
    <w:basedOn w:val="1"/>
    <w:next w:val="1"/>
    <w:unhideWhenUsed/>
    <w:qFormat/>
    <w:uiPriority w:val="0"/>
    <w:pPr>
      <w:keepNext/>
      <w:keepLines/>
      <w:outlineLvl w:val="3"/>
    </w:pPr>
    <w:rPr>
      <w:rFonts w:eastAsia="仿宋" w:cstheme="majorBidi"/>
      <w:b/>
      <w:bCs/>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toa heading"/>
    <w:basedOn w:val="1"/>
    <w:next w:val="1"/>
    <w:semiHidden/>
    <w:qFormat/>
    <w:uiPriority w:val="0"/>
    <w:pPr>
      <w:spacing w:before="120"/>
    </w:pPr>
    <w:rPr>
      <w:rFonts w:ascii="Arial" w:hAnsi="Arial" w:eastAsia="宋体" w:cs="Arial"/>
      <w:sz w:val="24"/>
      <w:szCs w:val="24"/>
    </w:rPr>
  </w:style>
  <w:style w:type="paragraph" w:styleId="6">
    <w:name w:val="Normal Indent"/>
    <w:basedOn w:val="1"/>
    <w:qFormat/>
    <w:uiPriority w:val="0"/>
    <w:pPr>
      <w:ind w:firstLine="420" w:firstLineChars="200"/>
    </w:pPr>
    <w:rPr>
      <w:rFonts w:ascii="Times New Roman" w:hAnsi="Times New Roman" w:eastAsia="宋体" w:cs="Times New Roman"/>
      <w:kern w:val="0"/>
      <w:sz w:val="28"/>
      <w:szCs w:val="28"/>
    </w:rPr>
  </w:style>
  <w:style w:type="paragraph" w:styleId="7">
    <w:name w:val="Body Text"/>
    <w:basedOn w:val="1"/>
    <w:qFormat/>
    <w:uiPriority w:val="0"/>
    <w:pPr>
      <w:spacing w:after="120" w:afterLines="0" w:afterAutospacing="0"/>
    </w:pPr>
  </w:style>
  <w:style w:type="paragraph" w:styleId="8">
    <w:name w:val="toc 3"/>
    <w:basedOn w:val="1"/>
    <w:next w:val="1"/>
    <w:qFormat/>
    <w:uiPriority w:val="0"/>
    <w:pPr>
      <w:ind w:left="840" w:leftChars="400"/>
    </w:pPr>
  </w:style>
  <w:style w:type="paragraph" w:styleId="9">
    <w:name w:val="Plain Text"/>
    <w:basedOn w:val="1"/>
    <w:unhideWhenUsed/>
    <w:qFormat/>
    <w:uiPriority w:val="99"/>
    <w:pPr>
      <w:widowControl/>
      <w:spacing w:before="100" w:beforeAutospacing="1" w:after="100" w:afterAutospacing="1"/>
      <w:jc w:val="left"/>
    </w:pPr>
    <w:rPr>
      <w:rFonts w:ascii="ˎ̥" w:hAnsi="ˎ̥"/>
      <w:sz w:val="18"/>
      <w:szCs w:val="18"/>
    </w:rPr>
  </w:style>
  <w:style w:type="paragraph" w:styleId="10">
    <w:name w:val="footer"/>
    <w:basedOn w:val="1"/>
    <w:unhideWhenUsed/>
    <w:qFormat/>
    <w:uiPriority w:val="99"/>
    <w:pPr>
      <w:tabs>
        <w:tab w:val="center" w:pos="4153"/>
        <w:tab w:val="right" w:pos="8306"/>
      </w:tabs>
      <w:spacing w:line="240" w:lineRule="auto"/>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toc 2"/>
    <w:basedOn w:val="1"/>
    <w:next w:val="1"/>
    <w:qFormat/>
    <w:uiPriority w:val="0"/>
    <w:pPr>
      <w:ind w:left="420" w:left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标题 3 Char"/>
    <w:link w:val="4"/>
    <w:qFormat/>
    <w:uiPriority w:val="9"/>
    <w:rPr>
      <w:rFonts w:ascii="Calibri" w:hAnsi="Calibri" w:eastAsia="宋体"/>
      <w:bCs/>
      <w:kern w:val="0"/>
      <w:sz w:val="28"/>
      <w:szCs w:val="32"/>
      <w:lang w:val="zh-CN" w:bidi="zh-CN"/>
    </w:rPr>
  </w:style>
  <w:style w:type="paragraph" w:styleId="18">
    <w:name w:val="List Paragraph"/>
    <w:basedOn w:val="1"/>
    <w:qFormat/>
    <w:uiPriority w:val="34"/>
    <w:pPr>
      <w:ind w:firstLine="420" w:firstLineChars="200"/>
    </w:pPr>
  </w:style>
  <w:style w:type="paragraph" w:customStyle="1" w:styleId="19">
    <w:name w:val="二级标题"/>
    <w:basedOn w:val="1"/>
    <w:next w:val="1"/>
    <w:qFormat/>
    <w:uiPriority w:val="10"/>
    <w:pPr>
      <w:autoSpaceDE/>
      <w:autoSpaceDN/>
      <w:spacing w:before="100" w:after="100" w:line="360" w:lineRule="auto"/>
      <w:jc w:val="both"/>
      <w:outlineLvl w:val="1"/>
    </w:pPr>
    <w:rPr>
      <w:rFonts w:ascii="Times New Roman" w:hAnsi="Times New Roman" w:cs="Times New Roman"/>
      <w:b/>
      <w:bCs/>
      <w:kern w:val="2"/>
      <w:sz w:val="32"/>
      <w:szCs w:val="32"/>
      <w:lang w:val="en-US" w:bidi="ar-SA"/>
    </w:rPr>
  </w:style>
  <w:style w:type="paragraph" w:customStyle="1" w:styleId="20">
    <w:name w:val="图标标题"/>
    <w:basedOn w:val="1"/>
    <w:next w:val="1"/>
    <w:qFormat/>
    <w:uiPriority w:val="39"/>
    <w:pPr>
      <w:spacing w:after="156" w:afterLines="50" w:line="240" w:lineRule="auto"/>
      <w:ind w:firstLine="0" w:firstLineChars="0"/>
      <w:jc w:val="center"/>
    </w:pPr>
    <w:rPr>
      <w:rFonts w:cs="Times New Roman"/>
      <w:b/>
      <w:smallCaps/>
      <w:snapToGrid w:val="0"/>
      <w:kern w:val="0"/>
      <w:sz w:val="24"/>
      <w:szCs w:val="20"/>
    </w:rPr>
  </w:style>
  <w:style w:type="paragraph" w:customStyle="1" w:styleId="21">
    <w:name w:val="表格内容"/>
    <w:basedOn w:val="1"/>
    <w:next w:val="1"/>
    <w:qFormat/>
    <w:uiPriority w:val="0"/>
    <w:pPr>
      <w:spacing w:line="240" w:lineRule="auto"/>
      <w:ind w:firstLine="0" w:firstLineChars="0"/>
      <w:jc w:val="center"/>
    </w:pPr>
    <w:rPr>
      <w:rFonts w:cs="Times New Roman"/>
      <w:kern w:val="0"/>
      <w:sz w:val="24"/>
      <w:szCs w:val="24"/>
    </w:rPr>
  </w:style>
  <w:style w:type="paragraph" w:customStyle="1" w:styleId="22">
    <w:name w:val="Table Paragraph"/>
    <w:basedOn w:val="1"/>
    <w:qFormat/>
    <w:uiPriority w:val="1"/>
    <w:pPr>
      <w:autoSpaceDE w:val="0"/>
      <w:autoSpaceDN w:val="0"/>
      <w:adjustRightInd/>
      <w:snapToGrid/>
      <w:spacing w:line="240" w:lineRule="auto"/>
      <w:ind w:firstLine="0" w:firstLineChars="0"/>
      <w:jc w:val="center"/>
    </w:pPr>
    <w:rPr>
      <w:rFonts w:ascii="Times New Roman" w:hAnsi="Times New Roman" w:eastAsia="Times New Roman"/>
      <w:kern w:val="0"/>
      <w:sz w:val="22"/>
      <w:lang w:val="zh-CN" w:bidi="zh-CN"/>
    </w:rPr>
  </w:style>
  <w:style w:type="character" w:customStyle="1" w:styleId="23">
    <w:name w:val="font11"/>
    <w:basedOn w:val="16"/>
    <w:qFormat/>
    <w:uiPriority w:val="0"/>
    <w:rPr>
      <w:rFonts w:hint="eastAsia" w:ascii="宋体" w:hAnsi="宋体" w:eastAsia="宋体" w:cs="宋体"/>
      <w:color w:val="000000"/>
      <w:sz w:val="21"/>
      <w:szCs w:val="21"/>
      <w:u w:val="none"/>
    </w:rPr>
  </w:style>
  <w:style w:type="character" w:customStyle="1" w:styleId="24">
    <w:name w:val="font41"/>
    <w:basedOn w:val="16"/>
    <w:qFormat/>
    <w:uiPriority w:val="0"/>
    <w:rPr>
      <w:rFonts w:hint="default" w:ascii="Times New Roman" w:hAnsi="Times New Roman" w:cs="Times New Roman"/>
      <w:b/>
      <w:color w:val="000000"/>
      <w:sz w:val="24"/>
      <w:szCs w:val="24"/>
      <w:u w:val="none"/>
      <w:vertAlign w:val="subscript"/>
    </w:rPr>
  </w:style>
  <w:style w:type="character" w:customStyle="1" w:styleId="25">
    <w:name w:val="font51"/>
    <w:basedOn w:val="16"/>
    <w:qFormat/>
    <w:uiPriority w:val="0"/>
    <w:rPr>
      <w:rFonts w:hint="default" w:ascii="Times New Roman" w:hAnsi="Times New Roman" w:cs="Times New Roman"/>
      <w:b/>
      <w:color w:val="000000"/>
      <w:sz w:val="24"/>
      <w:szCs w:val="24"/>
      <w:u w:val="none"/>
    </w:rPr>
  </w:style>
  <w:style w:type="character" w:customStyle="1" w:styleId="26">
    <w:name w:val="font21"/>
    <w:basedOn w:val="16"/>
    <w:qFormat/>
    <w:uiPriority w:val="0"/>
    <w:rPr>
      <w:rFonts w:hint="default" w:ascii="Times New Roman" w:hAnsi="Times New Roman" w:cs="Times New Roman"/>
      <w:b/>
      <w:color w:val="000000"/>
      <w:sz w:val="21"/>
      <w:szCs w:val="21"/>
      <w:u w:val="none"/>
    </w:rPr>
  </w:style>
  <w:style w:type="character" w:customStyle="1" w:styleId="27">
    <w:name w:val="font61"/>
    <w:basedOn w:val="16"/>
    <w:qFormat/>
    <w:uiPriority w:val="0"/>
    <w:rPr>
      <w:rFonts w:hint="eastAsia" w:ascii="仿宋" w:hAnsi="仿宋" w:eastAsia="仿宋" w:cs="仿宋"/>
      <w:b/>
      <w:color w:val="000000"/>
      <w:sz w:val="21"/>
      <w:szCs w:val="21"/>
      <w:u w:val="none"/>
    </w:rPr>
  </w:style>
  <w:style w:type="character" w:customStyle="1" w:styleId="28">
    <w:name w:val="font71"/>
    <w:basedOn w:val="16"/>
    <w:qFormat/>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堕落金刚 中校</cp:lastModifiedBy>
  <dcterms:modified xsi:type="dcterms:W3CDTF">2020-07-29T15:08:34Z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